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B424F6" w14:textId="47D21A97" w:rsidR="00927CF8" w:rsidRPr="005B0F81" w:rsidRDefault="00403D6E" w:rsidP="00060F13">
      <w:pPr>
        <w:spacing w:before="0" w:line="259" w:lineRule="auto"/>
        <w:jc w:val="center"/>
        <w:rPr>
          <w:b/>
          <w:sz w:val="32"/>
        </w:rPr>
      </w:pPr>
      <w:bookmarkStart w:id="0" w:name="_Hlk503178290"/>
      <w:r w:rsidRPr="005B0F81">
        <w:rPr>
          <w:b/>
          <w:noProof/>
          <w:sz w:val="32"/>
          <w:lang w:eastAsia="en-GB"/>
        </w:rPr>
        <w:drawing>
          <wp:inline distT="0" distB="0" distL="0" distR="0" wp14:anchorId="4D15358D" wp14:editId="2A4BC33C">
            <wp:extent cx="3572539" cy="1446381"/>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88772" cy="1452953"/>
                    </a:xfrm>
                    <a:prstGeom prst="rect">
                      <a:avLst/>
                    </a:prstGeom>
                    <a:noFill/>
                    <a:ln>
                      <a:noFill/>
                    </a:ln>
                  </pic:spPr>
                </pic:pic>
              </a:graphicData>
            </a:graphic>
          </wp:inline>
        </w:drawing>
      </w:r>
    </w:p>
    <w:p w14:paraId="4DABA057" w14:textId="4C330697" w:rsidR="00403D6E" w:rsidRPr="005B0F81" w:rsidRDefault="00403D6E" w:rsidP="00060F13">
      <w:pPr>
        <w:spacing w:before="0" w:line="259" w:lineRule="auto"/>
        <w:jc w:val="center"/>
        <w:rPr>
          <w:b/>
          <w:sz w:val="32"/>
        </w:rPr>
      </w:pPr>
    </w:p>
    <w:p w14:paraId="5C90B8A7" w14:textId="77777777" w:rsidR="00403D6E" w:rsidRPr="005B0F81" w:rsidRDefault="00403D6E" w:rsidP="00060F13">
      <w:pPr>
        <w:spacing w:before="0" w:line="259" w:lineRule="auto"/>
        <w:jc w:val="center"/>
        <w:rPr>
          <w:b/>
          <w:sz w:val="32"/>
        </w:rPr>
      </w:pPr>
    </w:p>
    <w:p w14:paraId="143E5907" w14:textId="2ED70E82" w:rsidR="00403D6E" w:rsidRPr="001000A7" w:rsidRDefault="00AB1F24" w:rsidP="001000A7">
      <w:pPr>
        <w:spacing w:before="0" w:after="0"/>
        <w:jc w:val="center"/>
        <w:rPr>
          <w:b/>
          <w:iCs/>
          <w:sz w:val="36"/>
        </w:rPr>
      </w:pPr>
      <w:r w:rsidRPr="005B0F81">
        <w:rPr>
          <w:b/>
          <w:i/>
          <w:sz w:val="36"/>
        </w:rPr>
        <w:t>Staphylococcus aureus</w:t>
      </w:r>
      <w:r w:rsidR="006E1FCD" w:rsidRPr="005B0F81">
        <w:rPr>
          <w:b/>
          <w:iCs/>
          <w:sz w:val="36"/>
        </w:rPr>
        <w:t xml:space="preserve"> </w:t>
      </w:r>
      <w:r w:rsidR="00D963D3">
        <w:rPr>
          <w:b/>
          <w:iCs/>
          <w:sz w:val="36"/>
        </w:rPr>
        <w:t xml:space="preserve">ultrastructure </w:t>
      </w:r>
      <w:r w:rsidR="006E1FCD" w:rsidRPr="005B0F81">
        <w:rPr>
          <w:b/>
          <w:iCs/>
          <w:sz w:val="36"/>
        </w:rPr>
        <w:t xml:space="preserve">and </w:t>
      </w:r>
      <w:r w:rsidR="00D963D3">
        <w:rPr>
          <w:b/>
          <w:iCs/>
          <w:sz w:val="36"/>
        </w:rPr>
        <w:t>the action of bactericidal</w:t>
      </w:r>
      <w:r w:rsidR="006E1FCD" w:rsidRPr="005B0F81">
        <w:rPr>
          <w:b/>
          <w:iCs/>
          <w:sz w:val="36"/>
        </w:rPr>
        <w:t xml:space="preserve"> antibiotics.</w:t>
      </w:r>
    </w:p>
    <w:p w14:paraId="623803F4" w14:textId="77777777" w:rsidR="003A19F2" w:rsidRPr="005B0F81" w:rsidRDefault="003A19F2" w:rsidP="00403D6E">
      <w:pPr>
        <w:spacing w:before="0" w:after="0"/>
        <w:jc w:val="center"/>
        <w:rPr>
          <w:b/>
          <w:sz w:val="32"/>
        </w:rPr>
      </w:pPr>
    </w:p>
    <w:p w14:paraId="19FC853B" w14:textId="77777777" w:rsidR="003A19F2" w:rsidRPr="005B0F81" w:rsidRDefault="003A19F2" w:rsidP="00403D6E">
      <w:pPr>
        <w:spacing w:before="0" w:after="0"/>
        <w:jc w:val="center"/>
        <w:rPr>
          <w:b/>
          <w:sz w:val="32"/>
        </w:rPr>
      </w:pPr>
    </w:p>
    <w:p w14:paraId="51376451" w14:textId="454C1CF3" w:rsidR="00403D6E" w:rsidRPr="005B0F81" w:rsidRDefault="00403D6E" w:rsidP="00403D6E">
      <w:pPr>
        <w:spacing w:before="0" w:after="0"/>
        <w:jc w:val="center"/>
        <w:rPr>
          <w:b/>
        </w:rPr>
      </w:pPr>
      <w:r w:rsidRPr="005B0F81">
        <w:rPr>
          <w:b/>
        </w:rPr>
        <w:t>By</w:t>
      </w:r>
    </w:p>
    <w:p w14:paraId="1E680003" w14:textId="77777777" w:rsidR="00403D6E" w:rsidRPr="005B0F81" w:rsidRDefault="00403D6E" w:rsidP="00403D6E">
      <w:pPr>
        <w:spacing w:before="0" w:after="0"/>
        <w:jc w:val="center"/>
        <w:rPr>
          <w:b/>
        </w:rPr>
      </w:pPr>
    </w:p>
    <w:p w14:paraId="47AD060B" w14:textId="37242338" w:rsidR="00403D6E" w:rsidRPr="005B0F81" w:rsidRDefault="006E1FCD" w:rsidP="00403D6E">
      <w:pPr>
        <w:spacing w:before="0" w:after="0"/>
        <w:jc w:val="center"/>
      </w:pPr>
      <w:r w:rsidRPr="005B0F81">
        <w:t>Lucía Lafage</w:t>
      </w:r>
      <w:r w:rsidR="00403D6E" w:rsidRPr="005B0F81">
        <w:t xml:space="preserve">, </w:t>
      </w:r>
      <w:r w:rsidRPr="005B0F81">
        <w:t>Lic</w:t>
      </w:r>
      <w:r w:rsidR="00403D6E" w:rsidRPr="005B0F81">
        <w:t>. M</w:t>
      </w:r>
      <w:r w:rsidRPr="005B0F81">
        <w:t>Res</w:t>
      </w:r>
      <w:r w:rsidR="00403D6E" w:rsidRPr="005B0F81">
        <w:t>.</w:t>
      </w:r>
    </w:p>
    <w:p w14:paraId="50FF96AD" w14:textId="1A1BC287" w:rsidR="00403D6E" w:rsidRPr="005B0F81" w:rsidRDefault="00403D6E" w:rsidP="00403D6E">
      <w:pPr>
        <w:spacing w:before="0" w:after="0"/>
        <w:jc w:val="center"/>
      </w:pPr>
      <w:r w:rsidRPr="005B0F81">
        <w:t>(</w:t>
      </w:r>
      <w:r w:rsidR="006E1FCD" w:rsidRPr="005B0F81">
        <w:t>Universidad Maimónides, Newcastle University</w:t>
      </w:r>
      <w:r w:rsidRPr="005B0F81">
        <w:t>)</w:t>
      </w:r>
    </w:p>
    <w:p w14:paraId="16BA4315" w14:textId="16D53E2C" w:rsidR="00403D6E" w:rsidRPr="005B0F81" w:rsidRDefault="00403D6E" w:rsidP="00403D6E">
      <w:pPr>
        <w:spacing w:before="0" w:after="0"/>
        <w:jc w:val="center"/>
      </w:pPr>
    </w:p>
    <w:p w14:paraId="0DBED19D" w14:textId="6C7C2D47" w:rsidR="00403D6E" w:rsidRPr="005B0F81" w:rsidRDefault="00403D6E" w:rsidP="001000A7">
      <w:pPr>
        <w:spacing w:before="0" w:after="0"/>
      </w:pPr>
    </w:p>
    <w:p w14:paraId="72E1F44D" w14:textId="77777777" w:rsidR="00403D6E" w:rsidRPr="005B0F81" w:rsidRDefault="00403D6E" w:rsidP="00403D6E">
      <w:pPr>
        <w:spacing w:before="0" w:after="0"/>
        <w:jc w:val="center"/>
      </w:pPr>
    </w:p>
    <w:p w14:paraId="25A6CBFD" w14:textId="0AEC62C3" w:rsidR="00403D6E" w:rsidRPr="005B0F81" w:rsidRDefault="00403D6E" w:rsidP="00403D6E">
      <w:pPr>
        <w:spacing w:before="0" w:after="0"/>
        <w:jc w:val="center"/>
      </w:pPr>
    </w:p>
    <w:p w14:paraId="29957FA6" w14:textId="674ECE9B" w:rsidR="00403D6E" w:rsidRPr="005B0F81" w:rsidRDefault="00403D6E" w:rsidP="00403D6E">
      <w:pPr>
        <w:spacing w:before="0" w:after="0"/>
        <w:jc w:val="center"/>
      </w:pPr>
    </w:p>
    <w:p w14:paraId="5558FF34" w14:textId="2F107B5E" w:rsidR="00403D6E" w:rsidRPr="005B0F81" w:rsidRDefault="00403D6E" w:rsidP="00403D6E">
      <w:pPr>
        <w:spacing w:before="0" w:after="0"/>
        <w:jc w:val="center"/>
      </w:pPr>
      <w:r w:rsidRPr="005B0F81">
        <w:t>A thesis submitted for the degree of Doctor of Philosophy</w:t>
      </w:r>
    </w:p>
    <w:p w14:paraId="2659976C" w14:textId="69718154" w:rsidR="00403D6E" w:rsidRPr="005B0F81" w:rsidRDefault="006E1FCD" w:rsidP="00403D6E">
      <w:pPr>
        <w:spacing w:before="0" w:after="0"/>
        <w:jc w:val="center"/>
      </w:pPr>
      <w:r w:rsidRPr="005B0F81">
        <w:t>August</w:t>
      </w:r>
      <w:r w:rsidR="00403D6E" w:rsidRPr="005B0F81">
        <w:t xml:space="preserve"> 20</w:t>
      </w:r>
      <w:r w:rsidRPr="005B0F81">
        <w:t>21</w:t>
      </w:r>
    </w:p>
    <w:p w14:paraId="266858B8" w14:textId="0C2056D3" w:rsidR="00403D6E" w:rsidRPr="005B0F81" w:rsidRDefault="00403D6E" w:rsidP="00403D6E">
      <w:pPr>
        <w:spacing w:before="0" w:after="0"/>
        <w:jc w:val="center"/>
      </w:pPr>
    </w:p>
    <w:p w14:paraId="4FAF972C" w14:textId="1E474782" w:rsidR="00403D6E" w:rsidRPr="005B0F81" w:rsidRDefault="00403D6E" w:rsidP="00403D6E">
      <w:pPr>
        <w:spacing w:before="0" w:after="0"/>
        <w:jc w:val="center"/>
      </w:pPr>
    </w:p>
    <w:p w14:paraId="13D5DE05" w14:textId="77777777" w:rsidR="00F1760B" w:rsidRPr="005B0F81" w:rsidRDefault="00F1760B" w:rsidP="00403D6E">
      <w:pPr>
        <w:spacing w:before="0" w:after="0"/>
        <w:jc w:val="center"/>
      </w:pPr>
    </w:p>
    <w:p w14:paraId="27BF2F93" w14:textId="77777777" w:rsidR="00F1760B" w:rsidRPr="005B0F81" w:rsidRDefault="00F1760B" w:rsidP="00403D6E">
      <w:pPr>
        <w:spacing w:before="0" w:after="0"/>
        <w:jc w:val="center"/>
      </w:pPr>
    </w:p>
    <w:p w14:paraId="6FB21F3B" w14:textId="79188121" w:rsidR="00B54873" w:rsidRPr="005B0F81" w:rsidRDefault="00403D6E" w:rsidP="00B54873">
      <w:pPr>
        <w:spacing w:before="0" w:after="0"/>
        <w:jc w:val="center"/>
      </w:pPr>
      <w:r w:rsidRPr="005B0F81">
        <w:t>Department of Molecular Biology and Biotechnology, University of Sheffield, Firth Court, Western Bank, Sheffield, S10 2TN</w:t>
      </w:r>
    </w:p>
    <w:p w14:paraId="681B8DFA" w14:textId="77777777" w:rsidR="00B54873" w:rsidRDefault="00B54873" w:rsidP="00182281">
      <w:pPr>
        <w:spacing w:before="0" w:line="259" w:lineRule="auto"/>
      </w:pPr>
    </w:p>
    <w:p w14:paraId="78423015" w14:textId="77777777" w:rsidR="00EB61F8" w:rsidRDefault="00EB61F8" w:rsidP="00182281">
      <w:pPr>
        <w:spacing w:before="0" w:line="259" w:lineRule="auto"/>
        <w:sectPr w:rsidR="00EB61F8" w:rsidSect="004D0E05">
          <w:footerReference w:type="even" r:id="rId9"/>
          <w:footerReference w:type="default" r:id="rId10"/>
          <w:pgSz w:w="11906" w:h="16838"/>
          <w:pgMar w:top="1191" w:right="1247" w:bottom="1191" w:left="1247" w:header="709" w:footer="709" w:gutter="0"/>
          <w:pgNumType w:fmt="upperRoman"/>
          <w:cols w:space="708"/>
          <w:titlePg/>
          <w:docGrid w:linePitch="360"/>
        </w:sectPr>
      </w:pPr>
    </w:p>
    <w:p w14:paraId="5BAA516A" w14:textId="2390159D" w:rsidR="00774F9D" w:rsidRPr="00FA48D6" w:rsidRDefault="0067029A" w:rsidP="00182281">
      <w:pPr>
        <w:pStyle w:val="Title"/>
      </w:pPr>
      <w:bookmarkStart w:id="1" w:name="_Toc64276265"/>
      <w:bookmarkStart w:id="2" w:name="_Toc64276569"/>
      <w:bookmarkStart w:id="3" w:name="_Toc64276781"/>
      <w:bookmarkStart w:id="4" w:name="_Toc90216714"/>
      <w:r w:rsidRPr="00FA48D6">
        <w:lastRenderedPageBreak/>
        <w:t>Summary</w:t>
      </w:r>
      <w:bookmarkEnd w:id="1"/>
      <w:bookmarkEnd w:id="2"/>
      <w:bookmarkEnd w:id="3"/>
      <w:bookmarkEnd w:id="4"/>
    </w:p>
    <w:p w14:paraId="5A6A39E2" w14:textId="77777777" w:rsidR="00D0135A" w:rsidRPr="00D0135A" w:rsidRDefault="00D0135A" w:rsidP="00D0135A">
      <w:pPr>
        <w:rPr>
          <w:i/>
          <w:iCs/>
        </w:rPr>
      </w:pPr>
      <w:r w:rsidRPr="00D0135A">
        <w:t xml:space="preserve">The bacterial envelope of </w:t>
      </w:r>
      <w:r w:rsidRPr="00D0135A">
        <w:rPr>
          <w:i/>
          <w:iCs/>
        </w:rPr>
        <w:t>Staphylococcus aureus</w:t>
      </w:r>
      <w:r w:rsidRPr="00D0135A">
        <w:t xml:space="preserve"> consists of the plasma membrane and a multi-layered peptidoglycan cell wall with the exoplasm between them. This structure is essential for growth, division, protection and turgor maintenance. The cell wall is also of clinical importance as its synthesis is the target of various antibiotics</w:t>
      </w:r>
      <w:r w:rsidRPr="00D0135A">
        <w:rPr>
          <w:i/>
          <w:iCs/>
        </w:rPr>
        <w:t xml:space="preserve">. </w:t>
      </w:r>
      <w:r w:rsidRPr="00D0135A">
        <w:t xml:space="preserve">The aim of this study was to investigate the maintenance of </w:t>
      </w:r>
      <w:r w:rsidRPr="00D0135A">
        <w:rPr>
          <w:i/>
          <w:iCs/>
        </w:rPr>
        <w:t>S. aureus</w:t>
      </w:r>
      <w:r w:rsidRPr="00D0135A">
        <w:t xml:space="preserve"> viability, focusing on the roles of the exoplasm, cell wall dynamics and the action of bactericidal antibiotics.</w:t>
      </w:r>
    </w:p>
    <w:p w14:paraId="383B812C" w14:textId="3E06D80C" w:rsidR="00D0135A" w:rsidRPr="00D0135A" w:rsidRDefault="00D0135A" w:rsidP="00D0135A">
      <w:r w:rsidRPr="00D0135A">
        <w:t xml:space="preserve">I optimised the electron microscopy techniques for a thorough analysis of the bacterial envelope with focus on the exoplasmic space, and present </w:t>
      </w:r>
      <w:r w:rsidR="00683318">
        <w:t>results that establish</w:t>
      </w:r>
      <w:r w:rsidRPr="00D0135A">
        <w:t xml:space="preserve"> the basis for further research into the maintenance of this compartment and its importance for cell viability.</w:t>
      </w:r>
    </w:p>
    <w:p w14:paraId="5DD7484E" w14:textId="66CB22DB" w:rsidR="00D0135A" w:rsidRPr="00D0135A" w:rsidRDefault="00D0135A" w:rsidP="00D0135A">
      <w:r w:rsidRPr="00D0135A">
        <w:t xml:space="preserve">My analysis of the morphological changes observed during the action of bactericidal antibiotics was performed as part of a collaborative interdisciplinary investigation into cell wall peptidoglycan homeostasis. </w:t>
      </w:r>
      <w:r w:rsidR="002665B2">
        <w:t>I</w:t>
      </w:r>
      <w:r w:rsidRPr="00D0135A">
        <w:t xml:space="preserve"> </w:t>
      </w:r>
      <w:r w:rsidR="002665B2">
        <w:t>tested</w:t>
      </w:r>
      <w:r w:rsidRPr="00D0135A">
        <w:t xml:space="preserve"> a simple </w:t>
      </w:r>
      <w:r w:rsidR="00BB44D5">
        <w:t>predictive</w:t>
      </w:r>
      <w:r w:rsidRPr="00D0135A">
        <w:t xml:space="preserve"> model for bacterial life and death based on cell wall homeostasis, and present evidence which stresses the essentiality of peptidoglycan synthesis and hydrolysis for growth; as interruption of either leads to cell death while loss of both leads to stasis. The bactericidal mechanisms that </w:t>
      </w:r>
      <w:r w:rsidR="0004604B" w:rsidRPr="00D0135A">
        <w:t>lead</w:t>
      </w:r>
      <w:r w:rsidRPr="00D0135A">
        <w:t xml:space="preserve"> to cell death, due to </w:t>
      </w:r>
      <w:r w:rsidRPr="00D0135A">
        <w:rPr>
          <w:lang w:val="el-GR"/>
        </w:rPr>
        <w:t>β</w:t>
      </w:r>
      <w:r w:rsidRPr="00D0135A">
        <w:t xml:space="preserve">-lactams and vancomycin, involve a complex process of multiple highly-regulated hydrolases with redundancy in function. The major peptidoglycan hydrolase SagB is a growth-associated hydrolase and is implicated in an increase in size and number of cell wall perforating holes that lead to antibiotic-induced lysis. </w:t>
      </w:r>
      <w:r w:rsidRPr="00D0135A">
        <w:rPr>
          <w:lang w:val="el-GR"/>
        </w:rPr>
        <w:t>β</w:t>
      </w:r>
      <w:r w:rsidRPr="00D0135A">
        <w:t>-lactam antibiotics also have an additional mode of cell killing that culminates in plasmolysis. This β-lactam-induced death derives from the continued action of various hydrolases involved in cell separation, such as Atl, provoking large cell wall perforating holes and the early septal scission of incomplete septa that lead to plasmolysis and lysis.</w:t>
      </w:r>
    </w:p>
    <w:p w14:paraId="70132F59" w14:textId="77777777" w:rsidR="00417D7C" w:rsidRDefault="00D0135A" w:rsidP="00774F9D">
      <w:pPr>
        <w:sectPr w:rsidR="00417D7C" w:rsidSect="004D0E05">
          <w:footerReference w:type="first" r:id="rId11"/>
          <w:pgSz w:w="11906" w:h="16838"/>
          <w:pgMar w:top="1191" w:right="1247" w:bottom="1191" w:left="1247" w:header="709" w:footer="709" w:gutter="0"/>
          <w:pgNumType w:fmt="upperRoman" w:start="1"/>
          <w:cols w:space="708"/>
          <w:titlePg/>
          <w:docGrid w:linePitch="360"/>
        </w:sectPr>
      </w:pPr>
      <w:r w:rsidRPr="00D0135A">
        <w:t>My project has set the bactericidal activity of antibiotics within a simple, overarching model for cell viability, growth and division. This sets a framework for the development of new control regimes for important pathogens</w:t>
      </w:r>
      <w:r w:rsidR="009D62F5">
        <w:t>.</w:t>
      </w:r>
    </w:p>
    <w:p w14:paraId="614626FB" w14:textId="0C2591B2" w:rsidR="00774F9D" w:rsidRDefault="001C1521" w:rsidP="001C1521">
      <w:pPr>
        <w:pStyle w:val="ChaptertitleThesis"/>
      </w:pPr>
      <w:bookmarkStart w:id="5" w:name="_Toc90216715"/>
      <w:r>
        <w:lastRenderedPageBreak/>
        <w:t>Publications</w:t>
      </w:r>
      <w:bookmarkEnd w:id="5"/>
    </w:p>
    <w:p w14:paraId="1AE7A62A" w14:textId="1DE61C90" w:rsidR="00E36397" w:rsidRPr="00E36397" w:rsidRDefault="00E36397" w:rsidP="00E36397">
      <w:pPr>
        <w:pStyle w:val="BodyThesis"/>
        <w:numPr>
          <w:ilvl w:val="0"/>
          <w:numId w:val="5"/>
        </w:numPr>
        <w:ind w:left="426"/>
      </w:pPr>
      <w:r w:rsidRPr="00E36397">
        <w:t xml:space="preserve">Salamaga, B., Kong, L., Pasquina-Lemonche, L., </w:t>
      </w:r>
      <w:r w:rsidRPr="00E36397">
        <w:rPr>
          <w:u w:val="single"/>
        </w:rPr>
        <w:t>Lafage, L.</w:t>
      </w:r>
      <w:r w:rsidRPr="00E36397">
        <w:t>, von und zur Muhlen, M., Gibson, J.F., Grybchuk, D., Tooke. A., Panchal, V., Culp, E.J., Tatham, E., O’Kane, M.E., Catley, T.E., Renshaw, S.A., Wright, G.D., Plevka, P., Bullough, P.A., Han, A., Hobbs, J.K., Foster, S.J. (2021). Demonstra</w:t>
      </w:r>
      <w:r>
        <w:t>ti</w:t>
      </w:r>
      <w:r w:rsidRPr="00E36397">
        <w:t xml:space="preserve">on of the role of cell wall homeostasis in </w:t>
      </w:r>
      <w:r w:rsidRPr="004311CD">
        <w:rPr>
          <w:i/>
          <w:iCs/>
        </w:rPr>
        <w:t>Staphylococcus aureus</w:t>
      </w:r>
      <w:r w:rsidRPr="00E36397">
        <w:t xml:space="preserve"> growth and the ac</w:t>
      </w:r>
      <w:r>
        <w:t>ti</w:t>
      </w:r>
      <w:r w:rsidRPr="00E36397">
        <w:t>on of bactericidal an</w:t>
      </w:r>
      <w:r>
        <w:t>ti</w:t>
      </w:r>
      <w:r w:rsidRPr="00E36397">
        <w:t>bio</w:t>
      </w:r>
      <w:r>
        <w:t>ti</w:t>
      </w:r>
      <w:r w:rsidRPr="00E36397">
        <w:t xml:space="preserve">cs. PNAS, 118 (44) e2106022118. </w:t>
      </w:r>
    </w:p>
    <w:p w14:paraId="4EE27BC7" w14:textId="5424BA01" w:rsidR="009F760D" w:rsidRDefault="009F760D" w:rsidP="00582529">
      <w:pPr>
        <w:pStyle w:val="BodyThesis"/>
        <w:numPr>
          <w:ilvl w:val="0"/>
          <w:numId w:val="5"/>
        </w:numPr>
        <w:ind w:left="426"/>
      </w:pPr>
      <w:r w:rsidRPr="00EF3224">
        <w:t xml:space="preserve">Tank R., Lund V., Kumar S., Turner R., </w:t>
      </w:r>
      <w:r w:rsidRPr="00E36397">
        <w:rPr>
          <w:u w:val="single"/>
        </w:rPr>
        <w:t>Lafage L</w:t>
      </w:r>
      <w:r w:rsidRPr="00EF3224">
        <w:t>., Pasquina</w:t>
      </w:r>
      <w:r>
        <w:t>-</w:t>
      </w:r>
      <w:r w:rsidRPr="00EF3224">
        <w:t xml:space="preserve">Lemonche L., Bullough, P., Cadby, A., Foster SJ., Hobbs JA. Correlative Super-Resolution Optical and Atomic Force Microscopy Reveals the Relationship Between Bacterial Cell Wall Architecture and Synthesis in </w:t>
      </w:r>
      <w:r w:rsidRPr="004B53FF">
        <w:rPr>
          <w:i/>
          <w:iCs/>
        </w:rPr>
        <w:t>Bacillus</w:t>
      </w:r>
      <w:r w:rsidRPr="00EF3224">
        <w:t xml:space="preserve"> </w:t>
      </w:r>
      <w:r w:rsidRPr="004B53FF">
        <w:rPr>
          <w:i/>
          <w:iCs/>
        </w:rPr>
        <w:t>subtilis</w:t>
      </w:r>
      <w:r w:rsidRPr="00EF3224">
        <w:t>. Manuscript submitted for publication</w:t>
      </w:r>
      <w:r>
        <w:t xml:space="preserve">. </w:t>
      </w:r>
      <w:r w:rsidR="00582529" w:rsidRPr="00582529">
        <w:rPr>
          <w:i/>
          <w:iCs/>
        </w:rPr>
        <w:t>ACS nano</w:t>
      </w:r>
      <w:r w:rsidR="00582529" w:rsidRPr="00582529">
        <w:t>, </w:t>
      </w:r>
      <w:r w:rsidR="00582529" w:rsidRPr="00582529">
        <w:rPr>
          <w:i/>
          <w:iCs/>
        </w:rPr>
        <w:t>15</w:t>
      </w:r>
      <w:r w:rsidR="00582529" w:rsidRPr="00582529">
        <w:t>(10), 16011-16018.</w:t>
      </w:r>
    </w:p>
    <w:p w14:paraId="0A17D06D" w14:textId="4EC17EAB" w:rsidR="00864622" w:rsidRDefault="00FA09DE" w:rsidP="00864622">
      <w:pPr>
        <w:pStyle w:val="BodyThesis"/>
        <w:numPr>
          <w:ilvl w:val="0"/>
          <w:numId w:val="5"/>
        </w:numPr>
        <w:ind w:left="426"/>
      </w:pPr>
      <w:r w:rsidRPr="00FA09DE">
        <w:t xml:space="preserve">Sutton JAF, Carnell OT, </w:t>
      </w:r>
      <w:r w:rsidRPr="00E36397">
        <w:rPr>
          <w:u w:val="single"/>
        </w:rPr>
        <w:t>Lafage L</w:t>
      </w:r>
      <w:r w:rsidRPr="00FA09DE">
        <w:t xml:space="preserve">, Gray J, Biboy J, Gibson JF, Pollitt EJG, Tazoll SC, Turnbull W, Hajdamowicz NH, Salamaga B, Pidwill GR, Condliffe AM, Renshaw SA, Vollmer W, Foster SJ. </w:t>
      </w:r>
      <w:r w:rsidRPr="004B53FF">
        <w:rPr>
          <w:i/>
          <w:iCs/>
        </w:rPr>
        <w:t>Staphylococcus aureus</w:t>
      </w:r>
      <w:r w:rsidRPr="00FA09DE">
        <w:t xml:space="preserve"> cell wall structure and dynamics during host-pathogen interaction. PLoS Pathog. 2021 Mar 31;17(3):e1009468.</w:t>
      </w:r>
    </w:p>
    <w:p w14:paraId="702550AB" w14:textId="17C93B59" w:rsidR="00C962B1" w:rsidRDefault="00C962B1" w:rsidP="00C962B1">
      <w:pPr>
        <w:pStyle w:val="BodyThesis"/>
        <w:numPr>
          <w:ilvl w:val="0"/>
          <w:numId w:val="5"/>
        </w:numPr>
        <w:ind w:left="426"/>
      </w:pPr>
      <w:r w:rsidRPr="000D52A4">
        <w:t xml:space="preserve">Wacnik K., Rao V., Chen X., </w:t>
      </w:r>
      <w:r w:rsidRPr="00E36397">
        <w:rPr>
          <w:u w:val="single"/>
        </w:rPr>
        <w:t>Lafage L</w:t>
      </w:r>
      <w:r w:rsidRPr="000D52A4">
        <w:t>., Pazos M., Booth S., Vollmer W., Hobbs JK., Lewis R., Foster SJ. PBP1 of </w:t>
      </w:r>
      <w:r w:rsidRPr="00E36397">
        <w:rPr>
          <w:i/>
          <w:iCs/>
        </w:rPr>
        <w:t>Staphylococcus aureus </w:t>
      </w:r>
      <w:r w:rsidRPr="000D52A4">
        <w:t>has multiple essential functions in cell division. Manuscript submitted for publication</w:t>
      </w:r>
      <w:r>
        <w:t>.</w:t>
      </w:r>
    </w:p>
    <w:p w14:paraId="06EF6E75" w14:textId="77777777" w:rsidR="002C6B13" w:rsidRPr="005B0F81" w:rsidRDefault="002C6B13" w:rsidP="00FA09DE">
      <w:pPr>
        <w:pStyle w:val="BodyThesis"/>
      </w:pPr>
    </w:p>
    <w:p w14:paraId="55092EE2" w14:textId="77777777" w:rsidR="001C1521" w:rsidRPr="00FA09DE" w:rsidRDefault="001C1521" w:rsidP="00FA09DE">
      <w:pPr>
        <w:pStyle w:val="BodyThesis"/>
      </w:pPr>
      <w:bookmarkStart w:id="6" w:name="_Toc64276266"/>
      <w:bookmarkStart w:id="7" w:name="_Toc64276570"/>
      <w:bookmarkStart w:id="8" w:name="_Toc64276782"/>
      <w:r>
        <w:br w:type="page"/>
      </w:r>
    </w:p>
    <w:p w14:paraId="5B52549B" w14:textId="2B6F63B7" w:rsidR="00774F9D" w:rsidRPr="005B0F81" w:rsidRDefault="00774F9D" w:rsidP="00FA48D6">
      <w:pPr>
        <w:pStyle w:val="ChaptertitleThesis"/>
      </w:pPr>
      <w:bookmarkStart w:id="9" w:name="_Toc90216716"/>
      <w:r w:rsidRPr="005B0F81">
        <w:lastRenderedPageBreak/>
        <w:t>Acknowledgments</w:t>
      </w:r>
      <w:bookmarkEnd w:id="6"/>
      <w:bookmarkEnd w:id="7"/>
      <w:bookmarkEnd w:id="8"/>
      <w:bookmarkEnd w:id="9"/>
    </w:p>
    <w:p w14:paraId="28EC5AB7" w14:textId="6D3D3825" w:rsidR="00C30F09" w:rsidRDefault="00C30F09" w:rsidP="003927A7">
      <w:r>
        <w:t xml:space="preserve">I would like to start by thanking </w:t>
      </w:r>
      <w:r w:rsidR="008459D8">
        <w:t>the University of Sheffield and my supervisors Prof. Simon Foster and Prof. Per Bullough for giving me the opportunity to carry out my PhD. Simon, thank you for your continued support</w:t>
      </w:r>
      <w:r w:rsidR="00E00974">
        <w:t xml:space="preserve">, your patience and </w:t>
      </w:r>
      <w:r w:rsidR="008D0206">
        <w:t xml:space="preserve">for </w:t>
      </w:r>
      <w:r w:rsidR="008459D8">
        <w:t>all the meetings and discussions that guided me through this investigation. I am forever grateful.</w:t>
      </w:r>
    </w:p>
    <w:p w14:paraId="4CA584DE" w14:textId="18614C82" w:rsidR="00EF43AA" w:rsidRDefault="00EC653F" w:rsidP="003927A7">
      <w:r>
        <w:t>This project gave me</w:t>
      </w:r>
      <w:r w:rsidR="004B7221">
        <w:t xml:space="preserve"> the </w:t>
      </w:r>
      <w:r w:rsidR="00CA3315">
        <w:t xml:space="preserve">fantastic </w:t>
      </w:r>
      <w:r w:rsidR="004B7221">
        <w:t>opportunity to collaborate with researche</w:t>
      </w:r>
      <w:r w:rsidR="008F5F81">
        <w:t>rs</w:t>
      </w:r>
      <w:r w:rsidR="004B7221">
        <w:t xml:space="preserve"> from all scientific backgrounds and </w:t>
      </w:r>
      <w:r w:rsidR="008D0206">
        <w:t xml:space="preserve">to </w:t>
      </w:r>
      <w:r w:rsidR="004B7221">
        <w:t>be a part of an interdisciplinary group. I want to thank Prof. Jamie Hobbs and Dr. Laia Pasquina Lemonche for their invaluable help with atomic force microscopy and the physics behind my research</w:t>
      </w:r>
      <w:r w:rsidR="00E41985">
        <w:t xml:space="preserve">. I also want to extend my gratitude to </w:t>
      </w:r>
      <w:r w:rsidR="00A438EA">
        <w:t xml:space="preserve">Dr. Christa Walther for </w:t>
      </w:r>
      <w:r w:rsidR="00EB61B5">
        <w:t>her</w:t>
      </w:r>
      <w:r w:rsidR="00A438EA">
        <w:t xml:space="preserve"> help </w:t>
      </w:r>
      <w:r w:rsidR="00EB61B5">
        <w:t>and training in</w:t>
      </w:r>
      <w:r w:rsidR="00A438EA">
        <w:t xml:space="preserve"> structured-illumination microscopy</w:t>
      </w:r>
      <w:r w:rsidR="00EF43AA">
        <w:t xml:space="preserve">. </w:t>
      </w:r>
      <w:r w:rsidR="00565C4E">
        <w:t xml:space="preserve">I would also like to acknowledge </w:t>
      </w:r>
      <w:r w:rsidR="00EF43AA" w:rsidRPr="007149DA">
        <w:t xml:space="preserve">Dr. </w:t>
      </w:r>
      <w:r w:rsidR="00EF43AA" w:rsidRPr="005F6C92">
        <w:rPr>
          <w:lang w:eastAsia="en-GB"/>
        </w:rPr>
        <w:t xml:space="preserve">Danyil Grybchuk </w:t>
      </w:r>
      <w:r w:rsidR="00EF43AA" w:rsidRPr="007149DA">
        <w:t xml:space="preserve">and </w:t>
      </w:r>
      <w:r w:rsidR="00EF43AA">
        <w:t>Dr. Pavel Plevka (M</w:t>
      </w:r>
      <w:r w:rsidR="00EF43AA" w:rsidRPr="006B3AF3">
        <w:t xml:space="preserve">asaryk </w:t>
      </w:r>
      <w:r w:rsidR="00EF43AA">
        <w:t>U</w:t>
      </w:r>
      <w:r w:rsidR="00EF43AA" w:rsidRPr="006B3AF3">
        <w:t>niversity</w:t>
      </w:r>
      <w:r w:rsidR="00EF43AA">
        <w:t>)</w:t>
      </w:r>
      <w:r w:rsidR="00565C4E">
        <w:t xml:space="preserve"> </w:t>
      </w:r>
      <w:r w:rsidR="00EF43AA">
        <w:t xml:space="preserve">for your </w:t>
      </w:r>
      <w:r w:rsidR="00565C4E">
        <w:t xml:space="preserve">collaboration with </w:t>
      </w:r>
      <w:r w:rsidR="00EF43AA">
        <w:t>cryo-</w:t>
      </w:r>
      <w:r w:rsidR="00EB61B5">
        <w:t>FIB</w:t>
      </w:r>
      <w:r w:rsidR="00EF43AA">
        <w:t xml:space="preserve"> and cryo-ET. </w:t>
      </w:r>
    </w:p>
    <w:p w14:paraId="61C7B09A" w14:textId="498B26EC" w:rsidR="00EC653F" w:rsidRDefault="00EC653F" w:rsidP="003927A7">
      <w:r>
        <w:t xml:space="preserve">I spent the majority of my time at the </w:t>
      </w:r>
      <w:r w:rsidR="00F83E74">
        <w:t>Electron Microscopy</w:t>
      </w:r>
      <w:r>
        <w:t xml:space="preserve"> Facility</w:t>
      </w:r>
      <w:r w:rsidR="007877F5">
        <w:t xml:space="preserve"> at the University of Sheffield</w:t>
      </w:r>
      <w:r>
        <w:t xml:space="preserve">, and </w:t>
      </w:r>
      <w:r w:rsidR="00E41985">
        <w:t>my</w:t>
      </w:r>
      <w:r>
        <w:t xml:space="preserve"> research would not have been possible without the continued support from the EM group. I want to give a special mention to Dr. Svetomir Tzokov and Chris Hill, who taught me everything I needed </w:t>
      </w:r>
      <w:r w:rsidR="001D4ECD">
        <w:t xml:space="preserve">to know </w:t>
      </w:r>
      <w:r>
        <w:t>about electron microscopy. Chris, thank you for going along with my endless tests and method development, and</w:t>
      </w:r>
      <w:r w:rsidR="001D4ECD">
        <w:t xml:space="preserve"> for</w:t>
      </w:r>
      <w:r>
        <w:t xml:space="preserve"> encouraging me to achieve the best results possible. </w:t>
      </w:r>
      <w:r w:rsidR="0057353F">
        <w:t xml:space="preserve">Svet, thank you for going out of your way to help me </w:t>
      </w:r>
      <w:r w:rsidR="004D5C69">
        <w:t>on endless occasions</w:t>
      </w:r>
      <w:r w:rsidR="0057353F">
        <w:t xml:space="preserve">. </w:t>
      </w:r>
      <w:r>
        <w:t>It has been a pleasure working with you both.</w:t>
      </w:r>
    </w:p>
    <w:p w14:paraId="0EA00C51" w14:textId="0243A1B0" w:rsidR="00CA3315" w:rsidRDefault="00CA3315" w:rsidP="003927A7">
      <w:r>
        <w:t>To all members of the Foster Lab and the EM Group, thank you for</w:t>
      </w:r>
      <w:r w:rsidR="00603DC3">
        <w:t xml:space="preserve"> both</w:t>
      </w:r>
      <w:r>
        <w:t xml:space="preserve"> the group meetings</w:t>
      </w:r>
      <w:r w:rsidR="00603DC3">
        <w:t xml:space="preserve"> </w:t>
      </w:r>
      <w:r>
        <w:t xml:space="preserve">and </w:t>
      </w:r>
      <w:r w:rsidR="00F74D4A">
        <w:t xml:space="preserve">the </w:t>
      </w:r>
      <w:r w:rsidR="00603DC3">
        <w:t>casual</w:t>
      </w:r>
      <w:r>
        <w:t xml:space="preserve"> discussions</w:t>
      </w:r>
      <w:r w:rsidR="00603DC3">
        <w:t xml:space="preserve"> over coffee</w:t>
      </w:r>
      <w:r>
        <w:t>. A special thank you to Drs. Joshua Sutton, Laia Pasquina Lemonche, Bartlomiej Salamaga, Katarzyna Wacnik, Victoria Lund, and Mariana Tinajero-Trejo for the one-on-one teachings and for being there to answer my questions</w:t>
      </w:r>
      <w:r w:rsidR="00F74D4A">
        <w:t xml:space="preserve"> at all hours</w:t>
      </w:r>
      <w:r>
        <w:t>.</w:t>
      </w:r>
      <w:r w:rsidR="00E201FB">
        <w:t xml:space="preserve"> </w:t>
      </w:r>
      <w:r w:rsidR="00877FAC">
        <w:t>Working alongside you all has been an absolute pleasure.</w:t>
      </w:r>
    </w:p>
    <w:p w14:paraId="0BC4E724" w14:textId="272D52EF" w:rsidR="005E0767" w:rsidRPr="004B7221" w:rsidRDefault="00411BCC" w:rsidP="003927A7">
      <w:r>
        <w:t>On a personal note, I want to thank</w:t>
      </w:r>
      <w:r w:rsidR="00B71DC8">
        <w:t xml:space="preserve"> </w:t>
      </w:r>
      <w:r w:rsidR="00D22AA5">
        <w:t xml:space="preserve">the wonderful </w:t>
      </w:r>
      <w:r w:rsidR="009A014A">
        <w:t xml:space="preserve">Laia Pasquina, </w:t>
      </w:r>
      <w:r w:rsidR="00411853">
        <w:t xml:space="preserve">Danielle Soulsby, </w:t>
      </w:r>
      <w:r w:rsidR="009A014A">
        <w:t xml:space="preserve">Josh Sutton, </w:t>
      </w:r>
      <w:r w:rsidR="00B71DC8">
        <w:t>Ainhoa</w:t>
      </w:r>
      <w:r w:rsidR="007C2C5B">
        <w:t xml:space="preserve"> Dafis-Sagarmendi</w:t>
      </w:r>
      <w:r w:rsidR="00B71DC8">
        <w:t>, Alex</w:t>
      </w:r>
      <w:r>
        <w:t xml:space="preserve"> </w:t>
      </w:r>
      <w:r w:rsidR="007C2C5B">
        <w:t>Parker</w:t>
      </w:r>
      <w:r w:rsidR="002169DB">
        <w:t>, Mina Mohaghegh</w:t>
      </w:r>
      <w:r w:rsidR="009677A4">
        <w:t>, Amy Tooke</w:t>
      </w:r>
      <w:r w:rsidR="00E201FB">
        <w:t>, Mariana Tinajero</w:t>
      </w:r>
      <w:r w:rsidR="00202FAC">
        <w:t>, Alejandra L</w:t>
      </w:r>
      <w:r w:rsidR="00202FAC" w:rsidRPr="00202FAC">
        <w:t>ó</w:t>
      </w:r>
      <w:r w:rsidR="00202FAC">
        <w:t>pez</w:t>
      </w:r>
      <w:r w:rsidR="007C2C5B">
        <w:t xml:space="preserve"> and Julia D’Angelo </w:t>
      </w:r>
      <w:r w:rsidR="00B71DC8">
        <w:t>for your friendship</w:t>
      </w:r>
      <w:r>
        <w:t xml:space="preserve"> and support</w:t>
      </w:r>
      <w:r w:rsidR="007C2C5B">
        <w:t xml:space="preserve"> through</w:t>
      </w:r>
      <w:r w:rsidR="0007459C">
        <w:t>out</w:t>
      </w:r>
      <w:r w:rsidR="007C2C5B">
        <w:t xml:space="preserve"> these four years.</w:t>
      </w:r>
      <w:r w:rsidR="00D22AA5">
        <w:t xml:space="preserve"> </w:t>
      </w:r>
      <w:r w:rsidR="00A438EA">
        <w:t>To</w:t>
      </w:r>
      <w:r w:rsidR="007C2C5B">
        <w:t xml:space="preserve"> my sister Mar</w:t>
      </w:r>
      <w:r w:rsidR="009677A4">
        <w:t>í</w:t>
      </w:r>
      <w:r w:rsidR="007C2C5B">
        <w:t>a Lafage and my cousin Mar</w:t>
      </w:r>
      <w:r w:rsidR="009677A4">
        <w:t>í</w:t>
      </w:r>
      <w:r w:rsidR="007C2C5B">
        <w:t>a In</w:t>
      </w:r>
      <w:r w:rsidR="009677A4">
        <w:t>é</w:t>
      </w:r>
      <w:r w:rsidR="007C2C5B">
        <w:t>s Fern</w:t>
      </w:r>
      <w:r w:rsidR="009677A4">
        <w:t>á</w:t>
      </w:r>
      <w:r w:rsidR="007C2C5B">
        <w:t>ndez</w:t>
      </w:r>
      <w:r w:rsidR="009677A4">
        <w:t xml:space="preserve"> Peychaux</w:t>
      </w:r>
      <w:r w:rsidR="00A438EA">
        <w:t>, thank you</w:t>
      </w:r>
      <w:r w:rsidR="007C2C5B">
        <w:t xml:space="preserve"> for the countless phone calls</w:t>
      </w:r>
      <w:r w:rsidR="00EC653F">
        <w:t>, advise and encouragement</w:t>
      </w:r>
      <w:r w:rsidR="007C2C5B">
        <w:t>.</w:t>
      </w:r>
      <w:r w:rsidR="009E2702">
        <w:t xml:space="preserve"> </w:t>
      </w:r>
      <w:r w:rsidR="008D62F9">
        <w:t>To my parents</w:t>
      </w:r>
      <w:r w:rsidR="007E315A">
        <w:t>,</w:t>
      </w:r>
      <w:r w:rsidR="004B7221">
        <w:t xml:space="preserve"> I wouldn’t be here if it wasn’t </w:t>
      </w:r>
      <w:r w:rsidR="004B7221">
        <w:lastRenderedPageBreak/>
        <w:t xml:space="preserve">for </w:t>
      </w:r>
      <w:r w:rsidR="007E315A">
        <w:t>your</w:t>
      </w:r>
      <w:r w:rsidR="004B7221">
        <w:t xml:space="preserve"> unconditional</w:t>
      </w:r>
      <w:r w:rsidR="00966747">
        <w:t xml:space="preserve"> love and</w:t>
      </w:r>
      <w:r w:rsidR="004B7221">
        <w:t xml:space="preserve"> support</w:t>
      </w:r>
      <w:r w:rsidR="00A438EA">
        <w:t xml:space="preserve">. Thank you for </w:t>
      </w:r>
      <w:r w:rsidR="00EC653F">
        <w:t>all the sacrifices you have made to provide</w:t>
      </w:r>
      <w:r w:rsidR="00A438EA">
        <w:t xml:space="preserve"> opportunities </w:t>
      </w:r>
      <w:r w:rsidR="00EC653F">
        <w:t xml:space="preserve">such as this one. I am eternally grateful. To my husband, Sean, </w:t>
      </w:r>
      <w:r w:rsidR="00D7174F">
        <w:t>th</w:t>
      </w:r>
      <w:r w:rsidR="00EC653F">
        <w:t xml:space="preserve">ank you for </w:t>
      </w:r>
      <w:r w:rsidR="008D62F9">
        <w:t>caring for</w:t>
      </w:r>
      <w:r w:rsidR="00EC653F">
        <w:t xml:space="preserve"> me and being there through </w:t>
      </w:r>
      <w:r w:rsidR="007652E7">
        <w:t>the highs and lows</w:t>
      </w:r>
      <w:r w:rsidR="00EC653F">
        <w:t xml:space="preserve">. </w:t>
      </w:r>
      <w:r w:rsidR="007652E7">
        <w:t>You deserve a PhD just for that.</w:t>
      </w:r>
    </w:p>
    <w:p w14:paraId="05B7C162" w14:textId="3F4A41ED" w:rsidR="00A5705E" w:rsidRDefault="007652E7" w:rsidP="003927A7">
      <w:pPr>
        <w:rPr>
          <w:lang w:val="es-ES"/>
        </w:rPr>
      </w:pPr>
      <w:r>
        <w:t xml:space="preserve">Finally, </w:t>
      </w:r>
      <w:r w:rsidR="00A5705E">
        <w:t>I would like to dedicate this thesis to</w:t>
      </w:r>
      <w:r w:rsidR="004113D8">
        <w:t xml:space="preserve"> my grandmother</w:t>
      </w:r>
      <w:r w:rsidR="00A5705E">
        <w:t xml:space="preserve"> </w:t>
      </w:r>
      <w:r w:rsidR="0004604B">
        <w:t>Mar</w:t>
      </w:r>
      <w:r w:rsidR="00224FE3">
        <w:t>í</w:t>
      </w:r>
      <w:r w:rsidR="0004604B">
        <w:t>a</w:t>
      </w:r>
      <w:r w:rsidR="00A5705E">
        <w:t xml:space="preserve"> Angélica Cottini</w:t>
      </w:r>
      <w:r>
        <w:t xml:space="preserve">. </w:t>
      </w:r>
      <w:r w:rsidR="005E0767" w:rsidRPr="007652E7">
        <w:rPr>
          <w:lang w:val="es-ES"/>
        </w:rPr>
        <w:t>Mem</w:t>
      </w:r>
      <w:r w:rsidRPr="007652E7">
        <w:rPr>
          <w:lang w:val="es-ES"/>
        </w:rPr>
        <w:t xml:space="preserve">e, </w:t>
      </w:r>
      <w:r>
        <w:rPr>
          <w:lang w:val="es-ES"/>
        </w:rPr>
        <w:t>sos</w:t>
      </w:r>
      <w:r w:rsidRPr="007652E7">
        <w:rPr>
          <w:lang w:val="es-ES"/>
        </w:rPr>
        <w:t xml:space="preserve"> un gran ejemplo de </w:t>
      </w:r>
      <w:r>
        <w:rPr>
          <w:lang w:val="es-ES"/>
        </w:rPr>
        <w:t>fortaleza</w:t>
      </w:r>
      <w:r w:rsidRPr="007652E7">
        <w:rPr>
          <w:lang w:val="es-ES"/>
        </w:rPr>
        <w:t xml:space="preserve"> y perseverancia</w:t>
      </w:r>
      <w:r>
        <w:rPr>
          <w:lang w:val="es-ES"/>
        </w:rPr>
        <w:t xml:space="preserve"> que me impulsa a perseguir los siguientes pasos de mi vida.</w:t>
      </w:r>
    </w:p>
    <w:p w14:paraId="25976E86" w14:textId="7BA1E82A" w:rsidR="007652E7" w:rsidRPr="007652E7" w:rsidRDefault="00374240" w:rsidP="003927A7">
      <w:pPr>
        <w:rPr>
          <w:lang w:val="es-ES"/>
        </w:rPr>
      </w:pPr>
      <w:r>
        <w:rPr>
          <w:lang w:val="es-ES"/>
        </w:rPr>
        <w:t xml:space="preserve">¡Muchísimas </w:t>
      </w:r>
      <w:r w:rsidR="007652E7">
        <w:rPr>
          <w:lang w:val="es-ES"/>
        </w:rPr>
        <w:t>Gracias</w:t>
      </w:r>
      <w:r>
        <w:rPr>
          <w:lang w:val="es-ES"/>
        </w:rPr>
        <w:t>!</w:t>
      </w:r>
    </w:p>
    <w:p w14:paraId="42BDF0AE" w14:textId="77777777" w:rsidR="00182281" w:rsidRPr="007652E7" w:rsidRDefault="00182281" w:rsidP="003927A7">
      <w:pPr>
        <w:rPr>
          <w:lang w:val="es-ES"/>
        </w:rPr>
      </w:pPr>
    </w:p>
    <w:p w14:paraId="3192F7A6" w14:textId="77777777" w:rsidR="00182281" w:rsidRPr="007652E7" w:rsidRDefault="00182281" w:rsidP="003D2948">
      <w:pPr>
        <w:rPr>
          <w:lang w:val="es-ES"/>
        </w:rPr>
        <w:sectPr w:rsidR="00182281" w:rsidRPr="007652E7" w:rsidSect="004D0E05">
          <w:pgSz w:w="11906" w:h="16838"/>
          <w:pgMar w:top="1191" w:right="1247" w:bottom="1191" w:left="1247" w:header="709" w:footer="709" w:gutter="0"/>
          <w:pgNumType w:fmt="upperRoman"/>
          <w:cols w:space="708"/>
          <w:titlePg/>
          <w:docGrid w:linePitch="360"/>
        </w:sectPr>
      </w:pPr>
    </w:p>
    <w:p w14:paraId="7D1235D7" w14:textId="05CFBBD2" w:rsidR="00A17E68" w:rsidRPr="00FA48D6" w:rsidRDefault="00A17E68" w:rsidP="00FA48D6">
      <w:pPr>
        <w:pStyle w:val="ChaptertitleThesis"/>
      </w:pPr>
      <w:bookmarkStart w:id="10" w:name="_Toc64276267"/>
      <w:bookmarkStart w:id="11" w:name="_Toc64276571"/>
      <w:bookmarkStart w:id="12" w:name="_Toc64276783"/>
      <w:bookmarkStart w:id="13" w:name="_Toc90216717"/>
      <w:r w:rsidRPr="00FA48D6">
        <w:lastRenderedPageBreak/>
        <w:t>List of Abbreviations</w:t>
      </w:r>
      <w:bookmarkEnd w:id="10"/>
      <w:bookmarkEnd w:id="11"/>
      <w:bookmarkEnd w:id="12"/>
      <w:bookmarkEnd w:id="13"/>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4"/>
        <w:gridCol w:w="5874"/>
      </w:tblGrid>
      <w:tr w:rsidR="0035396D" w:rsidRPr="005B0F81" w14:paraId="639A3A38" w14:textId="77777777" w:rsidTr="00B54873">
        <w:trPr>
          <w:trHeight w:val="283"/>
          <w:jc w:val="center"/>
        </w:trPr>
        <w:tc>
          <w:tcPr>
            <w:tcW w:w="2314" w:type="dxa"/>
          </w:tcPr>
          <w:p w14:paraId="148E0F26" w14:textId="77777777" w:rsidR="0035396D" w:rsidRPr="006E790E" w:rsidRDefault="0035396D" w:rsidP="0036162B">
            <w:pPr>
              <w:pStyle w:val="Tabletextnormal"/>
            </w:pPr>
            <w:r w:rsidRPr="006E790E">
              <w:t>%</w:t>
            </w:r>
          </w:p>
        </w:tc>
        <w:tc>
          <w:tcPr>
            <w:tcW w:w="5874" w:type="dxa"/>
          </w:tcPr>
          <w:p w14:paraId="28E7E71E" w14:textId="77777777" w:rsidR="0035396D" w:rsidRPr="005B0F81" w:rsidRDefault="0035396D" w:rsidP="0036162B">
            <w:pPr>
              <w:pStyle w:val="Tabletextnormal"/>
            </w:pPr>
            <w:r w:rsidRPr="005B0F81">
              <w:t>Percentage</w:t>
            </w:r>
          </w:p>
        </w:tc>
      </w:tr>
      <w:tr w:rsidR="0035396D" w:rsidRPr="005B0F81" w14:paraId="5B076C8A" w14:textId="77777777" w:rsidTr="00B54873">
        <w:trPr>
          <w:trHeight w:val="283"/>
          <w:jc w:val="center"/>
        </w:trPr>
        <w:tc>
          <w:tcPr>
            <w:tcW w:w="2314" w:type="dxa"/>
          </w:tcPr>
          <w:p w14:paraId="2EB86BC2" w14:textId="77777777" w:rsidR="0035396D" w:rsidRPr="006E790E" w:rsidRDefault="0035396D" w:rsidP="0036162B">
            <w:pPr>
              <w:pStyle w:val="Tabletextnormal"/>
            </w:pPr>
            <w:r>
              <w:rPr>
                <w:rFonts w:ascii="Calibri" w:hAnsi="Calibri"/>
              </w:rPr>
              <w:t>°</w:t>
            </w:r>
          </w:p>
        </w:tc>
        <w:tc>
          <w:tcPr>
            <w:tcW w:w="5874" w:type="dxa"/>
          </w:tcPr>
          <w:p w14:paraId="740ABD27" w14:textId="77777777" w:rsidR="0035396D" w:rsidRPr="005B0F81" w:rsidRDefault="0035396D" w:rsidP="0036162B">
            <w:pPr>
              <w:pStyle w:val="Tabletextnormal"/>
            </w:pPr>
            <w:r>
              <w:t>Degree</w:t>
            </w:r>
          </w:p>
        </w:tc>
      </w:tr>
      <w:tr w:rsidR="0035396D" w:rsidRPr="005B0F81" w14:paraId="69194BFA" w14:textId="77777777" w:rsidTr="00B54873">
        <w:trPr>
          <w:trHeight w:val="283"/>
          <w:jc w:val="center"/>
        </w:trPr>
        <w:tc>
          <w:tcPr>
            <w:tcW w:w="2314" w:type="dxa"/>
          </w:tcPr>
          <w:p w14:paraId="46DBCF36" w14:textId="77777777" w:rsidR="0035396D" w:rsidRPr="006E790E" w:rsidRDefault="0035396D" w:rsidP="0036162B">
            <w:pPr>
              <w:pStyle w:val="Tabletextnormal"/>
            </w:pPr>
            <w:r>
              <w:rPr>
                <w:rFonts w:ascii="Calibri" w:hAnsi="Calibri"/>
              </w:rPr>
              <w:t>°C</w:t>
            </w:r>
          </w:p>
        </w:tc>
        <w:tc>
          <w:tcPr>
            <w:tcW w:w="5874" w:type="dxa"/>
          </w:tcPr>
          <w:p w14:paraId="79A925BA" w14:textId="77777777" w:rsidR="0035396D" w:rsidRPr="005B0F81" w:rsidRDefault="0035396D" w:rsidP="0036162B">
            <w:pPr>
              <w:pStyle w:val="Tabletextnormal"/>
            </w:pPr>
            <w:r>
              <w:t>Degree Celsius</w:t>
            </w:r>
          </w:p>
        </w:tc>
      </w:tr>
      <w:tr w:rsidR="0035396D" w:rsidRPr="005B0F81" w14:paraId="212ADC62" w14:textId="77777777" w:rsidTr="00B54873">
        <w:trPr>
          <w:trHeight w:val="283"/>
          <w:jc w:val="center"/>
        </w:trPr>
        <w:tc>
          <w:tcPr>
            <w:tcW w:w="2314" w:type="dxa"/>
          </w:tcPr>
          <w:p w14:paraId="0A8495F5" w14:textId="77777777" w:rsidR="0035396D" w:rsidRPr="006E790E" w:rsidRDefault="0035396D" w:rsidP="0036162B">
            <w:pPr>
              <w:pStyle w:val="Tabletextnormal"/>
            </w:pPr>
            <w:r>
              <w:t>&lt;</w:t>
            </w:r>
          </w:p>
        </w:tc>
        <w:tc>
          <w:tcPr>
            <w:tcW w:w="5874" w:type="dxa"/>
          </w:tcPr>
          <w:p w14:paraId="1B798D35" w14:textId="77777777" w:rsidR="0035396D" w:rsidRPr="005B0F81" w:rsidRDefault="0035396D" w:rsidP="0036162B">
            <w:pPr>
              <w:pStyle w:val="Tabletextnormal"/>
            </w:pPr>
            <w:r>
              <w:t>Less than</w:t>
            </w:r>
          </w:p>
        </w:tc>
      </w:tr>
      <w:tr w:rsidR="0035396D" w:rsidRPr="005B0F81" w14:paraId="4301049A" w14:textId="77777777" w:rsidTr="00B54873">
        <w:trPr>
          <w:trHeight w:val="283"/>
          <w:jc w:val="center"/>
        </w:trPr>
        <w:tc>
          <w:tcPr>
            <w:tcW w:w="2314" w:type="dxa"/>
          </w:tcPr>
          <w:p w14:paraId="045562F0" w14:textId="77777777" w:rsidR="0035396D" w:rsidRPr="006E790E" w:rsidRDefault="0035396D" w:rsidP="0036162B">
            <w:pPr>
              <w:pStyle w:val="Tabletextnormal"/>
            </w:pPr>
            <w:r>
              <w:t>&gt;</w:t>
            </w:r>
          </w:p>
        </w:tc>
        <w:tc>
          <w:tcPr>
            <w:tcW w:w="5874" w:type="dxa"/>
          </w:tcPr>
          <w:p w14:paraId="5AC141AA" w14:textId="77777777" w:rsidR="0035396D" w:rsidRPr="005B0F81" w:rsidRDefault="0035396D" w:rsidP="0036162B">
            <w:pPr>
              <w:pStyle w:val="Tabletextnormal"/>
            </w:pPr>
            <w:r>
              <w:t>More than</w:t>
            </w:r>
          </w:p>
        </w:tc>
      </w:tr>
      <w:tr w:rsidR="0035396D" w:rsidRPr="005B0F81" w14:paraId="4BDC1CBA" w14:textId="77777777" w:rsidTr="00B54873">
        <w:trPr>
          <w:trHeight w:val="283"/>
          <w:jc w:val="center"/>
        </w:trPr>
        <w:tc>
          <w:tcPr>
            <w:tcW w:w="2314" w:type="dxa"/>
          </w:tcPr>
          <w:p w14:paraId="191A6CBA" w14:textId="77777777" w:rsidR="0035396D" w:rsidRPr="006E790E" w:rsidRDefault="0035396D" w:rsidP="0036162B">
            <w:pPr>
              <w:pStyle w:val="Tabletextnormal"/>
            </w:pPr>
            <w:r w:rsidRPr="006E790E">
              <w:t>~</w:t>
            </w:r>
          </w:p>
        </w:tc>
        <w:tc>
          <w:tcPr>
            <w:tcW w:w="5874" w:type="dxa"/>
          </w:tcPr>
          <w:p w14:paraId="25C9DAD0" w14:textId="77777777" w:rsidR="0035396D" w:rsidRPr="005B0F81" w:rsidRDefault="0035396D" w:rsidP="0036162B">
            <w:pPr>
              <w:pStyle w:val="Tabletextnormal"/>
            </w:pPr>
            <w:r w:rsidRPr="005B0F81">
              <w:t>Approximately</w:t>
            </w:r>
          </w:p>
        </w:tc>
      </w:tr>
      <w:tr w:rsidR="0035396D" w:rsidRPr="005B0F81" w14:paraId="4488406D" w14:textId="77777777" w:rsidTr="00B54873">
        <w:trPr>
          <w:trHeight w:val="283"/>
          <w:jc w:val="center"/>
        </w:trPr>
        <w:tc>
          <w:tcPr>
            <w:tcW w:w="2314" w:type="dxa"/>
          </w:tcPr>
          <w:p w14:paraId="5646EA21" w14:textId="77777777" w:rsidR="0035396D" w:rsidRDefault="0035396D" w:rsidP="0036162B">
            <w:pPr>
              <w:pStyle w:val="Tabletextnormal"/>
              <w:rPr>
                <w:rFonts w:ascii="Calibri" w:hAnsi="Calibri"/>
              </w:rPr>
            </w:pPr>
            <w:r>
              <w:rPr>
                <w:rFonts w:ascii="Calibri" w:hAnsi="Calibri"/>
              </w:rPr>
              <w:t>3D</w:t>
            </w:r>
          </w:p>
        </w:tc>
        <w:tc>
          <w:tcPr>
            <w:tcW w:w="5874" w:type="dxa"/>
          </w:tcPr>
          <w:p w14:paraId="7990D6AA" w14:textId="77777777" w:rsidR="0035396D" w:rsidRDefault="0035396D" w:rsidP="0036162B">
            <w:pPr>
              <w:pStyle w:val="Tabletextnormal"/>
            </w:pPr>
            <w:r>
              <w:t>Three dimensional</w:t>
            </w:r>
          </w:p>
        </w:tc>
      </w:tr>
      <w:tr w:rsidR="0035396D" w:rsidRPr="005B0F81" w14:paraId="34FFEA52" w14:textId="77777777" w:rsidTr="00B54873">
        <w:trPr>
          <w:trHeight w:val="283"/>
          <w:jc w:val="center"/>
        </w:trPr>
        <w:tc>
          <w:tcPr>
            <w:tcW w:w="2314" w:type="dxa"/>
          </w:tcPr>
          <w:p w14:paraId="3A1C7B6D" w14:textId="77777777" w:rsidR="0035396D" w:rsidRPr="006E790E" w:rsidRDefault="0035396D" w:rsidP="0036162B">
            <w:pPr>
              <w:pStyle w:val="Tabletextnormal"/>
            </w:pPr>
            <w:r>
              <w:t>AFM</w:t>
            </w:r>
          </w:p>
        </w:tc>
        <w:tc>
          <w:tcPr>
            <w:tcW w:w="5874" w:type="dxa"/>
          </w:tcPr>
          <w:p w14:paraId="71B7D8AA" w14:textId="77777777" w:rsidR="0035396D" w:rsidRPr="005B0F81" w:rsidRDefault="0035396D" w:rsidP="0036162B">
            <w:pPr>
              <w:pStyle w:val="Tabletextnormal"/>
            </w:pPr>
            <w:r>
              <w:t>Atomic force microscopy</w:t>
            </w:r>
          </w:p>
        </w:tc>
      </w:tr>
      <w:tr w:rsidR="0035396D" w:rsidRPr="005B0F81" w14:paraId="67D59A9C" w14:textId="77777777" w:rsidTr="00B54873">
        <w:trPr>
          <w:trHeight w:val="283"/>
          <w:jc w:val="center"/>
        </w:trPr>
        <w:tc>
          <w:tcPr>
            <w:tcW w:w="2314" w:type="dxa"/>
          </w:tcPr>
          <w:p w14:paraId="58CD094E" w14:textId="77777777" w:rsidR="0035396D" w:rsidRPr="006E790E" w:rsidRDefault="0035396D" w:rsidP="0036162B">
            <w:pPr>
              <w:pStyle w:val="Tabletextnormal"/>
            </w:pPr>
            <w:r>
              <w:t>atm</w:t>
            </w:r>
          </w:p>
        </w:tc>
        <w:tc>
          <w:tcPr>
            <w:tcW w:w="5874" w:type="dxa"/>
          </w:tcPr>
          <w:p w14:paraId="4CEAD40B" w14:textId="77777777" w:rsidR="0035396D" w:rsidRPr="005B0F81" w:rsidRDefault="0035396D" w:rsidP="0036162B">
            <w:pPr>
              <w:pStyle w:val="Tabletextnormal"/>
            </w:pPr>
            <w:r>
              <w:t>Standard atmosphere</w:t>
            </w:r>
          </w:p>
        </w:tc>
      </w:tr>
      <w:tr w:rsidR="0035396D" w:rsidRPr="005B0F81" w14:paraId="48593C6C" w14:textId="77777777" w:rsidTr="00B54873">
        <w:trPr>
          <w:trHeight w:val="283"/>
          <w:jc w:val="center"/>
        </w:trPr>
        <w:tc>
          <w:tcPr>
            <w:tcW w:w="2314" w:type="dxa"/>
          </w:tcPr>
          <w:p w14:paraId="0899531A" w14:textId="77777777" w:rsidR="0035396D" w:rsidRDefault="0035396D" w:rsidP="0036162B">
            <w:pPr>
              <w:pStyle w:val="Tabletextnormal"/>
              <w:rPr>
                <w:rFonts w:ascii="Calibri" w:hAnsi="Calibri"/>
              </w:rPr>
            </w:pPr>
            <w:r>
              <w:rPr>
                <w:rFonts w:ascii="Calibri" w:hAnsi="Calibri"/>
              </w:rPr>
              <w:t>ATP</w:t>
            </w:r>
          </w:p>
        </w:tc>
        <w:tc>
          <w:tcPr>
            <w:tcW w:w="5874" w:type="dxa"/>
          </w:tcPr>
          <w:p w14:paraId="7D15CCA8" w14:textId="77777777" w:rsidR="0035396D" w:rsidRDefault="0035396D" w:rsidP="0036162B">
            <w:pPr>
              <w:pStyle w:val="Tabletextnormal"/>
            </w:pPr>
            <w:r>
              <w:t>Adenosine triphosphate</w:t>
            </w:r>
          </w:p>
        </w:tc>
      </w:tr>
      <w:tr w:rsidR="0035396D" w:rsidRPr="005B0F81" w14:paraId="799CF719" w14:textId="77777777" w:rsidTr="00B54873">
        <w:trPr>
          <w:trHeight w:val="283"/>
          <w:jc w:val="center"/>
        </w:trPr>
        <w:tc>
          <w:tcPr>
            <w:tcW w:w="2314" w:type="dxa"/>
          </w:tcPr>
          <w:p w14:paraId="226FCA96" w14:textId="77777777" w:rsidR="0035396D" w:rsidRPr="006E790E" w:rsidRDefault="0035396D" w:rsidP="0036162B">
            <w:pPr>
              <w:pStyle w:val="Tabletextnormal"/>
            </w:pPr>
            <w:r w:rsidRPr="006E790E">
              <w:t>Au</w:t>
            </w:r>
          </w:p>
        </w:tc>
        <w:tc>
          <w:tcPr>
            <w:tcW w:w="5874" w:type="dxa"/>
          </w:tcPr>
          <w:p w14:paraId="35BB9DAE" w14:textId="77777777" w:rsidR="0035396D" w:rsidRPr="005B0F81" w:rsidRDefault="0035396D" w:rsidP="0036162B">
            <w:pPr>
              <w:pStyle w:val="Tabletextnormal"/>
            </w:pPr>
            <w:r>
              <w:t>Gold</w:t>
            </w:r>
          </w:p>
        </w:tc>
      </w:tr>
      <w:tr w:rsidR="0035396D" w:rsidRPr="005B0F81" w14:paraId="6D5B94B1" w14:textId="77777777" w:rsidTr="00B54873">
        <w:trPr>
          <w:trHeight w:val="283"/>
          <w:jc w:val="center"/>
        </w:trPr>
        <w:tc>
          <w:tcPr>
            <w:tcW w:w="2314" w:type="dxa"/>
          </w:tcPr>
          <w:p w14:paraId="15C06096" w14:textId="77777777" w:rsidR="0035396D" w:rsidRPr="006E790E" w:rsidRDefault="0035396D" w:rsidP="0036162B">
            <w:pPr>
              <w:pStyle w:val="Tabletextnormal"/>
            </w:pPr>
            <w:r w:rsidRPr="006E790E">
              <w:t>BDMA</w:t>
            </w:r>
          </w:p>
        </w:tc>
        <w:tc>
          <w:tcPr>
            <w:tcW w:w="5874" w:type="dxa"/>
          </w:tcPr>
          <w:p w14:paraId="1046208E" w14:textId="77777777" w:rsidR="0035396D" w:rsidRPr="005B0F81" w:rsidRDefault="0035396D" w:rsidP="0036162B">
            <w:pPr>
              <w:pStyle w:val="Tabletextnormal"/>
            </w:pPr>
            <w:r w:rsidRPr="005B0F81">
              <w:t>Benzyl dimethylamine</w:t>
            </w:r>
          </w:p>
        </w:tc>
      </w:tr>
      <w:tr w:rsidR="0035396D" w:rsidRPr="005B0F81" w14:paraId="7FF8019F" w14:textId="77777777" w:rsidTr="00B54873">
        <w:trPr>
          <w:trHeight w:val="283"/>
          <w:jc w:val="center"/>
        </w:trPr>
        <w:tc>
          <w:tcPr>
            <w:tcW w:w="2314" w:type="dxa"/>
          </w:tcPr>
          <w:p w14:paraId="6D643179" w14:textId="77777777" w:rsidR="0035396D" w:rsidRDefault="0035396D" w:rsidP="0036162B">
            <w:pPr>
              <w:pStyle w:val="Tabletextnormal"/>
              <w:rPr>
                <w:rFonts w:ascii="Calibri" w:hAnsi="Calibri"/>
              </w:rPr>
            </w:pPr>
            <w:r>
              <w:rPr>
                <w:rFonts w:ascii="Calibri" w:hAnsi="Calibri"/>
              </w:rPr>
              <w:t>bp</w:t>
            </w:r>
          </w:p>
        </w:tc>
        <w:tc>
          <w:tcPr>
            <w:tcW w:w="5874" w:type="dxa"/>
          </w:tcPr>
          <w:p w14:paraId="37CAF3CE" w14:textId="77777777" w:rsidR="0035396D" w:rsidRDefault="0035396D" w:rsidP="0036162B">
            <w:pPr>
              <w:pStyle w:val="Tabletextnormal"/>
            </w:pPr>
            <w:r>
              <w:t>Base pair</w:t>
            </w:r>
          </w:p>
        </w:tc>
      </w:tr>
      <w:tr w:rsidR="0035396D" w:rsidRPr="005B0F81" w14:paraId="431B8740" w14:textId="77777777" w:rsidTr="00B54873">
        <w:trPr>
          <w:trHeight w:val="283"/>
          <w:jc w:val="center"/>
        </w:trPr>
        <w:tc>
          <w:tcPr>
            <w:tcW w:w="2314" w:type="dxa"/>
          </w:tcPr>
          <w:p w14:paraId="68631E28" w14:textId="77777777" w:rsidR="0035396D" w:rsidRDefault="0035396D" w:rsidP="0036162B">
            <w:pPr>
              <w:pStyle w:val="Tabletextnormal"/>
              <w:rPr>
                <w:rFonts w:ascii="Calibri" w:hAnsi="Calibri"/>
              </w:rPr>
            </w:pPr>
            <w:r>
              <w:rPr>
                <w:rFonts w:ascii="Calibri" w:hAnsi="Calibri"/>
              </w:rPr>
              <w:t>BSA</w:t>
            </w:r>
          </w:p>
        </w:tc>
        <w:tc>
          <w:tcPr>
            <w:tcW w:w="5874" w:type="dxa"/>
          </w:tcPr>
          <w:p w14:paraId="3D88C5DD" w14:textId="77777777" w:rsidR="0035396D" w:rsidRDefault="0035396D" w:rsidP="0036162B">
            <w:pPr>
              <w:pStyle w:val="Tabletextnormal"/>
            </w:pPr>
            <w:r>
              <w:t>Bovine serum albumin</w:t>
            </w:r>
          </w:p>
        </w:tc>
      </w:tr>
      <w:tr w:rsidR="0035396D" w:rsidRPr="005B0F81" w14:paraId="5BC41428" w14:textId="77777777" w:rsidTr="00B54873">
        <w:trPr>
          <w:trHeight w:val="283"/>
          <w:jc w:val="center"/>
        </w:trPr>
        <w:tc>
          <w:tcPr>
            <w:tcW w:w="2314" w:type="dxa"/>
          </w:tcPr>
          <w:p w14:paraId="12208588" w14:textId="77777777" w:rsidR="0035396D" w:rsidRPr="006E790E" w:rsidRDefault="0035396D" w:rsidP="0036162B">
            <w:pPr>
              <w:pStyle w:val="Tabletextnormal"/>
            </w:pPr>
            <w:r w:rsidRPr="006E790E">
              <w:t>CEMOVIS</w:t>
            </w:r>
          </w:p>
        </w:tc>
        <w:tc>
          <w:tcPr>
            <w:tcW w:w="5874" w:type="dxa"/>
          </w:tcPr>
          <w:p w14:paraId="04AF7FBC" w14:textId="77777777" w:rsidR="0035396D" w:rsidRDefault="0035396D" w:rsidP="0036162B">
            <w:pPr>
              <w:pStyle w:val="Tabletextnormal"/>
            </w:pPr>
            <w:r>
              <w:t>Cryo-electron microscopy of vitreous sections</w:t>
            </w:r>
          </w:p>
        </w:tc>
      </w:tr>
      <w:tr w:rsidR="0035396D" w:rsidRPr="005B0F81" w14:paraId="5186A882" w14:textId="77777777" w:rsidTr="00B54873">
        <w:trPr>
          <w:trHeight w:val="283"/>
          <w:jc w:val="center"/>
        </w:trPr>
        <w:tc>
          <w:tcPr>
            <w:tcW w:w="2314" w:type="dxa"/>
          </w:tcPr>
          <w:p w14:paraId="0C46199A" w14:textId="77777777" w:rsidR="0035396D" w:rsidRPr="006E790E" w:rsidRDefault="0035396D" w:rsidP="0036162B">
            <w:pPr>
              <w:pStyle w:val="Tabletextnormal"/>
            </w:pPr>
            <w:r w:rsidRPr="006E790E">
              <w:t>CFU</w:t>
            </w:r>
          </w:p>
        </w:tc>
        <w:tc>
          <w:tcPr>
            <w:tcW w:w="5874" w:type="dxa"/>
          </w:tcPr>
          <w:p w14:paraId="7850DEF7" w14:textId="77777777" w:rsidR="0035396D" w:rsidRPr="005B0F81" w:rsidRDefault="0035396D" w:rsidP="0036162B">
            <w:pPr>
              <w:pStyle w:val="Tabletextnormal"/>
            </w:pPr>
            <w:r w:rsidRPr="005B0F81">
              <w:t>Colony forming unit</w:t>
            </w:r>
          </w:p>
        </w:tc>
      </w:tr>
      <w:tr w:rsidR="0035396D" w:rsidRPr="005B0F81" w14:paraId="27E4516B" w14:textId="77777777" w:rsidTr="00B54873">
        <w:trPr>
          <w:trHeight w:val="283"/>
          <w:jc w:val="center"/>
        </w:trPr>
        <w:tc>
          <w:tcPr>
            <w:tcW w:w="2314" w:type="dxa"/>
          </w:tcPr>
          <w:p w14:paraId="35FB69F4" w14:textId="77777777" w:rsidR="0035396D" w:rsidRPr="006E790E" w:rsidRDefault="0035396D" w:rsidP="0036162B">
            <w:pPr>
              <w:pStyle w:val="Tabletextnormal"/>
            </w:pPr>
            <w:r>
              <w:t>cm</w:t>
            </w:r>
          </w:p>
        </w:tc>
        <w:tc>
          <w:tcPr>
            <w:tcW w:w="5874" w:type="dxa"/>
          </w:tcPr>
          <w:p w14:paraId="091C909B" w14:textId="77777777" w:rsidR="0035396D" w:rsidRPr="005B0F81" w:rsidRDefault="0035396D" w:rsidP="0036162B">
            <w:pPr>
              <w:pStyle w:val="Tabletextnormal"/>
            </w:pPr>
            <w:r>
              <w:t>Centimetres</w:t>
            </w:r>
          </w:p>
        </w:tc>
      </w:tr>
      <w:tr w:rsidR="0035396D" w:rsidRPr="005B0F81" w14:paraId="26AC8DBA" w14:textId="77777777" w:rsidTr="00B54873">
        <w:trPr>
          <w:trHeight w:val="283"/>
          <w:jc w:val="center"/>
        </w:trPr>
        <w:tc>
          <w:tcPr>
            <w:tcW w:w="2314" w:type="dxa"/>
          </w:tcPr>
          <w:p w14:paraId="7D1437CE" w14:textId="77777777" w:rsidR="0035396D" w:rsidRPr="006E790E" w:rsidRDefault="0035396D" w:rsidP="0036162B">
            <w:pPr>
              <w:pStyle w:val="Tabletextnormal"/>
            </w:pPr>
            <w:r>
              <w:t>Cm</w:t>
            </w:r>
          </w:p>
        </w:tc>
        <w:tc>
          <w:tcPr>
            <w:tcW w:w="5874" w:type="dxa"/>
          </w:tcPr>
          <w:p w14:paraId="0BADD40C" w14:textId="77777777" w:rsidR="0035396D" w:rsidRPr="005B0F81" w:rsidRDefault="0035396D" w:rsidP="0036162B">
            <w:pPr>
              <w:pStyle w:val="Tabletextnormal"/>
            </w:pPr>
            <w:r>
              <w:t>Chloramphenicol</w:t>
            </w:r>
          </w:p>
        </w:tc>
      </w:tr>
      <w:tr w:rsidR="0035396D" w:rsidRPr="005B0F81" w14:paraId="4346598C" w14:textId="77777777" w:rsidTr="00B54873">
        <w:trPr>
          <w:trHeight w:val="283"/>
          <w:jc w:val="center"/>
        </w:trPr>
        <w:tc>
          <w:tcPr>
            <w:tcW w:w="2314" w:type="dxa"/>
          </w:tcPr>
          <w:p w14:paraId="44C5E958" w14:textId="77777777" w:rsidR="0035396D" w:rsidRPr="006E790E" w:rsidRDefault="0035396D" w:rsidP="0036162B">
            <w:pPr>
              <w:pStyle w:val="Tabletextnormal"/>
            </w:pPr>
            <w:r w:rsidRPr="006E790E">
              <w:t>cryo-EM</w:t>
            </w:r>
          </w:p>
        </w:tc>
        <w:tc>
          <w:tcPr>
            <w:tcW w:w="5874" w:type="dxa"/>
          </w:tcPr>
          <w:p w14:paraId="7795A776" w14:textId="77777777" w:rsidR="0035396D" w:rsidRPr="005B0F81" w:rsidRDefault="0035396D" w:rsidP="0036162B">
            <w:pPr>
              <w:pStyle w:val="Tabletextnormal"/>
            </w:pPr>
            <w:r w:rsidRPr="005B0F81">
              <w:t>Cryo electron microscop</w:t>
            </w:r>
            <w:r>
              <w:t>y</w:t>
            </w:r>
          </w:p>
        </w:tc>
      </w:tr>
      <w:tr w:rsidR="0035396D" w:rsidRPr="005B0F81" w14:paraId="1AAADCAF" w14:textId="77777777" w:rsidTr="00B54873">
        <w:trPr>
          <w:trHeight w:val="283"/>
          <w:jc w:val="center"/>
        </w:trPr>
        <w:tc>
          <w:tcPr>
            <w:tcW w:w="2314" w:type="dxa"/>
          </w:tcPr>
          <w:p w14:paraId="7CE6171D" w14:textId="77777777" w:rsidR="0035396D" w:rsidRPr="006E790E" w:rsidRDefault="0035396D" w:rsidP="0036162B">
            <w:pPr>
              <w:pStyle w:val="Tabletextnormal"/>
            </w:pPr>
            <w:r w:rsidRPr="006E790E">
              <w:t>cryo-ET</w:t>
            </w:r>
          </w:p>
        </w:tc>
        <w:tc>
          <w:tcPr>
            <w:tcW w:w="5874" w:type="dxa"/>
          </w:tcPr>
          <w:p w14:paraId="2211A9C6" w14:textId="77777777" w:rsidR="0035396D" w:rsidRPr="005B0F81" w:rsidRDefault="0035396D" w:rsidP="0036162B">
            <w:pPr>
              <w:pStyle w:val="Tabletextnormal"/>
            </w:pPr>
            <w:r w:rsidRPr="005B0F81">
              <w:t>Cryo electron tomogra</w:t>
            </w:r>
            <w:r>
              <w:t>phy</w:t>
            </w:r>
          </w:p>
        </w:tc>
      </w:tr>
      <w:tr w:rsidR="0035396D" w:rsidRPr="005B0F81" w14:paraId="3341D354" w14:textId="77777777" w:rsidTr="00B54873">
        <w:trPr>
          <w:trHeight w:val="283"/>
          <w:jc w:val="center"/>
        </w:trPr>
        <w:tc>
          <w:tcPr>
            <w:tcW w:w="2314" w:type="dxa"/>
          </w:tcPr>
          <w:p w14:paraId="27E0F18E" w14:textId="77777777" w:rsidR="0035396D" w:rsidRPr="006E790E" w:rsidRDefault="0035396D" w:rsidP="0036162B">
            <w:pPr>
              <w:pStyle w:val="Tabletextnormal"/>
            </w:pPr>
            <w:r>
              <w:t>cryo-FIB</w:t>
            </w:r>
          </w:p>
        </w:tc>
        <w:tc>
          <w:tcPr>
            <w:tcW w:w="5874" w:type="dxa"/>
          </w:tcPr>
          <w:p w14:paraId="7B9F8F1A" w14:textId="77777777" w:rsidR="0035396D" w:rsidRPr="005B0F81" w:rsidRDefault="0035396D" w:rsidP="0036162B">
            <w:pPr>
              <w:pStyle w:val="Tabletextnormal"/>
            </w:pPr>
            <w:r>
              <w:t>FIB-milling at cryogenic temperatures</w:t>
            </w:r>
          </w:p>
        </w:tc>
      </w:tr>
      <w:tr w:rsidR="0035396D" w:rsidRPr="005B0F81" w14:paraId="365FE899" w14:textId="77777777" w:rsidTr="00B54873">
        <w:trPr>
          <w:trHeight w:val="283"/>
          <w:jc w:val="center"/>
        </w:trPr>
        <w:tc>
          <w:tcPr>
            <w:tcW w:w="2314" w:type="dxa"/>
          </w:tcPr>
          <w:p w14:paraId="7F551328" w14:textId="77777777" w:rsidR="0035396D" w:rsidRPr="006E790E" w:rsidRDefault="0035396D" w:rsidP="0036162B">
            <w:pPr>
              <w:pStyle w:val="Tabletextnormal"/>
            </w:pPr>
            <w:r>
              <w:t>cryo-TEM</w:t>
            </w:r>
          </w:p>
        </w:tc>
        <w:tc>
          <w:tcPr>
            <w:tcW w:w="5874" w:type="dxa"/>
          </w:tcPr>
          <w:p w14:paraId="7DCCD6F8" w14:textId="77777777" w:rsidR="0035396D" w:rsidRPr="005B0F81" w:rsidRDefault="0035396D" w:rsidP="0036162B">
            <w:pPr>
              <w:pStyle w:val="Tabletextnormal"/>
            </w:pPr>
            <w:r>
              <w:t>Cryo transmission electron microscopy</w:t>
            </w:r>
          </w:p>
        </w:tc>
      </w:tr>
      <w:tr w:rsidR="0035396D" w:rsidRPr="005B0F81" w14:paraId="55A3CFC9" w14:textId="77777777" w:rsidTr="00B54873">
        <w:trPr>
          <w:trHeight w:val="283"/>
          <w:jc w:val="center"/>
        </w:trPr>
        <w:tc>
          <w:tcPr>
            <w:tcW w:w="2314" w:type="dxa"/>
          </w:tcPr>
          <w:p w14:paraId="186AFCD7" w14:textId="77777777" w:rsidR="0035396D" w:rsidRPr="006E790E" w:rsidRDefault="0035396D" w:rsidP="0036162B">
            <w:pPr>
              <w:pStyle w:val="Tabletextnormal"/>
            </w:pPr>
            <w:r>
              <w:t>Cu</w:t>
            </w:r>
          </w:p>
        </w:tc>
        <w:tc>
          <w:tcPr>
            <w:tcW w:w="5874" w:type="dxa"/>
          </w:tcPr>
          <w:p w14:paraId="5B7293FA" w14:textId="77777777" w:rsidR="0035396D" w:rsidRPr="005B0F81" w:rsidRDefault="0035396D" w:rsidP="0036162B">
            <w:pPr>
              <w:pStyle w:val="Tabletextnormal"/>
            </w:pPr>
            <w:r>
              <w:t>Copper</w:t>
            </w:r>
          </w:p>
        </w:tc>
      </w:tr>
      <w:tr w:rsidR="0035396D" w:rsidRPr="005B0F81" w14:paraId="5C23BB31" w14:textId="77777777" w:rsidTr="00B54873">
        <w:trPr>
          <w:trHeight w:val="283"/>
          <w:jc w:val="center"/>
        </w:trPr>
        <w:tc>
          <w:tcPr>
            <w:tcW w:w="2314" w:type="dxa"/>
          </w:tcPr>
          <w:p w14:paraId="0867366D" w14:textId="77777777" w:rsidR="0035396D" w:rsidRPr="006E790E" w:rsidRDefault="0035396D" w:rsidP="0036162B">
            <w:pPr>
              <w:pStyle w:val="Tabletextnormal"/>
            </w:pPr>
            <w:r w:rsidRPr="006E790E">
              <w:t>CW</w:t>
            </w:r>
          </w:p>
        </w:tc>
        <w:tc>
          <w:tcPr>
            <w:tcW w:w="5874" w:type="dxa"/>
          </w:tcPr>
          <w:p w14:paraId="7A9FB65B" w14:textId="77777777" w:rsidR="0035396D" w:rsidRPr="005B0F81" w:rsidRDefault="0035396D" w:rsidP="0036162B">
            <w:pPr>
              <w:pStyle w:val="Tabletextnormal"/>
            </w:pPr>
            <w:r w:rsidRPr="005B0F81">
              <w:t>Cell wall</w:t>
            </w:r>
          </w:p>
        </w:tc>
      </w:tr>
      <w:tr w:rsidR="0035396D" w:rsidRPr="005B0F81" w14:paraId="517CCD44" w14:textId="77777777" w:rsidTr="00B54873">
        <w:trPr>
          <w:trHeight w:val="283"/>
          <w:jc w:val="center"/>
        </w:trPr>
        <w:tc>
          <w:tcPr>
            <w:tcW w:w="2314" w:type="dxa"/>
          </w:tcPr>
          <w:p w14:paraId="61D123A3" w14:textId="77777777" w:rsidR="0035396D" w:rsidRPr="006E790E" w:rsidRDefault="0035396D" w:rsidP="0036162B">
            <w:pPr>
              <w:pStyle w:val="Tabletextnormal"/>
            </w:pPr>
            <w:r w:rsidRPr="006E790E">
              <w:t>D-Ala</w:t>
            </w:r>
          </w:p>
        </w:tc>
        <w:tc>
          <w:tcPr>
            <w:tcW w:w="5874" w:type="dxa"/>
          </w:tcPr>
          <w:p w14:paraId="2F510014" w14:textId="77777777" w:rsidR="0035396D" w:rsidRPr="005B0F81" w:rsidRDefault="0035396D" w:rsidP="0036162B">
            <w:pPr>
              <w:pStyle w:val="Tabletextnormal"/>
            </w:pPr>
            <w:r w:rsidRPr="005B0F81">
              <w:t>D-alanine</w:t>
            </w:r>
          </w:p>
        </w:tc>
      </w:tr>
      <w:tr w:rsidR="0035396D" w:rsidRPr="005B0F81" w14:paraId="23621118" w14:textId="77777777" w:rsidTr="00B54873">
        <w:trPr>
          <w:trHeight w:val="283"/>
          <w:jc w:val="center"/>
        </w:trPr>
        <w:tc>
          <w:tcPr>
            <w:tcW w:w="2314" w:type="dxa"/>
          </w:tcPr>
          <w:p w14:paraId="3BDB86EA" w14:textId="77777777" w:rsidR="0035396D" w:rsidRPr="00A95638" w:rsidRDefault="0035396D" w:rsidP="0036162B">
            <w:pPr>
              <w:pStyle w:val="Tabletextnormal"/>
            </w:pPr>
            <w:r>
              <w:t>D-iGln</w:t>
            </w:r>
          </w:p>
        </w:tc>
        <w:tc>
          <w:tcPr>
            <w:tcW w:w="5874" w:type="dxa"/>
          </w:tcPr>
          <w:p w14:paraId="6FD39758" w14:textId="77777777" w:rsidR="0035396D" w:rsidRPr="00A95638" w:rsidRDefault="0035396D" w:rsidP="0036162B">
            <w:pPr>
              <w:pStyle w:val="Tabletextnormal"/>
            </w:pPr>
            <w:r>
              <w:t>D-</w:t>
            </w:r>
            <w:r>
              <w:rPr>
                <w:i/>
                <w:iCs/>
              </w:rPr>
              <w:t>iso</w:t>
            </w:r>
            <w:r>
              <w:t>glutamine</w:t>
            </w:r>
          </w:p>
        </w:tc>
      </w:tr>
      <w:tr w:rsidR="0035396D" w:rsidRPr="005B0F81" w14:paraId="462F6742" w14:textId="77777777" w:rsidTr="00B54873">
        <w:trPr>
          <w:trHeight w:val="283"/>
          <w:jc w:val="center"/>
        </w:trPr>
        <w:tc>
          <w:tcPr>
            <w:tcW w:w="2314" w:type="dxa"/>
          </w:tcPr>
          <w:p w14:paraId="04367E98" w14:textId="77777777" w:rsidR="0035396D" w:rsidRPr="006E790E" w:rsidRDefault="0035396D" w:rsidP="0036162B">
            <w:pPr>
              <w:pStyle w:val="Tabletextnormal"/>
            </w:pPr>
            <w:r w:rsidRPr="006E790E">
              <w:t>DAG</w:t>
            </w:r>
          </w:p>
        </w:tc>
        <w:tc>
          <w:tcPr>
            <w:tcW w:w="5874" w:type="dxa"/>
          </w:tcPr>
          <w:p w14:paraId="39A33B86" w14:textId="77777777" w:rsidR="0035396D" w:rsidRDefault="0035396D" w:rsidP="0036162B">
            <w:pPr>
              <w:pStyle w:val="Tabletextnormal"/>
            </w:pPr>
            <w:r>
              <w:t>Diacylglycerol</w:t>
            </w:r>
          </w:p>
        </w:tc>
      </w:tr>
      <w:tr w:rsidR="0035396D" w:rsidRPr="005B0F81" w14:paraId="3389B18F" w14:textId="77777777" w:rsidTr="00B54873">
        <w:trPr>
          <w:trHeight w:val="283"/>
          <w:jc w:val="center"/>
        </w:trPr>
        <w:tc>
          <w:tcPr>
            <w:tcW w:w="2314" w:type="dxa"/>
          </w:tcPr>
          <w:p w14:paraId="2399382E" w14:textId="77777777" w:rsidR="0035396D" w:rsidRPr="006E790E" w:rsidRDefault="0035396D" w:rsidP="0036162B">
            <w:pPr>
              <w:pStyle w:val="Tabletextnormal"/>
            </w:pPr>
            <w:r w:rsidRPr="006E790E">
              <w:t>DDSA</w:t>
            </w:r>
          </w:p>
        </w:tc>
        <w:tc>
          <w:tcPr>
            <w:tcW w:w="5874" w:type="dxa"/>
          </w:tcPr>
          <w:p w14:paraId="480CF116" w14:textId="77777777" w:rsidR="0035396D" w:rsidRPr="005B0F81" w:rsidRDefault="0035396D" w:rsidP="0036162B">
            <w:pPr>
              <w:pStyle w:val="Tabletextnormal"/>
            </w:pPr>
            <w:r w:rsidRPr="005B0F81">
              <w:t>Dodecenylsuccinic anhydride</w:t>
            </w:r>
          </w:p>
        </w:tc>
      </w:tr>
      <w:tr w:rsidR="0035396D" w:rsidRPr="005B0F81" w14:paraId="1511CE51" w14:textId="77777777" w:rsidTr="00B54873">
        <w:trPr>
          <w:trHeight w:val="283"/>
          <w:jc w:val="center"/>
        </w:trPr>
        <w:tc>
          <w:tcPr>
            <w:tcW w:w="2314" w:type="dxa"/>
          </w:tcPr>
          <w:p w14:paraId="446D8940" w14:textId="77777777" w:rsidR="0035396D" w:rsidRPr="006E790E" w:rsidRDefault="0035396D" w:rsidP="0036162B">
            <w:pPr>
              <w:pStyle w:val="Tabletextnormal"/>
            </w:pPr>
            <w:r w:rsidRPr="006E790E">
              <w:t>DER</w:t>
            </w:r>
          </w:p>
        </w:tc>
        <w:tc>
          <w:tcPr>
            <w:tcW w:w="5874" w:type="dxa"/>
          </w:tcPr>
          <w:p w14:paraId="39372EF9" w14:textId="77777777" w:rsidR="0035396D" w:rsidRPr="005B0F81" w:rsidRDefault="0035396D" w:rsidP="0036162B">
            <w:pPr>
              <w:pStyle w:val="Tabletextnormal"/>
            </w:pPr>
            <w:r w:rsidRPr="005B0F81">
              <w:t>Diglycidyl ether of polypropylene glycol</w:t>
            </w:r>
          </w:p>
        </w:tc>
      </w:tr>
      <w:tr w:rsidR="0035396D" w:rsidRPr="005B0F81" w14:paraId="0DDACC6D" w14:textId="77777777" w:rsidTr="00B54873">
        <w:trPr>
          <w:trHeight w:val="283"/>
          <w:jc w:val="center"/>
        </w:trPr>
        <w:tc>
          <w:tcPr>
            <w:tcW w:w="2314" w:type="dxa"/>
          </w:tcPr>
          <w:p w14:paraId="6724B451" w14:textId="77777777" w:rsidR="0035396D" w:rsidRPr="006E790E" w:rsidRDefault="0035396D" w:rsidP="0036162B">
            <w:pPr>
              <w:pStyle w:val="Tabletextnormal"/>
            </w:pPr>
            <w:r w:rsidRPr="006E790E">
              <w:t>dH</w:t>
            </w:r>
            <w:r w:rsidRPr="006E790E">
              <w:rPr>
                <w:vertAlign w:val="subscript"/>
              </w:rPr>
              <w:t>2</w:t>
            </w:r>
            <w:r w:rsidRPr="006E790E">
              <w:t>O</w:t>
            </w:r>
          </w:p>
        </w:tc>
        <w:tc>
          <w:tcPr>
            <w:tcW w:w="5874" w:type="dxa"/>
          </w:tcPr>
          <w:p w14:paraId="06267ECA" w14:textId="77777777" w:rsidR="0035396D" w:rsidRPr="005B0F81" w:rsidRDefault="0035396D" w:rsidP="0036162B">
            <w:pPr>
              <w:pStyle w:val="Tabletextnormal"/>
            </w:pPr>
            <w:r w:rsidRPr="005B0F81">
              <w:t>Distilled water</w:t>
            </w:r>
          </w:p>
        </w:tc>
      </w:tr>
      <w:tr w:rsidR="0035396D" w:rsidRPr="005B0F81" w14:paraId="74D78A98" w14:textId="77777777" w:rsidTr="00B54873">
        <w:trPr>
          <w:trHeight w:val="283"/>
          <w:jc w:val="center"/>
        </w:trPr>
        <w:tc>
          <w:tcPr>
            <w:tcW w:w="2314" w:type="dxa"/>
          </w:tcPr>
          <w:p w14:paraId="1DE11830" w14:textId="77777777" w:rsidR="0035396D" w:rsidRPr="006E790E" w:rsidRDefault="0035396D" w:rsidP="0036162B">
            <w:pPr>
              <w:pStyle w:val="Tabletextnormal"/>
            </w:pPr>
            <w:r w:rsidRPr="006E790E">
              <w:t>DMAE</w:t>
            </w:r>
          </w:p>
        </w:tc>
        <w:tc>
          <w:tcPr>
            <w:tcW w:w="5874" w:type="dxa"/>
          </w:tcPr>
          <w:p w14:paraId="5F69B1D1" w14:textId="77777777" w:rsidR="0035396D" w:rsidRPr="005B0F81" w:rsidRDefault="0035396D" w:rsidP="0036162B">
            <w:pPr>
              <w:pStyle w:val="Tabletextnormal"/>
            </w:pPr>
            <w:r w:rsidRPr="005B0F81">
              <w:t>Dimethylaminoethanol</w:t>
            </w:r>
          </w:p>
        </w:tc>
      </w:tr>
      <w:tr w:rsidR="0035396D" w:rsidRPr="005B0F81" w14:paraId="3F3A47B0" w14:textId="77777777" w:rsidTr="00B54873">
        <w:trPr>
          <w:trHeight w:val="283"/>
          <w:jc w:val="center"/>
        </w:trPr>
        <w:tc>
          <w:tcPr>
            <w:tcW w:w="2314" w:type="dxa"/>
          </w:tcPr>
          <w:p w14:paraId="0BECEA19" w14:textId="77777777" w:rsidR="0035396D" w:rsidRPr="006E790E" w:rsidRDefault="0035396D" w:rsidP="0036162B">
            <w:pPr>
              <w:pStyle w:val="Tabletextnormal"/>
            </w:pPr>
            <w:r w:rsidRPr="006E790E">
              <w:t>DMSO</w:t>
            </w:r>
          </w:p>
        </w:tc>
        <w:tc>
          <w:tcPr>
            <w:tcW w:w="5874" w:type="dxa"/>
          </w:tcPr>
          <w:p w14:paraId="1ADD84BF" w14:textId="77777777" w:rsidR="0035396D" w:rsidRDefault="0035396D" w:rsidP="0036162B">
            <w:pPr>
              <w:pStyle w:val="Tabletextnormal"/>
            </w:pPr>
            <w:r>
              <w:t>Dimethyl sulfoxide</w:t>
            </w:r>
          </w:p>
        </w:tc>
      </w:tr>
      <w:tr w:rsidR="0035396D" w:rsidRPr="005B0F81" w14:paraId="021BB827" w14:textId="77777777" w:rsidTr="00B54873">
        <w:trPr>
          <w:trHeight w:val="283"/>
          <w:jc w:val="center"/>
        </w:trPr>
        <w:tc>
          <w:tcPr>
            <w:tcW w:w="2314" w:type="dxa"/>
          </w:tcPr>
          <w:p w14:paraId="39DCFC89" w14:textId="77777777" w:rsidR="0035396D" w:rsidRDefault="0035396D" w:rsidP="0036162B">
            <w:pPr>
              <w:pStyle w:val="Tabletextnormal"/>
              <w:rPr>
                <w:rFonts w:ascii="Calibri" w:hAnsi="Calibri"/>
              </w:rPr>
            </w:pPr>
            <w:r>
              <w:rPr>
                <w:rFonts w:ascii="Calibri" w:hAnsi="Calibri"/>
              </w:rPr>
              <w:t>DNA</w:t>
            </w:r>
          </w:p>
        </w:tc>
        <w:tc>
          <w:tcPr>
            <w:tcW w:w="5874" w:type="dxa"/>
          </w:tcPr>
          <w:p w14:paraId="6DD0E630" w14:textId="77777777" w:rsidR="0035396D" w:rsidRDefault="0035396D" w:rsidP="0036162B">
            <w:pPr>
              <w:pStyle w:val="Tabletextnormal"/>
            </w:pPr>
            <w:r>
              <w:t>Deoxyribonucleic acid</w:t>
            </w:r>
          </w:p>
        </w:tc>
      </w:tr>
      <w:tr w:rsidR="0035396D" w:rsidRPr="005B0F81" w14:paraId="5713467E" w14:textId="77777777" w:rsidTr="00B54873">
        <w:trPr>
          <w:trHeight w:val="283"/>
          <w:jc w:val="center"/>
        </w:trPr>
        <w:tc>
          <w:tcPr>
            <w:tcW w:w="2314" w:type="dxa"/>
          </w:tcPr>
          <w:p w14:paraId="7C745541" w14:textId="77777777" w:rsidR="0035396D" w:rsidRPr="006E790E" w:rsidRDefault="0035396D" w:rsidP="0036162B">
            <w:pPr>
              <w:pStyle w:val="Tabletextnormal"/>
            </w:pPr>
            <w:r w:rsidRPr="006E790E">
              <w:lastRenderedPageBreak/>
              <w:t>EDTA</w:t>
            </w:r>
          </w:p>
        </w:tc>
        <w:tc>
          <w:tcPr>
            <w:tcW w:w="5874" w:type="dxa"/>
          </w:tcPr>
          <w:p w14:paraId="15F79B73" w14:textId="77777777" w:rsidR="0035396D" w:rsidRPr="005B0F81" w:rsidRDefault="0035396D" w:rsidP="0036162B">
            <w:pPr>
              <w:pStyle w:val="Tabletextnormal"/>
            </w:pPr>
            <w:r w:rsidRPr="005B0F81">
              <w:t>Ethylenediamine tetra-acetic acid</w:t>
            </w:r>
          </w:p>
        </w:tc>
      </w:tr>
      <w:tr w:rsidR="0035396D" w:rsidRPr="005B0F81" w14:paraId="588DB12C" w14:textId="77777777" w:rsidTr="00B54873">
        <w:trPr>
          <w:trHeight w:val="283"/>
          <w:jc w:val="center"/>
        </w:trPr>
        <w:tc>
          <w:tcPr>
            <w:tcW w:w="2314" w:type="dxa"/>
          </w:tcPr>
          <w:p w14:paraId="19844710" w14:textId="77777777" w:rsidR="0035396D" w:rsidRPr="006E790E" w:rsidRDefault="0035396D" w:rsidP="0036162B">
            <w:pPr>
              <w:pStyle w:val="Tabletextnormal"/>
            </w:pPr>
            <w:r w:rsidRPr="006E790E">
              <w:t>EM</w:t>
            </w:r>
          </w:p>
        </w:tc>
        <w:tc>
          <w:tcPr>
            <w:tcW w:w="5874" w:type="dxa"/>
          </w:tcPr>
          <w:p w14:paraId="02A6EAE3" w14:textId="77777777" w:rsidR="0035396D" w:rsidRPr="005B0F81" w:rsidRDefault="0035396D" w:rsidP="0036162B">
            <w:pPr>
              <w:pStyle w:val="Tabletextnormal"/>
            </w:pPr>
            <w:r w:rsidRPr="005B0F81">
              <w:t>Electron microscop</w:t>
            </w:r>
            <w:r>
              <w:t>y</w:t>
            </w:r>
          </w:p>
        </w:tc>
      </w:tr>
      <w:tr w:rsidR="0035396D" w:rsidRPr="005B0F81" w14:paraId="596AF5E1" w14:textId="77777777" w:rsidTr="00B54873">
        <w:trPr>
          <w:trHeight w:val="283"/>
          <w:jc w:val="center"/>
        </w:trPr>
        <w:tc>
          <w:tcPr>
            <w:tcW w:w="2314" w:type="dxa"/>
          </w:tcPr>
          <w:p w14:paraId="4ED2D35B" w14:textId="77777777" w:rsidR="0035396D" w:rsidRPr="006E790E" w:rsidRDefault="0035396D" w:rsidP="0036162B">
            <w:pPr>
              <w:pStyle w:val="Tabletextnormal"/>
            </w:pPr>
            <w:r w:rsidRPr="006E790E">
              <w:t>Ery</w:t>
            </w:r>
          </w:p>
        </w:tc>
        <w:tc>
          <w:tcPr>
            <w:tcW w:w="5874" w:type="dxa"/>
          </w:tcPr>
          <w:p w14:paraId="090329E5" w14:textId="77777777" w:rsidR="0035396D" w:rsidRPr="005B0F81" w:rsidRDefault="0035396D" w:rsidP="0036162B">
            <w:pPr>
              <w:pStyle w:val="Tabletextnormal"/>
            </w:pPr>
            <w:r w:rsidRPr="005B0F81">
              <w:t>Erythromycin</w:t>
            </w:r>
          </w:p>
        </w:tc>
      </w:tr>
      <w:tr w:rsidR="0035396D" w:rsidRPr="005B0F81" w14:paraId="515974FD" w14:textId="77777777" w:rsidTr="00B54873">
        <w:trPr>
          <w:trHeight w:val="283"/>
          <w:jc w:val="center"/>
        </w:trPr>
        <w:tc>
          <w:tcPr>
            <w:tcW w:w="2314" w:type="dxa"/>
          </w:tcPr>
          <w:p w14:paraId="7767A1B6" w14:textId="77777777" w:rsidR="0035396D" w:rsidRPr="006E790E" w:rsidRDefault="0035396D" w:rsidP="0036162B">
            <w:pPr>
              <w:pStyle w:val="Tabletextnormal"/>
            </w:pPr>
            <w:r>
              <w:t>ES</w:t>
            </w:r>
          </w:p>
        </w:tc>
        <w:tc>
          <w:tcPr>
            <w:tcW w:w="5874" w:type="dxa"/>
          </w:tcPr>
          <w:p w14:paraId="5DB3AF50" w14:textId="77777777" w:rsidR="0035396D" w:rsidRPr="005B0F81" w:rsidRDefault="0035396D" w:rsidP="0036162B">
            <w:pPr>
              <w:pStyle w:val="Tabletextnormal"/>
            </w:pPr>
            <w:r>
              <w:t>Exoplasmic space</w:t>
            </w:r>
          </w:p>
        </w:tc>
      </w:tr>
      <w:tr w:rsidR="0035396D" w:rsidRPr="005B0F81" w14:paraId="4D2C2332" w14:textId="77777777" w:rsidTr="00B54873">
        <w:trPr>
          <w:trHeight w:val="283"/>
          <w:jc w:val="center"/>
        </w:trPr>
        <w:tc>
          <w:tcPr>
            <w:tcW w:w="2314" w:type="dxa"/>
          </w:tcPr>
          <w:p w14:paraId="6FEA0172" w14:textId="77777777" w:rsidR="0035396D" w:rsidRPr="006E790E" w:rsidRDefault="0035396D" w:rsidP="0036162B">
            <w:pPr>
              <w:pStyle w:val="Tabletextnormal"/>
            </w:pPr>
            <w:r w:rsidRPr="006E790E">
              <w:t>EtBr</w:t>
            </w:r>
          </w:p>
        </w:tc>
        <w:tc>
          <w:tcPr>
            <w:tcW w:w="5874" w:type="dxa"/>
          </w:tcPr>
          <w:p w14:paraId="7F46760F" w14:textId="77777777" w:rsidR="0035396D" w:rsidRPr="005B0F81" w:rsidRDefault="0035396D" w:rsidP="0036162B">
            <w:pPr>
              <w:pStyle w:val="Tabletextnormal"/>
            </w:pPr>
            <w:r w:rsidRPr="005B0F81">
              <w:t>Ethidium bromide</w:t>
            </w:r>
          </w:p>
        </w:tc>
      </w:tr>
      <w:tr w:rsidR="0035396D" w:rsidRPr="005B0F81" w14:paraId="762EE0C1" w14:textId="77777777" w:rsidTr="00B54873">
        <w:trPr>
          <w:trHeight w:val="283"/>
          <w:jc w:val="center"/>
        </w:trPr>
        <w:tc>
          <w:tcPr>
            <w:tcW w:w="2314" w:type="dxa"/>
          </w:tcPr>
          <w:p w14:paraId="314F17D9" w14:textId="77777777" w:rsidR="0035396D" w:rsidRPr="006E790E" w:rsidRDefault="0035396D" w:rsidP="0036162B">
            <w:pPr>
              <w:pStyle w:val="Tabletextnormal"/>
            </w:pPr>
            <w:r w:rsidRPr="006E790E">
              <w:t>FH</w:t>
            </w:r>
          </w:p>
        </w:tc>
        <w:tc>
          <w:tcPr>
            <w:tcW w:w="5874" w:type="dxa"/>
          </w:tcPr>
          <w:p w14:paraId="42529BC6" w14:textId="77777777" w:rsidR="0035396D" w:rsidRDefault="0035396D" w:rsidP="0036162B">
            <w:pPr>
              <w:pStyle w:val="Tabletextnormal"/>
            </w:pPr>
            <w:r>
              <w:t>Frozen-hydration</w:t>
            </w:r>
          </w:p>
        </w:tc>
      </w:tr>
      <w:tr w:rsidR="0035396D" w:rsidRPr="005B0F81" w14:paraId="65682BB4" w14:textId="77777777" w:rsidTr="00B54873">
        <w:trPr>
          <w:trHeight w:val="283"/>
          <w:jc w:val="center"/>
        </w:trPr>
        <w:tc>
          <w:tcPr>
            <w:tcW w:w="2314" w:type="dxa"/>
          </w:tcPr>
          <w:p w14:paraId="7F71468B" w14:textId="77777777" w:rsidR="0035396D" w:rsidRPr="006E790E" w:rsidRDefault="0035396D" w:rsidP="0036162B">
            <w:pPr>
              <w:pStyle w:val="Tabletextnormal"/>
            </w:pPr>
            <w:r w:rsidRPr="006E790E">
              <w:t>FIB</w:t>
            </w:r>
          </w:p>
        </w:tc>
        <w:tc>
          <w:tcPr>
            <w:tcW w:w="5874" w:type="dxa"/>
          </w:tcPr>
          <w:p w14:paraId="37AC3B35" w14:textId="77777777" w:rsidR="0035396D" w:rsidRPr="005B0F81" w:rsidRDefault="0035396D" w:rsidP="0036162B">
            <w:pPr>
              <w:pStyle w:val="Tabletextnormal"/>
            </w:pPr>
            <w:r w:rsidRPr="005B0F81">
              <w:t>Focused ion beam</w:t>
            </w:r>
          </w:p>
        </w:tc>
      </w:tr>
      <w:tr w:rsidR="0035396D" w:rsidRPr="005B0F81" w14:paraId="4724F723" w14:textId="77777777" w:rsidTr="00B54873">
        <w:trPr>
          <w:trHeight w:val="283"/>
          <w:jc w:val="center"/>
        </w:trPr>
        <w:tc>
          <w:tcPr>
            <w:tcW w:w="2314" w:type="dxa"/>
          </w:tcPr>
          <w:p w14:paraId="68619538" w14:textId="77777777" w:rsidR="0035396D" w:rsidRPr="006E790E" w:rsidRDefault="0035396D" w:rsidP="0036162B">
            <w:pPr>
              <w:pStyle w:val="Tabletextnormal"/>
            </w:pPr>
            <w:r w:rsidRPr="006E790E">
              <w:t>FS</w:t>
            </w:r>
          </w:p>
        </w:tc>
        <w:tc>
          <w:tcPr>
            <w:tcW w:w="5874" w:type="dxa"/>
          </w:tcPr>
          <w:p w14:paraId="02A676B7" w14:textId="77777777" w:rsidR="0035396D" w:rsidRDefault="0035396D" w:rsidP="0036162B">
            <w:pPr>
              <w:pStyle w:val="Tabletextnormal"/>
            </w:pPr>
            <w:r>
              <w:t>Freeze-substitution</w:t>
            </w:r>
          </w:p>
        </w:tc>
      </w:tr>
      <w:tr w:rsidR="0035396D" w:rsidRPr="005B0F81" w14:paraId="448E8F4E" w14:textId="77777777" w:rsidTr="00B54873">
        <w:trPr>
          <w:trHeight w:val="283"/>
          <w:jc w:val="center"/>
        </w:trPr>
        <w:tc>
          <w:tcPr>
            <w:tcW w:w="2314" w:type="dxa"/>
          </w:tcPr>
          <w:p w14:paraId="7029DD72" w14:textId="77777777" w:rsidR="0035396D" w:rsidRPr="006E790E" w:rsidRDefault="0035396D" w:rsidP="0036162B">
            <w:pPr>
              <w:pStyle w:val="Tabletextnormal"/>
            </w:pPr>
            <w:r w:rsidRPr="006E790E">
              <w:t>FSH</w:t>
            </w:r>
          </w:p>
        </w:tc>
        <w:tc>
          <w:tcPr>
            <w:tcW w:w="5874" w:type="dxa"/>
          </w:tcPr>
          <w:p w14:paraId="11214631" w14:textId="77777777" w:rsidR="0035396D" w:rsidRDefault="0035396D" w:rsidP="0036162B">
            <w:pPr>
              <w:pStyle w:val="Tabletextnormal"/>
            </w:pPr>
            <w:r>
              <w:t>Frozen hydrated sectioning</w:t>
            </w:r>
          </w:p>
        </w:tc>
      </w:tr>
      <w:tr w:rsidR="0035396D" w:rsidRPr="005B0F81" w14:paraId="0EDE2D9A" w14:textId="77777777" w:rsidTr="00B54873">
        <w:trPr>
          <w:trHeight w:val="283"/>
          <w:jc w:val="center"/>
        </w:trPr>
        <w:tc>
          <w:tcPr>
            <w:tcW w:w="2314" w:type="dxa"/>
          </w:tcPr>
          <w:p w14:paraId="2C1C8472" w14:textId="77777777" w:rsidR="0035396D" w:rsidRPr="006E790E" w:rsidRDefault="0035396D" w:rsidP="0036162B">
            <w:pPr>
              <w:pStyle w:val="Tabletextnormal"/>
            </w:pPr>
            <w:r w:rsidRPr="006E790E">
              <w:t>g</w:t>
            </w:r>
          </w:p>
        </w:tc>
        <w:tc>
          <w:tcPr>
            <w:tcW w:w="5874" w:type="dxa"/>
          </w:tcPr>
          <w:p w14:paraId="5D11CC79" w14:textId="77777777" w:rsidR="0035396D" w:rsidRPr="005B0F81" w:rsidRDefault="0035396D" w:rsidP="0036162B">
            <w:pPr>
              <w:pStyle w:val="Tabletextnormal"/>
            </w:pPr>
            <w:r w:rsidRPr="005B0F81">
              <w:t>Grams</w:t>
            </w:r>
          </w:p>
        </w:tc>
      </w:tr>
      <w:tr w:rsidR="0035396D" w:rsidRPr="005B0F81" w14:paraId="0FFE3D98" w14:textId="77777777" w:rsidTr="00B54873">
        <w:trPr>
          <w:trHeight w:val="283"/>
          <w:jc w:val="center"/>
        </w:trPr>
        <w:tc>
          <w:tcPr>
            <w:tcW w:w="2314" w:type="dxa"/>
          </w:tcPr>
          <w:p w14:paraId="7C883925" w14:textId="77777777" w:rsidR="0035396D" w:rsidRPr="006E790E" w:rsidRDefault="0035396D" w:rsidP="0036162B">
            <w:pPr>
              <w:pStyle w:val="Tabletextnormal"/>
              <w:rPr>
                <w:vertAlign w:val="subscript"/>
              </w:rPr>
            </w:pPr>
            <w:r w:rsidRPr="006E790E">
              <w:t>Glc</w:t>
            </w:r>
            <w:r w:rsidRPr="006E790E">
              <w:rPr>
                <w:vertAlign w:val="subscript"/>
              </w:rPr>
              <w:t>2</w:t>
            </w:r>
          </w:p>
        </w:tc>
        <w:tc>
          <w:tcPr>
            <w:tcW w:w="5874" w:type="dxa"/>
          </w:tcPr>
          <w:p w14:paraId="1105363B" w14:textId="77777777" w:rsidR="0035396D" w:rsidRDefault="0035396D" w:rsidP="0036162B">
            <w:pPr>
              <w:pStyle w:val="Tabletextnormal"/>
            </w:pPr>
            <w:r>
              <w:t>Diglucosyl</w:t>
            </w:r>
          </w:p>
        </w:tc>
      </w:tr>
      <w:tr w:rsidR="0035396D" w:rsidRPr="005B0F81" w14:paraId="686B881D" w14:textId="77777777" w:rsidTr="00B54873">
        <w:trPr>
          <w:trHeight w:val="283"/>
          <w:jc w:val="center"/>
        </w:trPr>
        <w:tc>
          <w:tcPr>
            <w:tcW w:w="2314" w:type="dxa"/>
          </w:tcPr>
          <w:p w14:paraId="278DA0A0" w14:textId="77777777" w:rsidR="0035396D" w:rsidRPr="006E790E" w:rsidRDefault="0035396D" w:rsidP="0036162B">
            <w:pPr>
              <w:pStyle w:val="Tabletextnormal"/>
            </w:pPr>
            <w:r w:rsidRPr="006E790E">
              <w:t>Glc</w:t>
            </w:r>
            <w:r w:rsidRPr="006E790E">
              <w:rPr>
                <w:vertAlign w:val="subscript"/>
              </w:rPr>
              <w:t>2</w:t>
            </w:r>
            <w:r w:rsidRPr="006E790E">
              <w:t>-DAG</w:t>
            </w:r>
          </w:p>
        </w:tc>
        <w:tc>
          <w:tcPr>
            <w:tcW w:w="5874" w:type="dxa"/>
          </w:tcPr>
          <w:p w14:paraId="7F57DAA2" w14:textId="77777777" w:rsidR="0035396D" w:rsidRDefault="0035396D" w:rsidP="0036162B">
            <w:pPr>
              <w:pStyle w:val="Tabletextnormal"/>
            </w:pPr>
            <w:r>
              <w:t>Diglucosyl diacylglycerol</w:t>
            </w:r>
          </w:p>
        </w:tc>
      </w:tr>
      <w:tr w:rsidR="0035396D" w:rsidRPr="005B0F81" w14:paraId="5C4E81A1" w14:textId="77777777" w:rsidTr="00B54873">
        <w:trPr>
          <w:trHeight w:val="283"/>
          <w:jc w:val="center"/>
        </w:trPr>
        <w:tc>
          <w:tcPr>
            <w:tcW w:w="2314" w:type="dxa"/>
          </w:tcPr>
          <w:p w14:paraId="0051A5C4" w14:textId="77777777" w:rsidR="0035396D" w:rsidRPr="006E790E" w:rsidRDefault="0035396D" w:rsidP="0036162B">
            <w:pPr>
              <w:pStyle w:val="Tabletextnormal"/>
            </w:pPr>
            <w:r w:rsidRPr="006E790E">
              <w:t>Glc</w:t>
            </w:r>
            <w:r w:rsidRPr="006E790E">
              <w:rPr>
                <w:i/>
                <w:iCs/>
              </w:rPr>
              <w:t>N</w:t>
            </w:r>
            <w:r w:rsidRPr="006E790E">
              <w:t>ac</w:t>
            </w:r>
          </w:p>
        </w:tc>
        <w:tc>
          <w:tcPr>
            <w:tcW w:w="5874" w:type="dxa"/>
          </w:tcPr>
          <w:p w14:paraId="575112E3" w14:textId="77777777" w:rsidR="0035396D" w:rsidRPr="005B0F81" w:rsidRDefault="0035396D" w:rsidP="0036162B">
            <w:pPr>
              <w:pStyle w:val="Tabletextnormal"/>
            </w:pPr>
            <w:r w:rsidRPr="005B0F81">
              <w:rPr>
                <w:i/>
                <w:iCs/>
              </w:rPr>
              <w:t>N</w:t>
            </w:r>
            <w:r w:rsidRPr="005B0F81">
              <w:t>-acetylglucosamine</w:t>
            </w:r>
          </w:p>
        </w:tc>
      </w:tr>
      <w:tr w:rsidR="0035396D" w:rsidRPr="005B0F81" w14:paraId="150D84AB" w14:textId="77777777" w:rsidTr="00B54873">
        <w:trPr>
          <w:trHeight w:val="283"/>
          <w:jc w:val="center"/>
        </w:trPr>
        <w:tc>
          <w:tcPr>
            <w:tcW w:w="2314" w:type="dxa"/>
          </w:tcPr>
          <w:p w14:paraId="4ACFECAE" w14:textId="77777777" w:rsidR="0035396D" w:rsidRPr="006E790E" w:rsidRDefault="0035396D" w:rsidP="0036162B">
            <w:pPr>
              <w:pStyle w:val="Tabletextnormal"/>
            </w:pPr>
            <w:r>
              <w:t>Gly</w:t>
            </w:r>
          </w:p>
        </w:tc>
        <w:tc>
          <w:tcPr>
            <w:tcW w:w="5874" w:type="dxa"/>
          </w:tcPr>
          <w:p w14:paraId="25B7BE55" w14:textId="77777777" w:rsidR="0035396D" w:rsidRPr="005B0F81" w:rsidRDefault="0035396D" w:rsidP="0036162B">
            <w:pPr>
              <w:pStyle w:val="Tabletextnormal"/>
            </w:pPr>
            <w:r>
              <w:t>Glycine</w:t>
            </w:r>
          </w:p>
        </w:tc>
      </w:tr>
      <w:tr w:rsidR="0035396D" w:rsidRPr="005B0F81" w14:paraId="0AD87A1C" w14:textId="77777777" w:rsidTr="00B54873">
        <w:trPr>
          <w:trHeight w:val="283"/>
          <w:jc w:val="center"/>
        </w:trPr>
        <w:tc>
          <w:tcPr>
            <w:tcW w:w="2314" w:type="dxa"/>
          </w:tcPr>
          <w:p w14:paraId="42A75A08" w14:textId="77777777" w:rsidR="0035396D" w:rsidRPr="006E790E" w:rsidRDefault="0035396D" w:rsidP="0036162B">
            <w:pPr>
              <w:pStyle w:val="Tabletextnormal"/>
            </w:pPr>
            <w:r w:rsidRPr="006E790E">
              <w:t>Gro-P</w:t>
            </w:r>
          </w:p>
        </w:tc>
        <w:tc>
          <w:tcPr>
            <w:tcW w:w="5874" w:type="dxa"/>
          </w:tcPr>
          <w:p w14:paraId="2935AA71" w14:textId="77777777" w:rsidR="0035396D" w:rsidRDefault="0035396D" w:rsidP="0036162B">
            <w:pPr>
              <w:pStyle w:val="Tabletextnormal"/>
            </w:pPr>
            <w:r>
              <w:t>Glycerol phosphate</w:t>
            </w:r>
          </w:p>
        </w:tc>
      </w:tr>
      <w:tr w:rsidR="0035396D" w:rsidRPr="005B0F81" w14:paraId="000FE4A3" w14:textId="77777777" w:rsidTr="00B54873">
        <w:trPr>
          <w:trHeight w:val="283"/>
          <w:jc w:val="center"/>
        </w:trPr>
        <w:tc>
          <w:tcPr>
            <w:tcW w:w="2314" w:type="dxa"/>
          </w:tcPr>
          <w:p w14:paraId="2DD13B78" w14:textId="77777777" w:rsidR="0035396D" w:rsidRPr="006E790E" w:rsidRDefault="0035396D" w:rsidP="0036162B">
            <w:pPr>
              <w:pStyle w:val="Tabletextnormal"/>
            </w:pPr>
            <w:r w:rsidRPr="006E790E">
              <w:t>h</w:t>
            </w:r>
          </w:p>
        </w:tc>
        <w:tc>
          <w:tcPr>
            <w:tcW w:w="5874" w:type="dxa"/>
          </w:tcPr>
          <w:p w14:paraId="4EE34661" w14:textId="77777777" w:rsidR="0035396D" w:rsidRPr="005B0F81" w:rsidRDefault="0035396D" w:rsidP="0036162B">
            <w:pPr>
              <w:pStyle w:val="Tabletextnormal"/>
            </w:pPr>
            <w:r w:rsidRPr="005B0F81">
              <w:t>Hours</w:t>
            </w:r>
          </w:p>
        </w:tc>
      </w:tr>
      <w:tr w:rsidR="0035396D" w:rsidRPr="005B0F81" w14:paraId="521DC3B3" w14:textId="77777777" w:rsidTr="00B54873">
        <w:trPr>
          <w:trHeight w:val="283"/>
          <w:jc w:val="center"/>
        </w:trPr>
        <w:tc>
          <w:tcPr>
            <w:tcW w:w="2314" w:type="dxa"/>
          </w:tcPr>
          <w:p w14:paraId="7CC2FC2E" w14:textId="77777777" w:rsidR="0035396D" w:rsidRPr="006E790E" w:rsidRDefault="0035396D" w:rsidP="0036162B">
            <w:pPr>
              <w:pStyle w:val="Tabletextnormal"/>
            </w:pPr>
            <w:r w:rsidRPr="006E790E">
              <w:t>HEPES</w:t>
            </w:r>
          </w:p>
        </w:tc>
        <w:tc>
          <w:tcPr>
            <w:tcW w:w="5874" w:type="dxa"/>
          </w:tcPr>
          <w:p w14:paraId="5F516F0A" w14:textId="77777777" w:rsidR="0035396D" w:rsidRPr="005B0F81" w:rsidRDefault="0035396D" w:rsidP="0036162B">
            <w:pPr>
              <w:pStyle w:val="Tabletextnormal"/>
            </w:pPr>
            <w:r w:rsidRPr="005B0F81">
              <w:t>4-(2-hydroxyethyl)-1-piperazineethanesulfonic acid</w:t>
            </w:r>
          </w:p>
        </w:tc>
      </w:tr>
      <w:tr w:rsidR="0035396D" w:rsidRPr="005B0F81" w14:paraId="71A440D1" w14:textId="77777777" w:rsidTr="00B54873">
        <w:trPr>
          <w:trHeight w:val="283"/>
          <w:jc w:val="center"/>
        </w:trPr>
        <w:tc>
          <w:tcPr>
            <w:tcW w:w="2314" w:type="dxa"/>
          </w:tcPr>
          <w:p w14:paraId="5AE98789" w14:textId="77777777" w:rsidR="0035396D" w:rsidRPr="006E790E" w:rsidRDefault="0035396D" w:rsidP="0036162B">
            <w:pPr>
              <w:pStyle w:val="Tabletextnormal"/>
            </w:pPr>
            <w:r w:rsidRPr="006E790E">
              <w:t>HEX</w:t>
            </w:r>
          </w:p>
        </w:tc>
        <w:tc>
          <w:tcPr>
            <w:tcW w:w="5874" w:type="dxa"/>
          </w:tcPr>
          <w:p w14:paraId="4C0186FC" w14:textId="77777777" w:rsidR="0035396D" w:rsidRDefault="0035396D" w:rsidP="0036162B">
            <w:pPr>
              <w:pStyle w:val="Tabletextnormal"/>
            </w:pPr>
            <w:r>
              <w:t>Hexamethyldisilazane</w:t>
            </w:r>
          </w:p>
        </w:tc>
      </w:tr>
      <w:tr w:rsidR="0035396D" w:rsidRPr="005B0F81" w14:paraId="5EDBBFD0" w14:textId="77777777" w:rsidTr="00B54873">
        <w:trPr>
          <w:trHeight w:val="283"/>
          <w:jc w:val="center"/>
        </w:trPr>
        <w:tc>
          <w:tcPr>
            <w:tcW w:w="2314" w:type="dxa"/>
          </w:tcPr>
          <w:p w14:paraId="455798DF" w14:textId="77777777" w:rsidR="0035396D" w:rsidRPr="006E790E" w:rsidRDefault="0035396D" w:rsidP="0036162B">
            <w:pPr>
              <w:pStyle w:val="Tabletextnormal"/>
            </w:pPr>
            <w:r w:rsidRPr="006E790E">
              <w:t>HMM</w:t>
            </w:r>
          </w:p>
        </w:tc>
        <w:tc>
          <w:tcPr>
            <w:tcW w:w="5874" w:type="dxa"/>
          </w:tcPr>
          <w:p w14:paraId="4C908218" w14:textId="77777777" w:rsidR="0035396D" w:rsidRDefault="0035396D" w:rsidP="0036162B">
            <w:pPr>
              <w:pStyle w:val="Tabletextnormal"/>
            </w:pPr>
            <w:r>
              <w:t>High molecular mass</w:t>
            </w:r>
          </w:p>
        </w:tc>
      </w:tr>
      <w:tr w:rsidR="0035396D" w:rsidRPr="005B0F81" w14:paraId="0CC0D682" w14:textId="77777777" w:rsidTr="00B54873">
        <w:trPr>
          <w:trHeight w:val="283"/>
          <w:jc w:val="center"/>
        </w:trPr>
        <w:tc>
          <w:tcPr>
            <w:tcW w:w="2314" w:type="dxa"/>
          </w:tcPr>
          <w:p w14:paraId="2F5A7A63" w14:textId="77777777" w:rsidR="0035396D" w:rsidRPr="006E790E" w:rsidRDefault="0035396D" w:rsidP="0036162B">
            <w:pPr>
              <w:pStyle w:val="Tabletextnormal"/>
            </w:pPr>
            <w:r w:rsidRPr="006E790E">
              <w:t>HPF</w:t>
            </w:r>
          </w:p>
        </w:tc>
        <w:tc>
          <w:tcPr>
            <w:tcW w:w="5874" w:type="dxa"/>
          </w:tcPr>
          <w:p w14:paraId="3D15EA0D" w14:textId="77777777" w:rsidR="0035396D" w:rsidRDefault="0035396D" w:rsidP="0036162B">
            <w:pPr>
              <w:pStyle w:val="Tabletextnormal"/>
            </w:pPr>
            <w:r>
              <w:t>High pressure freezing</w:t>
            </w:r>
          </w:p>
        </w:tc>
      </w:tr>
      <w:tr w:rsidR="0035396D" w:rsidRPr="005B0F81" w14:paraId="159AF9E9" w14:textId="77777777" w:rsidTr="00B54873">
        <w:trPr>
          <w:trHeight w:val="283"/>
          <w:jc w:val="center"/>
        </w:trPr>
        <w:tc>
          <w:tcPr>
            <w:tcW w:w="2314" w:type="dxa"/>
          </w:tcPr>
          <w:p w14:paraId="5CF1EE46" w14:textId="77777777" w:rsidR="0035396D" w:rsidRPr="006E790E" w:rsidRDefault="0035396D" w:rsidP="0036162B">
            <w:pPr>
              <w:pStyle w:val="Tabletextnormal"/>
            </w:pPr>
            <w:r w:rsidRPr="006E790E">
              <w:t>IPTG</w:t>
            </w:r>
          </w:p>
        </w:tc>
        <w:tc>
          <w:tcPr>
            <w:tcW w:w="5874" w:type="dxa"/>
          </w:tcPr>
          <w:p w14:paraId="484EE459" w14:textId="77777777" w:rsidR="0035396D" w:rsidRPr="005B0F81" w:rsidRDefault="0035396D" w:rsidP="0036162B">
            <w:pPr>
              <w:pStyle w:val="Tabletextnormal"/>
            </w:pPr>
            <w:r w:rsidRPr="005B0F81">
              <w:t>Isopropyl β-D-1-thiogalactopyranoside</w:t>
            </w:r>
          </w:p>
        </w:tc>
      </w:tr>
      <w:tr w:rsidR="0035396D" w:rsidRPr="005B0F81" w14:paraId="19E3C4AF" w14:textId="77777777" w:rsidTr="00B54873">
        <w:trPr>
          <w:trHeight w:val="283"/>
          <w:jc w:val="center"/>
        </w:trPr>
        <w:tc>
          <w:tcPr>
            <w:tcW w:w="2314" w:type="dxa"/>
          </w:tcPr>
          <w:p w14:paraId="75720F5F" w14:textId="77777777" w:rsidR="0035396D" w:rsidRPr="006E790E" w:rsidRDefault="0035396D" w:rsidP="0036162B">
            <w:pPr>
              <w:pStyle w:val="Tabletextnormal"/>
            </w:pPr>
            <w:r>
              <w:t>K</w:t>
            </w:r>
          </w:p>
        </w:tc>
        <w:tc>
          <w:tcPr>
            <w:tcW w:w="5874" w:type="dxa"/>
          </w:tcPr>
          <w:p w14:paraId="33C4A467" w14:textId="77777777" w:rsidR="0035396D" w:rsidRPr="005B0F81" w:rsidRDefault="0035396D" w:rsidP="0036162B">
            <w:pPr>
              <w:pStyle w:val="Tabletextnormal"/>
            </w:pPr>
            <w:r>
              <w:t>Kelvin</w:t>
            </w:r>
          </w:p>
        </w:tc>
      </w:tr>
      <w:tr w:rsidR="0035396D" w:rsidRPr="005B0F81" w14:paraId="181B5B62" w14:textId="77777777" w:rsidTr="00B54873">
        <w:trPr>
          <w:trHeight w:val="283"/>
          <w:jc w:val="center"/>
        </w:trPr>
        <w:tc>
          <w:tcPr>
            <w:tcW w:w="2314" w:type="dxa"/>
          </w:tcPr>
          <w:p w14:paraId="51FD2911" w14:textId="77777777" w:rsidR="0035396D" w:rsidRPr="006E790E" w:rsidRDefault="0035396D" w:rsidP="0036162B">
            <w:pPr>
              <w:pStyle w:val="Tabletextnormal"/>
            </w:pPr>
            <w:r w:rsidRPr="006E790E">
              <w:t>Kan</w:t>
            </w:r>
          </w:p>
        </w:tc>
        <w:tc>
          <w:tcPr>
            <w:tcW w:w="5874" w:type="dxa"/>
          </w:tcPr>
          <w:p w14:paraId="781D538E" w14:textId="77777777" w:rsidR="0035396D" w:rsidRPr="005B0F81" w:rsidRDefault="0035396D" w:rsidP="0036162B">
            <w:pPr>
              <w:pStyle w:val="Tabletextnormal"/>
              <w:rPr>
                <w:b/>
                <w:bCs/>
              </w:rPr>
            </w:pPr>
            <w:r w:rsidRPr="005B0F81">
              <w:t>Kanamycin</w:t>
            </w:r>
          </w:p>
        </w:tc>
      </w:tr>
      <w:tr w:rsidR="0035396D" w:rsidRPr="005B0F81" w14:paraId="2F8D112E" w14:textId="77777777" w:rsidTr="00B54873">
        <w:trPr>
          <w:trHeight w:val="283"/>
          <w:jc w:val="center"/>
        </w:trPr>
        <w:tc>
          <w:tcPr>
            <w:tcW w:w="2314" w:type="dxa"/>
          </w:tcPr>
          <w:p w14:paraId="6C8D8E8C" w14:textId="77777777" w:rsidR="0035396D" w:rsidRPr="006E790E" w:rsidRDefault="0035396D" w:rsidP="0036162B">
            <w:pPr>
              <w:pStyle w:val="Tabletextnormal"/>
            </w:pPr>
            <w:r w:rsidRPr="006E790E">
              <w:t>kb</w:t>
            </w:r>
          </w:p>
        </w:tc>
        <w:tc>
          <w:tcPr>
            <w:tcW w:w="5874" w:type="dxa"/>
          </w:tcPr>
          <w:p w14:paraId="0DA289CC" w14:textId="77777777" w:rsidR="0035396D" w:rsidRPr="005B0F81" w:rsidRDefault="0035396D" w:rsidP="0036162B">
            <w:pPr>
              <w:pStyle w:val="Tabletextnormal"/>
            </w:pPr>
            <w:r w:rsidRPr="005B0F81">
              <w:t>Kilobase pair</w:t>
            </w:r>
          </w:p>
        </w:tc>
      </w:tr>
      <w:tr w:rsidR="0035396D" w:rsidRPr="005B0F81" w14:paraId="5811325F" w14:textId="77777777" w:rsidTr="00B54873">
        <w:trPr>
          <w:trHeight w:val="283"/>
          <w:jc w:val="center"/>
        </w:trPr>
        <w:tc>
          <w:tcPr>
            <w:tcW w:w="2314" w:type="dxa"/>
          </w:tcPr>
          <w:p w14:paraId="51D8E2C8" w14:textId="77777777" w:rsidR="0035396D" w:rsidRPr="006E790E" w:rsidRDefault="0035396D" w:rsidP="0036162B">
            <w:pPr>
              <w:pStyle w:val="Tabletextnormal"/>
            </w:pPr>
            <w:r w:rsidRPr="006E790E">
              <w:t>kDa</w:t>
            </w:r>
          </w:p>
        </w:tc>
        <w:tc>
          <w:tcPr>
            <w:tcW w:w="5874" w:type="dxa"/>
          </w:tcPr>
          <w:p w14:paraId="08810108" w14:textId="77777777" w:rsidR="0035396D" w:rsidRPr="005B0F81" w:rsidRDefault="0035396D" w:rsidP="0036162B">
            <w:pPr>
              <w:pStyle w:val="Tabletextnormal"/>
            </w:pPr>
            <w:r w:rsidRPr="005B0F81">
              <w:t>Kilodalton</w:t>
            </w:r>
          </w:p>
        </w:tc>
      </w:tr>
      <w:tr w:rsidR="0035396D" w:rsidRPr="005B0F81" w14:paraId="4042FE7D" w14:textId="77777777" w:rsidTr="00B54873">
        <w:trPr>
          <w:trHeight w:val="283"/>
          <w:jc w:val="center"/>
        </w:trPr>
        <w:tc>
          <w:tcPr>
            <w:tcW w:w="2314" w:type="dxa"/>
          </w:tcPr>
          <w:p w14:paraId="26C655A2" w14:textId="77777777" w:rsidR="0035396D" w:rsidRPr="006E790E" w:rsidRDefault="0035396D" w:rsidP="0036162B">
            <w:pPr>
              <w:pStyle w:val="Tabletextnormal"/>
            </w:pPr>
            <w:r w:rsidRPr="006E790E">
              <w:t>KeV</w:t>
            </w:r>
          </w:p>
        </w:tc>
        <w:tc>
          <w:tcPr>
            <w:tcW w:w="5874" w:type="dxa"/>
          </w:tcPr>
          <w:p w14:paraId="21CFE9A4" w14:textId="77777777" w:rsidR="0035396D" w:rsidRPr="005B0F81" w:rsidRDefault="0035396D" w:rsidP="0036162B">
            <w:pPr>
              <w:pStyle w:val="Tabletextnormal"/>
            </w:pPr>
            <w:r w:rsidRPr="005B0F81">
              <w:t>Kilo electron volt</w:t>
            </w:r>
          </w:p>
        </w:tc>
      </w:tr>
      <w:tr w:rsidR="0035396D" w:rsidRPr="005B0F81" w14:paraId="42C5D9C1" w14:textId="77777777" w:rsidTr="00B54873">
        <w:trPr>
          <w:trHeight w:val="283"/>
          <w:jc w:val="center"/>
        </w:trPr>
        <w:tc>
          <w:tcPr>
            <w:tcW w:w="2314" w:type="dxa"/>
          </w:tcPr>
          <w:p w14:paraId="6529C6F1" w14:textId="77777777" w:rsidR="0035396D" w:rsidRPr="006E790E" w:rsidRDefault="0035396D" w:rsidP="0036162B">
            <w:pPr>
              <w:pStyle w:val="Tabletextnormal"/>
            </w:pPr>
            <w:r w:rsidRPr="006E790E">
              <w:t>k</w:t>
            </w:r>
            <w:r>
              <w:t>V</w:t>
            </w:r>
          </w:p>
        </w:tc>
        <w:tc>
          <w:tcPr>
            <w:tcW w:w="5874" w:type="dxa"/>
          </w:tcPr>
          <w:p w14:paraId="0EC1FAF9" w14:textId="77777777" w:rsidR="0035396D" w:rsidRPr="005B0F81" w:rsidRDefault="0035396D" w:rsidP="0036162B">
            <w:pPr>
              <w:pStyle w:val="Tabletextnormal"/>
            </w:pPr>
            <w:r w:rsidRPr="005B0F81">
              <w:t>Kilovolt</w:t>
            </w:r>
          </w:p>
        </w:tc>
      </w:tr>
      <w:tr w:rsidR="0035396D" w:rsidRPr="005B0F81" w14:paraId="635E1B9B" w14:textId="77777777" w:rsidTr="00B54873">
        <w:trPr>
          <w:trHeight w:val="283"/>
          <w:jc w:val="center"/>
        </w:trPr>
        <w:tc>
          <w:tcPr>
            <w:tcW w:w="2314" w:type="dxa"/>
          </w:tcPr>
          <w:p w14:paraId="3B3F9CE7" w14:textId="77777777" w:rsidR="0035396D" w:rsidRPr="006E790E" w:rsidRDefault="0035396D" w:rsidP="0036162B">
            <w:pPr>
              <w:pStyle w:val="Tabletextnormal"/>
            </w:pPr>
            <w:r w:rsidRPr="006E790E">
              <w:t>l</w:t>
            </w:r>
          </w:p>
        </w:tc>
        <w:tc>
          <w:tcPr>
            <w:tcW w:w="5874" w:type="dxa"/>
          </w:tcPr>
          <w:p w14:paraId="127310F4" w14:textId="77777777" w:rsidR="0035396D" w:rsidRPr="005B0F81" w:rsidRDefault="0035396D" w:rsidP="0036162B">
            <w:pPr>
              <w:pStyle w:val="Tabletextnormal"/>
            </w:pPr>
            <w:r w:rsidRPr="005B0F81">
              <w:t>Litre</w:t>
            </w:r>
          </w:p>
        </w:tc>
      </w:tr>
      <w:tr w:rsidR="0035396D" w:rsidRPr="005B0F81" w14:paraId="0D446477" w14:textId="77777777" w:rsidTr="00B54873">
        <w:trPr>
          <w:trHeight w:val="283"/>
          <w:jc w:val="center"/>
        </w:trPr>
        <w:tc>
          <w:tcPr>
            <w:tcW w:w="2314" w:type="dxa"/>
          </w:tcPr>
          <w:p w14:paraId="2C5607A4" w14:textId="77777777" w:rsidR="0035396D" w:rsidRDefault="0035396D" w:rsidP="0036162B">
            <w:pPr>
              <w:pStyle w:val="Tabletextnormal"/>
            </w:pPr>
            <w:r>
              <w:t>L-Ala</w:t>
            </w:r>
          </w:p>
        </w:tc>
        <w:tc>
          <w:tcPr>
            <w:tcW w:w="5874" w:type="dxa"/>
          </w:tcPr>
          <w:p w14:paraId="7B6FDB7E" w14:textId="77777777" w:rsidR="0035396D" w:rsidRDefault="0035396D" w:rsidP="0036162B">
            <w:pPr>
              <w:pStyle w:val="Tabletextnormal"/>
            </w:pPr>
            <w:r>
              <w:t>L-Alanine</w:t>
            </w:r>
          </w:p>
        </w:tc>
      </w:tr>
      <w:tr w:rsidR="0035396D" w:rsidRPr="005B0F81" w14:paraId="400C6E9F" w14:textId="77777777" w:rsidTr="00B54873">
        <w:trPr>
          <w:trHeight w:val="283"/>
          <w:jc w:val="center"/>
        </w:trPr>
        <w:tc>
          <w:tcPr>
            <w:tcW w:w="2314" w:type="dxa"/>
          </w:tcPr>
          <w:p w14:paraId="13CEEE18" w14:textId="77777777" w:rsidR="0035396D" w:rsidRPr="00A95638" w:rsidRDefault="0035396D" w:rsidP="0036162B">
            <w:pPr>
              <w:pStyle w:val="Tabletextnormal"/>
            </w:pPr>
            <w:r w:rsidRPr="00A95638">
              <w:t>L</w:t>
            </w:r>
            <w:r>
              <w:t>-L</w:t>
            </w:r>
            <w:r w:rsidRPr="00A95638">
              <w:t>ys</w:t>
            </w:r>
          </w:p>
        </w:tc>
        <w:tc>
          <w:tcPr>
            <w:tcW w:w="5874" w:type="dxa"/>
          </w:tcPr>
          <w:p w14:paraId="0490BF6D" w14:textId="77777777" w:rsidR="0035396D" w:rsidRDefault="0035396D" w:rsidP="0036162B">
            <w:pPr>
              <w:pStyle w:val="Tabletextnormal"/>
            </w:pPr>
            <w:r>
              <w:t>L-Lysine</w:t>
            </w:r>
          </w:p>
        </w:tc>
      </w:tr>
      <w:tr w:rsidR="0035396D" w:rsidRPr="005B0F81" w14:paraId="32A5D6DE" w14:textId="77777777" w:rsidTr="00B54873">
        <w:trPr>
          <w:trHeight w:val="283"/>
          <w:jc w:val="center"/>
        </w:trPr>
        <w:tc>
          <w:tcPr>
            <w:tcW w:w="2314" w:type="dxa"/>
          </w:tcPr>
          <w:p w14:paraId="37FCA22E" w14:textId="77777777" w:rsidR="0035396D" w:rsidRDefault="0035396D" w:rsidP="0036162B">
            <w:pPr>
              <w:pStyle w:val="Tabletextnormal"/>
            </w:pPr>
            <w:r>
              <w:t>LC</w:t>
            </w:r>
          </w:p>
        </w:tc>
        <w:tc>
          <w:tcPr>
            <w:tcW w:w="5874" w:type="dxa"/>
          </w:tcPr>
          <w:p w14:paraId="71E67F12" w14:textId="77777777" w:rsidR="0035396D" w:rsidRDefault="0035396D" w:rsidP="0036162B">
            <w:pPr>
              <w:pStyle w:val="Tabletextnormal"/>
            </w:pPr>
            <w:r>
              <w:t>Lead citrate</w:t>
            </w:r>
          </w:p>
        </w:tc>
      </w:tr>
      <w:tr w:rsidR="0035396D" w:rsidRPr="005B0F81" w14:paraId="04065F23" w14:textId="77777777" w:rsidTr="00B54873">
        <w:trPr>
          <w:trHeight w:val="283"/>
          <w:jc w:val="center"/>
        </w:trPr>
        <w:tc>
          <w:tcPr>
            <w:tcW w:w="2314" w:type="dxa"/>
          </w:tcPr>
          <w:p w14:paraId="1F30C9E8" w14:textId="77777777" w:rsidR="0035396D" w:rsidRPr="006E790E" w:rsidRDefault="0035396D" w:rsidP="0036162B">
            <w:pPr>
              <w:pStyle w:val="Tabletextnormal"/>
            </w:pPr>
            <w:r w:rsidRPr="006E790E">
              <w:t>Lin</w:t>
            </w:r>
          </w:p>
        </w:tc>
        <w:tc>
          <w:tcPr>
            <w:tcW w:w="5874" w:type="dxa"/>
          </w:tcPr>
          <w:p w14:paraId="2DBE9928" w14:textId="77777777" w:rsidR="0035396D" w:rsidRPr="005B0F81" w:rsidRDefault="0035396D" w:rsidP="0036162B">
            <w:pPr>
              <w:pStyle w:val="Tabletextnormal"/>
            </w:pPr>
            <w:r w:rsidRPr="005B0F81">
              <w:t>Lincomycin</w:t>
            </w:r>
          </w:p>
        </w:tc>
      </w:tr>
      <w:tr w:rsidR="0035396D" w:rsidRPr="005B0F81" w14:paraId="16690FEF" w14:textId="77777777" w:rsidTr="00B54873">
        <w:trPr>
          <w:trHeight w:val="283"/>
          <w:jc w:val="center"/>
        </w:trPr>
        <w:tc>
          <w:tcPr>
            <w:tcW w:w="2314" w:type="dxa"/>
          </w:tcPr>
          <w:p w14:paraId="037C7FC2" w14:textId="77777777" w:rsidR="0035396D" w:rsidRPr="006E790E" w:rsidRDefault="0035396D" w:rsidP="0036162B">
            <w:pPr>
              <w:pStyle w:val="Tabletextnormal"/>
            </w:pPr>
            <w:r w:rsidRPr="006E790E">
              <w:t>LKA</w:t>
            </w:r>
          </w:p>
        </w:tc>
        <w:tc>
          <w:tcPr>
            <w:tcW w:w="5874" w:type="dxa"/>
          </w:tcPr>
          <w:p w14:paraId="5A3DF83D" w14:textId="77777777" w:rsidR="0035396D" w:rsidRPr="005B0F81" w:rsidRDefault="0035396D" w:rsidP="0036162B">
            <w:pPr>
              <w:pStyle w:val="Tabletextnormal"/>
            </w:pPr>
            <w:r w:rsidRPr="005B0F81">
              <w:t>LK agar</w:t>
            </w:r>
          </w:p>
        </w:tc>
      </w:tr>
      <w:tr w:rsidR="0035396D" w:rsidRPr="005B0F81" w14:paraId="7645492C" w14:textId="77777777" w:rsidTr="00B54873">
        <w:trPr>
          <w:trHeight w:val="283"/>
          <w:jc w:val="center"/>
        </w:trPr>
        <w:tc>
          <w:tcPr>
            <w:tcW w:w="2314" w:type="dxa"/>
          </w:tcPr>
          <w:p w14:paraId="5794FA25" w14:textId="77777777" w:rsidR="0035396D" w:rsidRPr="006E790E" w:rsidRDefault="0035396D" w:rsidP="0036162B">
            <w:pPr>
              <w:pStyle w:val="Tabletextnormal"/>
            </w:pPr>
            <w:r w:rsidRPr="006E790E">
              <w:t>LKB</w:t>
            </w:r>
          </w:p>
        </w:tc>
        <w:tc>
          <w:tcPr>
            <w:tcW w:w="5874" w:type="dxa"/>
          </w:tcPr>
          <w:p w14:paraId="094D51BC" w14:textId="77777777" w:rsidR="0035396D" w:rsidRPr="005B0F81" w:rsidRDefault="0035396D" w:rsidP="0036162B">
            <w:pPr>
              <w:pStyle w:val="Tabletextnormal"/>
            </w:pPr>
            <w:r w:rsidRPr="005B0F81">
              <w:t>LK broth</w:t>
            </w:r>
          </w:p>
        </w:tc>
      </w:tr>
      <w:tr w:rsidR="0035396D" w:rsidRPr="005B0F81" w14:paraId="3A6B217A" w14:textId="77777777" w:rsidTr="00B54873">
        <w:trPr>
          <w:trHeight w:val="283"/>
          <w:jc w:val="center"/>
        </w:trPr>
        <w:tc>
          <w:tcPr>
            <w:tcW w:w="2314" w:type="dxa"/>
          </w:tcPr>
          <w:p w14:paraId="5B151FCF" w14:textId="77777777" w:rsidR="0035396D" w:rsidRPr="006E790E" w:rsidRDefault="0035396D" w:rsidP="0036162B">
            <w:pPr>
              <w:pStyle w:val="Tabletextnormal"/>
            </w:pPr>
            <w:r w:rsidRPr="006E790E">
              <w:t>LMM</w:t>
            </w:r>
          </w:p>
        </w:tc>
        <w:tc>
          <w:tcPr>
            <w:tcW w:w="5874" w:type="dxa"/>
          </w:tcPr>
          <w:p w14:paraId="547227BB" w14:textId="77777777" w:rsidR="0035396D" w:rsidRDefault="0035396D" w:rsidP="0036162B">
            <w:pPr>
              <w:pStyle w:val="Tabletextnormal"/>
            </w:pPr>
            <w:r>
              <w:t>Low molecular mass</w:t>
            </w:r>
          </w:p>
        </w:tc>
      </w:tr>
      <w:tr w:rsidR="0035396D" w:rsidRPr="005B0F81" w14:paraId="2B340EE8" w14:textId="77777777" w:rsidTr="00B54873">
        <w:trPr>
          <w:trHeight w:val="283"/>
          <w:jc w:val="center"/>
        </w:trPr>
        <w:tc>
          <w:tcPr>
            <w:tcW w:w="2314" w:type="dxa"/>
          </w:tcPr>
          <w:p w14:paraId="3AF0186B" w14:textId="77777777" w:rsidR="0035396D" w:rsidRPr="006E790E" w:rsidRDefault="0035396D" w:rsidP="0036162B">
            <w:pPr>
              <w:pStyle w:val="Tabletextnormal"/>
            </w:pPr>
            <w:r w:rsidRPr="006E790E">
              <w:t>LN</w:t>
            </w:r>
            <w:r w:rsidRPr="006E790E">
              <w:rPr>
                <w:vertAlign w:val="subscript"/>
              </w:rPr>
              <w:t>2</w:t>
            </w:r>
          </w:p>
        </w:tc>
        <w:tc>
          <w:tcPr>
            <w:tcW w:w="5874" w:type="dxa"/>
          </w:tcPr>
          <w:p w14:paraId="27E58535" w14:textId="77777777" w:rsidR="0035396D" w:rsidRPr="005B0F81" w:rsidRDefault="0035396D" w:rsidP="0036162B">
            <w:pPr>
              <w:pStyle w:val="Tabletextnormal"/>
            </w:pPr>
            <w:r w:rsidRPr="005B0F81">
              <w:t>Liquid nitrogen</w:t>
            </w:r>
          </w:p>
        </w:tc>
      </w:tr>
      <w:tr w:rsidR="0035396D" w:rsidRPr="005B0F81" w14:paraId="67756461" w14:textId="77777777" w:rsidTr="00B54873">
        <w:trPr>
          <w:trHeight w:val="283"/>
          <w:jc w:val="center"/>
        </w:trPr>
        <w:tc>
          <w:tcPr>
            <w:tcW w:w="2314" w:type="dxa"/>
          </w:tcPr>
          <w:p w14:paraId="072CAD28" w14:textId="77777777" w:rsidR="0035396D" w:rsidRPr="006E790E" w:rsidRDefault="0035396D" w:rsidP="0036162B">
            <w:pPr>
              <w:pStyle w:val="Tabletextnormal"/>
            </w:pPr>
            <w:r w:rsidRPr="006E790E">
              <w:lastRenderedPageBreak/>
              <w:t>Lpp</w:t>
            </w:r>
          </w:p>
        </w:tc>
        <w:tc>
          <w:tcPr>
            <w:tcW w:w="5874" w:type="dxa"/>
          </w:tcPr>
          <w:p w14:paraId="57FB86F6" w14:textId="77777777" w:rsidR="0035396D" w:rsidRPr="005B0F81" w:rsidRDefault="0035396D" w:rsidP="0036162B">
            <w:pPr>
              <w:pStyle w:val="Tabletextnormal"/>
            </w:pPr>
            <w:r w:rsidRPr="005B0F81">
              <w:t>Lipoprotein</w:t>
            </w:r>
          </w:p>
        </w:tc>
      </w:tr>
      <w:tr w:rsidR="0035396D" w:rsidRPr="005B0F81" w14:paraId="54F12B67" w14:textId="77777777" w:rsidTr="00B54873">
        <w:trPr>
          <w:trHeight w:val="283"/>
          <w:jc w:val="center"/>
        </w:trPr>
        <w:tc>
          <w:tcPr>
            <w:tcW w:w="2314" w:type="dxa"/>
          </w:tcPr>
          <w:p w14:paraId="1D98D55A" w14:textId="77777777" w:rsidR="0035396D" w:rsidRPr="006E790E" w:rsidRDefault="0035396D" w:rsidP="0036162B">
            <w:pPr>
              <w:pStyle w:val="Tabletextnormal"/>
            </w:pPr>
            <w:r w:rsidRPr="006E790E">
              <w:t>LPS</w:t>
            </w:r>
          </w:p>
        </w:tc>
        <w:tc>
          <w:tcPr>
            <w:tcW w:w="5874" w:type="dxa"/>
          </w:tcPr>
          <w:p w14:paraId="0B3D97B2" w14:textId="77777777" w:rsidR="0035396D" w:rsidRPr="005B0F81" w:rsidRDefault="0035396D" w:rsidP="0036162B">
            <w:pPr>
              <w:pStyle w:val="Tabletextnormal"/>
            </w:pPr>
            <w:r w:rsidRPr="005B0F81">
              <w:t>Lipopolysaccharide</w:t>
            </w:r>
          </w:p>
        </w:tc>
      </w:tr>
      <w:tr w:rsidR="0035396D" w:rsidRPr="005B0F81" w14:paraId="2F29B8B9" w14:textId="77777777" w:rsidTr="00B54873">
        <w:trPr>
          <w:trHeight w:val="283"/>
          <w:jc w:val="center"/>
        </w:trPr>
        <w:tc>
          <w:tcPr>
            <w:tcW w:w="2314" w:type="dxa"/>
          </w:tcPr>
          <w:p w14:paraId="431B00E9" w14:textId="77777777" w:rsidR="0035396D" w:rsidRPr="006E790E" w:rsidRDefault="0035396D" w:rsidP="0036162B">
            <w:pPr>
              <w:pStyle w:val="Tabletextnormal"/>
            </w:pPr>
            <w:r w:rsidRPr="006E790E">
              <w:t>LTA</w:t>
            </w:r>
          </w:p>
        </w:tc>
        <w:tc>
          <w:tcPr>
            <w:tcW w:w="5874" w:type="dxa"/>
          </w:tcPr>
          <w:p w14:paraId="7DFEB319" w14:textId="77777777" w:rsidR="0035396D" w:rsidRPr="005B0F81" w:rsidRDefault="0035396D" w:rsidP="0036162B">
            <w:pPr>
              <w:pStyle w:val="Tabletextnormal"/>
            </w:pPr>
            <w:r w:rsidRPr="005B0F81">
              <w:t>Lipoteichoic acids</w:t>
            </w:r>
          </w:p>
        </w:tc>
      </w:tr>
      <w:tr w:rsidR="0035396D" w:rsidRPr="005B0F81" w14:paraId="46AA4242" w14:textId="77777777" w:rsidTr="00B54873">
        <w:trPr>
          <w:trHeight w:val="283"/>
          <w:jc w:val="center"/>
        </w:trPr>
        <w:tc>
          <w:tcPr>
            <w:tcW w:w="2314" w:type="dxa"/>
          </w:tcPr>
          <w:p w14:paraId="6EA067BF" w14:textId="77777777" w:rsidR="0035396D" w:rsidRPr="006E790E" w:rsidRDefault="0035396D" w:rsidP="0036162B">
            <w:pPr>
              <w:pStyle w:val="Tabletextnormal"/>
            </w:pPr>
            <w:r w:rsidRPr="006E790E">
              <w:t>M</w:t>
            </w:r>
          </w:p>
        </w:tc>
        <w:tc>
          <w:tcPr>
            <w:tcW w:w="5874" w:type="dxa"/>
          </w:tcPr>
          <w:p w14:paraId="1AB902B9" w14:textId="77777777" w:rsidR="0035396D" w:rsidRPr="005B0F81" w:rsidRDefault="0035396D" w:rsidP="0036162B">
            <w:pPr>
              <w:pStyle w:val="Tabletextnormal"/>
            </w:pPr>
            <w:r w:rsidRPr="005B0F81">
              <w:t>Molar</w:t>
            </w:r>
          </w:p>
        </w:tc>
      </w:tr>
      <w:tr w:rsidR="0035396D" w:rsidRPr="005B0F81" w14:paraId="79A8FFA2" w14:textId="77777777" w:rsidTr="00B54873">
        <w:trPr>
          <w:trHeight w:val="283"/>
          <w:jc w:val="center"/>
        </w:trPr>
        <w:tc>
          <w:tcPr>
            <w:tcW w:w="2314" w:type="dxa"/>
          </w:tcPr>
          <w:p w14:paraId="0CBCA9A8" w14:textId="77777777" w:rsidR="0035396D" w:rsidRPr="006E790E" w:rsidRDefault="0035396D" w:rsidP="0036162B">
            <w:pPr>
              <w:pStyle w:val="Tabletextnormal"/>
            </w:pPr>
            <w:r w:rsidRPr="006E790E">
              <w:t>MDOs</w:t>
            </w:r>
          </w:p>
        </w:tc>
        <w:tc>
          <w:tcPr>
            <w:tcW w:w="5874" w:type="dxa"/>
          </w:tcPr>
          <w:p w14:paraId="3CC5570A" w14:textId="77777777" w:rsidR="0035396D" w:rsidRPr="005B0F81" w:rsidRDefault="0035396D" w:rsidP="0036162B">
            <w:pPr>
              <w:pStyle w:val="Tabletextnormal"/>
            </w:pPr>
            <w:r w:rsidRPr="005B0F81">
              <w:t>Membrane derived oligosaccharides</w:t>
            </w:r>
          </w:p>
        </w:tc>
      </w:tr>
      <w:tr w:rsidR="0035396D" w:rsidRPr="005B0F81" w14:paraId="4CA1180C" w14:textId="77777777" w:rsidTr="00B54873">
        <w:trPr>
          <w:trHeight w:val="283"/>
          <w:jc w:val="center"/>
        </w:trPr>
        <w:tc>
          <w:tcPr>
            <w:tcW w:w="2314" w:type="dxa"/>
          </w:tcPr>
          <w:p w14:paraId="6363E45C" w14:textId="77777777" w:rsidR="0035396D" w:rsidRPr="006E790E" w:rsidRDefault="0035396D" w:rsidP="0036162B">
            <w:pPr>
              <w:pStyle w:val="Tabletextnormal"/>
            </w:pPr>
            <w:r w:rsidRPr="006E790E">
              <w:t>mg</w:t>
            </w:r>
          </w:p>
        </w:tc>
        <w:tc>
          <w:tcPr>
            <w:tcW w:w="5874" w:type="dxa"/>
          </w:tcPr>
          <w:p w14:paraId="0A3C76AA" w14:textId="77777777" w:rsidR="0035396D" w:rsidRPr="005B0F81" w:rsidRDefault="0035396D" w:rsidP="0036162B">
            <w:pPr>
              <w:pStyle w:val="Tabletextnormal"/>
            </w:pPr>
            <w:r w:rsidRPr="005B0F81">
              <w:t>Milligram</w:t>
            </w:r>
          </w:p>
        </w:tc>
      </w:tr>
      <w:tr w:rsidR="0035396D" w:rsidRPr="005B0F81" w14:paraId="6C86E671" w14:textId="77777777" w:rsidTr="00B54873">
        <w:trPr>
          <w:trHeight w:val="283"/>
          <w:jc w:val="center"/>
        </w:trPr>
        <w:tc>
          <w:tcPr>
            <w:tcW w:w="2314" w:type="dxa"/>
          </w:tcPr>
          <w:p w14:paraId="5B24585A" w14:textId="77777777" w:rsidR="0035396D" w:rsidRPr="006E790E" w:rsidRDefault="0035396D" w:rsidP="0036162B">
            <w:pPr>
              <w:pStyle w:val="Tabletextnormal"/>
            </w:pPr>
            <w:r w:rsidRPr="006E790E">
              <w:t>MIC</w:t>
            </w:r>
          </w:p>
        </w:tc>
        <w:tc>
          <w:tcPr>
            <w:tcW w:w="5874" w:type="dxa"/>
          </w:tcPr>
          <w:p w14:paraId="1C5E664A" w14:textId="77777777" w:rsidR="0035396D" w:rsidRPr="005B0F81" w:rsidRDefault="0035396D" w:rsidP="0036162B">
            <w:pPr>
              <w:pStyle w:val="Tabletextnormal"/>
            </w:pPr>
            <w:r w:rsidRPr="005B0F81">
              <w:t>Minimum inhibitory concentration</w:t>
            </w:r>
          </w:p>
        </w:tc>
      </w:tr>
      <w:tr w:rsidR="0035396D" w:rsidRPr="005B0F81" w14:paraId="5DBBFB42" w14:textId="77777777" w:rsidTr="00B54873">
        <w:trPr>
          <w:trHeight w:val="283"/>
          <w:jc w:val="center"/>
        </w:trPr>
        <w:tc>
          <w:tcPr>
            <w:tcW w:w="2314" w:type="dxa"/>
          </w:tcPr>
          <w:p w14:paraId="0E437AC9" w14:textId="77777777" w:rsidR="0035396D" w:rsidRPr="006E790E" w:rsidRDefault="0035396D" w:rsidP="0036162B">
            <w:pPr>
              <w:pStyle w:val="Tabletextnormal"/>
            </w:pPr>
            <w:r w:rsidRPr="006E790E">
              <w:t>min</w:t>
            </w:r>
          </w:p>
        </w:tc>
        <w:tc>
          <w:tcPr>
            <w:tcW w:w="5874" w:type="dxa"/>
          </w:tcPr>
          <w:p w14:paraId="4DCA1CB4" w14:textId="77777777" w:rsidR="0035396D" w:rsidRPr="005B0F81" w:rsidRDefault="0035396D" w:rsidP="0036162B">
            <w:pPr>
              <w:pStyle w:val="Tabletextnormal"/>
            </w:pPr>
            <w:r w:rsidRPr="005B0F81">
              <w:t>Minute</w:t>
            </w:r>
          </w:p>
        </w:tc>
      </w:tr>
      <w:tr w:rsidR="0035396D" w:rsidRPr="005B0F81" w14:paraId="7D13B501" w14:textId="77777777" w:rsidTr="00B54873">
        <w:trPr>
          <w:trHeight w:val="283"/>
          <w:jc w:val="center"/>
        </w:trPr>
        <w:tc>
          <w:tcPr>
            <w:tcW w:w="2314" w:type="dxa"/>
          </w:tcPr>
          <w:p w14:paraId="0FA2F2F7" w14:textId="77777777" w:rsidR="0035396D" w:rsidRPr="006E790E" w:rsidRDefault="0035396D" w:rsidP="0036162B">
            <w:pPr>
              <w:pStyle w:val="Tabletextnormal"/>
            </w:pPr>
            <w:r w:rsidRPr="006E790E">
              <w:t>ml</w:t>
            </w:r>
          </w:p>
        </w:tc>
        <w:tc>
          <w:tcPr>
            <w:tcW w:w="5874" w:type="dxa"/>
          </w:tcPr>
          <w:p w14:paraId="794F94FD" w14:textId="77777777" w:rsidR="0035396D" w:rsidRPr="005B0F81" w:rsidRDefault="0035396D" w:rsidP="0036162B">
            <w:pPr>
              <w:pStyle w:val="Tabletextnormal"/>
            </w:pPr>
            <w:r w:rsidRPr="005B0F81">
              <w:t>Millilitre</w:t>
            </w:r>
          </w:p>
        </w:tc>
      </w:tr>
      <w:tr w:rsidR="0035396D" w:rsidRPr="005B0F81" w14:paraId="233366A9" w14:textId="77777777" w:rsidTr="00B54873">
        <w:trPr>
          <w:trHeight w:val="283"/>
          <w:jc w:val="center"/>
        </w:trPr>
        <w:tc>
          <w:tcPr>
            <w:tcW w:w="2314" w:type="dxa"/>
          </w:tcPr>
          <w:p w14:paraId="7813D461" w14:textId="77777777" w:rsidR="0035396D" w:rsidRPr="006E790E" w:rsidRDefault="0035396D" w:rsidP="0036162B">
            <w:pPr>
              <w:pStyle w:val="Tabletextnormal"/>
            </w:pPr>
            <w:r w:rsidRPr="006E790E">
              <w:t>mM</w:t>
            </w:r>
          </w:p>
        </w:tc>
        <w:tc>
          <w:tcPr>
            <w:tcW w:w="5874" w:type="dxa"/>
          </w:tcPr>
          <w:p w14:paraId="2BC79888" w14:textId="77777777" w:rsidR="0035396D" w:rsidRPr="005B0F81" w:rsidRDefault="0035396D" w:rsidP="0036162B">
            <w:pPr>
              <w:pStyle w:val="Tabletextnormal"/>
            </w:pPr>
            <w:r w:rsidRPr="005B0F81">
              <w:t>Millimolar</w:t>
            </w:r>
          </w:p>
        </w:tc>
      </w:tr>
      <w:tr w:rsidR="0035396D" w:rsidRPr="005B0F81" w14:paraId="7F1011C3" w14:textId="77777777" w:rsidTr="00B54873">
        <w:trPr>
          <w:trHeight w:val="283"/>
          <w:jc w:val="center"/>
        </w:trPr>
        <w:tc>
          <w:tcPr>
            <w:tcW w:w="2314" w:type="dxa"/>
          </w:tcPr>
          <w:p w14:paraId="05F61F4A" w14:textId="77777777" w:rsidR="0035396D" w:rsidRPr="006E790E" w:rsidRDefault="0035396D" w:rsidP="0036162B">
            <w:pPr>
              <w:pStyle w:val="Tabletextnormal"/>
            </w:pPr>
            <w:r>
              <w:t>mm</w:t>
            </w:r>
          </w:p>
        </w:tc>
        <w:tc>
          <w:tcPr>
            <w:tcW w:w="5874" w:type="dxa"/>
          </w:tcPr>
          <w:p w14:paraId="4E1B0EB5" w14:textId="77777777" w:rsidR="0035396D" w:rsidRPr="005B0F81" w:rsidRDefault="0035396D" w:rsidP="0036162B">
            <w:pPr>
              <w:pStyle w:val="Tabletextnormal"/>
            </w:pPr>
            <w:r>
              <w:t>Millimetre</w:t>
            </w:r>
          </w:p>
        </w:tc>
      </w:tr>
      <w:tr w:rsidR="0035396D" w:rsidRPr="005B0F81" w14:paraId="379C3F52" w14:textId="77777777" w:rsidTr="00B54873">
        <w:trPr>
          <w:trHeight w:val="283"/>
          <w:jc w:val="center"/>
        </w:trPr>
        <w:tc>
          <w:tcPr>
            <w:tcW w:w="2314" w:type="dxa"/>
          </w:tcPr>
          <w:p w14:paraId="26866824" w14:textId="77777777" w:rsidR="0035396D" w:rsidRPr="006E790E" w:rsidRDefault="0035396D" w:rsidP="0036162B">
            <w:pPr>
              <w:pStyle w:val="Tabletextnormal"/>
            </w:pPr>
            <w:r>
              <w:t>MmA</w:t>
            </w:r>
          </w:p>
        </w:tc>
        <w:tc>
          <w:tcPr>
            <w:tcW w:w="5874" w:type="dxa"/>
          </w:tcPr>
          <w:p w14:paraId="0D560220" w14:textId="77777777" w:rsidR="0035396D" w:rsidRPr="005B0F81" w:rsidRDefault="0035396D" w:rsidP="0036162B">
            <w:pPr>
              <w:pStyle w:val="Tabletextnormal"/>
            </w:pPr>
            <w:r>
              <w:t>Moenomycin</w:t>
            </w:r>
          </w:p>
        </w:tc>
      </w:tr>
      <w:tr w:rsidR="0035396D" w:rsidRPr="005B0F81" w14:paraId="5302A9F0" w14:textId="77777777" w:rsidTr="00B54873">
        <w:trPr>
          <w:trHeight w:val="283"/>
          <w:jc w:val="center"/>
        </w:trPr>
        <w:tc>
          <w:tcPr>
            <w:tcW w:w="2314" w:type="dxa"/>
          </w:tcPr>
          <w:p w14:paraId="00360163" w14:textId="77777777" w:rsidR="0035396D" w:rsidRPr="006E790E" w:rsidRDefault="0035396D" w:rsidP="0036162B">
            <w:pPr>
              <w:pStyle w:val="Tabletextnormal"/>
            </w:pPr>
            <w:r w:rsidRPr="006E790E">
              <w:t>MNA</w:t>
            </w:r>
          </w:p>
        </w:tc>
        <w:tc>
          <w:tcPr>
            <w:tcW w:w="5874" w:type="dxa"/>
          </w:tcPr>
          <w:p w14:paraId="32DFE937" w14:textId="77777777" w:rsidR="0035396D" w:rsidRPr="005B0F81" w:rsidRDefault="0035396D" w:rsidP="0036162B">
            <w:pPr>
              <w:pStyle w:val="Tabletextnormal"/>
            </w:pPr>
            <w:r w:rsidRPr="005B0F81">
              <w:t>Methyl nadic anhydride</w:t>
            </w:r>
          </w:p>
        </w:tc>
      </w:tr>
      <w:tr w:rsidR="0035396D" w:rsidRPr="005B0F81" w14:paraId="0785739E" w14:textId="77777777" w:rsidTr="00B54873">
        <w:trPr>
          <w:trHeight w:val="283"/>
          <w:jc w:val="center"/>
        </w:trPr>
        <w:tc>
          <w:tcPr>
            <w:tcW w:w="2314" w:type="dxa"/>
          </w:tcPr>
          <w:p w14:paraId="283E44F0" w14:textId="77777777" w:rsidR="0035396D" w:rsidRPr="006E790E" w:rsidRDefault="0035396D" w:rsidP="0036162B">
            <w:pPr>
              <w:pStyle w:val="Tabletextnormal"/>
            </w:pPr>
            <w:r w:rsidRPr="006E790E">
              <w:t>MRSA</w:t>
            </w:r>
          </w:p>
        </w:tc>
        <w:tc>
          <w:tcPr>
            <w:tcW w:w="5874" w:type="dxa"/>
          </w:tcPr>
          <w:p w14:paraId="77E7827A" w14:textId="77777777" w:rsidR="0035396D" w:rsidRPr="005B0F81" w:rsidRDefault="0035396D" w:rsidP="0036162B">
            <w:pPr>
              <w:pStyle w:val="Tabletextnormal"/>
            </w:pPr>
            <w:r w:rsidRPr="005B0F81">
              <w:t xml:space="preserve">Methicillin resistant </w:t>
            </w:r>
            <w:r w:rsidRPr="005B0F81">
              <w:rPr>
                <w:i/>
                <w:iCs/>
              </w:rPr>
              <w:t>Staphylococcus aureus</w:t>
            </w:r>
          </w:p>
        </w:tc>
      </w:tr>
      <w:tr w:rsidR="0035396D" w:rsidRPr="005B0F81" w14:paraId="15E11FDF" w14:textId="77777777" w:rsidTr="00B54873">
        <w:trPr>
          <w:trHeight w:val="283"/>
          <w:jc w:val="center"/>
        </w:trPr>
        <w:tc>
          <w:tcPr>
            <w:tcW w:w="2314" w:type="dxa"/>
          </w:tcPr>
          <w:p w14:paraId="25B11A17" w14:textId="77777777" w:rsidR="0035396D" w:rsidRPr="006E790E" w:rsidRDefault="0035396D" w:rsidP="0036162B">
            <w:pPr>
              <w:pStyle w:val="Tabletextnormal"/>
            </w:pPr>
            <w:r>
              <w:t>ms</w:t>
            </w:r>
          </w:p>
        </w:tc>
        <w:tc>
          <w:tcPr>
            <w:tcW w:w="5874" w:type="dxa"/>
          </w:tcPr>
          <w:p w14:paraId="1642A5D8" w14:textId="77777777" w:rsidR="0035396D" w:rsidRPr="005B0F81" w:rsidRDefault="0035396D" w:rsidP="0036162B">
            <w:pPr>
              <w:pStyle w:val="Tabletextnormal"/>
            </w:pPr>
            <w:r>
              <w:t>Millisecond</w:t>
            </w:r>
          </w:p>
        </w:tc>
      </w:tr>
      <w:tr w:rsidR="0035396D" w:rsidRPr="005B0F81" w14:paraId="4C6648AB" w14:textId="77777777" w:rsidTr="00B54873">
        <w:trPr>
          <w:trHeight w:val="283"/>
          <w:jc w:val="center"/>
        </w:trPr>
        <w:tc>
          <w:tcPr>
            <w:tcW w:w="2314" w:type="dxa"/>
          </w:tcPr>
          <w:p w14:paraId="78905DAA" w14:textId="77777777" w:rsidR="0035396D" w:rsidRPr="006E790E" w:rsidRDefault="0035396D" w:rsidP="0036162B">
            <w:pPr>
              <w:pStyle w:val="Tabletextnormal"/>
            </w:pPr>
            <w:r w:rsidRPr="006E790E">
              <w:t>MSSA</w:t>
            </w:r>
          </w:p>
        </w:tc>
        <w:tc>
          <w:tcPr>
            <w:tcW w:w="5874" w:type="dxa"/>
          </w:tcPr>
          <w:p w14:paraId="556630AD" w14:textId="77777777" w:rsidR="0035396D" w:rsidRPr="005B0F81" w:rsidRDefault="0035396D" w:rsidP="0036162B">
            <w:pPr>
              <w:pStyle w:val="Tabletextnormal"/>
            </w:pPr>
            <w:r w:rsidRPr="005B0F81">
              <w:t xml:space="preserve">Methicillin sensitive </w:t>
            </w:r>
            <w:r w:rsidRPr="005B0F81">
              <w:rPr>
                <w:i/>
                <w:iCs/>
              </w:rPr>
              <w:t>Staphylococcus aureus</w:t>
            </w:r>
          </w:p>
        </w:tc>
      </w:tr>
      <w:tr w:rsidR="0035396D" w:rsidRPr="005B0F81" w14:paraId="1980FDB4" w14:textId="77777777" w:rsidTr="00B54873">
        <w:trPr>
          <w:trHeight w:val="283"/>
          <w:jc w:val="center"/>
        </w:trPr>
        <w:tc>
          <w:tcPr>
            <w:tcW w:w="2314" w:type="dxa"/>
          </w:tcPr>
          <w:p w14:paraId="0AFEB093" w14:textId="77777777" w:rsidR="0035396D" w:rsidRPr="006E790E" w:rsidRDefault="0035396D" w:rsidP="0036162B">
            <w:pPr>
              <w:pStyle w:val="Tabletextnormal"/>
            </w:pPr>
            <w:r w:rsidRPr="006E790E">
              <w:t>Mur</w:t>
            </w:r>
            <w:r w:rsidRPr="006E790E">
              <w:rPr>
                <w:i/>
                <w:iCs/>
              </w:rPr>
              <w:t>N</w:t>
            </w:r>
            <w:r w:rsidRPr="006E790E">
              <w:t>ac</w:t>
            </w:r>
          </w:p>
        </w:tc>
        <w:tc>
          <w:tcPr>
            <w:tcW w:w="5874" w:type="dxa"/>
          </w:tcPr>
          <w:p w14:paraId="67C8B2D2" w14:textId="77777777" w:rsidR="0035396D" w:rsidRPr="005B0F81" w:rsidRDefault="0035396D" w:rsidP="0036162B">
            <w:pPr>
              <w:pStyle w:val="Tabletextnormal"/>
            </w:pPr>
            <w:r w:rsidRPr="005B0F81">
              <w:rPr>
                <w:i/>
                <w:iCs/>
              </w:rPr>
              <w:t>N</w:t>
            </w:r>
            <w:r w:rsidRPr="005B0F81">
              <w:t>-acetylmuramic acid</w:t>
            </w:r>
          </w:p>
        </w:tc>
      </w:tr>
      <w:tr w:rsidR="0035396D" w:rsidRPr="005B0F81" w14:paraId="3B218481" w14:textId="77777777" w:rsidTr="00B54873">
        <w:trPr>
          <w:trHeight w:val="283"/>
          <w:jc w:val="center"/>
        </w:trPr>
        <w:tc>
          <w:tcPr>
            <w:tcW w:w="2314" w:type="dxa"/>
          </w:tcPr>
          <w:p w14:paraId="0491ACF3" w14:textId="77777777" w:rsidR="0035396D" w:rsidRPr="006E790E" w:rsidRDefault="0035396D" w:rsidP="0036162B">
            <w:pPr>
              <w:pStyle w:val="Tabletextnormal"/>
            </w:pPr>
            <w:r w:rsidRPr="006E790E">
              <w:t>mW</w:t>
            </w:r>
          </w:p>
        </w:tc>
        <w:tc>
          <w:tcPr>
            <w:tcW w:w="5874" w:type="dxa"/>
          </w:tcPr>
          <w:p w14:paraId="63A48F7C" w14:textId="77777777" w:rsidR="0035396D" w:rsidRPr="005B0F81" w:rsidRDefault="0035396D" w:rsidP="0036162B">
            <w:pPr>
              <w:pStyle w:val="Tabletextnormal"/>
            </w:pPr>
            <w:r w:rsidRPr="005B0F81">
              <w:t>Milliwatt</w:t>
            </w:r>
          </w:p>
        </w:tc>
      </w:tr>
      <w:tr w:rsidR="0035396D" w:rsidRPr="005B0F81" w14:paraId="581F3AB6" w14:textId="77777777" w:rsidTr="00B54873">
        <w:trPr>
          <w:trHeight w:val="283"/>
          <w:jc w:val="center"/>
        </w:trPr>
        <w:tc>
          <w:tcPr>
            <w:tcW w:w="2314" w:type="dxa"/>
          </w:tcPr>
          <w:p w14:paraId="0FE51764" w14:textId="77777777" w:rsidR="0035396D" w:rsidRPr="00A95638" w:rsidRDefault="0035396D" w:rsidP="0036162B">
            <w:pPr>
              <w:pStyle w:val="Tabletextnormal"/>
              <w:rPr>
                <w:i/>
                <w:iCs/>
              </w:rPr>
            </w:pPr>
            <w:r w:rsidRPr="00A95638">
              <w:rPr>
                <w:i/>
                <w:iCs/>
              </w:rPr>
              <w:t>n</w:t>
            </w:r>
          </w:p>
        </w:tc>
        <w:tc>
          <w:tcPr>
            <w:tcW w:w="5874" w:type="dxa"/>
          </w:tcPr>
          <w:p w14:paraId="62BF1897" w14:textId="77777777" w:rsidR="0035396D" w:rsidRDefault="0035396D" w:rsidP="0036162B">
            <w:pPr>
              <w:pStyle w:val="Tabletextnormal"/>
            </w:pPr>
            <w:r>
              <w:t>Sample number</w:t>
            </w:r>
          </w:p>
        </w:tc>
      </w:tr>
      <w:tr w:rsidR="0035396D" w:rsidRPr="005B0F81" w14:paraId="6FFFCEC5" w14:textId="77777777" w:rsidTr="00B54873">
        <w:trPr>
          <w:trHeight w:val="283"/>
          <w:jc w:val="center"/>
        </w:trPr>
        <w:tc>
          <w:tcPr>
            <w:tcW w:w="2314" w:type="dxa"/>
          </w:tcPr>
          <w:p w14:paraId="411C3A80" w14:textId="77777777" w:rsidR="0035396D" w:rsidRPr="006E790E" w:rsidRDefault="0035396D" w:rsidP="0036162B">
            <w:pPr>
              <w:pStyle w:val="Tabletextnormal"/>
            </w:pPr>
            <w:r>
              <w:t>Neo</w:t>
            </w:r>
          </w:p>
        </w:tc>
        <w:tc>
          <w:tcPr>
            <w:tcW w:w="5874" w:type="dxa"/>
          </w:tcPr>
          <w:p w14:paraId="72FD06EE" w14:textId="77777777" w:rsidR="0035396D" w:rsidRPr="005B0F81" w:rsidRDefault="0035396D" w:rsidP="0036162B">
            <w:pPr>
              <w:pStyle w:val="Tabletextnormal"/>
            </w:pPr>
            <w:r>
              <w:t>Neomycin</w:t>
            </w:r>
          </w:p>
        </w:tc>
      </w:tr>
      <w:tr w:rsidR="0035396D" w:rsidRPr="005B0F81" w14:paraId="2E7F35EB" w14:textId="77777777" w:rsidTr="00B54873">
        <w:trPr>
          <w:trHeight w:val="283"/>
          <w:jc w:val="center"/>
        </w:trPr>
        <w:tc>
          <w:tcPr>
            <w:tcW w:w="2314" w:type="dxa"/>
          </w:tcPr>
          <w:p w14:paraId="43AC5493" w14:textId="77777777" w:rsidR="0035396D" w:rsidRPr="006E790E" w:rsidRDefault="0035396D" w:rsidP="0036162B">
            <w:pPr>
              <w:pStyle w:val="Tabletextnormal"/>
            </w:pPr>
            <w:r w:rsidRPr="006E790E">
              <w:t>ng</w:t>
            </w:r>
          </w:p>
        </w:tc>
        <w:tc>
          <w:tcPr>
            <w:tcW w:w="5874" w:type="dxa"/>
          </w:tcPr>
          <w:p w14:paraId="453572BA" w14:textId="77777777" w:rsidR="0035396D" w:rsidRPr="005B0F81" w:rsidRDefault="0035396D" w:rsidP="0036162B">
            <w:pPr>
              <w:pStyle w:val="Tabletextnormal"/>
            </w:pPr>
            <w:r w:rsidRPr="005B0F81">
              <w:t>Nanogram</w:t>
            </w:r>
          </w:p>
        </w:tc>
      </w:tr>
      <w:tr w:rsidR="0035396D" w:rsidRPr="005B0F81" w14:paraId="5C7F56BC" w14:textId="77777777" w:rsidTr="00B54873">
        <w:trPr>
          <w:trHeight w:val="283"/>
          <w:jc w:val="center"/>
        </w:trPr>
        <w:tc>
          <w:tcPr>
            <w:tcW w:w="2314" w:type="dxa"/>
          </w:tcPr>
          <w:p w14:paraId="614444DF" w14:textId="77777777" w:rsidR="0035396D" w:rsidRPr="006E790E" w:rsidRDefault="0035396D" w:rsidP="0036162B">
            <w:pPr>
              <w:pStyle w:val="Tabletextnormal"/>
            </w:pPr>
            <w:r w:rsidRPr="006E790E">
              <w:t>nM</w:t>
            </w:r>
          </w:p>
        </w:tc>
        <w:tc>
          <w:tcPr>
            <w:tcW w:w="5874" w:type="dxa"/>
          </w:tcPr>
          <w:p w14:paraId="13130A50" w14:textId="77777777" w:rsidR="0035396D" w:rsidRPr="005B0F81" w:rsidRDefault="0035396D" w:rsidP="0036162B">
            <w:pPr>
              <w:pStyle w:val="Tabletextnormal"/>
            </w:pPr>
            <w:r w:rsidRPr="005B0F81">
              <w:t>Nanomolar</w:t>
            </w:r>
          </w:p>
        </w:tc>
      </w:tr>
      <w:tr w:rsidR="0035396D" w:rsidRPr="005B0F81" w14:paraId="559533A6" w14:textId="77777777" w:rsidTr="00B54873">
        <w:trPr>
          <w:trHeight w:val="283"/>
          <w:jc w:val="center"/>
        </w:trPr>
        <w:tc>
          <w:tcPr>
            <w:tcW w:w="2314" w:type="dxa"/>
          </w:tcPr>
          <w:p w14:paraId="1C2F4291" w14:textId="77777777" w:rsidR="0035396D" w:rsidRPr="006E790E" w:rsidRDefault="0035396D" w:rsidP="0036162B">
            <w:pPr>
              <w:pStyle w:val="Tabletextnormal"/>
            </w:pPr>
            <w:r w:rsidRPr="006E790E">
              <w:t>nm</w:t>
            </w:r>
          </w:p>
        </w:tc>
        <w:tc>
          <w:tcPr>
            <w:tcW w:w="5874" w:type="dxa"/>
          </w:tcPr>
          <w:p w14:paraId="5C19671A" w14:textId="77777777" w:rsidR="0035396D" w:rsidRPr="005B0F81" w:rsidRDefault="0035396D" w:rsidP="0036162B">
            <w:pPr>
              <w:pStyle w:val="Tabletextnormal"/>
            </w:pPr>
            <w:r w:rsidRPr="005B0F81">
              <w:t>Nanometre</w:t>
            </w:r>
          </w:p>
        </w:tc>
      </w:tr>
      <w:tr w:rsidR="0035396D" w:rsidRPr="005B0F81" w14:paraId="6D8E405F" w14:textId="77777777" w:rsidTr="00B54873">
        <w:trPr>
          <w:trHeight w:val="283"/>
          <w:jc w:val="center"/>
        </w:trPr>
        <w:tc>
          <w:tcPr>
            <w:tcW w:w="2314" w:type="dxa"/>
          </w:tcPr>
          <w:p w14:paraId="57EB5406" w14:textId="77777777" w:rsidR="0035396D" w:rsidRPr="006E790E" w:rsidRDefault="0035396D" w:rsidP="0036162B">
            <w:pPr>
              <w:pStyle w:val="Tabletextnormal"/>
            </w:pPr>
            <w:r w:rsidRPr="006E790E">
              <w:t>NSA</w:t>
            </w:r>
          </w:p>
        </w:tc>
        <w:tc>
          <w:tcPr>
            <w:tcW w:w="5874" w:type="dxa"/>
          </w:tcPr>
          <w:p w14:paraId="7A035985" w14:textId="77777777" w:rsidR="0035396D" w:rsidRPr="005B0F81" w:rsidRDefault="0035396D" w:rsidP="0036162B">
            <w:pPr>
              <w:pStyle w:val="Tabletextnormal"/>
            </w:pPr>
            <w:r w:rsidRPr="005B0F81">
              <w:t>Nonenyl succinic anhydride</w:t>
            </w:r>
          </w:p>
        </w:tc>
      </w:tr>
      <w:tr w:rsidR="0035396D" w:rsidRPr="005B0F81" w14:paraId="65179671" w14:textId="77777777" w:rsidTr="00B54873">
        <w:trPr>
          <w:trHeight w:val="283"/>
          <w:jc w:val="center"/>
        </w:trPr>
        <w:tc>
          <w:tcPr>
            <w:tcW w:w="2314" w:type="dxa"/>
          </w:tcPr>
          <w:p w14:paraId="05485C80" w14:textId="77777777" w:rsidR="0035396D" w:rsidRPr="006E790E" w:rsidRDefault="0035396D" w:rsidP="0036162B">
            <w:pPr>
              <w:pStyle w:val="Tabletextnormal"/>
            </w:pPr>
            <w:r w:rsidRPr="006E790E">
              <w:t>ºC</w:t>
            </w:r>
          </w:p>
        </w:tc>
        <w:tc>
          <w:tcPr>
            <w:tcW w:w="5874" w:type="dxa"/>
          </w:tcPr>
          <w:p w14:paraId="441141D6" w14:textId="77777777" w:rsidR="0035396D" w:rsidRPr="005B0F81" w:rsidRDefault="0035396D" w:rsidP="0036162B">
            <w:pPr>
              <w:pStyle w:val="Tabletextnormal"/>
            </w:pPr>
            <w:r w:rsidRPr="005B0F81">
              <w:t>Degree Celsius</w:t>
            </w:r>
          </w:p>
        </w:tc>
      </w:tr>
      <w:tr w:rsidR="0035396D" w:rsidRPr="005B0F81" w14:paraId="234C4406" w14:textId="77777777" w:rsidTr="00B54873">
        <w:trPr>
          <w:trHeight w:val="283"/>
          <w:jc w:val="center"/>
        </w:trPr>
        <w:tc>
          <w:tcPr>
            <w:tcW w:w="2314" w:type="dxa"/>
          </w:tcPr>
          <w:p w14:paraId="54F355E0" w14:textId="77777777" w:rsidR="0035396D" w:rsidRPr="006E790E" w:rsidRDefault="0035396D" w:rsidP="0036162B">
            <w:pPr>
              <w:pStyle w:val="Tabletextnormal"/>
            </w:pPr>
            <w:r w:rsidRPr="006E790E">
              <w:t>OD</w:t>
            </w:r>
          </w:p>
        </w:tc>
        <w:tc>
          <w:tcPr>
            <w:tcW w:w="5874" w:type="dxa"/>
          </w:tcPr>
          <w:p w14:paraId="163250A3" w14:textId="77777777" w:rsidR="0035396D" w:rsidRPr="005B0F81" w:rsidRDefault="0035396D" w:rsidP="0036162B">
            <w:pPr>
              <w:pStyle w:val="Tabletextnormal"/>
            </w:pPr>
            <w:r w:rsidRPr="005B0F81">
              <w:t>Optical density</w:t>
            </w:r>
          </w:p>
        </w:tc>
      </w:tr>
      <w:tr w:rsidR="0035396D" w:rsidRPr="005B0F81" w14:paraId="4D804B5F" w14:textId="77777777" w:rsidTr="00B54873">
        <w:trPr>
          <w:trHeight w:val="283"/>
          <w:jc w:val="center"/>
        </w:trPr>
        <w:tc>
          <w:tcPr>
            <w:tcW w:w="2314" w:type="dxa"/>
          </w:tcPr>
          <w:p w14:paraId="3FDA669B" w14:textId="77777777" w:rsidR="0035396D" w:rsidRPr="009A1EEE" w:rsidRDefault="0035396D" w:rsidP="0036162B">
            <w:pPr>
              <w:pStyle w:val="Tabletextnormal"/>
              <w:rPr>
                <w:vertAlign w:val="subscript"/>
              </w:rPr>
            </w:pPr>
            <w:r>
              <w:t>OD</w:t>
            </w:r>
            <w:r>
              <w:rPr>
                <w:vertAlign w:val="subscript"/>
              </w:rPr>
              <w:t>600</w:t>
            </w:r>
          </w:p>
        </w:tc>
        <w:tc>
          <w:tcPr>
            <w:tcW w:w="5874" w:type="dxa"/>
          </w:tcPr>
          <w:p w14:paraId="389F2CA3" w14:textId="77777777" w:rsidR="0035396D" w:rsidRPr="005B0F81" w:rsidRDefault="0035396D" w:rsidP="0036162B">
            <w:pPr>
              <w:pStyle w:val="Tabletextnormal"/>
            </w:pPr>
            <w:r>
              <w:t>Optical density measured at 600 nm</w:t>
            </w:r>
          </w:p>
        </w:tc>
      </w:tr>
      <w:tr w:rsidR="0035396D" w:rsidRPr="005B0F81" w14:paraId="68B24161" w14:textId="77777777" w:rsidTr="00B54873">
        <w:trPr>
          <w:trHeight w:val="283"/>
          <w:jc w:val="center"/>
        </w:trPr>
        <w:tc>
          <w:tcPr>
            <w:tcW w:w="2314" w:type="dxa"/>
          </w:tcPr>
          <w:p w14:paraId="4DD85367" w14:textId="77777777" w:rsidR="0035396D" w:rsidRPr="006E790E" w:rsidRDefault="0035396D" w:rsidP="0036162B">
            <w:pPr>
              <w:pStyle w:val="Tabletextnormal"/>
            </w:pPr>
            <w:r w:rsidRPr="006E790E">
              <w:t>OM</w:t>
            </w:r>
          </w:p>
        </w:tc>
        <w:tc>
          <w:tcPr>
            <w:tcW w:w="5874" w:type="dxa"/>
          </w:tcPr>
          <w:p w14:paraId="7F0472BA" w14:textId="77777777" w:rsidR="0035396D" w:rsidRPr="005B0F81" w:rsidRDefault="0035396D" w:rsidP="0036162B">
            <w:pPr>
              <w:pStyle w:val="Tabletextnormal"/>
            </w:pPr>
            <w:r w:rsidRPr="005B0F81">
              <w:t>Outer membrane</w:t>
            </w:r>
          </w:p>
        </w:tc>
      </w:tr>
      <w:tr w:rsidR="0035396D" w:rsidRPr="005B0F81" w14:paraId="3E60AFA6" w14:textId="77777777" w:rsidTr="00B54873">
        <w:trPr>
          <w:trHeight w:val="283"/>
          <w:jc w:val="center"/>
        </w:trPr>
        <w:tc>
          <w:tcPr>
            <w:tcW w:w="2314" w:type="dxa"/>
          </w:tcPr>
          <w:p w14:paraId="1983112A" w14:textId="77777777" w:rsidR="0035396D" w:rsidRPr="006E790E" w:rsidRDefault="0035396D" w:rsidP="0036162B">
            <w:pPr>
              <w:pStyle w:val="Tabletextnormal"/>
            </w:pPr>
            <w:r w:rsidRPr="006E790E">
              <w:t>OPGs</w:t>
            </w:r>
          </w:p>
        </w:tc>
        <w:tc>
          <w:tcPr>
            <w:tcW w:w="5874" w:type="dxa"/>
          </w:tcPr>
          <w:p w14:paraId="54363373" w14:textId="77777777" w:rsidR="0035396D" w:rsidRDefault="0035396D" w:rsidP="0036162B">
            <w:pPr>
              <w:pStyle w:val="Tabletextnormal"/>
            </w:pPr>
            <w:r>
              <w:t>Osmo-regulated Periplasmic Glucans</w:t>
            </w:r>
          </w:p>
        </w:tc>
      </w:tr>
      <w:tr w:rsidR="0035396D" w:rsidRPr="005B0F81" w14:paraId="4C5D4E30" w14:textId="77777777" w:rsidTr="00B54873">
        <w:trPr>
          <w:trHeight w:val="283"/>
          <w:jc w:val="center"/>
        </w:trPr>
        <w:tc>
          <w:tcPr>
            <w:tcW w:w="2314" w:type="dxa"/>
          </w:tcPr>
          <w:p w14:paraId="1E3F4A39" w14:textId="77777777" w:rsidR="0035396D" w:rsidRPr="006E790E" w:rsidRDefault="0035396D" w:rsidP="0036162B">
            <w:pPr>
              <w:pStyle w:val="Tabletextnormal"/>
            </w:pPr>
            <w:r>
              <w:t>pApA</w:t>
            </w:r>
          </w:p>
        </w:tc>
        <w:tc>
          <w:tcPr>
            <w:tcW w:w="5874" w:type="dxa"/>
          </w:tcPr>
          <w:p w14:paraId="7D0F3B27" w14:textId="77777777" w:rsidR="0035396D" w:rsidRPr="005B0F81" w:rsidRDefault="0035396D" w:rsidP="0036162B">
            <w:pPr>
              <w:pStyle w:val="Tabletextnormal"/>
            </w:pPr>
            <w:r>
              <w:t>5’-phosphadenylyl-adenosine</w:t>
            </w:r>
          </w:p>
        </w:tc>
      </w:tr>
      <w:tr w:rsidR="0035396D" w:rsidRPr="005B0F81" w14:paraId="03BC2EB1" w14:textId="77777777" w:rsidTr="00B54873">
        <w:trPr>
          <w:trHeight w:val="283"/>
          <w:jc w:val="center"/>
        </w:trPr>
        <w:tc>
          <w:tcPr>
            <w:tcW w:w="2314" w:type="dxa"/>
          </w:tcPr>
          <w:p w14:paraId="328D6D91" w14:textId="77777777" w:rsidR="0035396D" w:rsidRPr="006E790E" w:rsidRDefault="0035396D" w:rsidP="0036162B">
            <w:pPr>
              <w:pStyle w:val="Tabletextnormal"/>
            </w:pPr>
            <w:r w:rsidRPr="006E790E">
              <w:t>PBP</w:t>
            </w:r>
          </w:p>
        </w:tc>
        <w:tc>
          <w:tcPr>
            <w:tcW w:w="5874" w:type="dxa"/>
          </w:tcPr>
          <w:p w14:paraId="76B11D41" w14:textId="77777777" w:rsidR="0035396D" w:rsidRPr="005B0F81" w:rsidRDefault="0035396D" w:rsidP="0036162B">
            <w:pPr>
              <w:pStyle w:val="Tabletextnormal"/>
            </w:pPr>
            <w:r w:rsidRPr="005B0F81">
              <w:t>Penicillin binding protein</w:t>
            </w:r>
          </w:p>
        </w:tc>
      </w:tr>
      <w:tr w:rsidR="0035396D" w:rsidRPr="005B0F81" w14:paraId="72BA6E47" w14:textId="77777777" w:rsidTr="00B54873">
        <w:trPr>
          <w:trHeight w:val="283"/>
          <w:jc w:val="center"/>
        </w:trPr>
        <w:tc>
          <w:tcPr>
            <w:tcW w:w="2314" w:type="dxa"/>
          </w:tcPr>
          <w:p w14:paraId="6557FB50" w14:textId="77777777" w:rsidR="0035396D" w:rsidRPr="006E790E" w:rsidRDefault="0035396D" w:rsidP="0036162B">
            <w:pPr>
              <w:pStyle w:val="Tabletextnormal"/>
            </w:pPr>
            <w:r w:rsidRPr="006E790E">
              <w:t>PBS</w:t>
            </w:r>
          </w:p>
        </w:tc>
        <w:tc>
          <w:tcPr>
            <w:tcW w:w="5874" w:type="dxa"/>
          </w:tcPr>
          <w:p w14:paraId="7B51230C" w14:textId="77777777" w:rsidR="0035396D" w:rsidRPr="005B0F81" w:rsidRDefault="0035396D" w:rsidP="0036162B">
            <w:pPr>
              <w:pStyle w:val="Tabletextnormal"/>
            </w:pPr>
            <w:r w:rsidRPr="005B0F81">
              <w:t>Phosphate buffered saline</w:t>
            </w:r>
          </w:p>
        </w:tc>
      </w:tr>
      <w:tr w:rsidR="0035396D" w:rsidRPr="005B0F81" w14:paraId="3FEA9DAA" w14:textId="77777777" w:rsidTr="00B54873">
        <w:trPr>
          <w:trHeight w:val="283"/>
          <w:jc w:val="center"/>
        </w:trPr>
        <w:tc>
          <w:tcPr>
            <w:tcW w:w="2314" w:type="dxa"/>
          </w:tcPr>
          <w:p w14:paraId="7525A1C9" w14:textId="77777777" w:rsidR="0035396D" w:rsidRPr="006E790E" w:rsidRDefault="0035396D" w:rsidP="0036162B">
            <w:pPr>
              <w:pStyle w:val="Tabletextnormal"/>
            </w:pPr>
            <w:r w:rsidRPr="006E790E">
              <w:t>PCR</w:t>
            </w:r>
          </w:p>
        </w:tc>
        <w:tc>
          <w:tcPr>
            <w:tcW w:w="5874" w:type="dxa"/>
          </w:tcPr>
          <w:p w14:paraId="3FBC8FEF" w14:textId="77777777" w:rsidR="0035396D" w:rsidRPr="005B0F81" w:rsidRDefault="0035396D" w:rsidP="0036162B">
            <w:pPr>
              <w:pStyle w:val="Tabletextnormal"/>
            </w:pPr>
            <w:r w:rsidRPr="005B0F81">
              <w:t>Polymerase chain reaction</w:t>
            </w:r>
          </w:p>
        </w:tc>
      </w:tr>
      <w:tr w:rsidR="0035396D" w:rsidRPr="005B0F81" w14:paraId="4C0D1FEC" w14:textId="77777777" w:rsidTr="00B54873">
        <w:trPr>
          <w:trHeight w:val="283"/>
          <w:jc w:val="center"/>
        </w:trPr>
        <w:tc>
          <w:tcPr>
            <w:tcW w:w="2314" w:type="dxa"/>
          </w:tcPr>
          <w:p w14:paraId="26AF546E" w14:textId="77777777" w:rsidR="0035396D" w:rsidRPr="006E790E" w:rsidRDefault="0035396D" w:rsidP="0036162B">
            <w:pPr>
              <w:pStyle w:val="Tabletextnormal"/>
            </w:pPr>
            <w:r w:rsidRPr="006E790E">
              <w:t>PG</w:t>
            </w:r>
          </w:p>
        </w:tc>
        <w:tc>
          <w:tcPr>
            <w:tcW w:w="5874" w:type="dxa"/>
          </w:tcPr>
          <w:p w14:paraId="2F46D95A" w14:textId="77777777" w:rsidR="0035396D" w:rsidRPr="005B0F81" w:rsidRDefault="0035396D" w:rsidP="0036162B">
            <w:pPr>
              <w:pStyle w:val="Tabletextnormal"/>
            </w:pPr>
            <w:r w:rsidRPr="005B0F81">
              <w:t>Peptidoglycan</w:t>
            </w:r>
          </w:p>
        </w:tc>
      </w:tr>
      <w:tr w:rsidR="0035396D" w:rsidRPr="005B0F81" w14:paraId="6B288DD8" w14:textId="77777777" w:rsidTr="00B54873">
        <w:trPr>
          <w:trHeight w:val="283"/>
          <w:jc w:val="center"/>
        </w:trPr>
        <w:tc>
          <w:tcPr>
            <w:tcW w:w="2314" w:type="dxa"/>
          </w:tcPr>
          <w:p w14:paraId="2E8E6C7D" w14:textId="77777777" w:rsidR="0035396D" w:rsidRPr="006E790E" w:rsidRDefault="0035396D" w:rsidP="0036162B">
            <w:pPr>
              <w:pStyle w:val="Tabletextnormal"/>
            </w:pPr>
            <w:r w:rsidRPr="006E790E">
              <w:t>PGH</w:t>
            </w:r>
          </w:p>
        </w:tc>
        <w:tc>
          <w:tcPr>
            <w:tcW w:w="5874" w:type="dxa"/>
          </w:tcPr>
          <w:p w14:paraId="28E4C364" w14:textId="77777777" w:rsidR="0035396D" w:rsidRDefault="0035396D" w:rsidP="0036162B">
            <w:pPr>
              <w:pStyle w:val="Tabletextnormal"/>
            </w:pPr>
            <w:r>
              <w:t>Peptidoglycan hydrolase</w:t>
            </w:r>
          </w:p>
        </w:tc>
      </w:tr>
      <w:tr w:rsidR="0035396D" w:rsidRPr="005B0F81" w14:paraId="111840B0" w14:textId="77777777" w:rsidTr="00B54873">
        <w:trPr>
          <w:trHeight w:val="283"/>
          <w:jc w:val="center"/>
        </w:trPr>
        <w:tc>
          <w:tcPr>
            <w:tcW w:w="2314" w:type="dxa"/>
          </w:tcPr>
          <w:p w14:paraId="0DD6925B" w14:textId="77777777" w:rsidR="0035396D" w:rsidRPr="006E790E" w:rsidRDefault="0035396D" w:rsidP="0036162B">
            <w:pPr>
              <w:pStyle w:val="Tabletextnormal"/>
            </w:pPr>
            <w:r w:rsidRPr="006E790E">
              <w:t>PM</w:t>
            </w:r>
          </w:p>
        </w:tc>
        <w:tc>
          <w:tcPr>
            <w:tcW w:w="5874" w:type="dxa"/>
          </w:tcPr>
          <w:p w14:paraId="7BB95C56" w14:textId="77777777" w:rsidR="0035396D" w:rsidRPr="005B0F81" w:rsidRDefault="0035396D" w:rsidP="0036162B">
            <w:pPr>
              <w:pStyle w:val="Tabletextnormal"/>
            </w:pPr>
            <w:r w:rsidRPr="005B0F81">
              <w:t>Plasma membrane</w:t>
            </w:r>
          </w:p>
        </w:tc>
      </w:tr>
      <w:tr w:rsidR="0035396D" w:rsidRPr="005B0F81" w14:paraId="4F80F4AA" w14:textId="77777777" w:rsidTr="00B54873">
        <w:trPr>
          <w:trHeight w:val="283"/>
          <w:jc w:val="center"/>
        </w:trPr>
        <w:tc>
          <w:tcPr>
            <w:tcW w:w="2314" w:type="dxa"/>
          </w:tcPr>
          <w:p w14:paraId="6A7653B6" w14:textId="77777777" w:rsidR="0035396D" w:rsidRPr="006E790E" w:rsidRDefault="0035396D" w:rsidP="0036162B">
            <w:pPr>
              <w:pStyle w:val="Tabletextnormal"/>
            </w:pPr>
            <w:r w:rsidRPr="006E790E">
              <w:lastRenderedPageBreak/>
              <w:t>Rbo-P</w:t>
            </w:r>
          </w:p>
        </w:tc>
        <w:tc>
          <w:tcPr>
            <w:tcW w:w="5874" w:type="dxa"/>
          </w:tcPr>
          <w:p w14:paraId="58765AA9" w14:textId="77777777" w:rsidR="0035396D" w:rsidRDefault="0035396D" w:rsidP="0036162B">
            <w:pPr>
              <w:pStyle w:val="Tabletextnormal"/>
            </w:pPr>
            <w:r>
              <w:t>Ribitol phosphate</w:t>
            </w:r>
          </w:p>
        </w:tc>
      </w:tr>
      <w:tr w:rsidR="0035396D" w:rsidRPr="005B0F81" w14:paraId="0FCE11C4" w14:textId="77777777" w:rsidTr="00B54873">
        <w:trPr>
          <w:trHeight w:val="283"/>
          <w:jc w:val="center"/>
        </w:trPr>
        <w:tc>
          <w:tcPr>
            <w:tcW w:w="2314" w:type="dxa"/>
          </w:tcPr>
          <w:p w14:paraId="2136ED7C" w14:textId="77777777" w:rsidR="0035396D" w:rsidRPr="006E790E" w:rsidRDefault="0035396D" w:rsidP="0036162B">
            <w:pPr>
              <w:pStyle w:val="Tabletextnormal"/>
            </w:pPr>
            <w:r w:rsidRPr="006E790E">
              <w:t>rcf</w:t>
            </w:r>
          </w:p>
        </w:tc>
        <w:tc>
          <w:tcPr>
            <w:tcW w:w="5874" w:type="dxa"/>
          </w:tcPr>
          <w:p w14:paraId="53416BB6" w14:textId="77777777" w:rsidR="0035396D" w:rsidRPr="005B0F81" w:rsidRDefault="0035396D" w:rsidP="0036162B">
            <w:pPr>
              <w:pStyle w:val="Tabletextnormal"/>
            </w:pPr>
            <w:r w:rsidRPr="005B0F81">
              <w:t>Relative centrifugal force</w:t>
            </w:r>
          </w:p>
        </w:tc>
      </w:tr>
      <w:tr w:rsidR="0035396D" w:rsidRPr="005B0F81" w14:paraId="70244147" w14:textId="77777777" w:rsidTr="00B54873">
        <w:trPr>
          <w:trHeight w:val="283"/>
          <w:jc w:val="center"/>
        </w:trPr>
        <w:tc>
          <w:tcPr>
            <w:tcW w:w="2314" w:type="dxa"/>
          </w:tcPr>
          <w:p w14:paraId="6F8C4E36" w14:textId="77777777" w:rsidR="0035396D" w:rsidRPr="006E790E" w:rsidRDefault="0035396D" w:rsidP="0036162B">
            <w:pPr>
              <w:pStyle w:val="Tabletextnormal"/>
            </w:pPr>
            <w:r w:rsidRPr="006E790E">
              <w:t>rpm</w:t>
            </w:r>
          </w:p>
        </w:tc>
        <w:tc>
          <w:tcPr>
            <w:tcW w:w="5874" w:type="dxa"/>
          </w:tcPr>
          <w:p w14:paraId="74A16ECA" w14:textId="77777777" w:rsidR="0035396D" w:rsidRPr="005B0F81" w:rsidRDefault="0035396D" w:rsidP="0036162B">
            <w:pPr>
              <w:pStyle w:val="Tabletextnormal"/>
            </w:pPr>
            <w:r w:rsidRPr="005B0F81">
              <w:t xml:space="preserve">Revolutions </w:t>
            </w:r>
            <w:r w:rsidRPr="00A12912">
              <w:rPr>
                <w:i/>
                <w:iCs/>
              </w:rPr>
              <w:t>per</w:t>
            </w:r>
            <w:r w:rsidRPr="005B0F81">
              <w:t xml:space="preserve"> minute</w:t>
            </w:r>
          </w:p>
        </w:tc>
      </w:tr>
      <w:tr w:rsidR="0035396D" w:rsidRPr="005B0F81" w14:paraId="6302AEB3" w14:textId="77777777" w:rsidTr="00B54873">
        <w:trPr>
          <w:trHeight w:val="283"/>
          <w:jc w:val="center"/>
        </w:trPr>
        <w:tc>
          <w:tcPr>
            <w:tcW w:w="2314" w:type="dxa"/>
          </w:tcPr>
          <w:p w14:paraId="39E93169" w14:textId="77777777" w:rsidR="0035396D" w:rsidRPr="006E790E" w:rsidRDefault="0035396D" w:rsidP="0036162B">
            <w:pPr>
              <w:pStyle w:val="Tabletextnormal"/>
            </w:pPr>
            <w:r w:rsidRPr="006E790E">
              <w:t>s</w:t>
            </w:r>
          </w:p>
        </w:tc>
        <w:tc>
          <w:tcPr>
            <w:tcW w:w="5874" w:type="dxa"/>
          </w:tcPr>
          <w:p w14:paraId="42196349" w14:textId="77777777" w:rsidR="0035396D" w:rsidRPr="005B0F81" w:rsidRDefault="0035396D" w:rsidP="0036162B">
            <w:pPr>
              <w:pStyle w:val="Tabletextnormal"/>
            </w:pPr>
            <w:r w:rsidRPr="005B0F81">
              <w:t>Second</w:t>
            </w:r>
            <w:r>
              <w:t>s</w:t>
            </w:r>
          </w:p>
        </w:tc>
      </w:tr>
      <w:tr w:rsidR="0035396D" w:rsidRPr="005B0F81" w14:paraId="65E4DFE8" w14:textId="77777777" w:rsidTr="00B54873">
        <w:trPr>
          <w:trHeight w:val="283"/>
          <w:jc w:val="center"/>
        </w:trPr>
        <w:tc>
          <w:tcPr>
            <w:tcW w:w="2314" w:type="dxa"/>
          </w:tcPr>
          <w:p w14:paraId="78F4F84B" w14:textId="77777777" w:rsidR="0035396D" w:rsidRPr="006E790E" w:rsidRDefault="0035396D" w:rsidP="0036162B">
            <w:pPr>
              <w:pStyle w:val="Tabletextnormal"/>
            </w:pPr>
            <w:r w:rsidRPr="006E790E">
              <w:t>SEDS</w:t>
            </w:r>
          </w:p>
        </w:tc>
        <w:tc>
          <w:tcPr>
            <w:tcW w:w="5874" w:type="dxa"/>
          </w:tcPr>
          <w:p w14:paraId="68E64B55" w14:textId="77777777" w:rsidR="0035396D" w:rsidRDefault="0035396D" w:rsidP="0036162B">
            <w:pPr>
              <w:pStyle w:val="Tabletextnormal"/>
            </w:pPr>
            <w:r>
              <w:t>Shape, elongation, division and sporulation (family of proteins)</w:t>
            </w:r>
          </w:p>
        </w:tc>
      </w:tr>
      <w:tr w:rsidR="0035396D" w:rsidRPr="005B0F81" w14:paraId="21CFC3C6" w14:textId="77777777" w:rsidTr="00B54873">
        <w:trPr>
          <w:trHeight w:val="283"/>
          <w:jc w:val="center"/>
        </w:trPr>
        <w:tc>
          <w:tcPr>
            <w:tcW w:w="2314" w:type="dxa"/>
          </w:tcPr>
          <w:p w14:paraId="186EB3EE" w14:textId="77777777" w:rsidR="0035396D" w:rsidRPr="006E790E" w:rsidRDefault="0035396D" w:rsidP="0036162B">
            <w:pPr>
              <w:pStyle w:val="Tabletextnormal"/>
            </w:pPr>
            <w:r w:rsidRPr="006E790E">
              <w:t>SEM</w:t>
            </w:r>
          </w:p>
        </w:tc>
        <w:tc>
          <w:tcPr>
            <w:tcW w:w="5874" w:type="dxa"/>
          </w:tcPr>
          <w:p w14:paraId="69F97378" w14:textId="77777777" w:rsidR="0035396D" w:rsidRPr="005B0F81" w:rsidRDefault="0035396D" w:rsidP="0036162B">
            <w:pPr>
              <w:pStyle w:val="Tabletextnormal"/>
            </w:pPr>
            <w:r w:rsidRPr="005B0F81">
              <w:t>Scanning electron microscop</w:t>
            </w:r>
            <w:r>
              <w:t>y</w:t>
            </w:r>
          </w:p>
        </w:tc>
      </w:tr>
      <w:tr w:rsidR="0035396D" w:rsidRPr="005B0F81" w14:paraId="186F7C39" w14:textId="77777777" w:rsidTr="00B54873">
        <w:trPr>
          <w:trHeight w:val="283"/>
          <w:jc w:val="center"/>
        </w:trPr>
        <w:tc>
          <w:tcPr>
            <w:tcW w:w="2314" w:type="dxa"/>
          </w:tcPr>
          <w:p w14:paraId="3A963C1A" w14:textId="77777777" w:rsidR="0035396D" w:rsidRDefault="0035396D" w:rsidP="0036162B">
            <w:pPr>
              <w:pStyle w:val="Tabletextnormal"/>
            </w:pPr>
            <w:r>
              <w:t>SIM</w:t>
            </w:r>
          </w:p>
        </w:tc>
        <w:tc>
          <w:tcPr>
            <w:tcW w:w="5874" w:type="dxa"/>
          </w:tcPr>
          <w:p w14:paraId="308C7BA0" w14:textId="77777777" w:rsidR="0035396D" w:rsidRPr="005B0F81" w:rsidRDefault="0035396D" w:rsidP="0036162B">
            <w:pPr>
              <w:pStyle w:val="Tabletextnormal"/>
            </w:pPr>
            <w:r>
              <w:t>Structured illumination microscopy</w:t>
            </w:r>
          </w:p>
        </w:tc>
      </w:tr>
      <w:tr w:rsidR="0035396D" w:rsidRPr="005B0F81" w14:paraId="4B6C902D" w14:textId="77777777" w:rsidTr="00B54873">
        <w:trPr>
          <w:trHeight w:val="283"/>
          <w:jc w:val="center"/>
        </w:trPr>
        <w:tc>
          <w:tcPr>
            <w:tcW w:w="2314" w:type="dxa"/>
          </w:tcPr>
          <w:p w14:paraId="07FD5B0C" w14:textId="77777777" w:rsidR="0035396D" w:rsidRPr="006E790E" w:rsidRDefault="0035396D" w:rsidP="0036162B">
            <w:pPr>
              <w:pStyle w:val="Tabletextnormal"/>
            </w:pPr>
            <w:r w:rsidRPr="006E790E">
              <w:t>TA</w:t>
            </w:r>
          </w:p>
        </w:tc>
        <w:tc>
          <w:tcPr>
            <w:tcW w:w="5874" w:type="dxa"/>
          </w:tcPr>
          <w:p w14:paraId="1D9A81A6" w14:textId="77777777" w:rsidR="0035396D" w:rsidRPr="005B0F81" w:rsidRDefault="0035396D" w:rsidP="0036162B">
            <w:pPr>
              <w:pStyle w:val="Tabletextnormal"/>
            </w:pPr>
            <w:r w:rsidRPr="005B0F81">
              <w:t>Teichoic acids</w:t>
            </w:r>
          </w:p>
        </w:tc>
      </w:tr>
      <w:tr w:rsidR="0035396D" w:rsidRPr="005B0F81" w14:paraId="4226F477" w14:textId="77777777" w:rsidTr="00B54873">
        <w:trPr>
          <w:trHeight w:val="283"/>
          <w:jc w:val="center"/>
        </w:trPr>
        <w:tc>
          <w:tcPr>
            <w:tcW w:w="2314" w:type="dxa"/>
          </w:tcPr>
          <w:p w14:paraId="1EE3E425" w14:textId="77777777" w:rsidR="0035396D" w:rsidRPr="006E790E" w:rsidRDefault="0035396D" w:rsidP="0036162B">
            <w:pPr>
              <w:pStyle w:val="Tabletextnormal"/>
            </w:pPr>
            <w:r w:rsidRPr="006E790E">
              <w:t>TAE</w:t>
            </w:r>
          </w:p>
        </w:tc>
        <w:tc>
          <w:tcPr>
            <w:tcW w:w="5874" w:type="dxa"/>
          </w:tcPr>
          <w:p w14:paraId="27B41218" w14:textId="77777777" w:rsidR="0035396D" w:rsidRPr="005B0F81" w:rsidRDefault="0035396D" w:rsidP="0036162B">
            <w:pPr>
              <w:pStyle w:val="Tabletextnormal"/>
            </w:pPr>
            <w:r w:rsidRPr="005B0F81">
              <w:t>Tris-acetate EDTA</w:t>
            </w:r>
          </w:p>
        </w:tc>
      </w:tr>
      <w:tr w:rsidR="0035396D" w:rsidRPr="005B0F81" w14:paraId="0FEB0C93" w14:textId="77777777" w:rsidTr="00B54873">
        <w:trPr>
          <w:trHeight w:val="283"/>
          <w:jc w:val="center"/>
        </w:trPr>
        <w:tc>
          <w:tcPr>
            <w:tcW w:w="2314" w:type="dxa"/>
          </w:tcPr>
          <w:p w14:paraId="6B7D5996" w14:textId="77777777" w:rsidR="0035396D" w:rsidRPr="006E790E" w:rsidRDefault="0035396D" w:rsidP="0036162B">
            <w:pPr>
              <w:pStyle w:val="Tabletextnormal"/>
            </w:pPr>
            <w:r w:rsidRPr="006E790E">
              <w:t>TCS</w:t>
            </w:r>
          </w:p>
        </w:tc>
        <w:tc>
          <w:tcPr>
            <w:tcW w:w="5874" w:type="dxa"/>
          </w:tcPr>
          <w:p w14:paraId="42E2BFF6" w14:textId="77777777" w:rsidR="0035396D" w:rsidRDefault="0035396D" w:rsidP="0036162B">
            <w:pPr>
              <w:pStyle w:val="Tabletextnormal"/>
            </w:pPr>
            <w:r>
              <w:t>Two-component system</w:t>
            </w:r>
          </w:p>
        </w:tc>
      </w:tr>
      <w:tr w:rsidR="0035396D" w:rsidRPr="005B0F81" w14:paraId="0FAC21BC" w14:textId="77777777" w:rsidTr="00B54873">
        <w:trPr>
          <w:trHeight w:val="283"/>
          <w:jc w:val="center"/>
        </w:trPr>
        <w:tc>
          <w:tcPr>
            <w:tcW w:w="2314" w:type="dxa"/>
          </w:tcPr>
          <w:p w14:paraId="474E0C77" w14:textId="77777777" w:rsidR="0035396D" w:rsidRPr="006E790E" w:rsidRDefault="0035396D" w:rsidP="0036162B">
            <w:pPr>
              <w:pStyle w:val="Tabletextnormal"/>
            </w:pPr>
            <w:r w:rsidRPr="006E790E">
              <w:t>TEM</w:t>
            </w:r>
          </w:p>
        </w:tc>
        <w:tc>
          <w:tcPr>
            <w:tcW w:w="5874" w:type="dxa"/>
          </w:tcPr>
          <w:p w14:paraId="1840F964" w14:textId="77777777" w:rsidR="0035396D" w:rsidRPr="005B0F81" w:rsidRDefault="0035396D" w:rsidP="0036162B">
            <w:pPr>
              <w:pStyle w:val="Tabletextnormal"/>
            </w:pPr>
            <w:r w:rsidRPr="005B0F81">
              <w:t>Transmission electron microscop</w:t>
            </w:r>
            <w:r>
              <w:t>y</w:t>
            </w:r>
          </w:p>
        </w:tc>
      </w:tr>
      <w:tr w:rsidR="0035396D" w:rsidRPr="005B0F81" w14:paraId="17DC0B50" w14:textId="77777777" w:rsidTr="00B54873">
        <w:trPr>
          <w:trHeight w:val="283"/>
          <w:jc w:val="center"/>
        </w:trPr>
        <w:tc>
          <w:tcPr>
            <w:tcW w:w="2314" w:type="dxa"/>
          </w:tcPr>
          <w:p w14:paraId="5996E9CF" w14:textId="77777777" w:rsidR="0035396D" w:rsidRPr="006E790E" w:rsidRDefault="0035396D" w:rsidP="0036162B">
            <w:pPr>
              <w:pStyle w:val="Tabletextnormal"/>
            </w:pPr>
            <w:r>
              <w:t>Tet</w:t>
            </w:r>
          </w:p>
        </w:tc>
        <w:tc>
          <w:tcPr>
            <w:tcW w:w="5874" w:type="dxa"/>
          </w:tcPr>
          <w:p w14:paraId="0D94931A" w14:textId="77777777" w:rsidR="0035396D" w:rsidRPr="005B0F81" w:rsidRDefault="0035396D" w:rsidP="0036162B">
            <w:pPr>
              <w:pStyle w:val="Tabletextnormal"/>
            </w:pPr>
            <w:r>
              <w:t>Tetracycline</w:t>
            </w:r>
          </w:p>
        </w:tc>
      </w:tr>
      <w:tr w:rsidR="0035396D" w:rsidRPr="005B0F81" w14:paraId="223D3A1B" w14:textId="77777777" w:rsidTr="00B54873">
        <w:trPr>
          <w:trHeight w:val="283"/>
          <w:jc w:val="center"/>
        </w:trPr>
        <w:tc>
          <w:tcPr>
            <w:tcW w:w="2314" w:type="dxa"/>
          </w:tcPr>
          <w:p w14:paraId="6FAABEBF" w14:textId="77777777" w:rsidR="0035396D" w:rsidRPr="006E790E" w:rsidRDefault="0035396D" w:rsidP="0036162B">
            <w:pPr>
              <w:pStyle w:val="Tabletextnormal"/>
            </w:pPr>
            <w:r w:rsidRPr="006E790E">
              <w:t>TG</w:t>
            </w:r>
          </w:p>
        </w:tc>
        <w:tc>
          <w:tcPr>
            <w:tcW w:w="5874" w:type="dxa"/>
          </w:tcPr>
          <w:p w14:paraId="0464988E" w14:textId="77777777" w:rsidR="0035396D" w:rsidRDefault="0035396D" w:rsidP="0036162B">
            <w:pPr>
              <w:pStyle w:val="Tabletextnormal"/>
            </w:pPr>
            <w:r>
              <w:t>Transglycosylase</w:t>
            </w:r>
          </w:p>
        </w:tc>
      </w:tr>
      <w:tr w:rsidR="0035396D" w:rsidRPr="005B0F81" w14:paraId="5D792DF9" w14:textId="77777777" w:rsidTr="00B54873">
        <w:trPr>
          <w:trHeight w:val="283"/>
          <w:jc w:val="center"/>
        </w:trPr>
        <w:tc>
          <w:tcPr>
            <w:tcW w:w="2314" w:type="dxa"/>
          </w:tcPr>
          <w:p w14:paraId="21EAF254" w14:textId="77777777" w:rsidR="0035396D" w:rsidRPr="006E790E" w:rsidRDefault="0035396D" w:rsidP="0036162B">
            <w:pPr>
              <w:pStyle w:val="Tabletextnormal"/>
            </w:pPr>
            <w:r w:rsidRPr="006E790E">
              <w:t>TP</w:t>
            </w:r>
          </w:p>
        </w:tc>
        <w:tc>
          <w:tcPr>
            <w:tcW w:w="5874" w:type="dxa"/>
          </w:tcPr>
          <w:p w14:paraId="4D5F5628" w14:textId="77777777" w:rsidR="0035396D" w:rsidRDefault="0035396D" w:rsidP="0036162B">
            <w:pPr>
              <w:pStyle w:val="Tabletextnormal"/>
            </w:pPr>
            <w:r>
              <w:t>Transpeptidase</w:t>
            </w:r>
          </w:p>
        </w:tc>
      </w:tr>
      <w:tr w:rsidR="0035396D" w:rsidRPr="005B0F81" w14:paraId="36389354" w14:textId="77777777" w:rsidTr="00B54873">
        <w:trPr>
          <w:trHeight w:val="283"/>
          <w:jc w:val="center"/>
        </w:trPr>
        <w:tc>
          <w:tcPr>
            <w:tcW w:w="2314" w:type="dxa"/>
          </w:tcPr>
          <w:p w14:paraId="0CE58373" w14:textId="77777777" w:rsidR="0035396D" w:rsidRPr="006E790E" w:rsidRDefault="0035396D" w:rsidP="0036162B">
            <w:pPr>
              <w:pStyle w:val="Tabletextnormal"/>
            </w:pPr>
            <w:r w:rsidRPr="006E790E">
              <w:t>Tris</w:t>
            </w:r>
          </w:p>
        </w:tc>
        <w:tc>
          <w:tcPr>
            <w:tcW w:w="5874" w:type="dxa"/>
          </w:tcPr>
          <w:p w14:paraId="5BF08C05" w14:textId="77777777" w:rsidR="0035396D" w:rsidRPr="005B0F81" w:rsidRDefault="0035396D" w:rsidP="0036162B">
            <w:pPr>
              <w:pStyle w:val="Tabletextnormal"/>
            </w:pPr>
            <w:r w:rsidRPr="005B0F81">
              <w:t>Tris (hydroxymethyl) aminomethane</w:t>
            </w:r>
          </w:p>
        </w:tc>
      </w:tr>
      <w:tr w:rsidR="0035396D" w:rsidRPr="005B0F81" w14:paraId="74B6D82D" w14:textId="77777777" w:rsidTr="00B54873">
        <w:trPr>
          <w:trHeight w:val="283"/>
          <w:jc w:val="center"/>
        </w:trPr>
        <w:tc>
          <w:tcPr>
            <w:tcW w:w="2314" w:type="dxa"/>
          </w:tcPr>
          <w:p w14:paraId="3378CC7E" w14:textId="77777777" w:rsidR="0035396D" w:rsidRPr="006E790E" w:rsidRDefault="0035396D" w:rsidP="0036162B">
            <w:pPr>
              <w:pStyle w:val="Tabletextnormal"/>
            </w:pPr>
            <w:r w:rsidRPr="006E790E">
              <w:t>Tris-HCl</w:t>
            </w:r>
          </w:p>
        </w:tc>
        <w:tc>
          <w:tcPr>
            <w:tcW w:w="5874" w:type="dxa"/>
          </w:tcPr>
          <w:p w14:paraId="3C49C27C" w14:textId="77777777" w:rsidR="0035396D" w:rsidRPr="005B0F81" w:rsidRDefault="0035396D" w:rsidP="0036162B">
            <w:pPr>
              <w:pStyle w:val="Tabletextnormal"/>
            </w:pPr>
            <w:r w:rsidRPr="005B0F81">
              <w:t>Tris hydrochloride</w:t>
            </w:r>
          </w:p>
        </w:tc>
      </w:tr>
      <w:tr w:rsidR="0035396D" w:rsidRPr="005B0F81" w14:paraId="3B5322B0" w14:textId="77777777" w:rsidTr="00B54873">
        <w:trPr>
          <w:trHeight w:val="283"/>
          <w:jc w:val="center"/>
        </w:trPr>
        <w:tc>
          <w:tcPr>
            <w:tcW w:w="2314" w:type="dxa"/>
          </w:tcPr>
          <w:p w14:paraId="25901AFA" w14:textId="77777777" w:rsidR="0035396D" w:rsidRPr="006E790E" w:rsidRDefault="0035396D" w:rsidP="0036162B">
            <w:pPr>
              <w:pStyle w:val="Tabletextnormal"/>
            </w:pPr>
            <w:r w:rsidRPr="006E790E">
              <w:t>TSA</w:t>
            </w:r>
          </w:p>
        </w:tc>
        <w:tc>
          <w:tcPr>
            <w:tcW w:w="5874" w:type="dxa"/>
          </w:tcPr>
          <w:p w14:paraId="2467C090" w14:textId="77777777" w:rsidR="0035396D" w:rsidRPr="005B0F81" w:rsidRDefault="0035396D" w:rsidP="0036162B">
            <w:pPr>
              <w:pStyle w:val="Tabletextnormal"/>
            </w:pPr>
            <w:r w:rsidRPr="005B0F81">
              <w:t>Tryptic soy agar</w:t>
            </w:r>
          </w:p>
        </w:tc>
      </w:tr>
      <w:tr w:rsidR="0035396D" w:rsidRPr="005B0F81" w14:paraId="6064AB56" w14:textId="77777777" w:rsidTr="00B54873">
        <w:trPr>
          <w:trHeight w:val="283"/>
          <w:jc w:val="center"/>
        </w:trPr>
        <w:tc>
          <w:tcPr>
            <w:tcW w:w="2314" w:type="dxa"/>
          </w:tcPr>
          <w:p w14:paraId="7F6693A0" w14:textId="77777777" w:rsidR="0035396D" w:rsidRPr="006E790E" w:rsidRDefault="0035396D" w:rsidP="0036162B">
            <w:pPr>
              <w:pStyle w:val="Tabletextnormal"/>
            </w:pPr>
            <w:r w:rsidRPr="006E790E">
              <w:t>TSB</w:t>
            </w:r>
          </w:p>
        </w:tc>
        <w:tc>
          <w:tcPr>
            <w:tcW w:w="5874" w:type="dxa"/>
          </w:tcPr>
          <w:p w14:paraId="1D3A4B3A" w14:textId="77777777" w:rsidR="0035396D" w:rsidRPr="005B0F81" w:rsidRDefault="0035396D" w:rsidP="0036162B">
            <w:pPr>
              <w:pStyle w:val="Tabletextnormal"/>
            </w:pPr>
            <w:r w:rsidRPr="005B0F81">
              <w:t>Tryptic soy broth</w:t>
            </w:r>
          </w:p>
        </w:tc>
      </w:tr>
      <w:tr w:rsidR="0035396D" w:rsidRPr="005B0F81" w14:paraId="0B4E626D" w14:textId="77777777" w:rsidTr="00B54873">
        <w:trPr>
          <w:trHeight w:val="283"/>
          <w:jc w:val="center"/>
        </w:trPr>
        <w:tc>
          <w:tcPr>
            <w:tcW w:w="2314" w:type="dxa"/>
          </w:tcPr>
          <w:p w14:paraId="110DF616" w14:textId="77777777" w:rsidR="0035396D" w:rsidRDefault="0035396D" w:rsidP="0036162B">
            <w:pPr>
              <w:pStyle w:val="Tabletextnormal"/>
            </w:pPr>
            <w:r>
              <w:t>UA</w:t>
            </w:r>
          </w:p>
        </w:tc>
        <w:tc>
          <w:tcPr>
            <w:tcW w:w="5874" w:type="dxa"/>
          </w:tcPr>
          <w:p w14:paraId="5FA6566C" w14:textId="77777777" w:rsidR="0035396D" w:rsidRDefault="0035396D" w:rsidP="0036162B">
            <w:pPr>
              <w:pStyle w:val="Tabletextnormal"/>
            </w:pPr>
            <w:r>
              <w:t>Uranyl acetate</w:t>
            </w:r>
          </w:p>
        </w:tc>
      </w:tr>
      <w:tr w:rsidR="0035396D" w:rsidRPr="005B0F81" w14:paraId="62B2D0FB" w14:textId="77777777" w:rsidTr="00B54873">
        <w:trPr>
          <w:trHeight w:val="283"/>
          <w:jc w:val="center"/>
        </w:trPr>
        <w:tc>
          <w:tcPr>
            <w:tcW w:w="2314" w:type="dxa"/>
          </w:tcPr>
          <w:p w14:paraId="5922A65E" w14:textId="77777777" w:rsidR="0035396D" w:rsidRPr="006E790E" w:rsidRDefault="0035396D" w:rsidP="0036162B">
            <w:pPr>
              <w:pStyle w:val="Tabletextnormal"/>
            </w:pPr>
            <w:r w:rsidRPr="006E790E">
              <w:t>UV</w:t>
            </w:r>
          </w:p>
        </w:tc>
        <w:tc>
          <w:tcPr>
            <w:tcW w:w="5874" w:type="dxa"/>
          </w:tcPr>
          <w:p w14:paraId="21555BE3" w14:textId="77777777" w:rsidR="0035396D" w:rsidRPr="005B0F81" w:rsidRDefault="0035396D" w:rsidP="0036162B">
            <w:pPr>
              <w:pStyle w:val="Tabletextnormal"/>
            </w:pPr>
            <w:r w:rsidRPr="005B0F81">
              <w:t>Ultraviolet</w:t>
            </w:r>
          </w:p>
        </w:tc>
      </w:tr>
      <w:tr w:rsidR="0035396D" w:rsidRPr="005B0F81" w14:paraId="6DAC617A" w14:textId="77777777" w:rsidTr="00B54873">
        <w:trPr>
          <w:trHeight w:val="283"/>
          <w:jc w:val="center"/>
        </w:trPr>
        <w:tc>
          <w:tcPr>
            <w:tcW w:w="2314" w:type="dxa"/>
          </w:tcPr>
          <w:p w14:paraId="01080BE6" w14:textId="77777777" w:rsidR="0035396D" w:rsidRPr="006E790E" w:rsidRDefault="0035396D" w:rsidP="0036162B">
            <w:pPr>
              <w:pStyle w:val="Tabletextnormal"/>
            </w:pPr>
            <w:r>
              <w:t>v/v</w:t>
            </w:r>
          </w:p>
        </w:tc>
        <w:tc>
          <w:tcPr>
            <w:tcW w:w="5874" w:type="dxa"/>
          </w:tcPr>
          <w:p w14:paraId="2CBD1A72" w14:textId="77777777" w:rsidR="0035396D" w:rsidRPr="005B0F81" w:rsidRDefault="0035396D" w:rsidP="0036162B">
            <w:pPr>
              <w:pStyle w:val="Tabletextnormal"/>
            </w:pPr>
            <w:r>
              <w:t xml:space="preserve">Volume </w:t>
            </w:r>
            <w:r w:rsidRPr="00A12912">
              <w:rPr>
                <w:i/>
                <w:iCs/>
              </w:rPr>
              <w:t>per</w:t>
            </w:r>
            <w:r>
              <w:t xml:space="preserve"> volume</w:t>
            </w:r>
          </w:p>
        </w:tc>
      </w:tr>
      <w:tr w:rsidR="0035396D" w:rsidRPr="005B0F81" w14:paraId="043AA881" w14:textId="77777777" w:rsidTr="00B54873">
        <w:trPr>
          <w:trHeight w:val="283"/>
          <w:jc w:val="center"/>
        </w:trPr>
        <w:tc>
          <w:tcPr>
            <w:tcW w:w="2314" w:type="dxa"/>
          </w:tcPr>
          <w:p w14:paraId="09247767" w14:textId="77777777" w:rsidR="0035396D" w:rsidRPr="006E790E" w:rsidRDefault="0035396D" w:rsidP="0036162B">
            <w:pPr>
              <w:pStyle w:val="Tabletextnormal"/>
            </w:pPr>
            <w:r w:rsidRPr="006E790E">
              <w:t>VISA</w:t>
            </w:r>
          </w:p>
        </w:tc>
        <w:tc>
          <w:tcPr>
            <w:tcW w:w="5874" w:type="dxa"/>
          </w:tcPr>
          <w:p w14:paraId="57055FD7" w14:textId="77777777" w:rsidR="0035396D" w:rsidRPr="00672FF8" w:rsidRDefault="0035396D" w:rsidP="0036162B">
            <w:pPr>
              <w:pStyle w:val="Tabletextnormal"/>
              <w:rPr>
                <w:i/>
                <w:iCs/>
              </w:rPr>
            </w:pPr>
            <w:r>
              <w:t xml:space="preserve">Vancomycin intermediate </w:t>
            </w:r>
            <w:r>
              <w:rPr>
                <w:i/>
                <w:iCs/>
              </w:rPr>
              <w:t>S. aureus</w:t>
            </w:r>
          </w:p>
        </w:tc>
      </w:tr>
      <w:tr w:rsidR="0035396D" w:rsidRPr="005B0F81" w14:paraId="27F2F940" w14:textId="77777777" w:rsidTr="00B54873">
        <w:trPr>
          <w:trHeight w:val="283"/>
          <w:jc w:val="center"/>
        </w:trPr>
        <w:tc>
          <w:tcPr>
            <w:tcW w:w="2314" w:type="dxa"/>
          </w:tcPr>
          <w:p w14:paraId="595F17D5" w14:textId="77777777" w:rsidR="0035396D" w:rsidRPr="006E790E" w:rsidRDefault="0035396D" w:rsidP="0036162B">
            <w:pPr>
              <w:pStyle w:val="Tabletextnormal"/>
            </w:pPr>
            <w:r w:rsidRPr="006E790E">
              <w:t>VRSA</w:t>
            </w:r>
          </w:p>
        </w:tc>
        <w:tc>
          <w:tcPr>
            <w:tcW w:w="5874" w:type="dxa"/>
          </w:tcPr>
          <w:p w14:paraId="30221E59" w14:textId="77777777" w:rsidR="0035396D" w:rsidRPr="00672FF8" w:rsidRDefault="0035396D" w:rsidP="0036162B">
            <w:pPr>
              <w:pStyle w:val="Tabletextnormal"/>
              <w:rPr>
                <w:i/>
                <w:iCs/>
              </w:rPr>
            </w:pPr>
            <w:r>
              <w:t xml:space="preserve">Vancomycin resistant </w:t>
            </w:r>
            <w:r>
              <w:rPr>
                <w:i/>
                <w:iCs/>
              </w:rPr>
              <w:t>S. aureus</w:t>
            </w:r>
          </w:p>
        </w:tc>
      </w:tr>
      <w:tr w:rsidR="0035396D" w:rsidRPr="005B0F81" w14:paraId="64721C31" w14:textId="77777777" w:rsidTr="00B54873">
        <w:trPr>
          <w:trHeight w:val="283"/>
          <w:jc w:val="center"/>
        </w:trPr>
        <w:tc>
          <w:tcPr>
            <w:tcW w:w="2314" w:type="dxa"/>
          </w:tcPr>
          <w:p w14:paraId="2F50D994" w14:textId="77777777" w:rsidR="0035396D" w:rsidRPr="006E790E" w:rsidRDefault="0035396D" w:rsidP="0036162B">
            <w:pPr>
              <w:pStyle w:val="Tabletextnormal"/>
            </w:pPr>
            <w:r w:rsidRPr="006E790E">
              <w:t>w/v</w:t>
            </w:r>
          </w:p>
        </w:tc>
        <w:tc>
          <w:tcPr>
            <w:tcW w:w="5874" w:type="dxa"/>
          </w:tcPr>
          <w:p w14:paraId="4BB7C7A0" w14:textId="77777777" w:rsidR="0035396D" w:rsidRPr="005B0F81" w:rsidRDefault="0035396D" w:rsidP="0036162B">
            <w:pPr>
              <w:pStyle w:val="Tabletextnormal"/>
            </w:pPr>
            <w:r w:rsidRPr="005B0F81">
              <w:t xml:space="preserve">Weight </w:t>
            </w:r>
            <w:r w:rsidRPr="00A12912">
              <w:rPr>
                <w:i/>
                <w:iCs/>
              </w:rPr>
              <w:t>per</w:t>
            </w:r>
            <w:r w:rsidRPr="005B0F81">
              <w:t xml:space="preserve"> volume</w:t>
            </w:r>
          </w:p>
        </w:tc>
      </w:tr>
      <w:tr w:rsidR="0035396D" w:rsidRPr="005B0F81" w14:paraId="142636ED" w14:textId="77777777" w:rsidTr="00B54873">
        <w:trPr>
          <w:trHeight w:val="283"/>
          <w:jc w:val="center"/>
        </w:trPr>
        <w:tc>
          <w:tcPr>
            <w:tcW w:w="2314" w:type="dxa"/>
          </w:tcPr>
          <w:p w14:paraId="08B06031" w14:textId="77777777" w:rsidR="0035396D" w:rsidRPr="006E790E" w:rsidRDefault="0035396D" w:rsidP="0036162B">
            <w:pPr>
              <w:pStyle w:val="Tabletextnormal"/>
            </w:pPr>
            <w:r w:rsidRPr="006E790E">
              <w:t>WTA</w:t>
            </w:r>
          </w:p>
        </w:tc>
        <w:tc>
          <w:tcPr>
            <w:tcW w:w="5874" w:type="dxa"/>
          </w:tcPr>
          <w:p w14:paraId="7166E9DA" w14:textId="77777777" w:rsidR="0035396D" w:rsidRPr="005B0F81" w:rsidRDefault="0035396D" w:rsidP="0036162B">
            <w:pPr>
              <w:pStyle w:val="Tabletextnormal"/>
            </w:pPr>
            <w:r w:rsidRPr="005B0F81">
              <w:t>Wall teichoic acids</w:t>
            </w:r>
          </w:p>
        </w:tc>
      </w:tr>
      <w:tr w:rsidR="0035396D" w:rsidRPr="005B0F81" w14:paraId="42BA628B" w14:textId="77777777" w:rsidTr="00B54873">
        <w:trPr>
          <w:trHeight w:val="283"/>
          <w:jc w:val="center"/>
        </w:trPr>
        <w:tc>
          <w:tcPr>
            <w:tcW w:w="2314" w:type="dxa"/>
          </w:tcPr>
          <w:p w14:paraId="1915D6C6" w14:textId="77777777" w:rsidR="0035396D" w:rsidRPr="006E790E" w:rsidRDefault="0035396D" w:rsidP="0036162B">
            <w:pPr>
              <w:pStyle w:val="Tabletextnormal"/>
            </w:pPr>
            <w:r w:rsidRPr="006E790E">
              <w:t>x</w:t>
            </w:r>
          </w:p>
        </w:tc>
        <w:tc>
          <w:tcPr>
            <w:tcW w:w="5874" w:type="dxa"/>
          </w:tcPr>
          <w:p w14:paraId="75DD3801" w14:textId="77777777" w:rsidR="0035396D" w:rsidRPr="005B0F81" w:rsidRDefault="0035396D" w:rsidP="0036162B">
            <w:pPr>
              <w:pStyle w:val="Tabletextnormal"/>
            </w:pPr>
            <w:r w:rsidRPr="005B0F81">
              <w:t>Times</w:t>
            </w:r>
          </w:p>
        </w:tc>
      </w:tr>
      <w:tr w:rsidR="0035396D" w:rsidRPr="005B0F81" w14:paraId="10FF3A7E" w14:textId="77777777" w:rsidTr="00B54873">
        <w:trPr>
          <w:trHeight w:val="283"/>
          <w:jc w:val="center"/>
        </w:trPr>
        <w:tc>
          <w:tcPr>
            <w:tcW w:w="2314" w:type="dxa"/>
          </w:tcPr>
          <w:p w14:paraId="036342CB" w14:textId="77777777" w:rsidR="0035396D" w:rsidRPr="006E790E" w:rsidRDefault="0035396D" w:rsidP="0036162B">
            <w:pPr>
              <w:pStyle w:val="Tabletextnormal"/>
            </w:pPr>
            <w:r w:rsidRPr="006E790E">
              <w:t>µg</w:t>
            </w:r>
          </w:p>
        </w:tc>
        <w:tc>
          <w:tcPr>
            <w:tcW w:w="5874" w:type="dxa"/>
          </w:tcPr>
          <w:p w14:paraId="1206267D" w14:textId="77777777" w:rsidR="0035396D" w:rsidRPr="005B0F81" w:rsidRDefault="0035396D" w:rsidP="0036162B">
            <w:pPr>
              <w:pStyle w:val="Tabletextnormal"/>
            </w:pPr>
            <w:r w:rsidRPr="005B0F81">
              <w:t>Microgram</w:t>
            </w:r>
          </w:p>
        </w:tc>
      </w:tr>
      <w:tr w:rsidR="0035396D" w:rsidRPr="005B0F81" w14:paraId="7C49BD8B" w14:textId="77777777" w:rsidTr="00B54873">
        <w:trPr>
          <w:trHeight w:val="283"/>
          <w:jc w:val="center"/>
        </w:trPr>
        <w:tc>
          <w:tcPr>
            <w:tcW w:w="2314" w:type="dxa"/>
          </w:tcPr>
          <w:p w14:paraId="2A73A647" w14:textId="77777777" w:rsidR="0035396D" w:rsidRPr="006E790E" w:rsidRDefault="0035396D" w:rsidP="0036162B">
            <w:pPr>
              <w:pStyle w:val="Tabletextnormal"/>
            </w:pPr>
            <w:r w:rsidRPr="006E790E">
              <w:t>µl</w:t>
            </w:r>
          </w:p>
        </w:tc>
        <w:tc>
          <w:tcPr>
            <w:tcW w:w="5874" w:type="dxa"/>
          </w:tcPr>
          <w:p w14:paraId="31BEB59B" w14:textId="77777777" w:rsidR="0035396D" w:rsidRPr="005B0F81" w:rsidRDefault="0035396D" w:rsidP="0036162B">
            <w:pPr>
              <w:pStyle w:val="Tabletextnormal"/>
            </w:pPr>
            <w:r w:rsidRPr="005B0F81">
              <w:t>Microlitre</w:t>
            </w:r>
          </w:p>
        </w:tc>
      </w:tr>
      <w:tr w:rsidR="0035396D" w:rsidRPr="005B0F81" w14:paraId="59924557" w14:textId="77777777" w:rsidTr="00B54873">
        <w:trPr>
          <w:trHeight w:val="283"/>
          <w:jc w:val="center"/>
        </w:trPr>
        <w:tc>
          <w:tcPr>
            <w:tcW w:w="2314" w:type="dxa"/>
            <w:vAlign w:val="center"/>
          </w:tcPr>
          <w:p w14:paraId="33F96D37" w14:textId="77777777" w:rsidR="0035396D" w:rsidRPr="006E790E" w:rsidRDefault="0035396D" w:rsidP="0036162B">
            <w:pPr>
              <w:pStyle w:val="Tabletextnormal"/>
            </w:pPr>
            <w:r w:rsidRPr="006E790E">
              <w:t>µm</w:t>
            </w:r>
          </w:p>
        </w:tc>
        <w:tc>
          <w:tcPr>
            <w:tcW w:w="5874" w:type="dxa"/>
          </w:tcPr>
          <w:p w14:paraId="02DFAA3B" w14:textId="77777777" w:rsidR="0035396D" w:rsidRPr="005B0F81" w:rsidRDefault="0035396D" w:rsidP="0036162B">
            <w:pPr>
              <w:pStyle w:val="Tabletextnormal"/>
            </w:pPr>
            <w:r w:rsidRPr="005B0F81">
              <w:t>micrometre</w:t>
            </w:r>
          </w:p>
        </w:tc>
      </w:tr>
      <w:tr w:rsidR="0035396D" w:rsidRPr="005B0F81" w14:paraId="688097F7" w14:textId="77777777" w:rsidTr="00B54873">
        <w:trPr>
          <w:trHeight w:val="283"/>
          <w:jc w:val="center"/>
        </w:trPr>
        <w:tc>
          <w:tcPr>
            <w:tcW w:w="2314" w:type="dxa"/>
          </w:tcPr>
          <w:p w14:paraId="5B7B0561" w14:textId="77777777" w:rsidR="0035396D" w:rsidRPr="006E790E" w:rsidRDefault="0035396D" w:rsidP="0036162B">
            <w:pPr>
              <w:pStyle w:val="Tabletextnormal"/>
            </w:pPr>
            <w:r w:rsidRPr="006E790E">
              <w:t>µM</w:t>
            </w:r>
          </w:p>
        </w:tc>
        <w:tc>
          <w:tcPr>
            <w:tcW w:w="5874" w:type="dxa"/>
          </w:tcPr>
          <w:p w14:paraId="198A44DD" w14:textId="77777777" w:rsidR="0035396D" w:rsidRPr="005B0F81" w:rsidRDefault="0035396D" w:rsidP="0036162B">
            <w:pPr>
              <w:pStyle w:val="Tabletextnormal"/>
            </w:pPr>
            <w:r w:rsidRPr="005B0F81">
              <w:t>Micromolar</w:t>
            </w:r>
          </w:p>
        </w:tc>
      </w:tr>
      <w:tr w:rsidR="0035396D" w:rsidRPr="005B0F81" w14:paraId="4E5951AE" w14:textId="77777777" w:rsidTr="00B54873">
        <w:trPr>
          <w:trHeight w:val="283"/>
          <w:jc w:val="center"/>
        </w:trPr>
        <w:tc>
          <w:tcPr>
            <w:tcW w:w="2314" w:type="dxa"/>
          </w:tcPr>
          <w:p w14:paraId="2852DC16" w14:textId="77777777" w:rsidR="0035396D" w:rsidRPr="006E790E" w:rsidRDefault="0035396D" w:rsidP="0036162B">
            <w:pPr>
              <w:pStyle w:val="Tabletextnormal"/>
            </w:pPr>
            <w:r w:rsidRPr="006E790E">
              <w:t>Φ</w:t>
            </w:r>
          </w:p>
        </w:tc>
        <w:tc>
          <w:tcPr>
            <w:tcW w:w="5874" w:type="dxa"/>
          </w:tcPr>
          <w:p w14:paraId="0DD20D6A" w14:textId="77777777" w:rsidR="0035396D" w:rsidRPr="005B0F81" w:rsidRDefault="0035396D" w:rsidP="0036162B">
            <w:pPr>
              <w:pStyle w:val="Tabletextnormal"/>
            </w:pPr>
            <w:r w:rsidRPr="005B0F81">
              <w:t>Phage</w:t>
            </w:r>
          </w:p>
        </w:tc>
      </w:tr>
    </w:tbl>
    <w:p w14:paraId="3E11499C" w14:textId="77777777" w:rsidR="00A17E68" w:rsidRPr="005B0F81" w:rsidRDefault="00A17E68" w:rsidP="000125D8"/>
    <w:p w14:paraId="1C3BD841" w14:textId="77777777" w:rsidR="00182281" w:rsidRDefault="00182281">
      <w:pPr>
        <w:spacing w:before="0" w:line="259" w:lineRule="auto"/>
        <w:sectPr w:rsidR="00182281" w:rsidSect="004D0E05">
          <w:pgSz w:w="11906" w:h="16838"/>
          <w:pgMar w:top="1191" w:right="1247" w:bottom="1191" w:left="1247" w:header="709" w:footer="709" w:gutter="0"/>
          <w:pgNumType w:fmt="upperRoman"/>
          <w:cols w:space="708"/>
          <w:titlePg/>
          <w:docGrid w:linePitch="360"/>
        </w:sectPr>
      </w:pPr>
    </w:p>
    <w:p w14:paraId="4F1D4216" w14:textId="503D145A" w:rsidR="00AC1F80" w:rsidRPr="005B0F81" w:rsidRDefault="00890DE8" w:rsidP="00FA48D6">
      <w:pPr>
        <w:pStyle w:val="ChaptertitleThesis"/>
      </w:pPr>
      <w:bookmarkStart w:id="14" w:name="_Toc64276268"/>
      <w:bookmarkStart w:id="15" w:name="_Toc64276572"/>
      <w:bookmarkStart w:id="16" w:name="_Toc64276784"/>
      <w:bookmarkStart w:id="17" w:name="_Toc90216718"/>
      <w:r w:rsidRPr="005B0F81">
        <w:lastRenderedPageBreak/>
        <w:t xml:space="preserve">Table of </w:t>
      </w:r>
      <w:r w:rsidR="00DA7240">
        <w:t>C</w:t>
      </w:r>
      <w:r w:rsidRPr="005B0F81">
        <w:t>ontents</w:t>
      </w:r>
      <w:bookmarkEnd w:id="0"/>
      <w:bookmarkEnd w:id="14"/>
      <w:bookmarkEnd w:id="15"/>
      <w:bookmarkEnd w:id="16"/>
      <w:bookmarkEnd w:id="17"/>
    </w:p>
    <w:p w14:paraId="3B7B66C9" w14:textId="33076454" w:rsidR="00183CC8" w:rsidRDefault="001F369C">
      <w:pPr>
        <w:pStyle w:val="TOC1"/>
        <w:rPr>
          <w:rFonts w:eastAsiaTheme="minorEastAsia" w:cstheme="minorBidi"/>
          <w:b w:val="0"/>
          <w:szCs w:val="24"/>
          <w:lang w:eastAsia="en-GB"/>
        </w:rPr>
      </w:pPr>
      <w:r>
        <w:rPr>
          <w:b w:val="0"/>
        </w:rPr>
        <w:fldChar w:fldCharType="begin"/>
      </w:r>
      <w:r>
        <w:rPr>
          <w:b w:val="0"/>
        </w:rPr>
        <w:instrText xml:space="preserve"> TOC \o "1-5" \h \z \t "Title,1,Chapter title (Thesis),1" </w:instrText>
      </w:r>
      <w:r>
        <w:rPr>
          <w:b w:val="0"/>
        </w:rPr>
        <w:fldChar w:fldCharType="separate"/>
      </w:r>
      <w:hyperlink w:anchor="_Toc90216714" w:history="1">
        <w:r w:rsidR="00183CC8" w:rsidRPr="00BA3362">
          <w:rPr>
            <w:rStyle w:val="Hyperlink"/>
          </w:rPr>
          <w:t>Summary</w:t>
        </w:r>
        <w:r w:rsidR="00183CC8">
          <w:rPr>
            <w:webHidden/>
          </w:rPr>
          <w:tab/>
        </w:r>
        <w:r w:rsidR="00183CC8">
          <w:rPr>
            <w:webHidden/>
          </w:rPr>
          <w:fldChar w:fldCharType="begin"/>
        </w:r>
        <w:r w:rsidR="00183CC8">
          <w:rPr>
            <w:webHidden/>
          </w:rPr>
          <w:instrText xml:space="preserve"> PAGEREF _Toc90216714 \h </w:instrText>
        </w:r>
        <w:r w:rsidR="00183CC8">
          <w:rPr>
            <w:webHidden/>
          </w:rPr>
        </w:r>
        <w:r w:rsidR="00183CC8">
          <w:rPr>
            <w:webHidden/>
          </w:rPr>
          <w:fldChar w:fldCharType="separate"/>
        </w:r>
        <w:r w:rsidR="00183CC8">
          <w:rPr>
            <w:webHidden/>
          </w:rPr>
          <w:t>I</w:t>
        </w:r>
        <w:r w:rsidR="00183CC8">
          <w:rPr>
            <w:webHidden/>
          </w:rPr>
          <w:fldChar w:fldCharType="end"/>
        </w:r>
      </w:hyperlink>
    </w:p>
    <w:p w14:paraId="08230A02" w14:textId="375DCB93" w:rsidR="00183CC8" w:rsidRDefault="003373BF">
      <w:pPr>
        <w:pStyle w:val="TOC1"/>
        <w:rPr>
          <w:rFonts w:eastAsiaTheme="minorEastAsia" w:cstheme="minorBidi"/>
          <w:b w:val="0"/>
          <w:szCs w:val="24"/>
          <w:lang w:eastAsia="en-GB"/>
        </w:rPr>
      </w:pPr>
      <w:hyperlink w:anchor="_Toc90216715" w:history="1">
        <w:r w:rsidR="00183CC8" w:rsidRPr="00BA3362">
          <w:rPr>
            <w:rStyle w:val="Hyperlink"/>
          </w:rPr>
          <w:t>Publications</w:t>
        </w:r>
        <w:r w:rsidR="00183CC8">
          <w:rPr>
            <w:webHidden/>
          </w:rPr>
          <w:tab/>
        </w:r>
        <w:r w:rsidR="00183CC8">
          <w:rPr>
            <w:webHidden/>
          </w:rPr>
          <w:fldChar w:fldCharType="begin"/>
        </w:r>
        <w:r w:rsidR="00183CC8">
          <w:rPr>
            <w:webHidden/>
          </w:rPr>
          <w:instrText xml:space="preserve"> PAGEREF _Toc90216715 \h </w:instrText>
        </w:r>
        <w:r w:rsidR="00183CC8">
          <w:rPr>
            <w:webHidden/>
          </w:rPr>
        </w:r>
        <w:r w:rsidR="00183CC8">
          <w:rPr>
            <w:webHidden/>
          </w:rPr>
          <w:fldChar w:fldCharType="separate"/>
        </w:r>
        <w:r w:rsidR="00183CC8">
          <w:rPr>
            <w:webHidden/>
          </w:rPr>
          <w:t>II</w:t>
        </w:r>
        <w:r w:rsidR="00183CC8">
          <w:rPr>
            <w:webHidden/>
          </w:rPr>
          <w:fldChar w:fldCharType="end"/>
        </w:r>
      </w:hyperlink>
    </w:p>
    <w:p w14:paraId="4343B22A" w14:textId="01724EE9" w:rsidR="00183CC8" w:rsidRDefault="003373BF">
      <w:pPr>
        <w:pStyle w:val="TOC1"/>
        <w:rPr>
          <w:rFonts w:eastAsiaTheme="minorEastAsia" w:cstheme="minorBidi"/>
          <w:b w:val="0"/>
          <w:szCs w:val="24"/>
          <w:lang w:eastAsia="en-GB"/>
        </w:rPr>
      </w:pPr>
      <w:hyperlink w:anchor="_Toc90216716" w:history="1">
        <w:r w:rsidR="00183CC8" w:rsidRPr="00BA3362">
          <w:rPr>
            <w:rStyle w:val="Hyperlink"/>
          </w:rPr>
          <w:t>Acknowledgments</w:t>
        </w:r>
        <w:r w:rsidR="00183CC8">
          <w:rPr>
            <w:webHidden/>
          </w:rPr>
          <w:tab/>
        </w:r>
        <w:r w:rsidR="00183CC8">
          <w:rPr>
            <w:webHidden/>
          </w:rPr>
          <w:fldChar w:fldCharType="begin"/>
        </w:r>
        <w:r w:rsidR="00183CC8">
          <w:rPr>
            <w:webHidden/>
          </w:rPr>
          <w:instrText xml:space="preserve"> PAGEREF _Toc90216716 \h </w:instrText>
        </w:r>
        <w:r w:rsidR="00183CC8">
          <w:rPr>
            <w:webHidden/>
          </w:rPr>
        </w:r>
        <w:r w:rsidR="00183CC8">
          <w:rPr>
            <w:webHidden/>
          </w:rPr>
          <w:fldChar w:fldCharType="separate"/>
        </w:r>
        <w:r w:rsidR="00183CC8">
          <w:rPr>
            <w:webHidden/>
          </w:rPr>
          <w:t>III</w:t>
        </w:r>
        <w:r w:rsidR="00183CC8">
          <w:rPr>
            <w:webHidden/>
          </w:rPr>
          <w:fldChar w:fldCharType="end"/>
        </w:r>
      </w:hyperlink>
    </w:p>
    <w:p w14:paraId="1716BB05" w14:textId="103EF823" w:rsidR="00183CC8" w:rsidRDefault="003373BF">
      <w:pPr>
        <w:pStyle w:val="TOC1"/>
        <w:rPr>
          <w:rFonts w:eastAsiaTheme="minorEastAsia" w:cstheme="minorBidi"/>
          <w:b w:val="0"/>
          <w:szCs w:val="24"/>
          <w:lang w:eastAsia="en-GB"/>
        </w:rPr>
      </w:pPr>
      <w:hyperlink w:anchor="_Toc90216717" w:history="1">
        <w:r w:rsidR="00183CC8" w:rsidRPr="00BA3362">
          <w:rPr>
            <w:rStyle w:val="Hyperlink"/>
          </w:rPr>
          <w:t>List of Abbreviations</w:t>
        </w:r>
        <w:r w:rsidR="00183CC8">
          <w:rPr>
            <w:webHidden/>
          </w:rPr>
          <w:tab/>
        </w:r>
        <w:r w:rsidR="00183CC8">
          <w:rPr>
            <w:webHidden/>
          </w:rPr>
          <w:fldChar w:fldCharType="begin"/>
        </w:r>
        <w:r w:rsidR="00183CC8">
          <w:rPr>
            <w:webHidden/>
          </w:rPr>
          <w:instrText xml:space="preserve"> PAGEREF _Toc90216717 \h </w:instrText>
        </w:r>
        <w:r w:rsidR="00183CC8">
          <w:rPr>
            <w:webHidden/>
          </w:rPr>
        </w:r>
        <w:r w:rsidR="00183CC8">
          <w:rPr>
            <w:webHidden/>
          </w:rPr>
          <w:fldChar w:fldCharType="separate"/>
        </w:r>
        <w:r w:rsidR="00183CC8">
          <w:rPr>
            <w:webHidden/>
          </w:rPr>
          <w:t>V</w:t>
        </w:r>
        <w:r w:rsidR="00183CC8">
          <w:rPr>
            <w:webHidden/>
          </w:rPr>
          <w:fldChar w:fldCharType="end"/>
        </w:r>
      </w:hyperlink>
    </w:p>
    <w:p w14:paraId="5E116669" w14:textId="3436A8F7" w:rsidR="00183CC8" w:rsidRDefault="003373BF">
      <w:pPr>
        <w:pStyle w:val="TOC1"/>
        <w:rPr>
          <w:rFonts w:eastAsiaTheme="minorEastAsia" w:cstheme="minorBidi"/>
          <w:b w:val="0"/>
          <w:szCs w:val="24"/>
          <w:lang w:eastAsia="en-GB"/>
        </w:rPr>
      </w:pPr>
      <w:hyperlink w:anchor="_Toc90216718" w:history="1">
        <w:r w:rsidR="00183CC8" w:rsidRPr="00BA3362">
          <w:rPr>
            <w:rStyle w:val="Hyperlink"/>
          </w:rPr>
          <w:t>Table of Contents</w:t>
        </w:r>
        <w:r w:rsidR="00183CC8">
          <w:rPr>
            <w:webHidden/>
          </w:rPr>
          <w:tab/>
        </w:r>
        <w:r w:rsidR="00183CC8">
          <w:rPr>
            <w:webHidden/>
          </w:rPr>
          <w:fldChar w:fldCharType="begin"/>
        </w:r>
        <w:r w:rsidR="00183CC8">
          <w:rPr>
            <w:webHidden/>
          </w:rPr>
          <w:instrText xml:space="preserve"> PAGEREF _Toc90216718 \h </w:instrText>
        </w:r>
        <w:r w:rsidR="00183CC8">
          <w:rPr>
            <w:webHidden/>
          </w:rPr>
        </w:r>
        <w:r w:rsidR="00183CC8">
          <w:rPr>
            <w:webHidden/>
          </w:rPr>
          <w:fldChar w:fldCharType="separate"/>
        </w:r>
        <w:r w:rsidR="00183CC8">
          <w:rPr>
            <w:webHidden/>
          </w:rPr>
          <w:t>IX</w:t>
        </w:r>
        <w:r w:rsidR="00183CC8">
          <w:rPr>
            <w:webHidden/>
          </w:rPr>
          <w:fldChar w:fldCharType="end"/>
        </w:r>
      </w:hyperlink>
    </w:p>
    <w:p w14:paraId="5C92C1CE" w14:textId="6B0DCDA6" w:rsidR="00183CC8" w:rsidRDefault="003373BF">
      <w:pPr>
        <w:pStyle w:val="TOC1"/>
        <w:rPr>
          <w:rFonts w:eastAsiaTheme="minorEastAsia" w:cstheme="minorBidi"/>
          <w:b w:val="0"/>
          <w:szCs w:val="24"/>
          <w:lang w:eastAsia="en-GB"/>
        </w:rPr>
      </w:pPr>
      <w:hyperlink w:anchor="_Toc90216719" w:history="1">
        <w:r w:rsidR="00183CC8" w:rsidRPr="00BA3362">
          <w:rPr>
            <w:rStyle w:val="Hyperlink"/>
          </w:rPr>
          <w:t>Table of Figures</w:t>
        </w:r>
        <w:r w:rsidR="00183CC8">
          <w:rPr>
            <w:webHidden/>
          </w:rPr>
          <w:tab/>
        </w:r>
        <w:r w:rsidR="00183CC8">
          <w:rPr>
            <w:webHidden/>
          </w:rPr>
          <w:fldChar w:fldCharType="begin"/>
        </w:r>
        <w:r w:rsidR="00183CC8">
          <w:rPr>
            <w:webHidden/>
          </w:rPr>
          <w:instrText xml:space="preserve"> PAGEREF _Toc90216719 \h </w:instrText>
        </w:r>
        <w:r w:rsidR="00183CC8">
          <w:rPr>
            <w:webHidden/>
          </w:rPr>
        </w:r>
        <w:r w:rsidR="00183CC8">
          <w:rPr>
            <w:webHidden/>
          </w:rPr>
          <w:fldChar w:fldCharType="separate"/>
        </w:r>
        <w:r w:rsidR="00183CC8">
          <w:rPr>
            <w:webHidden/>
          </w:rPr>
          <w:t>XV</w:t>
        </w:r>
        <w:r w:rsidR="00183CC8">
          <w:rPr>
            <w:webHidden/>
          </w:rPr>
          <w:fldChar w:fldCharType="end"/>
        </w:r>
      </w:hyperlink>
    </w:p>
    <w:p w14:paraId="0521D8C0" w14:textId="3DC50348" w:rsidR="00183CC8" w:rsidRDefault="003373BF">
      <w:pPr>
        <w:pStyle w:val="TOC1"/>
        <w:rPr>
          <w:rFonts w:eastAsiaTheme="minorEastAsia" w:cstheme="minorBidi"/>
          <w:b w:val="0"/>
          <w:szCs w:val="24"/>
          <w:lang w:eastAsia="en-GB"/>
        </w:rPr>
      </w:pPr>
      <w:hyperlink w:anchor="_Toc90216720" w:history="1">
        <w:r w:rsidR="00183CC8" w:rsidRPr="00BA3362">
          <w:rPr>
            <w:rStyle w:val="Hyperlink"/>
          </w:rPr>
          <w:t>List of Tables</w:t>
        </w:r>
        <w:r w:rsidR="00183CC8">
          <w:rPr>
            <w:webHidden/>
          </w:rPr>
          <w:tab/>
        </w:r>
        <w:r w:rsidR="00183CC8">
          <w:rPr>
            <w:webHidden/>
          </w:rPr>
          <w:fldChar w:fldCharType="begin"/>
        </w:r>
        <w:r w:rsidR="00183CC8">
          <w:rPr>
            <w:webHidden/>
          </w:rPr>
          <w:instrText xml:space="preserve"> PAGEREF _Toc90216720 \h </w:instrText>
        </w:r>
        <w:r w:rsidR="00183CC8">
          <w:rPr>
            <w:webHidden/>
          </w:rPr>
        </w:r>
        <w:r w:rsidR="00183CC8">
          <w:rPr>
            <w:webHidden/>
          </w:rPr>
          <w:fldChar w:fldCharType="separate"/>
        </w:r>
        <w:r w:rsidR="00183CC8">
          <w:rPr>
            <w:webHidden/>
          </w:rPr>
          <w:t>XIX</w:t>
        </w:r>
        <w:r w:rsidR="00183CC8">
          <w:rPr>
            <w:webHidden/>
          </w:rPr>
          <w:fldChar w:fldCharType="end"/>
        </w:r>
      </w:hyperlink>
    </w:p>
    <w:p w14:paraId="7E84FA37" w14:textId="1606FC11" w:rsidR="00183CC8" w:rsidRDefault="003373BF">
      <w:pPr>
        <w:pStyle w:val="TOC1"/>
        <w:rPr>
          <w:rFonts w:eastAsiaTheme="minorEastAsia" w:cstheme="minorBidi"/>
          <w:b w:val="0"/>
          <w:szCs w:val="24"/>
          <w:lang w:eastAsia="en-GB"/>
        </w:rPr>
      </w:pPr>
      <w:hyperlink w:anchor="_Toc90216721" w:history="1">
        <w:r w:rsidR="00183CC8" w:rsidRPr="00BA3362">
          <w:rPr>
            <w:rStyle w:val="Hyperlink"/>
          </w:rPr>
          <w:t>Table of Supplementary Figures</w:t>
        </w:r>
        <w:r w:rsidR="00183CC8">
          <w:rPr>
            <w:webHidden/>
          </w:rPr>
          <w:tab/>
        </w:r>
        <w:r w:rsidR="00183CC8">
          <w:rPr>
            <w:webHidden/>
          </w:rPr>
          <w:fldChar w:fldCharType="begin"/>
        </w:r>
        <w:r w:rsidR="00183CC8">
          <w:rPr>
            <w:webHidden/>
          </w:rPr>
          <w:instrText xml:space="preserve"> PAGEREF _Toc90216721 \h </w:instrText>
        </w:r>
        <w:r w:rsidR="00183CC8">
          <w:rPr>
            <w:webHidden/>
          </w:rPr>
        </w:r>
        <w:r w:rsidR="00183CC8">
          <w:rPr>
            <w:webHidden/>
          </w:rPr>
          <w:fldChar w:fldCharType="separate"/>
        </w:r>
        <w:r w:rsidR="00183CC8">
          <w:rPr>
            <w:webHidden/>
          </w:rPr>
          <w:t>XIX</w:t>
        </w:r>
        <w:r w:rsidR="00183CC8">
          <w:rPr>
            <w:webHidden/>
          </w:rPr>
          <w:fldChar w:fldCharType="end"/>
        </w:r>
      </w:hyperlink>
    </w:p>
    <w:p w14:paraId="4E800039" w14:textId="70A9ABD7" w:rsidR="00183CC8" w:rsidRDefault="003373BF">
      <w:pPr>
        <w:pStyle w:val="TOC1"/>
        <w:rPr>
          <w:rFonts w:eastAsiaTheme="minorEastAsia" w:cstheme="minorBidi"/>
          <w:b w:val="0"/>
          <w:szCs w:val="24"/>
          <w:lang w:eastAsia="en-GB"/>
        </w:rPr>
      </w:pPr>
      <w:hyperlink w:anchor="_Toc90216722" w:history="1">
        <w:r w:rsidR="00183CC8">
          <w:rPr>
            <w:rFonts w:eastAsiaTheme="minorEastAsia" w:cstheme="minorBidi"/>
            <w:b w:val="0"/>
            <w:szCs w:val="24"/>
            <w:lang w:eastAsia="en-GB"/>
          </w:rPr>
          <w:tab/>
        </w:r>
        <w:r w:rsidR="00183CC8" w:rsidRPr="00BA3362">
          <w:rPr>
            <w:rStyle w:val="Hyperlink"/>
          </w:rPr>
          <w:t>Chapter 1</w:t>
        </w:r>
        <w:r w:rsidR="00183CC8">
          <w:rPr>
            <w:webHidden/>
          </w:rPr>
          <w:tab/>
        </w:r>
        <w:r w:rsidR="00183CC8">
          <w:rPr>
            <w:webHidden/>
          </w:rPr>
          <w:fldChar w:fldCharType="begin"/>
        </w:r>
        <w:r w:rsidR="00183CC8">
          <w:rPr>
            <w:webHidden/>
          </w:rPr>
          <w:instrText xml:space="preserve"> PAGEREF _Toc90216722 \h </w:instrText>
        </w:r>
        <w:r w:rsidR="00183CC8">
          <w:rPr>
            <w:webHidden/>
          </w:rPr>
        </w:r>
        <w:r w:rsidR="00183CC8">
          <w:rPr>
            <w:webHidden/>
          </w:rPr>
          <w:fldChar w:fldCharType="separate"/>
        </w:r>
        <w:r w:rsidR="00183CC8">
          <w:rPr>
            <w:webHidden/>
          </w:rPr>
          <w:t>1</w:t>
        </w:r>
        <w:r w:rsidR="00183CC8">
          <w:rPr>
            <w:webHidden/>
          </w:rPr>
          <w:fldChar w:fldCharType="end"/>
        </w:r>
      </w:hyperlink>
    </w:p>
    <w:p w14:paraId="1F956872" w14:textId="594D4178" w:rsidR="00183CC8" w:rsidRDefault="003373BF">
      <w:pPr>
        <w:pStyle w:val="TOC1"/>
        <w:rPr>
          <w:rFonts w:eastAsiaTheme="minorEastAsia" w:cstheme="minorBidi"/>
          <w:b w:val="0"/>
          <w:szCs w:val="24"/>
          <w:lang w:eastAsia="en-GB"/>
        </w:rPr>
      </w:pPr>
      <w:hyperlink w:anchor="_Toc90216723" w:history="1">
        <w:r w:rsidR="00183CC8" w:rsidRPr="00BA3362">
          <w:rPr>
            <w:rStyle w:val="Hyperlink"/>
          </w:rPr>
          <w:t>Introduction</w:t>
        </w:r>
        <w:r w:rsidR="00183CC8">
          <w:rPr>
            <w:webHidden/>
          </w:rPr>
          <w:tab/>
        </w:r>
        <w:r w:rsidR="00183CC8">
          <w:rPr>
            <w:webHidden/>
          </w:rPr>
          <w:fldChar w:fldCharType="begin"/>
        </w:r>
        <w:r w:rsidR="00183CC8">
          <w:rPr>
            <w:webHidden/>
          </w:rPr>
          <w:instrText xml:space="preserve"> PAGEREF _Toc90216723 \h </w:instrText>
        </w:r>
        <w:r w:rsidR="00183CC8">
          <w:rPr>
            <w:webHidden/>
          </w:rPr>
        </w:r>
        <w:r w:rsidR="00183CC8">
          <w:rPr>
            <w:webHidden/>
          </w:rPr>
          <w:fldChar w:fldCharType="separate"/>
        </w:r>
        <w:r w:rsidR="00183CC8">
          <w:rPr>
            <w:webHidden/>
          </w:rPr>
          <w:t>1</w:t>
        </w:r>
        <w:r w:rsidR="00183CC8">
          <w:rPr>
            <w:webHidden/>
          </w:rPr>
          <w:fldChar w:fldCharType="end"/>
        </w:r>
      </w:hyperlink>
    </w:p>
    <w:p w14:paraId="41D499CE" w14:textId="5D2EA286" w:rsidR="00183CC8" w:rsidRDefault="003373BF">
      <w:pPr>
        <w:pStyle w:val="TOC2"/>
        <w:tabs>
          <w:tab w:val="left" w:pos="958"/>
        </w:tabs>
        <w:rPr>
          <w:rFonts w:eastAsiaTheme="minorEastAsia" w:cstheme="minorBidi"/>
          <w:szCs w:val="24"/>
          <w:lang w:eastAsia="en-GB"/>
        </w:rPr>
      </w:pPr>
      <w:hyperlink w:anchor="_Toc90216724" w:history="1">
        <w:r w:rsidR="00183CC8" w:rsidRPr="00BA3362">
          <w:rPr>
            <w:rStyle w:val="Hyperlink"/>
            <w:iCs/>
          </w:rPr>
          <w:t>1.1</w:t>
        </w:r>
        <w:r w:rsidR="00183CC8">
          <w:rPr>
            <w:rFonts w:eastAsiaTheme="minorEastAsia" w:cstheme="minorBidi"/>
            <w:szCs w:val="24"/>
            <w:lang w:eastAsia="en-GB"/>
          </w:rPr>
          <w:tab/>
        </w:r>
        <w:r w:rsidR="00183CC8" w:rsidRPr="00BA3362">
          <w:rPr>
            <w:rStyle w:val="Hyperlink"/>
            <w:i/>
            <w:iCs/>
          </w:rPr>
          <w:t>Staphylococcus aureus.</w:t>
        </w:r>
        <w:r w:rsidR="00183CC8">
          <w:rPr>
            <w:webHidden/>
          </w:rPr>
          <w:tab/>
        </w:r>
        <w:r w:rsidR="00183CC8">
          <w:rPr>
            <w:webHidden/>
          </w:rPr>
          <w:fldChar w:fldCharType="begin"/>
        </w:r>
        <w:r w:rsidR="00183CC8">
          <w:rPr>
            <w:webHidden/>
          </w:rPr>
          <w:instrText xml:space="preserve"> PAGEREF _Toc90216724 \h </w:instrText>
        </w:r>
        <w:r w:rsidR="00183CC8">
          <w:rPr>
            <w:webHidden/>
          </w:rPr>
        </w:r>
        <w:r w:rsidR="00183CC8">
          <w:rPr>
            <w:webHidden/>
          </w:rPr>
          <w:fldChar w:fldCharType="separate"/>
        </w:r>
        <w:r w:rsidR="00183CC8">
          <w:rPr>
            <w:webHidden/>
          </w:rPr>
          <w:t>1</w:t>
        </w:r>
        <w:r w:rsidR="00183CC8">
          <w:rPr>
            <w:webHidden/>
          </w:rPr>
          <w:fldChar w:fldCharType="end"/>
        </w:r>
      </w:hyperlink>
    </w:p>
    <w:p w14:paraId="141D5D1D" w14:textId="4F39E0C1" w:rsidR="00183CC8" w:rsidRDefault="003373BF">
      <w:pPr>
        <w:pStyle w:val="TOC2"/>
        <w:tabs>
          <w:tab w:val="left" w:pos="958"/>
        </w:tabs>
        <w:rPr>
          <w:rFonts w:eastAsiaTheme="minorEastAsia" w:cstheme="minorBidi"/>
          <w:szCs w:val="24"/>
          <w:lang w:eastAsia="en-GB"/>
        </w:rPr>
      </w:pPr>
      <w:hyperlink w:anchor="_Toc90216725" w:history="1">
        <w:r w:rsidR="00183CC8" w:rsidRPr="00BA3362">
          <w:rPr>
            <w:rStyle w:val="Hyperlink"/>
            <w:rFonts w:eastAsia="Times New Roman"/>
            <w:lang w:eastAsia="en-GB"/>
          </w:rPr>
          <w:t>1.2</w:t>
        </w:r>
        <w:r w:rsidR="00183CC8">
          <w:rPr>
            <w:rFonts w:eastAsiaTheme="minorEastAsia" w:cstheme="minorBidi"/>
            <w:szCs w:val="24"/>
            <w:lang w:eastAsia="en-GB"/>
          </w:rPr>
          <w:tab/>
        </w:r>
        <w:r w:rsidR="00183CC8" w:rsidRPr="00BA3362">
          <w:rPr>
            <w:rStyle w:val="Hyperlink"/>
            <w:rFonts w:eastAsia="Times New Roman"/>
            <w:lang w:eastAsia="en-GB"/>
          </w:rPr>
          <w:t>The bacterial envelope.</w:t>
        </w:r>
        <w:r w:rsidR="00183CC8">
          <w:rPr>
            <w:webHidden/>
          </w:rPr>
          <w:tab/>
        </w:r>
        <w:r w:rsidR="00183CC8">
          <w:rPr>
            <w:webHidden/>
          </w:rPr>
          <w:fldChar w:fldCharType="begin"/>
        </w:r>
        <w:r w:rsidR="00183CC8">
          <w:rPr>
            <w:webHidden/>
          </w:rPr>
          <w:instrText xml:space="preserve"> PAGEREF _Toc90216725 \h </w:instrText>
        </w:r>
        <w:r w:rsidR="00183CC8">
          <w:rPr>
            <w:webHidden/>
          </w:rPr>
        </w:r>
        <w:r w:rsidR="00183CC8">
          <w:rPr>
            <w:webHidden/>
          </w:rPr>
          <w:fldChar w:fldCharType="separate"/>
        </w:r>
        <w:r w:rsidR="00183CC8">
          <w:rPr>
            <w:webHidden/>
          </w:rPr>
          <w:t>2</w:t>
        </w:r>
        <w:r w:rsidR="00183CC8">
          <w:rPr>
            <w:webHidden/>
          </w:rPr>
          <w:fldChar w:fldCharType="end"/>
        </w:r>
      </w:hyperlink>
    </w:p>
    <w:p w14:paraId="4589DCE1" w14:textId="6C4BDC5A" w:rsidR="00183CC8" w:rsidRDefault="003373BF">
      <w:pPr>
        <w:pStyle w:val="TOC2"/>
        <w:tabs>
          <w:tab w:val="left" w:pos="958"/>
        </w:tabs>
        <w:rPr>
          <w:rFonts w:eastAsiaTheme="minorEastAsia" w:cstheme="minorBidi"/>
          <w:szCs w:val="24"/>
          <w:lang w:eastAsia="en-GB"/>
        </w:rPr>
      </w:pPr>
      <w:hyperlink w:anchor="_Toc90216726" w:history="1">
        <w:r w:rsidR="00183CC8" w:rsidRPr="00BA3362">
          <w:rPr>
            <w:rStyle w:val="Hyperlink"/>
          </w:rPr>
          <w:t>1.3</w:t>
        </w:r>
        <w:r w:rsidR="00183CC8">
          <w:rPr>
            <w:rFonts w:eastAsiaTheme="minorEastAsia" w:cstheme="minorBidi"/>
            <w:szCs w:val="24"/>
            <w:lang w:eastAsia="en-GB"/>
          </w:rPr>
          <w:tab/>
        </w:r>
        <w:r w:rsidR="00183CC8" w:rsidRPr="00BA3362">
          <w:rPr>
            <w:rStyle w:val="Hyperlink"/>
          </w:rPr>
          <w:t>The peptidoglycan cell wall of Gram-positives.</w:t>
        </w:r>
        <w:r w:rsidR="00183CC8">
          <w:rPr>
            <w:webHidden/>
          </w:rPr>
          <w:tab/>
        </w:r>
        <w:r w:rsidR="00183CC8">
          <w:rPr>
            <w:webHidden/>
          </w:rPr>
          <w:fldChar w:fldCharType="begin"/>
        </w:r>
        <w:r w:rsidR="00183CC8">
          <w:rPr>
            <w:webHidden/>
          </w:rPr>
          <w:instrText xml:space="preserve"> PAGEREF _Toc90216726 \h </w:instrText>
        </w:r>
        <w:r w:rsidR="00183CC8">
          <w:rPr>
            <w:webHidden/>
          </w:rPr>
        </w:r>
        <w:r w:rsidR="00183CC8">
          <w:rPr>
            <w:webHidden/>
          </w:rPr>
          <w:fldChar w:fldCharType="separate"/>
        </w:r>
        <w:r w:rsidR="00183CC8">
          <w:rPr>
            <w:webHidden/>
          </w:rPr>
          <w:t>2</w:t>
        </w:r>
        <w:r w:rsidR="00183CC8">
          <w:rPr>
            <w:webHidden/>
          </w:rPr>
          <w:fldChar w:fldCharType="end"/>
        </w:r>
      </w:hyperlink>
    </w:p>
    <w:p w14:paraId="54EB782E" w14:textId="36B494A7" w:rsidR="00183CC8" w:rsidRDefault="003373BF">
      <w:pPr>
        <w:pStyle w:val="TOC2"/>
        <w:tabs>
          <w:tab w:val="left" w:pos="958"/>
        </w:tabs>
        <w:rPr>
          <w:rFonts w:eastAsiaTheme="minorEastAsia" w:cstheme="minorBidi"/>
          <w:szCs w:val="24"/>
          <w:lang w:eastAsia="en-GB"/>
        </w:rPr>
      </w:pPr>
      <w:hyperlink w:anchor="_Toc90216727" w:history="1">
        <w:r w:rsidR="00183CC8" w:rsidRPr="00BA3362">
          <w:rPr>
            <w:rStyle w:val="Hyperlink"/>
          </w:rPr>
          <w:t>1.4</w:t>
        </w:r>
        <w:r w:rsidR="00183CC8">
          <w:rPr>
            <w:rFonts w:eastAsiaTheme="minorEastAsia" w:cstheme="minorBidi"/>
            <w:szCs w:val="24"/>
            <w:lang w:eastAsia="en-GB"/>
          </w:rPr>
          <w:tab/>
        </w:r>
        <w:r w:rsidR="00183CC8" w:rsidRPr="00BA3362">
          <w:rPr>
            <w:rStyle w:val="Hyperlink"/>
          </w:rPr>
          <w:t>Peptidoglycan homeostasis.</w:t>
        </w:r>
        <w:r w:rsidR="00183CC8">
          <w:rPr>
            <w:webHidden/>
          </w:rPr>
          <w:tab/>
        </w:r>
        <w:r w:rsidR="00183CC8">
          <w:rPr>
            <w:webHidden/>
          </w:rPr>
          <w:fldChar w:fldCharType="begin"/>
        </w:r>
        <w:r w:rsidR="00183CC8">
          <w:rPr>
            <w:webHidden/>
          </w:rPr>
          <w:instrText xml:space="preserve"> PAGEREF _Toc90216727 \h </w:instrText>
        </w:r>
        <w:r w:rsidR="00183CC8">
          <w:rPr>
            <w:webHidden/>
          </w:rPr>
        </w:r>
        <w:r w:rsidR="00183CC8">
          <w:rPr>
            <w:webHidden/>
          </w:rPr>
          <w:fldChar w:fldCharType="separate"/>
        </w:r>
        <w:r w:rsidR="00183CC8">
          <w:rPr>
            <w:webHidden/>
          </w:rPr>
          <w:t>5</w:t>
        </w:r>
        <w:r w:rsidR="00183CC8">
          <w:rPr>
            <w:webHidden/>
          </w:rPr>
          <w:fldChar w:fldCharType="end"/>
        </w:r>
      </w:hyperlink>
    </w:p>
    <w:p w14:paraId="686E71BF" w14:textId="4CBF60BC" w:rsidR="00183CC8" w:rsidRDefault="003373BF">
      <w:pPr>
        <w:pStyle w:val="TOC3"/>
        <w:tabs>
          <w:tab w:val="left" w:pos="1320"/>
        </w:tabs>
        <w:rPr>
          <w:rFonts w:eastAsiaTheme="minorEastAsia" w:cstheme="minorBidi"/>
          <w:noProof/>
          <w:szCs w:val="24"/>
          <w:lang w:eastAsia="en-GB"/>
        </w:rPr>
      </w:pPr>
      <w:hyperlink w:anchor="_Toc90216728" w:history="1">
        <w:r w:rsidR="00183CC8" w:rsidRPr="00BA3362">
          <w:rPr>
            <w:rStyle w:val="Hyperlink"/>
            <w:noProof/>
          </w:rPr>
          <w:t>1.4.1</w:t>
        </w:r>
        <w:r w:rsidR="00183CC8">
          <w:rPr>
            <w:rFonts w:eastAsiaTheme="minorEastAsia" w:cstheme="minorBidi"/>
            <w:noProof/>
            <w:szCs w:val="24"/>
            <w:lang w:eastAsia="en-GB"/>
          </w:rPr>
          <w:tab/>
        </w:r>
        <w:r w:rsidR="00183CC8" w:rsidRPr="00BA3362">
          <w:rPr>
            <w:rStyle w:val="Hyperlink"/>
            <w:noProof/>
          </w:rPr>
          <w:t xml:space="preserve">Peptidoglycan biosynthesis in </w:t>
        </w:r>
        <w:r w:rsidR="00183CC8" w:rsidRPr="00BA3362">
          <w:rPr>
            <w:rStyle w:val="Hyperlink"/>
            <w:i/>
            <w:iCs/>
            <w:noProof/>
          </w:rPr>
          <w:t>S. aureus.</w:t>
        </w:r>
        <w:r w:rsidR="00183CC8">
          <w:rPr>
            <w:noProof/>
            <w:webHidden/>
          </w:rPr>
          <w:tab/>
        </w:r>
        <w:r w:rsidR="00183CC8">
          <w:rPr>
            <w:noProof/>
            <w:webHidden/>
          </w:rPr>
          <w:fldChar w:fldCharType="begin"/>
        </w:r>
        <w:r w:rsidR="00183CC8">
          <w:rPr>
            <w:noProof/>
            <w:webHidden/>
          </w:rPr>
          <w:instrText xml:space="preserve"> PAGEREF _Toc90216728 \h </w:instrText>
        </w:r>
        <w:r w:rsidR="00183CC8">
          <w:rPr>
            <w:noProof/>
            <w:webHidden/>
          </w:rPr>
        </w:r>
        <w:r w:rsidR="00183CC8">
          <w:rPr>
            <w:noProof/>
            <w:webHidden/>
          </w:rPr>
          <w:fldChar w:fldCharType="separate"/>
        </w:r>
        <w:r w:rsidR="00183CC8">
          <w:rPr>
            <w:noProof/>
            <w:webHidden/>
          </w:rPr>
          <w:t>5</w:t>
        </w:r>
        <w:r w:rsidR="00183CC8">
          <w:rPr>
            <w:noProof/>
            <w:webHidden/>
          </w:rPr>
          <w:fldChar w:fldCharType="end"/>
        </w:r>
      </w:hyperlink>
    </w:p>
    <w:p w14:paraId="700EA1F2" w14:textId="5C499FC2" w:rsidR="00183CC8" w:rsidRDefault="003373BF">
      <w:pPr>
        <w:pStyle w:val="TOC3"/>
        <w:tabs>
          <w:tab w:val="left" w:pos="1320"/>
        </w:tabs>
        <w:rPr>
          <w:rFonts w:eastAsiaTheme="minorEastAsia" w:cstheme="minorBidi"/>
          <w:noProof/>
          <w:szCs w:val="24"/>
          <w:lang w:eastAsia="en-GB"/>
        </w:rPr>
      </w:pPr>
      <w:hyperlink w:anchor="_Toc90216729" w:history="1">
        <w:r w:rsidR="00183CC8" w:rsidRPr="00BA3362">
          <w:rPr>
            <w:rStyle w:val="Hyperlink"/>
            <w:noProof/>
          </w:rPr>
          <w:t>1.4.2</w:t>
        </w:r>
        <w:r w:rsidR="00183CC8">
          <w:rPr>
            <w:rFonts w:eastAsiaTheme="minorEastAsia" w:cstheme="minorBidi"/>
            <w:noProof/>
            <w:szCs w:val="24"/>
            <w:lang w:eastAsia="en-GB"/>
          </w:rPr>
          <w:tab/>
        </w:r>
        <w:r w:rsidR="00183CC8" w:rsidRPr="00BA3362">
          <w:rPr>
            <w:rStyle w:val="Hyperlink"/>
            <w:noProof/>
          </w:rPr>
          <w:t xml:space="preserve">Peptidoglycan synthases of </w:t>
        </w:r>
        <w:r w:rsidR="00183CC8" w:rsidRPr="00BA3362">
          <w:rPr>
            <w:rStyle w:val="Hyperlink"/>
            <w:i/>
            <w:iCs/>
            <w:noProof/>
          </w:rPr>
          <w:t>S. aureus.</w:t>
        </w:r>
        <w:r w:rsidR="00183CC8">
          <w:rPr>
            <w:noProof/>
            <w:webHidden/>
          </w:rPr>
          <w:tab/>
        </w:r>
        <w:r w:rsidR="00183CC8">
          <w:rPr>
            <w:noProof/>
            <w:webHidden/>
          </w:rPr>
          <w:fldChar w:fldCharType="begin"/>
        </w:r>
        <w:r w:rsidR="00183CC8">
          <w:rPr>
            <w:noProof/>
            <w:webHidden/>
          </w:rPr>
          <w:instrText xml:space="preserve"> PAGEREF _Toc90216729 \h </w:instrText>
        </w:r>
        <w:r w:rsidR="00183CC8">
          <w:rPr>
            <w:noProof/>
            <w:webHidden/>
          </w:rPr>
        </w:r>
        <w:r w:rsidR="00183CC8">
          <w:rPr>
            <w:noProof/>
            <w:webHidden/>
          </w:rPr>
          <w:fldChar w:fldCharType="separate"/>
        </w:r>
        <w:r w:rsidR="00183CC8">
          <w:rPr>
            <w:noProof/>
            <w:webHidden/>
          </w:rPr>
          <w:t>5</w:t>
        </w:r>
        <w:r w:rsidR="00183CC8">
          <w:rPr>
            <w:noProof/>
            <w:webHidden/>
          </w:rPr>
          <w:fldChar w:fldCharType="end"/>
        </w:r>
      </w:hyperlink>
    </w:p>
    <w:p w14:paraId="7C67C0E3" w14:textId="50E9DAB3" w:rsidR="00183CC8" w:rsidRDefault="003373BF">
      <w:pPr>
        <w:pStyle w:val="TOC3"/>
        <w:tabs>
          <w:tab w:val="left" w:pos="1320"/>
        </w:tabs>
        <w:rPr>
          <w:rFonts w:eastAsiaTheme="minorEastAsia" w:cstheme="minorBidi"/>
          <w:noProof/>
          <w:szCs w:val="24"/>
          <w:lang w:eastAsia="en-GB"/>
        </w:rPr>
      </w:pPr>
      <w:hyperlink w:anchor="_Toc90216730" w:history="1">
        <w:r w:rsidR="00183CC8" w:rsidRPr="00BA3362">
          <w:rPr>
            <w:rStyle w:val="Hyperlink"/>
            <w:noProof/>
          </w:rPr>
          <w:t>1.4.3</w:t>
        </w:r>
        <w:r w:rsidR="00183CC8">
          <w:rPr>
            <w:rFonts w:eastAsiaTheme="minorEastAsia" w:cstheme="minorBidi"/>
            <w:noProof/>
            <w:szCs w:val="24"/>
            <w:lang w:eastAsia="en-GB"/>
          </w:rPr>
          <w:tab/>
        </w:r>
        <w:r w:rsidR="00183CC8" w:rsidRPr="00BA3362">
          <w:rPr>
            <w:rStyle w:val="Hyperlink"/>
            <w:noProof/>
          </w:rPr>
          <w:t xml:space="preserve">Peptidoglycan hydrolases of </w:t>
        </w:r>
        <w:r w:rsidR="00183CC8" w:rsidRPr="00BA3362">
          <w:rPr>
            <w:rStyle w:val="Hyperlink"/>
            <w:i/>
            <w:iCs/>
            <w:noProof/>
          </w:rPr>
          <w:t>S. aureus.</w:t>
        </w:r>
        <w:r w:rsidR="00183CC8">
          <w:rPr>
            <w:noProof/>
            <w:webHidden/>
          </w:rPr>
          <w:tab/>
        </w:r>
        <w:r w:rsidR="00183CC8">
          <w:rPr>
            <w:noProof/>
            <w:webHidden/>
          </w:rPr>
          <w:fldChar w:fldCharType="begin"/>
        </w:r>
        <w:r w:rsidR="00183CC8">
          <w:rPr>
            <w:noProof/>
            <w:webHidden/>
          </w:rPr>
          <w:instrText xml:space="preserve"> PAGEREF _Toc90216730 \h </w:instrText>
        </w:r>
        <w:r w:rsidR="00183CC8">
          <w:rPr>
            <w:noProof/>
            <w:webHidden/>
          </w:rPr>
        </w:r>
        <w:r w:rsidR="00183CC8">
          <w:rPr>
            <w:noProof/>
            <w:webHidden/>
          </w:rPr>
          <w:fldChar w:fldCharType="separate"/>
        </w:r>
        <w:r w:rsidR="00183CC8">
          <w:rPr>
            <w:noProof/>
            <w:webHidden/>
          </w:rPr>
          <w:t>9</w:t>
        </w:r>
        <w:r w:rsidR="00183CC8">
          <w:rPr>
            <w:noProof/>
            <w:webHidden/>
          </w:rPr>
          <w:fldChar w:fldCharType="end"/>
        </w:r>
      </w:hyperlink>
    </w:p>
    <w:p w14:paraId="335FCDF6" w14:textId="5A9BA4A3" w:rsidR="00183CC8" w:rsidRDefault="003373BF">
      <w:pPr>
        <w:pStyle w:val="TOC2"/>
        <w:tabs>
          <w:tab w:val="left" w:pos="958"/>
        </w:tabs>
        <w:rPr>
          <w:rFonts w:eastAsiaTheme="minorEastAsia" w:cstheme="minorBidi"/>
          <w:szCs w:val="24"/>
          <w:lang w:eastAsia="en-GB"/>
        </w:rPr>
      </w:pPr>
      <w:hyperlink w:anchor="_Toc90216731" w:history="1">
        <w:r w:rsidR="00183CC8" w:rsidRPr="00BA3362">
          <w:rPr>
            <w:rStyle w:val="Hyperlink"/>
          </w:rPr>
          <w:t>1.5</w:t>
        </w:r>
        <w:r w:rsidR="00183CC8">
          <w:rPr>
            <w:rFonts w:eastAsiaTheme="minorEastAsia" w:cstheme="minorBidi"/>
            <w:szCs w:val="24"/>
            <w:lang w:eastAsia="en-GB"/>
          </w:rPr>
          <w:tab/>
        </w:r>
        <w:r w:rsidR="00183CC8" w:rsidRPr="00BA3362">
          <w:rPr>
            <w:rStyle w:val="Hyperlink"/>
          </w:rPr>
          <w:t>Teichoic acids.</w:t>
        </w:r>
        <w:r w:rsidR="00183CC8">
          <w:rPr>
            <w:webHidden/>
          </w:rPr>
          <w:tab/>
        </w:r>
        <w:r w:rsidR="00183CC8">
          <w:rPr>
            <w:webHidden/>
          </w:rPr>
          <w:fldChar w:fldCharType="begin"/>
        </w:r>
        <w:r w:rsidR="00183CC8">
          <w:rPr>
            <w:webHidden/>
          </w:rPr>
          <w:instrText xml:space="preserve"> PAGEREF _Toc90216731 \h </w:instrText>
        </w:r>
        <w:r w:rsidR="00183CC8">
          <w:rPr>
            <w:webHidden/>
          </w:rPr>
        </w:r>
        <w:r w:rsidR="00183CC8">
          <w:rPr>
            <w:webHidden/>
          </w:rPr>
          <w:fldChar w:fldCharType="separate"/>
        </w:r>
        <w:r w:rsidR="00183CC8">
          <w:rPr>
            <w:webHidden/>
          </w:rPr>
          <w:t>12</w:t>
        </w:r>
        <w:r w:rsidR="00183CC8">
          <w:rPr>
            <w:webHidden/>
          </w:rPr>
          <w:fldChar w:fldCharType="end"/>
        </w:r>
      </w:hyperlink>
    </w:p>
    <w:p w14:paraId="7D6D15D4" w14:textId="6F0938CB" w:rsidR="00183CC8" w:rsidRDefault="003373BF">
      <w:pPr>
        <w:pStyle w:val="TOC3"/>
        <w:tabs>
          <w:tab w:val="left" w:pos="1320"/>
        </w:tabs>
        <w:rPr>
          <w:rFonts w:eastAsiaTheme="minorEastAsia" w:cstheme="minorBidi"/>
          <w:noProof/>
          <w:szCs w:val="24"/>
          <w:lang w:eastAsia="en-GB"/>
        </w:rPr>
      </w:pPr>
      <w:hyperlink w:anchor="_Toc90216732" w:history="1">
        <w:r w:rsidR="00183CC8" w:rsidRPr="00BA3362">
          <w:rPr>
            <w:rStyle w:val="Hyperlink"/>
            <w:noProof/>
          </w:rPr>
          <w:t>1.5.1</w:t>
        </w:r>
        <w:r w:rsidR="00183CC8">
          <w:rPr>
            <w:rFonts w:eastAsiaTheme="minorEastAsia" w:cstheme="minorBidi"/>
            <w:noProof/>
            <w:szCs w:val="24"/>
            <w:lang w:eastAsia="en-GB"/>
          </w:rPr>
          <w:tab/>
        </w:r>
        <w:r w:rsidR="00183CC8" w:rsidRPr="00BA3362">
          <w:rPr>
            <w:rStyle w:val="Hyperlink"/>
            <w:noProof/>
          </w:rPr>
          <w:t xml:space="preserve">Wall teichoic acid biosynthesis in </w:t>
        </w:r>
        <w:r w:rsidR="00183CC8" w:rsidRPr="00BA3362">
          <w:rPr>
            <w:rStyle w:val="Hyperlink"/>
            <w:i/>
            <w:iCs/>
            <w:noProof/>
          </w:rPr>
          <w:t>S. aureus.</w:t>
        </w:r>
        <w:r w:rsidR="00183CC8">
          <w:rPr>
            <w:noProof/>
            <w:webHidden/>
          </w:rPr>
          <w:tab/>
        </w:r>
        <w:r w:rsidR="00183CC8">
          <w:rPr>
            <w:noProof/>
            <w:webHidden/>
          </w:rPr>
          <w:fldChar w:fldCharType="begin"/>
        </w:r>
        <w:r w:rsidR="00183CC8">
          <w:rPr>
            <w:noProof/>
            <w:webHidden/>
          </w:rPr>
          <w:instrText xml:space="preserve"> PAGEREF _Toc90216732 \h </w:instrText>
        </w:r>
        <w:r w:rsidR="00183CC8">
          <w:rPr>
            <w:noProof/>
            <w:webHidden/>
          </w:rPr>
        </w:r>
        <w:r w:rsidR="00183CC8">
          <w:rPr>
            <w:noProof/>
            <w:webHidden/>
          </w:rPr>
          <w:fldChar w:fldCharType="separate"/>
        </w:r>
        <w:r w:rsidR="00183CC8">
          <w:rPr>
            <w:noProof/>
            <w:webHidden/>
          </w:rPr>
          <w:t>15</w:t>
        </w:r>
        <w:r w:rsidR="00183CC8">
          <w:rPr>
            <w:noProof/>
            <w:webHidden/>
          </w:rPr>
          <w:fldChar w:fldCharType="end"/>
        </w:r>
      </w:hyperlink>
    </w:p>
    <w:p w14:paraId="5CEB6072" w14:textId="6C0164C5" w:rsidR="00183CC8" w:rsidRDefault="003373BF">
      <w:pPr>
        <w:pStyle w:val="TOC3"/>
        <w:tabs>
          <w:tab w:val="left" w:pos="1320"/>
        </w:tabs>
        <w:rPr>
          <w:rFonts w:eastAsiaTheme="minorEastAsia" w:cstheme="minorBidi"/>
          <w:noProof/>
          <w:szCs w:val="24"/>
          <w:lang w:eastAsia="en-GB"/>
        </w:rPr>
      </w:pPr>
      <w:hyperlink w:anchor="_Toc90216733" w:history="1">
        <w:r w:rsidR="00183CC8" w:rsidRPr="00BA3362">
          <w:rPr>
            <w:rStyle w:val="Hyperlink"/>
            <w:noProof/>
          </w:rPr>
          <w:t>1.5.2</w:t>
        </w:r>
        <w:r w:rsidR="00183CC8">
          <w:rPr>
            <w:rFonts w:eastAsiaTheme="minorEastAsia" w:cstheme="minorBidi"/>
            <w:noProof/>
            <w:szCs w:val="24"/>
            <w:lang w:eastAsia="en-GB"/>
          </w:rPr>
          <w:tab/>
        </w:r>
        <w:r w:rsidR="00183CC8" w:rsidRPr="00BA3362">
          <w:rPr>
            <w:rStyle w:val="Hyperlink"/>
            <w:noProof/>
          </w:rPr>
          <w:t xml:space="preserve">Lipoteichoic acid biosynthesis in </w:t>
        </w:r>
        <w:r w:rsidR="00183CC8" w:rsidRPr="00BA3362">
          <w:rPr>
            <w:rStyle w:val="Hyperlink"/>
            <w:i/>
            <w:iCs/>
            <w:noProof/>
          </w:rPr>
          <w:t>S. aureus.</w:t>
        </w:r>
        <w:r w:rsidR="00183CC8">
          <w:rPr>
            <w:noProof/>
            <w:webHidden/>
          </w:rPr>
          <w:tab/>
        </w:r>
        <w:r w:rsidR="00183CC8">
          <w:rPr>
            <w:noProof/>
            <w:webHidden/>
          </w:rPr>
          <w:fldChar w:fldCharType="begin"/>
        </w:r>
        <w:r w:rsidR="00183CC8">
          <w:rPr>
            <w:noProof/>
            <w:webHidden/>
          </w:rPr>
          <w:instrText xml:space="preserve"> PAGEREF _Toc90216733 \h </w:instrText>
        </w:r>
        <w:r w:rsidR="00183CC8">
          <w:rPr>
            <w:noProof/>
            <w:webHidden/>
          </w:rPr>
        </w:r>
        <w:r w:rsidR="00183CC8">
          <w:rPr>
            <w:noProof/>
            <w:webHidden/>
          </w:rPr>
          <w:fldChar w:fldCharType="separate"/>
        </w:r>
        <w:r w:rsidR="00183CC8">
          <w:rPr>
            <w:noProof/>
            <w:webHidden/>
          </w:rPr>
          <w:t>20</w:t>
        </w:r>
        <w:r w:rsidR="00183CC8">
          <w:rPr>
            <w:noProof/>
            <w:webHidden/>
          </w:rPr>
          <w:fldChar w:fldCharType="end"/>
        </w:r>
      </w:hyperlink>
    </w:p>
    <w:p w14:paraId="4CDFEE20" w14:textId="1CE5825D" w:rsidR="00183CC8" w:rsidRDefault="003373BF">
      <w:pPr>
        <w:pStyle w:val="TOC2"/>
        <w:tabs>
          <w:tab w:val="left" w:pos="958"/>
        </w:tabs>
        <w:rPr>
          <w:rFonts w:eastAsiaTheme="minorEastAsia" w:cstheme="minorBidi"/>
          <w:szCs w:val="24"/>
          <w:lang w:eastAsia="en-GB"/>
        </w:rPr>
      </w:pPr>
      <w:hyperlink w:anchor="_Toc90216734" w:history="1">
        <w:r w:rsidR="00183CC8" w:rsidRPr="00BA3362">
          <w:rPr>
            <w:rStyle w:val="Hyperlink"/>
          </w:rPr>
          <w:t>1.6</w:t>
        </w:r>
        <w:r w:rsidR="00183CC8">
          <w:rPr>
            <w:rFonts w:eastAsiaTheme="minorEastAsia" w:cstheme="minorBidi"/>
            <w:szCs w:val="24"/>
            <w:lang w:eastAsia="en-GB"/>
          </w:rPr>
          <w:tab/>
        </w:r>
        <w:r w:rsidR="00183CC8" w:rsidRPr="00BA3362">
          <w:rPr>
            <w:rStyle w:val="Hyperlink"/>
          </w:rPr>
          <w:t>The exoplasmic space of Gram-positives.</w:t>
        </w:r>
        <w:r w:rsidR="00183CC8">
          <w:rPr>
            <w:webHidden/>
          </w:rPr>
          <w:tab/>
        </w:r>
        <w:r w:rsidR="00183CC8">
          <w:rPr>
            <w:webHidden/>
          </w:rPr>
          <w:fldChar w:fldCharType="begin"/>
        </w:r>
        <w:r w:rsidR="00183CC8">
          <w:rPr>
            <w:webHidden/>
          </w:rPr>
          <w:instrText xml:space="preserve"> PAGEREF _Toc90216734 \h </w:instrText>
        </w:r>
        <w:r w:rsidR="00183CC8">
          <w:rPr>
            <w:webHidden/>
          </w:rPr>
        </w:r>
        <w:r w:rsidR="00183CC8">
          <w:rPr>
            <w:webHidden/>
          </w:rPr>
          <w:fldChar w:fldCharType="separate"/>
        </w:r>
        <w:r w:rsidR="00183CC8">
          <w:rPr>
            <w:webHidden/>
          </w:rPr>
          <w:t>23</w:t>
        </w:r>
        <w:r w:rsidR="00183CC8">
          <w:rPr>
            <w:webHidden/>
          </w:rPr>
          <w:fldChar w:fldCharType="end"/>
        </w:r>
      </w:hyperlink>
    </w:p>
    <w:p w14:paraId="45BF0D01" w14:textId="62F65E49" w:rsidR="00183CC8" w:rsidRDefault="003373BF">
      <w:pPr>
        <w:pStyle w:val="TOC3"/>
        <w:tabs>
          <w:tab w:val="left" w:pos="1320"/>
        </w:tabs>
        <w:rPr>
          <w:rFonts w:eastAsiaTheme="minorEastAsia" w:cstheme="minorBidi"/>
          <w:noProof/>
          <w:szCs w:val="24"/>
          <w:lang w:eastAsia="en-GB"/>
        </w:rPr>
      </w:pPr>
      <w:hyperlink w:anchor="_Toc90216735" w:history="1">
        <w:r w:rsidR="00183CC8" w:rsidRPr="00BA3362">
          <w:rPr>
            <w:rStyle w:val="Hyperlink"/>
            <w:noProof/>
          </w:rPr>
          <w:t>1.6.1</w:t>
        </w:r>
        <w:r w:rsidR="00183CC8">
          <w:rPr>
            <w:rFonts w:eastAsiaTheme="minorEastAsia" w:cstheme="minorBidi"/>
            <w:noProof/>
            <w:szCs w:val="24"/>
            <w:lang w:eastAsia="en-GB"/>
          </w:rPr>
          <w:tab/>
        </w:r>
        <w:r w:rsidR="00183CC8" w:rsidRPr="00BA3362">
          <w:rPr>
            <w:rStyle w:val="Hyperlink"/>
            <w:noProof/>
          </w:rPr>
          <w:t>Maintenance of the exoplasmic space.</w:t>
        </w:r>
        <w:r w:rsidR="00183CC8">
          <w:rPr>
            <w:noProof/>
            <w:webHidden/>
          </w:rPr>
          <w:tab/>
        </w:r>
        <w:r w:rsidR="00183CC8">
          <w:rPr>
            <w:noProof/>
            <w:webHidden/>
          </w:rPr>
          <w:fldChar w:fldCharType="begin"/>
        </w:r>
        <w:r w:rsidR="00183CC8">
          <w:rPr>
            <w:noProof/>
            <w:webHidden/>
          </w:rPr>
          <w:instrText xml:space="preserve"> PAGEREF _Toc90216735 \h </w:instrText>
        </w:r>
        <w:r w:rsidR="00183CC8">
          <w:rPr>
            <w:noProof/>
            <w:webHidden/>
          </w:rPr>
        </w:r>
        <w:r w:rsidR="00183CC8">
          <w:rPr>
            <w:noProof/>
            <w:webHidden/>
          </w:rPr>
          <w:fldChar w:fldCharType="separate"/>
        </w:r>
        <w:r w:rsidR="00183CC8">
          <w:rPr>
            <w:noProof/>
            <w:webHidden/>
          </w:rPr>
          <w:t>23</w:t>
        </w:r>
        <w:r w:rsidR="00183CC8">
          <w:rPr>
            <w:noProof/>
            <w:webHidden/>
          </w:rPr>
          <w:fldChar w:fldCharType="end"/>
        </w:r>
      </w:hyperlink>
    </w:p>
    <w:p w14:paraId="4D62AEDD" w14:textId="0AD335CE" w:rsidR="00183CC8" w:rsidRDefault="003373BF">
      <w:pPr>
        <w:pStyle w:val="TOC2"/>
        <w:tabs>
          <w:tab w:val="left" w:pos="958"/>
        </w:tabs>
        <w:rPr>
          <w:rFonts w:eastAsiaTheme="minorEastAsia" w:cstheme="minorBidi"/>
          <w:szCs w:val="24"/>
          <w:lang w:eastAsia="en-GB"/>
        </w:rPr>
      </w:pPr>
      <w:hyperlink w:anchor="_Toc90216736" w:history="1">
        <w:r w:rsidR="00183CC8" w:rsidRPr="00BA3362">
          <w:rPr>
            <w:rStyle w:val="Hyperlink"/>
          </w:rPr>
          <w:t>1.7</w:t>
        </w:r>
        <w:r w:rsidR="00183CC8">
          <w:rPr>
            <w:rFonts w:eastAsiaTheme="minorEastAsia" w:cstheme="minorBidi"/>
            <w:szCs w:val="24"/>
            <w:lang w:eastAsia="en-GB"/>
          </w:rPr>
          <w:tab/>
        </w:r>
        <w:r w:rsidR="00183CC8" w:rsidRPr="00BA3362">
          <w:rPr>
            <w:rStyle w:val="Hyperlink"/>
          </w:rPr>
          <w:t>Antibiotics.</w:t>
        </w:r>
        <w:r w:rsidR="00183CC8">
          <w:rPr>
            <w:webHidden/>
          </w:rPr>
          <w:tab/>
        </w:r>
        <w:r w:rsidR="00183CC8">
          <w:rPr>
            <w:webHidden/>
          </w:rPr>
          <w:fldChar w:fldCharType="begin"/>
        </w:r>
        <w:r w:rsidR="00183CC8">
          <w:rPr>
            <w:webHidden/>
          </w:rPr>
          <w:instrText xml:space="preserve"> PAGEREF _Toc90216736 \h </w:instrText>
        </w:r>
        <w:r w:rsidR="00183CC8">
          <w:rPr>
            <w:webHidden/>
          </w:rPr>
        </w:r>
        <w:r w:rsidR="00183CC8">
          <w:rPr>
            <w:webHidden/>
          </w:rPr>
          <w:fldChar w:fldCharType="separate"/>
        </w:r>
        <w:r w:rsidR="00183CC8">
          <w:rPr>
            <w:webHidden/>
          </w:rPr>
          <w:t>24</w:t>
        </w:r>
        <w:r w:rsidR="00183CC8">
          <w:rPr>
            <w:webHidden/>
          </w:rPr>
          <w:fldChar w:fldCharType="end"/>
        </w:r>
      </w:hyperlink>
    </w:p>
    <w:p w14:paraId="5DDB2368" w14:textId="77E9DE5E" w:rsidR="00183CC8" w:rsidRDefault="003373BF">
      <w:pPr>
        <w:pStyle w:val="TOC3"/>
        <w:tabs>
          <w:tab w:val="left" w:pos="1320"/>
        </w:tabs>
        <w:rPr>
          <w:rFonts w:eastAsiaTheme="minorEastAsia" w:cstheme="minorBidi"/>
          <w:noProof/>
          <w:szCs w:val="24"/>
          <w:lang w:eastAsia="en-GB"/>
        </w:rPr>
      </w:pPr>
      <w:hyperlink w:anchor="_Toc90216737" w:history="1">
        <w:r w:rsidR="00183CC8" w:rsidRPr="00BA3362">
          <w:rPr>
            <w:rStyle w:val="Hyperlink"/>
            <w:noProof/>
          </w:rPr>
          <w:t>1.7.1</w:t>
        </w:r>
        <w:r w:rsidR="00183CC8">
          <w:rPr>
            <w:rFonts w:eastAsiaTheme="minorEastAsia" w:cstheme="minorBidi"/>
            <w:noProof/>
            <w:szCs w:val="24"/>
            <w:lang w:eastAsia="en-GB"/>
          </w:rPr>
          <w:tab/>
        </w:r>
        <w:r w:rsidR="00183CC8" w:rsidRPr="00BA3362">
          <w:rPr>
            <w:rStyle w:val="Hyperlink"/>
            <w:noProof/>
            <w:lang w:val="el-GR"/>
          </w:rPr>
          <w:t>β</w:t>
        </w:r>
        <w:r w:rsidR="00183CC8" w:rsidRPr="00BA3362">
          <w:rPr>
            <w:rStyle w:val="Hyperlink"/>
            <w:noProof/>
          </w:rPr>
          <w:t>-lactam antibiotics.</w:t>
        </w:r>
        <w:r w:rsidR="00183CC8">
          <w:rPr>
            <w:noProof/>
            <w:webHidden/>
          </w:rPr>
          <w:tab/>
        </w:r>
        <w:r w:rsidR="00183CC8">
          <w:rPr>
            <w:noProof/>
            <w:webHidden/>
          </w:rPr>
          <w:fldChar w:fldCharType="begin"/>
        </w:r>
        <w:r w:rsidR="00183CC8">
          <w:rPr>
            <w:noProof/>
            <w:webHidden/>
          </w:rPr>
          <w:instrText xml:space="preserve"> PAGEREF _Toc90216737 \h </w:instrText>
        </w:r>
        <w:r w:rsidR="00183CC8">
          <w:rPr>
            <w:noProof/>
            <w:webHidden/>
          </w:rPr>
        </w:r>
        <w:r w:rsidR="00183CC8">
          <w:rPr>
            <w:noProof/>
            <w:webHidden/>
          </w:rPr>
          <w:fldChar w:fldCharType="separate"/>
        </w:r>
        <w:r w:rsidR="00183CC8">
          <w:rPr>
            <w:noProof/>
            <w:webHidden/>
          </w:rPr>
          <w:t>26</w:t>
        </w:r>
        <w:r w:rsidR="00183CC8">
          <w:rPr>
            <w:noProof/>
            <w:webHidden/>
          </w:rPr>
          <w:fldChar w:fldCharType="end"/>
        </w:r>
      </w:hyperlink>
    </w:p>
    <w:p w14:paraId="3AEA45CB" w14:textId="0F1CC9C2" w:rsidR="00183CC8" w:rsidRDefault="003373BF">
      <w:pPr>
        <w:pStyle w:val="TOC3"/>
        <w:tabs>
          <w:tab w:val="left" w:pos="1320"/>
        </w:tabs>
        <w:rPr>
          <w:rFonts w:eastAsiaTheme="minorEastAsia" w:cstheme="minorBidi"/>
          <w:noProof/>
          <w:szCs w:val="24"/>
          <w:lang w:eastAsia="en-GB"/>
        </w:rPr>
      </w:pPr>
      <w:hyperlink w:anchor="_Toc90216738" w:history="1">
        <w:r w:rsidR="00183CC8" w:rsidRPr="00BA3362">
          <w:rPr>
            <w:rStyle w:val="Hyperlink"/>
            <w:noProof/>
          </w:rPr>
          <w:t>1.7.2</w:t>
        </w:r>
        <w:r w:rsidR="00183CC8">
          <w:rPr>
            <w:rFonts w:eastAsiaTheme="minorEastAsia" w:cstheme="minorBidi"/>
            <w:noProof/>
            <w:szCs w:val="24"/>
            <w:lang w:eastAsia="en-GB"/>
          </w:rPr>
          <w:tab/>
        </w:r>
        <w:r w:rsidR="00183CC8" w:rsidRPr="00BA3362">
          <w:rPr>
            <w:rStyle w:val="Hyperlink"/>
            <w:noProof/>
          </w:rPr>
          <w:t>Glycopeptide antibiotics.</w:t>
        </w:r>
        <w:r w:rsidR="00183CC8">
          <w:rPr>
            <w:noProof/>
            <w:webHidden/>
          </w:rPr>
          <w:tab/>
        </w:r>
        <w:r w:rsidR="00183CC8">
          <w:rPr>
            <w:noProof/>
            <w:webHidden/>
          </w:rPr>
          <w:fldChar w:fldCharType="begin"/>
        </w:r>
        <w:r w:rsidR="00183CC8">
          <w:rPr>
            <w:noProof/>
            <w:webHidden/>
          </w:rPr>
          <w:instrText xml:space="preserve"> PAGEREF _Toc90216738 \h </w:instrText>
        </w:r>
        <w:r w:rsidR="00183CC8">
          <w:rPr>
            <w:noProof/>
            <w:webHidden/>
          </w:rPr>
        </w:r>
        <w:r w:rsidR="00183CC8">
          <w:rPr>
            <w:noProof/>
            <w:webHidden/>
          </w:rPr>
          <w:fldChar w:fldCharType="separate"/>
        </w:r>
        <w:r w:rsidR="00183CC8">
          <w:rPr>
            <w:noProof/>
            <w:webHidden/>
          </w:rPr>
          <w:t>26</w:t>
        </w:r>
        <w:r w:rsidR="00183CC8">
          <w:rPr>
            <w:noProof/>
            <w:webHidden/>
          </w:rPr>
          <w:fldChar w:fldCharType="end"/>
        </w:r>
      </w:hyperlink>
    </w:p>
    <w:p w14:paraId="48843DA2" w14:textId="420DE220" w:rsidR="00183CC8" w:rsidRDefault="003373BF">
      <w:pPr>
        <w:pStyle w:val="TOC2"/>
        <w:tabs>
          <w:tab w:val="left" w:pos="958"/>
        </w:tabs>
        <w:rPr>
          <w:rFonts w:eastAsiaTheme="minorEastAsia" w:cstheme="minorBidi"/>
          <w:szCs w:val="24"/>
          <w:lang w:eastAsia="en-GB"/>
        </w:rPr>
      </w:pPr>
      <w:hyperlink w:anchor="_Toc90216739" w:history="1">
        <w:r w:rsidR="00183CC8" w:rsidRPr="00BA3362">
          <w:rPr>
            <w:rStyle w:val="Hyperlink"/>
          </w:rPr>
          <w:t>1.8</w:t>
        </w:r>
        <w:r w:rsidR="00183CC8">
          <w:rPr>
            <w:rFonts w:eastAsiaTheme="minorEastAsia" w:cstheme="minorBidi"/>
            <w:szCs w:val="24"/>
            <w:lang w:eastAsia="en-GB"/>
          </w:rPr>
          <w:tab/>
        </w:r>
        <w:r w:rsidR="00183CC8" w:rsidRPr="00BA3362">
          <w:rPr>
            <w:rStyle w:val="Hyperlink"/>
          </w:rPr>
          <w:t>Light and fluorescence microscopy for studying bacteria.</w:t>
        </w:r>
        <w:r w:rsidR="00183CC8">
          <w:rPr>
            <w:webHidden/>
          </w:rPr>
          <w:tab/>
        </w:r>
        <w:r w:rsidR="00183CC8">
          <w:rPr>
            <w:webHidden/>
          </w:rPr>
          <w:fldChar w:fldCharType="begin"/>
        </w:r>
        <w:r w:rsidR="00183CC8">
          <w:rPr>
            <w:webHidden/>
          </w:rPr>
          <w:instrText xml:space="preserve"> PAGEREF _Toc90216739 \h </w:instrText>
        </w:r>
        <w:r w:rsidR="00183CC8">
          <w:rPr>
            <w:webHidden/>
          </w:rPr>
        </w:r>
        <w:r w:rsidR="00183CC8">
          <w:rPr>
            <w:webHidden/>
          </w:rPr>
          <w:fldChar w:fldCharType="separate"/>
        </w:r>
        <w:r w:rsidR="00183CC8">
          <w:rPr>
            <w:webHidden/>
          </w:rPr>
          <w:t>27</w:t>
        </w:r>
        <w:r w:rsidR="00183CC8">
          <w:rPr>
            <w:webHidden/>
          </w:rPr>
          <w:fldChar w:fldCharType="end"/>
        </w:r>
      </w:hyperlink>
    </w:p>
    <w:p w14:paraId="143D553C" w14:textId="380AE8CD" w:rsidR="00183CC8" w:rsidRDefault="003373BF">
      <w:pPr>
        <w:pStyle w:val="TOC2"/>
        <w:tabs>
          <w:tab w:val="left" w:pos="958"/>
        </w:tabs>
        <w:rPr>
          <w:rFonts w:eastAsiaTheme="minorEastAsia" w:cstheme="minorBidi"/>
          <w:szCs w:val="24"/>
          <w:lang w:eastAsia="en-GB"/>
        </w:rPr>
      </w:pPr>
      <w:hyperlink w:anchor="_Toc90216740" w:history="1">
        <w:r w:rsidR="00183CC8" w:rsidRPr="00BA3362">
          <w:rPr>
            <w:rStyle w:val="Hyperlink"/>
          </w:rPr>
          <w:t>1.9</w:t>
        </w:r>
        <w:r w:rsidR="00183CC8">
          <w:rPr>
            <w:rFonts w:eastAsiaTheme="minorEastAsia" w:cstheme="minorBidi"/>
            <w:szCs w:val="24"/>
            <w:lang w:eastAsia="en-GB"/>
          </w:rPr>
          <w:tab/>
        </w:r>
        <w:r w:rsidR="00183CC8" w:rsidRPr="00BA3362">
          <w:rPr>
            <w:rStyle w:val="Hyperlink"/>
          </w:rPr>
          <w:t>Atomic force microscopy for studying bacteria.</w:t>
        </w:r>
        <w:r w:rsidR="00183CC8">
          <w:rPr>
            <w:webHidden/>
          </w:rPr>
          <w:tab/>
        </w:r>
        <w:r w:rsidR="00183CC8">
          <w:rPr>
            <w:webHidden/>
          </w:rPr>
          <w:fldChar w:fldCharType="begin"/>
        </w:r>
        <w:r w:rsidR="00183CC8">
          <w:rPr>
            <w:webHidden/>
          </w:rPr>
          <w:instrText xml:space="preserve"> PAGEREF _Toc90216740 \h </w:instrText>
        </w:r>
        <w:r w:rsidR="00183CC8">
          <w:rPr>
            <w:webHidden/>
          </w:rPr>
        </w:r>
        <w:r w:rsidR="00183CC8">
          <w:rPr>
            <w:webHidden/>
          </w:rPr>
          <w:fldChar w:fldCharType="separate"/>
        </w:r>
        <w:r w:rsidR="00183CC8">
          <w:rPr>
            <w:webHidden/>
          </w:rPr>
          <w:t>28</w:t>
        </w:r>
        <w:r w:rsidR="00183CC8">
          <w:rPr>
            <w:webHidden/>
          </w:rPr>
          <w:fldChar w:fldCharType="end"/>
        </w:r>
      </w:hyperlink>
    </w:p>
    <w:p w14:paraId="0FFB890F" w14:textId="76DF80AE" w:rsidR="00183CC8" w:rsidRDefault="003373BF">
      <w:pPr>
        <w:pStyle w:val="TOC2"/>
        <w:tabs>
          <w:tab w:val="left" w:pos="958"/>
        </w:tabs>
        <w:rPr>
          <w:rFonts w:eastAsiaTheme="minorEastAsia" w:cstheme="minorBidi"/>
          <w:szCs w:val="24"/>
          <w:lang w:eastAsia="en-GB"/>
        </w:rPr>
      </w:pPr>
      <w:hyperlink w:anchor="_Toc90216741" w:history="1">
        <w:r w:rsidR="00183CC8" w:rsidRPr="00BA3362">
          <w:rPr>
            <w:rStyle w:val="Hyperlink"/>
          </w:rPr>
          <w:t>1.10</w:t>
        </w:r>
        <w:r w:rsidR="00183CC8">
          <w:rPr>
            <w:rFonts w:eastAsiaTheme="minorEastAsia" w:cstheme="minorBidi"/>
            <w:szCs w:val="24"/>
            <w:lang w:eastAsia="en-GB"/>
          </w:rPr>
          <w:tab/>
        </w:r>
        <w:r w:rsidR="00183CC8" w:rsidRPr="00BA3362">
          <w:rPr>
            <w:rStyle w:val="Hyperlink"/>
          </w:rPr>
          <w:t>Electron microscopy.</w:t>
        </w:r>
        <w:r w:rsidR="00183CC8">
          <w:rPr>
            <w:webHidden/>
          </w:rPr>
          <w:tab/>
        </w:r>
        <w:r w:rsidR="00183CC8">
          <w:rPr>
            <w:webHidden/>
          </w:rPr>
          <w:fldChar w:fldCharType="begin"/>
        </w:r>
        <w:r w:rsidR="00183CC8">
          <w:rPr>
            <w:webHidden/>
          </w:rPr>
          <w:instrText xml:space="preserve"> PAGEREF _Toc90216741 \h </w:instrText>
        </w:r>
        <w:r w:rsidR="00183CC8">
          <w:rPr>
            <w:webHidden/>
          </w:rPr>
        </w:r>
        <w:r w:rsidR="00183CC8">
          <w:rPr>
            <w:webHidden/>
          </w:rPr>
          <w:fldChar w:fldCharType="separate"/>
        </w:r>
        <w:r w:rsidR="00183CC8">
          <w:rPr>
            <w:webHidden/>
          </w:rPr>
          <w:t>28</w:t>
        </w:r>
        <w:r w:rsidR="00183CC8">
          <w:rPr>
            <w:webHidden/>
          </w:rPr>
          <w:fldChar w:fldCharType="end"/>
        </w:r>
      </w:hyperlink>
    </w:p>
    <w:p w14:paraId="3FC5C902" w14:textId="056F89F5" w:rsidR="00183CC8" w:rsidRDefault="003373BF">
      <w:pPr>
        <w:pStyle w:val="TOC3"/>
        <w:tabs>
          <w:tab w:val="left" w:pos="1540"/>
        </w:tabs>
        <w:rPr>
          <w:rFonts w:eastAsiaTheme="minorEastAsia" w:cstheme="minorBidi"/>
          <w:noProof/>
          <w:szCs w:val="24"/>
          <w:lang w:eastAsia="en-GB"/>
        </w:rPr>
      </w:pPr>
      <w:hyperlink w:anchor="_Toc90216742" w:history="1">
        <w:r w:rsidR="00183CC8" w:rsidRPr="00BA3362">
          <w:rPr>
            <w:rStyle w:val="Hyperlink"/>
            <w:noProof/>
          </w:rPr>
          <w:t>1.10.1</w:t>
        </w:r>
        <w:r w:rsidR="00183CC8">
          <w:rPr>
            <w:rFonts w:eastAsiaTheme="minorEastAsia" w:cstheme="minorBidi"/>
            <w:noProof/>
            <w:szCs w:val="24"/>
            <w:lang w:eastAsia="en-GB"/>
          </w:rPr>
          <w:tab/>
        </w:r>
        <w:r w:rsidR="00183CC8" w:rsidRPr="00BA3362">
          <w:rPr>
            <w:rStyle w:val="Hyperlink"/>
            <w:noProof/>
          </w:rPr>
          <w:t>Transmission electron microscopy methods for imaging bacteria.</w:t>
        </w:r>
        <w:r w:rsidR="00183CC8">
          <w:rPr>
            <w:noProof/>
            <w:webHidden/>
          </w:rPr>
          <w:tab/>
        </w:r>
        <w:r w:rsidR="00183CC8">
          <w:rPr>
            <w:noProof/>
            <w:webHidden/>
          </w:rPr>
          <w:fldChar w:fldCharType="begin"/>
        </w:r>
        <w:r w:rsidR="00183CC8">
          <w:rPr>
            <w:noProof/>
            <w:webHidden/>
          </w:rPr>
          <w:instrText xml:space="preserve"> PAGEREF _Toc90216742 \h </w:instrText>
        </w:r>
        <w:r w:rsidR="00183CC8">
          <w:rPr>
            <w:noProof/>
            <w:webHidden/>
          </w:rPr>
        </w:r>
        <w:r w:rsidR="00183CC8">
          <w:rPr>
            <w:noProof/>
            <w:webHidden/>
          </w:rPr>
          <w:fldChar w:fldCharType="separate"/>
        </w:r>
        <w:r w:rsidR="00183CC8">
          <w:rPr>
            <w:noProof/>
            <w:webHidden/>
          </w:rPr>
          <w:t>29</w:t>
        </w:r>
        <w:r w:rsidR="00183CC8">
          <w:rPr>
            <w:noProof/>
            <w:webHidden/>
          </w:rPr>
          <w:fldChar w:fldCharType="end"/>
        </w:r>
      </w:hyperlink>
    </w:p>
    <w:p w14:paraId="21BD3349" w14:textId="63B59814" w:rsidR="00183CC8" w:rsidRDefault="003373BF">
      <w:pPr>
        <w:pStyle w:val="TOC2"/>
        <w:tabs>
          <w:tab w:val="left" w:pos="958"/>
        </w:tabs>
        <w:rPr>
          <w:rFonts w:eastAsiaTheme="minorEastAsia" w:cstheme="minorBidi"/>
          <w:szCs w:val="24"/>
          <w:lang w:eastAsia="en-GB"/>
        </w:rPr>
      </w:pPr>
      <w:hyperlink w:anchor="_Toc90216743" w:history="1">
        <w:r w:rsidR="00183CC8" w:rsidRPr="00BA3362">
          <w:rPr>
            <w:rStyle w:val="Hyperlink"/>
          </w:rPr>
          <w:t>1.11</w:t>
        </w:r>
        <w:r w:rsidR="00183CC8">
          <w:rPr>
            <w:rFonts w:eastAsiaTheme="minorEastAsia" w:cstheme="minorBidi"/>
            <w:szCs w:val="24"/>
            <w:lang w:eastAsia="en-GB"/>
          </w:rPr>
          <w:tab/>
        </w:r>
        <w:r w:rsidR="00183CC8" w:rsidRPr="00BA3362">
          <w:rPr>
            <w:rStyle w:val="Hyperlink"/>
          </w:rPr>
          <w:t>Project aims.</w:t>
        </w:r>
        <w:r w:rsidR="00183CC8">
          <w:rPr>
            <w:webHidden/>
          </w:rPr>
          <w:tab/>
        </w:r>
        <w:r w:rsidR="00183CC8">
          <w:rPr>
            <w:webHidden/>
          </w:rPr>
          <w:fldChar w:fldCharType="begin"/>
        </w:r>
        <w:r w:rsidR="00183CC8">
          <w:rPr>
            <w:webHidden/>
          </w:rPr>
          <w:instrText xml:space="preserve"> PAGEREF _Toc90216743 \h </w:instrText>
        </w:r>
        <w:r w:rsidR="00183CC8">
          <w:rPr>
            <w:webHidden/>
          </w:rPr>
        </w:r>
        <w:r w:rsidR="00183CC8">
          <w:rPr>
            <w:webHidden/>
          </w:rPr>
          <w:fldChar w:fldCharType="separate"/>
        </w:r>
        <w:r w:rsidR="00183CC8">
          <w:rPr>
            <w:webHidden/>
          </w:rPr>
          <w:t>32</w:t>
        </w:r>
        <w:r w:rsidR="00183CC8">
          <w:rPr>
            <w:webHidden/>
          </w:rPr>
          <w:fldChar w:fldCharType="end"/>
        </w:r>
      </w:hyperlink>
    </w:p>
    <w:p w14:paraId="72653E06" w14:textId="0A88797A" w:rsidR="00183CC8" w:rsidRDefault="003373BF">
      <w:pPr>
        <w:pStyle w:val="TOC1"/>
        <w:rPr>
          <w:rFonts w:eastAsiaTheme="minorEastAsia" w:cstheme="minorBidi"/>
          <w:b w:val="0"/>
          <w:szCs w:val="24"/>
          <w:lang w:eastAsia="en-GB"/>
        </w:rPr>
      </w:pPr>
      <w:hyperlink w:anchor="_Toc90216744" w:history="1">
        <w:r w:rsidR="00183CC8">
          <w:rPr>
            <w:rFonts w:eastAsiaTheme="minorEastAsia" w:cstheme="minorBidi"/>
            <w:b w:val="0"/>
            <w:szCs w:val="24"/>
            <w:lang w:eastAsia="en-GB"/>
          </w:rPr>
          <w:tab/>
        </w:r>
        <w:r w:rsidR="00183CC8" w:rsidRPr="00BA3362">
          <w:rPr>
            <w:rStyle w:val="Hyperlink"/>
          </w:rPr>
          <w:t>Chapter 2</w:t>
        </w:r>
        <w:r w:rsidR="00183CC8">
          <w:rPr>
            <w:webHidden/>
          </w:rPr>
          <w:tab/>
        </w:r>
        <w:r w:rsidR="00183CC8">
          <w:rPr>
            <w:webHidden/>
          </w:rPr>
          <w:fldChar w:fldCharType="begin"/>
        </w:r>
        <w:r w:rsidR="00183CC8">
          <w:rPr>
            <w:webHidden/>
          </w:rPr>
          <w:instrText xml:space="preserve"> PAGEREF _Toc90216744 \h </w:instrText>
        </w:r>
        <w:r w:rsidR="00183CC8">
          <w:rPr>
            <w:webHidden/>
          </w:rPr>
        </w:r>
        <w:r w:rsidR="00183CC8">
          <w:rPr>
            <w:webHidden/>
          </w:rPr>
          <w:fldChar w:fldCharType="separate"/>
        </w:r>
        <w:r w:rsidR="00183CC8">
          <w:rPr>
            <w:webHidden/>
          </w:rPr>
          <w:t>33</w:t>
        </w:r>
        <w:r w:rsidR="00183CC8">
          <w:rPr>
            <w:webHidden/>
          </w:rPr>
          <w:fldChar w:fldCharType="end"/>
        </w:r>
      </w:hyperlink>
    </w:p>
    <w:p w14:paraId="31096976" w14:textId="7F73DC94" w:rsidR="00183CC8" w:rsidRDefault="003373BF">
      <w:pPr>
        <w:pStyle w:val="TOC1"/>
        <w:rPr>
          <w:rFonts w:eastAsiaTheme="minorEastAsia" w:cstheme="minorBidi"/>
          <w:b w:val="0"/>
          <w:szCs w:val="24"/>
          <w:lang w:eastAsia="en-GB"/>
        </w:rPr>
      </w:pPr>
      <w:hyperlink w:anchor="_Toc90216745" w:history="1">
        <w:r w:rsidR="00183CC8" w:rsidRPr="00BA3362">
          <w:rPr>
            <w:rStyle w:val="Hyperlink"/>
          </w:rPr>
          <w:t>Materials and Methods</w:t>
        </w:r>
        <w:r w:rsidR="00183CC8">
          <w:rPr>
            <w:webHidden/>
          </w:rPr>
          <w:tab/>
        </w:r>
        <w:r w:rsidR="00183CC8">
          <w:rPr>
            <w:webHidden/>
          </w:rPr>
          <w:fldChar w:fldCharType="begin"/>
        </w:r>
        <w:r w:rsidR="00183CC8">
          <w:rPr>
            <w:webHidden/>
          </w:rPr>
          <w:instrText xml:space="preserve"> PAGEREF _Toc90216745 \h </w:instrText>
        </w:r>
        <w:r w:rsidR="00183CC8">
          <w:rPr>
            <w:webHidden/>
          </w:rPr>
        </w:r>
        <w:r w:rsidR="00183CC8">
          <w:rPr>
            <w:webHidden/>
          </w:rPr>
          <w:fldChar w:fldCharType="separate"/>
        </w:r>
        <w:r w:rsidR="00183CC8">
          <w:rPr>
            <w:webHidden/>
          </w:rPr>
          <w:t>33</w:t>
        </w:r>
        <w:r w:rsidR="00183CC8">
          <w:rPr>
            <w:webHidden/>
          </w:rPr>
          <w:fldChar w:fldCharType="end"/>
        </w:r>
      </w:hyperlink>
    </w:p>
    <w:p w14:paraId="511FA251" w14:textId="4BE2ADCF" w:rsidR="00183CC8" w:rsidRDefault="003373BF">
      <w:pPr>
        <w:pStyle w:val="TOC2"/>
        <w:tabs>
          <w:tab w:val="left" w:pos="958"/>
        </w:tabs>
        <w:rPr>
          <w:rFonts w:eastAsiaTheme="minorEastAsia" w:cstheme="minorBidi"/>
          <w:szCs w:val="24"/>
          <w:lang w:eastAsia="en-GB"/>
        </w:rPr>
      </w:pPr>
      <w:hyperlink w:anchor="_Toc90216746" w:history="1">
        <w:r w:rsidR="00183CC8" w:rsidRPr="00BA3362">
          <w:rPr>
            <w:rStyle w:val="Hyperlink"/>
          </w:rPr>
          <w:t>2.1</w:t>
        </w:r>
        <w:r w:rsidR="00183CC8">
          <w:rPr>
            <w:rFonts w:eastAsiaTheme="minorEastAsia" w:cstheme="minorBidi"/>
            <w:szCs w:val="24"/>
            <w:lang w:eastAsia="en-GB"/>
          </w:rPr>
          <w:tab/>
        </w:r>
        <w:r w:rsidR="00183CC8" w:rsidRPr="00BA3362">
          <w:rPr>
            <w:rStyle w:val="Hyperlink"/>
          </w:rPr>
          <w:t>Chemicals and enzymes.</w:t>
        </w:r>
        <w:r w:rsidR="00183CC8">
          <w:rPr>
            <w:webHidden/>
          </w:rPr>
          <w:tab/>
        </w:r>
        <w:r w:rsidR="00183CC8">
          <w:rPr>
            <w:webHidden/>
          </w:rPr>
          <w:fldChar w:fldCharType="begin"/>
        </w:r>
        <w:r w:rsidR="00183CC8">
          <w:rPr>
            <w:webHidden/>
          </w:rPr>
          <w:instrText xml:space="preserve"> PAGEREF _Toc90216746 \h </w:instrText>
        </w:r>
        <w:r w:rsidR="00183CC8">
          <w:rPr>
            <w:webHidden/>
          </w:rPr>
        </w:r>
        <w:r w:rsidR="00183CC8">
          <w:rPr>
            <w:webHidden/>
          </w:rPr>
          <w:fldChar w:fldCharType="separate"/>
        </w:r>
        <w:r w:rsidR="00183CC8">
          <w:rPr>
            <w:webHidden/>
          </w:rPr>
          <w:t>33</w:t>
        </w:r>
        <w:r w:rsidR="00183CC8">
          <w:rPr>
            <w:webHidden/>
          </w:rPr>
          <w:fldChar w:fldCharType="end"/>
        </w:r>
      </w:hyperlink>
    </w:p>
    <w:p w14:paraId="45A2DE15" w14:textId="34FF9D9C" w:rsidR="00183CC8" w:rsidRDefault="003373BF">
      <w:pPr>
        <w:pStyle w:val="TOC2"/>
        <w:tabs>
          <w:tab w:val="left" w:pos="958"/>
        </w:tabs>
        <w:rPr>
          <w:rFonts w:eastAsiaTheme="minorEastAsia" w:cstheme="minorBidi"/>
          <w:szCs w:val="24"/>
          <w:lang w:eastAsia="en-GB"/>
        </w:rPr>
      </w:pPr>
      <w:hyperlink w:anchor="_Toc90216747" w:history="1">
        <w:r w:rsidR="00183CC8" w:rsidRPr="00BA3362">
          <w:rPr>
            <w:rStyle w:val="Hyperlink"/>
          </w:rPr>
          <w:t>2.2</w:t>
        </w:r>
        <w:r w:rsidR="00183CC8">
          <w:rPr>
            <w:rFonts w:eastAsiaTheme="minorEastAsia" w:cstheme="minorBidi"/>
            <w:szCs w:val="24"/>
            <w:lang w:eastAsia="en-GB"/>
          </w:rPr>
          <w:tab/>
        </w:r>
        <w:r w:rsidR="00183CC8" w:rsidRPr="00BA3362">
          <w:rPr>
            <w:rStyle w:val="Hyperlink"/>
          </w:rPr>
          <w:t>Growth media.</w:t>
        </w:r>
        <w:r w:rsidR="00183CC8">
          <w:rPr>
            <w:webHidden/>
          </w:rPr>
          <w:tab/>
        </w:r>
        <w:r w:rsidR="00183CC8">
          <w:rPr>
            <w:webHidden/>
          </w:rPr>
          <w:fldChar w:fldCharType="begin"/>
        </w:r>
        <w:r w:rsidR="00183CC8">
          <w:rPr>
            <w:webHidden/>
          </w:rPr>
          <w:instrText xml:space="preserve"> PAGEREF _Toc90216747 \h </w:instrText>
        </w:r>
        <w:r w:rsidR="00183CC8">
          <w:rPr>
            <w:webHidden/>
          </w:rPr>
        </w:r>
        <w:r w:rsidR="00183CC8">
          <w:rPr>
            <w:webHidden/>
          </w:rPr>
          <w:fldChar w:fldCharType="separate"/>
        </w:r>
        <w:r w:rsidR="00183CC8">
          <w:rPr>
            <w:webHidden/>
          </w:rPr>
          <w:t>33</w:t>
        </w:r>
        <w:r w:rsidR="00183CC8">
          <w:rPr>
            <w:webHidden/>
          </w:rPr>
          <w:fldChar w:fldCharType="end"/>
        </w:r>
      </w:hyperlink>
    </w:p>
    <w:p w14:paraId="142EB19C" w14:textId="42666730" w:rsidR="00183CC8" w:rsidRDefault="003373BF">
      <w:pPr>
        <w:pStyle w:val="TOC3"/>
        <w:tabs>
          <w:tab w:val="left" w:pos="1320"/>
        </w:tabs>
        <w:rPr>
          <w:rFonts w:eastAsiaTheme="minorEastAsia" w:cstheme="minorBidi"/>
          <w:noProof/>
          <w:szCs w:val="24"/>
          <w:lang w:eastAsia="en-GB"/>
        </w:rPr>
      </w:pPr>
      <w:hyperlink w:anchor="_Toc90216748" w:history="1">
        <w:r w:rsidR="00183CC8" w:rsidRPr="00BA3362">
          <w:rPr>
            <w:rStyle w:val="Hyperlink"/>
            <w:noProof/>
          </w:rPr>
          <w:t>2.2.1</w:t>
        </w:r>
        <w:r w:rsidR="00183CC8">
          <w:rPr>
            <w:rFonts w:eastAsiaTheme="minorEastAsia" w:cstheme="minorBidi"/>
            <w:noProof/>
            <w:szCs w:val="24"/>
            <w:lang w:eastAsia="en-GB"/>
          </w:rPr>
          <w:tab/>
        </w:r>
        <w:r w:rsidR="00183CC8" w:rsidRPr="00BA3362">
          <w:rPr>
            <w:rStyle w:val="Hyperlink"/>
            <w:noProof/>
          </w:rPr>
          <w:t>Tryptic soy broth (TSB).</w:t>
        </w:r>
        <w:r w:rsidR="00183CC8">
          <w:rPr>
            <w:noProof/>
            <w:webHidden/>
          </w:rPr>
          <w:tab/>
        </w:r>
        <w:r w:rsidR="00183CC8">
          <w:rPr>
            <w:noProof/>
            <w:webHidden/>
          </w:rPr>
          <w:fldChar w:fldCharType="begin"/>
        </w:r>
        <w:r w:rsidR="00183CC8">
          <w:rPr>
            <w:noProof/>
            <w:webHidden/>
          </w:rPr>
          <w:instrText xml:space="preserve"> PAGEREF _Toc90216748 \h </w:instrText>
        </w:r>
        <w:r w:rsidR="00183CC8">
          <w:rPr>
            <w:noProof/>
            <w:webHidden/>
          </w:rPr>
        </w:r>
        <w:r w:rsidR="00183CC8">
          <w:rPr>
            <w:noProof/>
            <w:webHidden/>
          </w:rPr>
          <w:fldChar w:fldCharType="separate"/>
        </w:r>
        <w:r w:rsidR="00183CC8">
          <w:rPr>
            <w:noProof/>
            <w:webHidden/>
          </w:rPr>
          <w:t>33</w:t>
        </w:r>
        <w:r w:rsidR="00183CC8">
          <w:rPr>
            <w:noProof/>
            <w:webHidden/>
          </w:rPr>
          <w:fldChar w:fldCharType="end"/>
        </w:r>
      </w:hyperlink>
    </w:p>
    <w:p w14:paraId="5E606950" w14:textId="0EE2D4A3" w:rsidR="00183CC8" w:rsidRDefault="003373BF">
      <w:pPr>
        <w:pStyle w:val="TOC3"/>
        <w:tabs>
          <w:tab w:val="left" w:pos="1320"/>
        </w:tabs>
        <w:rPr>
          <w:rFonts w:eastAsiaTheme="minorEastAsia" w:cstheme="minorBidi"/>
          <w:noProof/>
          <w:szCs w:val="24"/>
          <w:lang w:eastAsia="en-GB"/>
        </w:rPr>
      </w:pPr>
      <w:hyperlink w:anchor="_Toc90216749" w:history="1">
        <w:r w:rsidR="00183CC8" w:rsidRPr="00BA3362">
          <w:rPr>
            <w:rStyle w:val="Hyperlink"/>
            <w:noProof/>
          </w:rPr>
          <w:t>2.2.2</w:t>
        </w:r>
        <w:r w:rsidR="00183CC8">
          <w:rPr>
            <w:rFonts w:eastAsiaTheme="minorEastAsia" w:cstheme="minorBidi"/>
            <w:noProof/>
            <w:szCs w:val="24"/>
            <w:lang w:eastAsia="en-GB"/>
          </w:rPr>
          <w:tab/>
        </w:r>
        <w:r w:rsidR="00183CC8" w:rsidRPr="00BA3362">
          <w:rPr>
            <w:rStyle w:val="Hyperlink"/>
            <w:noProof/>
          </w:rPr>
          <w:t>Tryptic soy broth – 10 % (v/v) glycerol.</w:t>
        </w:r>
        <w:r w:rsidR="00183CC8">
          <w:rPr>
            <w:noProof/>
            <w:webHidden/>
          </w:rPr>
          <w:tab/>
        </w:r>
        <w:r w:rsidR="00183CC8">
          <w:rPr>
            <w:noProof/>
            <w:webHidden/>
          </w:rPr>
          <w:fldChar w:fldCharType="begin"/>
        </w:r>
        <w:r w:rsidR="00183CC8">
          <w:rPr>
            <w:noProof/>
            <w:webHidden/>
          </w:rPr>
          <w:instrText xml:space="preserve"> PAGEREF _Toc90216749 \h </w:instrText>
        </w:r>
        <w:r w:rsidR="00183CC8">
          <w:rPr>
            <w:noProof/>
            <w:webHidden/>
          </w:rPr>
        </w:r>
        <w:r w:rsidR="00183CC8">
          <w:rPr>
            <w:noProof/>
            <w:webHidden/>
          </w:rPr>
          <w:fldChar w:fldCharType="separate"/>
        </w:r>
        <w:r w:rsidR="00183CC8">
          <w:rPr>
            <w:noProof/>
            <w:webHidden/>
          </w:rPr>
          <w:t>33</w:t>
        </w:r>
        <w:r w:rsidR="00183CC8">
          <w:rPr>
            <w:noProof/>
            <w:webHidden/>
          </w:rPr>
          <w:fldChar w:fldCharType="end"/>
        </w:r>
      </w:hyperlink>
    </w:p>
    <w:p w14:paraId="33B51262" w14:textId="648F61C6" w:rsidR="00183CC8" w:rsidRDefault="003373BF">
      <w:pPr>
        <w:pStyle w:val="TOC3"/>
        <w:tabs>
          <w:tab w:val="left" w:pos="1320"/>
        </w:tabs>
        <w:rPr>
          <w:rFonts w:eastAsiaTheme="minorEastAsia" w:cstheme="minorBidi"/>
          <w:noProof/>
          <w:szCs w:val="24"/>
          <w:lang w:eastAsia="en-GB"/>
        </w:rPr>
      </w:pPr>
      <w:hyperlink w:anchor="_Toc90216750" w:history="1">
        <w:r w:rsidR="00183CC8" w:rsidRPr="00BA3362">
          <w:rPr>
            <w:rStyle w:val="Hyperlink"/>
            <w:noProof/>
          </w:rPr>
          <w:t>2.2.3</w:t>
        </w:r>
        <w:r w:rsidR="00183CC8">
          <w:rPr>
            <w:rFonts w:eastAsiaTheme="minorEastAsia" w:cstheme="minorBidi"/>
            <w:noProof/>
            <w:szCs w:val="24"/>
            <w:lang w:eastAsia="en-GB"/>
          </w:rPr>
          <w:tab/>
        </w:r>
        <w:r w:rsidR="00183CC8" w:rsidRPr="00BA3362">
          <w:rPr>
            <w:rStyle w:val="Hyperlink"/>
            <w:noProof/>
          </w:rPr>
          <w:t>Tryptic soy agar (TSA).</w:t>
        </w:r>
        <w:r w:rsidR="00183CC8">
          <w:rPr>
            <w:noProof/>
            <w:webHidden/>
          </w:rPr>
          <w:tab/>
        </w:r>
        <w:r w:rsidR="00183CC8">
          <w:rPr>
            <w:noProof/>
            <w:webHidden/>
          </w:rPr>
          <w:fldChar w:fldCharType="begin"/>
        </w:r>
        <w:r w:rsidR="00183CC8">
          <w:rPr>
            <w:noProof/>
            <w:webHidden/>
          </w:rPr>
          <w:instrText xml:space="preserve"> PAGEREF _Toc90216750 \h </w:instrText>
        </w:r>
        <w:r w:rsidR="00183CC8">
          <w:rPr>
            <w:noProof/>
            <w:webHidden/>
          </w:rPr>
        </w:r>
        <w:r w:rsidR="00183CC8">
          <w:rPr>
            <w:noProof/>
            <w:webHidden/>
          </w:rPr>
          <w:fldChar w:fldCharType="separate"/>
        </w:r>
        <w:r w:rsidR="00183CC8">
          <w:rPr>
            <w:noProof/>
            <w:webHidden/>
          </w:rPr>
          <w:t>34</w:t>
        </w:r>
        <w:r w:rsidR="00183CC8">
          <w:rPr>
            <w:noProof/>
            <w:webHidden/>
          </w:rPr>
          <w:fldChar w:fldCharType="end"/>
        </w:r>
      </w:hyperlink>
    </w:p>
    <w:p w14:paraId="448EF7CB" w14:textId="5A440B28" w:rsidR="00183CC8" w:rsidRDefault="003373BF">
      <w:pPr>
        <w:pStyle w:val="TOC3"/>
        <w:tabs>
          <w:tab w:val="left" w:pos="1320"/>
        </w:tabs>
        <w:rPr>
          <w:rFonts w:eastAsiaTheme="minorEastAsia" w:cstheme="minorBidi"/>
          <w:noProof/>
          <w:szCs w:val="24"/>
          <w:lang w:eastAsia="en-GB"/>
        </w:rPr>
      </w:pPr>
      <w:hyperlink w:anchor="_Toc90216751" w:history="1">
        <w:r w:rsidR="00183CC8" w:rsidRPr="00BA3362">
          <w:rPr>
            <w:rStyle w:val="Hyperlink"/>
            <w:noProof/>
          </w:rPr>
          <w:t>2.2.4</w:t>
        </w:r>
        <w:r w:rsidR="00183CC8">
          <w:rPr>
            <w:rFonts w:eastAsiaTheme="minorEastAsia" w:cstheme="minorBidi"/>
            <w:noProof/>
            <w:szCs w:val="24"/>
            <w:lang w:eastAsia="en-GB"/>
          </w:rPr>
          <w:tab/>
        </w:r>
        <w:r w:rsidR="00183CC8" w:rsidRPr="00BA3362">
          <w:rPr>
            <w:rStyle w:val="Hyperlink"/>
            <w:noProof/>
          </w:rPr>
          <w:t>LK broth (LKB).</w:t>
        </w:r>
        <w:r w:rsidR="00183CC8">
          <w:rPr>
            <w:noProof/>
            <w:webHidden/>
          </w:rPr>
          <w:tab/>
        </w:r>
        <w:r w:rsidR="00183CC8">
          <w:rPr>
            <w:noProof/>
            <w:webHidden/>
          </w:rPr>
          <w:fldChar w:fldCharType="begin"/>
        </w:r>
        <w:r w:rsidR="00183CC8">
          <w:rPr>
            <w:noProof/>
            <w:webHidden/>
          </w:rPr>
          <w:instrText xml:space="preserve"> PAGEREF _Toc90216751 \h </w:instrText>
        </w:r>
        <w:r w:rsidR="00183CC8">
          <w:rPr>
            <w:noProof/>
            <w:webHidden/>
          </w:rPr>
        </w:r>
        <w:r w:rsidR="00183CC8">
          <w:rPr>
            <w:noProof/>
            <w:webHidden/>
          </w:rPr>
          <w:fldChar w:fldCharType="separate"/>
        </w:r>
        <w:r w:rsidR="00183CC8">
          <w:rPr>
            <w:noProof/>
            <w:webHidden/>
          </w:rPr>
          <w:t>34</w:t>
        </w:r>
        <w:r w:rsidR="00183CC8">
          <w:rPr>
            <w:noProof/>
            <w:webHidden/>
          </w:rPr>
          <w:fldChar w:fldCharType="end"/>
        </w:r>
      </w:hyperlink>
    </w:p>
    <w:p w14:paraId="3BC4F772" w14:textId="3A040052" w:rsidR="00183CC8" w:rsidRDefault="003373BF">
      <w:pPr>
        <w:pStyle w:val="TOC3"/>
        <w:tabs>
          <w:tab w:val="left" w:pos="1320"/>
        </w:tabs>
        <w:rPr>
          <w:rFonts w:eastAsiaTheme="minorEastAsia" w:cstheme="minorBidi"/>
          <w:noProof/>
          <w:szCs w:val="24"/>
          <w:lang w:eastAsia="en-GB"/>
        </w:rPr>
      </w:pPr>
      <w:hyperlink w:anchor="_Toc90216752" w:history="1">
        <w:r w:rsidR="00183CC8" w:rsidRPr="00BA3362">
          <w:rPr>
            <w:rStyle w:val="Hyperlink"/>
            <w:noProof/>
          </w:rPr>
          <w:t>2.2.5</w:t>
        </w:r>
        <w:r w:rsidR="00183CC8">
          <w:rPr>
            <w:rFonts w:eastAsiaTheme="minorEastAsia" w:cstheme="minorBidi"/>
            <w:noProof/>
            <w:szCs w:val="24"/>
            <w:lang w:eastAsia="en-GB"/>
          </w:rPr>
          <w:tab/>
        </w:r>
        <w:r w:rsidR="00183CC8" w:rsidRPr="00BA3362">
          <w:rPr>
            <w:rStyle w:val="Hyperlink"/>
            <w:noProof/>
          </w:rPr>
          <w:t>LK agar (LKA) – 0.05 % (w/v) sodium citrate.</w:t>
        </w:r>
        <w:r w:rsidR="00183CC8">
          <w:rPr>
            <w:noProof/>
            <w:webHidden/>
          </w:rPr>
          <w:tab/>
        </w:r>
        <w:r w:rsidR="00183CC8">
          <w:rPr>
            <w:noProof/>
            <w:webHidden/>
          </w:rPr>
          <w:fldChar w:fldCharType="begin"/>
        </w:r>
        <w:r w:rsidR="00183CC8">
          <w:rPr>
            <w:noProof/>
            <w:webHidden/>
          </w:rPr>
          <w:instrText xml:space="preserve"> PAGEREF _Toc90216752 \h </w:instrText>
        </w:r>
        <w:r w:rsidR="00183CC8">
          <w:rPr>
            <w:noProof/>
            <w:webHidden/>
          </w:rPr>
        </w:r>
        <w:r w:rsidR="00183CC8">
          <w:rPr>
            <w:noProof/>
            <w:webHidden/>
          </w:rPr>
          <w:fldChar w:fldCharType="separate"/>
        </w:r>
        <w:r w:rsidR="00183CC8">
          <w:rPr>
            <w:noProof/>
            <w:webHidden/>
          </w:rPr>
          <w:t>34</w:t>
        </w:r>
        <w:r w:rsidR="00183CC8">
          <w:rPr>
            <w:noProof/>
            <w:webHidden/>
          </w:rPr>
          <w:fldChar w:fldCharType="end"/>
        </w:r>
      </w:hyperlink>
    </w:p>
    <w:p w14:paraId="0E559BF2" w14:textId="0C26E21E" w:rsidR="00183CC8" w:rsidRDefault="003373BF">
      <w:pPr>
        <w:pStyle w:val="TOC2"/>
        <w:tabs>
          <w:tab w:val="left" w:pos="958"/>
        </w:tabs>
        <w:rPr>
          <w:rFonts w:eastAsiaTheme="minorEastAsia" w:cstheme="minorBidi"/>
          <w:szCs w:val="24"/>
          <w:lang w:eastAsia="en-GB"/>
        </w:rPr>
      </w:pPr>
      <w:hyperlink w:anchor="_Toc90216753" w:history="1">
        <w:r w:rsidR="00183CC8" w:rsidRPr="00BA3362">
          <w:rPr>
            <w:rStyle w:val="Hyperlink"/>
          </w:rPr>
          <w:t>2.3</w:t>
        </w:r>
        <w:r w:rsidR="00183CC8">
          <w:rPr>
            <w:rFonts w:eastAsiaTheme="minorEastAsia" w:cstheme="minorBidi"/>
            <w:szCs w:val="24"/>
            <w:lang w:eastAsia="en-GB"/>
          </w:rPr>
          <w:tab/>
        </w:r>
        <w:r w:rsidR="00183CC8" w:rsidRPr="00BA3362">
          <w:rPr>
            <w:rStyle w:val="Hyperlink"/>
          </w:rPr>
          <w:t>Buffers and reagents.</w:t>
        </w:r>
        <w:r w:rsidR="00183CC8">
          <w:rPr>
            <w:webHidden/>
          </w:rPr>
          <w:tab/>
        </w:r>
        <w:r w:rsidR="00183CC8">
          <w:rPr>
            <w:webHidden/>
          </w:rPr>
          <w:fldChar w:fldCharType="begin"/>
        </w:r>
        <w:r w:rsidR="00183CC8">
          <w:rPr>
            <w:webHidden/>
          </w:rPr>
          <w:instrText xml:space="preserve"> PAGEREF _Toc90216753 \h </w:instrText>
        </w:r>
        <w:r w:rsidR="00183CC8">
          <w:rPr>
            <w:webHidden/>
          </w:rPr>
        </w:r>
        <w:r w:rsidR="00183CC8">
          <w:rPr>
            <w:webHidden/>
          </w:rPr>
          <w:fldChar w:fldCharType="separate"/>
        </w:r>
        <w:r w:rsidR="00183CC8">
          <w:rPr>
            <w:webHidden/>
          </w:rPr>
          <w:t>34</w:t>
        </w:r>
        <w:r w:rsidR="00183CC8">
          <w:rPr>
            <w:webHidden/>
          </w:rPr>
          <w:fldChar w:fldCharType="end"/>
        </w:r>
      </w:hyperlink>
    </w:p>
    <w:p w14:paraId="054C49FE" w14:textId="10EE4A10" w:rsidR="00183CC8" w:rsidRDefault="003373BF">
      <w:pPr>
        <w:pStyle w:val="TOC3"/>
        <w:tabs>
          <w:tab w:val="left" w:pos="1320"/>
        </w:tabs>
        <w:rPr>
          <w:rFonts w:eastAsiaTheme="minorEastAsia" w:cstheme="minorBidi"/>
          <w:noProof/>
          <w:szCs w:val="24"/>
          <w:lang w:eastAsia="en-GB"/>
        </w:rPr>
      </w:pPr>
      <w:hyperlink w:anchor="_Toc90216754" w:history="1">
        <w:r w:rsidR="00183CC8" w:rsidRPr="00BA3362">
          <w:rPr>
            <w:rStyle w:val="Hyperlink"/>
            <w:noProof/>
          </w:rPr>
          <w:t>2.3.1</w:t>
        </w:r>
        <w:r w:rsidR="00183CC8">
          <w:rPr>
            <w:rFonts w:eastAsiaTheme="minorEastAsia" w:cstheme="minorBidi"/>
            <w:noProof/>
            <w:szCs w:val="24"/>
            <w:lang w:eastAsia="en-GB"/>
          </w:rPr>
          <w:tab/>
        </w:r>
        <w:r w:rsidR="00183CC8" w:rsidRPr="00BA3362">
          <w:rPr>
            <w:rStyle w:val="Hyperlink"/>
            <w:noProof/>
          </w:rPr>
          <w:t>Phage buffer.</w:t>
        </w:r>
        <w:r w:rsidR="00183CC8">
          <w:rPr>
            <w:noProof/>
            <w:webHidden/>
          </w:rPr>
          <w:tab/>
        </w:r>
        <w:r w:rsidR="00183CC8">
          <w:rPr>
            <w:noProof/>
            <w:webHidden/>
          </w:rPr>
          <w:fldChar w:fldCharType="begin"/>
        </w:r>
        <w:r w:rsidR="00183CC8">
          <w:rPr>
            <w:noProof/>
            <w:webHidden/>
          </w:rPr>
          <w:instrText xml:space="preserve"> PAGEREF _Toc90216754 \h </w:instrText>
        </w:r>
        <w:r w:rsidR="00183CC8">
          <w:rPr>
            <w:noProof/>
            <w:webHidden/>
          </w:rPr>
        </w:r>
        <w:r w:rsidR="00183CC8">
          <w:rPr>
            <w:noProof/>
            <w:webHidden/>
          </w:rPr>
          <w:fldChar w:fldCharType="separate"/>
        </w:r>
        <w:r w:rsidR="00183CC8">
          <w:rPr>
            <w:noProof/>
            <w:webHidden/>
          </w:rPr>
          <w:t>34</w:t>
        </w:r>
        <w:r w:rsidR="00183CC8">
          <w:rPr>
            <w:noProof/>
            <w:webHidden/>
          </w:rPr>
          <w:fldChar w:fldCharType="end"/>
        </w:r>
      </w:hyperlink>
    </w:p>
    <w:p w14:paraId="5ABF35CB" w14:textId="4E62E75B" w:rsidR="00183CC8" w:rsidRDefault="003373BF">
      <w:pPr>
        <w:pStyle w:val="TOC3"/>
        <w:tabs>
          <w:tab w:val="left" w:pos="1320"/>
        </w:tabs>
        <w:rPr>
          <w:rFonts w:eastAsiaTheme="minorEastAsia" w:cstheme="minorBidi"/>
          <w:noProof/>
          <w:szCs w:val="24"/>
          <w:lang w:eastAsia="en-GB"/>
        </w:rPr>
      </w:pPr>
      <w:hyperlink w:anchor="_Toc90216755" w:history="1">
        <w:r w:rsidR="00183CC8" w:rsidRPr="00BA3362">
          <w:rPr>
            <w:rStyle w:val="Hyperlink"/>
            <w:noProof/>
          </w:rPr>
          <w:t>2.3.2</w:t>
        </w:r>
        <w:r w:rsidR="00183CC8">
          <w:rPr>
            <w:rFonts w:eastAsiaTheme="minorEastAsia" w:cstheme="minorBidi"/>
            <w:noProof/>
            <w:szCs w:val="24"/>
            <w:lang w:eastAsia="en-GB"/>
          </w:rPr>
          <w:tab/>
        </w:r>
        <w:r w:rsidR="00183CC8" w:rsidRPr="00BA3362">
          <w:rPr>
            <w:rStyle w:val="Hyperlink"/>
            <w:noProof/>
          </w:rPr>
          <w:t>Phosphate buffered saline (PBS).</w:t>
        </w:r>
        <w:r w:rsidR="00183CC8">
          <w:rPr>
            <w:noProof/>
            <w:webHidden/>
          </w:rPr>
          <w:tab/>
        </w:r>
        <w:r w:rsidR="00183CC8">
          <w:rPr>
            <w:noProof/>
            <w:webHidden/>
          </w:rPr>
          <w:fldChar w:fldCharType="begin"/>
        </w:r>
        <w:r w:rsidR="00183CC8">
          <w:rPr>
            <w:noProof/>
            <w:webHidden/>
          </w:rPr>
          <w:instrText xml:space="preserve"> PAGEREF _Toc90216755 \h </w:instrText>
        </w:r>
        <w:r w:rsidR="00183CC8">
          <w:rPr>
            <w:noProof/>
            <w:webHidden/>
          </w:rPr>
        </w:r>
        <w:r w:rsidR="00183CC8">
          <w:rPr>
            <w:noProof/>
            <w:webHidden/>
          </w:rPr>
          <w:fldChar w:fldCharType="separate"/>
        </w:r>
        <w:r w:rsidR="00183CC8">
          <w:rPr>
            <w:noProof/>
            <w:webHidden/>
          </w:rPr>
          <w:t>34</w:t>
        </w:r>
        <w:r w:rsidR="00183CC8">
          <w:rPr>
            <w:noProof/>
            <w:webHidden/>
          </w:rPr>
          <w:fldChar w:fldCharType="end"/>
        </w:r>
      </w:hyperlink>
    </w:p>
    <w:p w14:paraId="747F8023" w14:textId="0C6061B3" w:rsidR="00183CC8" w:rsidRDefault="003373BF">
      <w:pPr>
        <w:pStyle w:val="TOC3"/>
        <w:tabs>
          <w:tab w:val="left" w:pos="1320"/>
        </w:tabs>
        <w:rPr>
          <w:rFonts w:eastAsiaTheme="minorEastAsia" w:cstheme="minorBidi"/>
          <w:noProof/>
          <w:szCs w:val="24"/>
          <w:lang w:eastAsia="en-GB"/>
        </w:rPr>
      </w:pPr>
      <w:hyperlink w:anchor="_Toc90216756" w:history="1">
        <w:r w:rsidR="00183CC8" w:rsidRPr="00BA3362">
          <w:rPr>
            <w:rStyle w:val="Hyperlink"/>
            <w:noProof/>
          </w:rPr>
          <w:t>2.3.3</w:t>
        </w:r>
        <w:r w:rsidR="00183CC8">
          <w:rPr>
            <w:rFonts w:eastAsiaTheme="minorEastAsia" w:cstheme="minorBidi"/>
            <w:noProof/>
            <w:szCs w:val="24"/>
            <w:lang w:eastAsia="en-GB"/>
          </w:rPr>
          <w:tab/>
        </w:r>
        <w:r w:rsidR="00183CC8" w:rsidRPr="00BA3362">
          <w:rPr>
            <w:rStyle w:val="Hyperlink"/>
            <w:noProof/>
          </w:rPr>
          <w:t>PBS – 10 % (w/v) glycerol.</w:t>
        </w:r>
        <w:r w:rsidR="00183CC8">
          <w:rPr>
            <w:noProof/>
            <w:webHidden/>
          </w:rPr>
          <w:tab/>
        </w:r>
        <w:r w:rsidR="00183CC8">
          <w:rPr>
            <w:noProof/>
            <w:webHidden/>
          </w:rPr>
          <w:fldChar w:fldCharType="begin"/>
        </w:r>
        <w:r w:rsidR="00183CC8">
          <w:rPr>
            <w:noProof/>
            <w:webHidden/>
          </w:rPr>
          <w:instrText xml:space="preserve"> PAGEREF _Toc90216756 \h </w:instrText>
        </w:r>
        <w:r w:rsidR="00183CC8">
          <w:rPr>
            <w:noProof/>
            <w:webHidden/>
          </w:rPr>
        </w:r>
        <w:r w:rsidR="00183CC8">
          <w:rPr>
            <w:noProof/>
            <w:webHidden/>
          </w:rPr>
          <w:fldChar w:fldCharType="separate"/>
        </w:r>
        <w:r w:rsidR="00183CC8">
          <w:rPr>
            <w:noProof/>
            <w:webHidden/>
          </w:rPr>
          <w:t>35</w:t>
        </w:r>
        <w:r w:rsidR="00183CC8">
          <w:rPr>
            <w:noProof/>
            <w:webHidden/>
          </w:rPr>
          <w:fldChar w:fldCharType="end"/>
        </w:r>
      </w:hyperlink>
    </w:p>
    <w:p w14:paraId="5A63C549" w14:textId="63563AF6" w:rsidR="00183CC8" w:rsidRDefault="003373BF">
      <w:pPr>
        <w:pStyle w:val="TOC3"/>
        <w:tabs>
          <w:tab w:val="left" w:pos="1320"/>
        </w:tabs>
        <w:rPr>
          <w:rFonts w:eastAsiaTheme="minorEastAsia" w:cstheme="minorBidi"/>
          <w:noProof/>
          <w:szCs w:val="24"/>
          <w:lang w:eastAsia="en-GB"/>
        </w:rPr>
      </w:pPr>
      <w:hyperlink w:anchor="_Toc90216757" w:history="1">
        <w:r w:rsidR="00183CC8" w:rsidRPr="00BA3362">
          <w:rPr>
            <w:rStyle w:val="Hyperlink"/>
            <w:noProof/>
          </w:rPr>
          <w:t>2.3.4</w:t>
        </w:r>
        <w:r w:rsidR="00183CC8">
          <w:rPr>
            <w:rFonts w:eastAsiaTheme="minorEastAsia" w:cstheme="minorBidi"/>
            <w:noProof/>
            <w:szCs w:val="24"/>
            <w:lang w:eastAsia="en-GB"/>
          </w:rPr>
          <w:tab/>
        </w:r>
        <w:r w:rsidR="00183CC8" w:rsidRPr="00BA3362">
          <w:rPr>
            <w:rStyle w:val="Hyperlink"/>
            <w:noProof/>
          </w:rPr>
          <w:t>PBS – 20 % (w/v) BSA.</w:t>
        </w:r>
        <w:r w:rsidR="00183CC8">
          <w:rPr>
            <w:noProof/>
            <w:webHidden/>
          </w:rPr>
          <w:tab/>
        </w:r>
        <w:r w:rsidR="00183CC8">
          <w:rPr>
            <w:noProof/>
            <w:webHidden/>
          </w:rPr>
          <w:fldChar w:fldCharType="begin"/>
        </w:r>
        <w:r w:rsidR="00183CC8">
          <w:rPr>
            <w:noProof/>
            <w:webHidden/>
          </w:rPr>
          <w:instrText xml:space="preserve"> PAGEREF _Toc90216757 \h </w:instrText>
        </w:r>
        <w:r w:rsidR="00183CC8">
          <w:rPr>
            <w:noProof/>
            <w:webHidden/>
          </w:rPr>
        </w:r>
        <w:r w:rsidR="00183CC8">
          <w:rPr>
            <w:noProof/>
            <w:webHidden/>
          </w:rPr>
          <w:fldChar w:fldCharType="separate"/>
        </w:r>
        <w:r w:rsidR="00183CC8">
          <w:rPr>
            <w:noProof/>
            <w:webHidden/>
          </w:rPr>
          <w:t>35</w:t>
        </w:r>
        <w:r w:rsidR="00183CC8">
          <w:rPr>
            <w:noProof/>
            <w:webHidden/>
          </w:rPr>
          <w:fldChar w:fldCharType="end"/>
        </w:r>
      </w:hyperlink>
    </w:p>
    <w:p w14:paraId="4094640D" w14:textId="3B0A3D59" w:rsidR="00183CC8" w:rsidRDefault="003373BF">
      <w:pPr>
        <w:pStyle w:val="TOC3"/>
        <w:tabs>
          <w:tab w:val="left" w:pos="1320"/>
        </w:tabs>
        <w:rPr>
          <w:rFonts w:eastAsiaTheme="minorEastAsia" w:cstheme="minorBidi"/>
          <w:noProof/>
          <w:szCs w:val="24"/>
          <w:lang w:eastAsia="en-GB"/>
        </w:rPr>
      </w:pPr>
      <w:hyperlink w:anchor="_Toc90216758" w:history="1">
        <w:r w:rsidR="00183CC8" w:rsidRPr="00BA3362">
          <w:rPr>
            <w:rStyle w:val="Hyperlink"/>
            <w:noProof/>
          </w:rPr>
          <w:t>2.3.5</w:t>
        </w:r>
        <w:r w:rsidR="00183CC8">
          <w:rPr>
            <w:rFonts w:eastAsiaTheme="minorEastAsia" w:cstheme="minorBidi"/>
            <w:noProof/>
            <w:szCs w:val="24"/>
            <w:lang w:eastAsia="en-GB"/>
          </w:rPr>
          <w:tab/>
        </w:r>
        <w:r w:rsidR="00183CC8" w:rsidRPr="00BA3362">
          <w:rPr>
            <w:rStyle w:val="Hyperlink"/>
            <w:noProof/>
          </w:rPr>
          <w:t>HEPES.</w:t>
        </w:r>
        <w:r w:rsidR="00183CC8">
          <w:rPr>
            <w:noProof/>
            <w:webHidden/>
          </w:rPr>
          <w:tab/>
        </w:r>
        <w:r w:rsidR="00183CC8">
          <w:rPr>
            <w:noProof/>
            <w:webHidden/>
          </w:rPr>
          <w:fldChar w:fldCharType="begin"/>
        </w:r>
        <w:r w:rsidR="00183CC8">
          <w:rPr>
            <w:noProof/>
            <w:webHidden/>
          </w:rPr>
          <w:instrText xml:space="preserve"> PAGEREF _Toc90216758 \h </w:instrText>
        </w:r>
        <w:r w:rsidR="00183CC8">
          <w:rPr>
            <w:noProof/>
            <w:webHidden/>
          </w:rPr>
        </w:r>
        <w:r w:rsidR="00183CC8">
          <w:rPr>
            <w:noProof/>
            <w:webHidden/>
          </w:rPr>
          <w:fldChar w:fldCharType="separate"/>
        </w:r>
        <w:r w:rsidR="00183CC8">
          <w:rPr>
            <w:noProof/>
            <w:webHidden/>
          </w:rPr>
          <w:t>35</w:t>
        </w:r>
        <w:r w:rsidR="00183CC8">
          <w:rPr>
            <w:noProof/>
            <w:webHidden/>
          </w:rPr>
          <w:fldChar w:fldCharType="end"/>
        </w:r>
      </w:hyperlink>
    </w:p>
    <w:p w14:paraId="17CF1B18" w14:textId="332DE391" w:rsidR="00183CC8" w:rsidRDefault="003373BF">
      <w:pPr>
        <w:pStyle w:val="TOC3"/>
        <w:tabs>
          <w:tab w:val="left" w:pos="1320"/>
        </w:tabs>
        <w:rPr>
          <w:rFonts w:eastAsiaTheme="minorEastAsia" w:cstheme="minorBidi"/>
          <w:noProof/>
          <w:szCs w:val="24"/>
          <w:lang w:eastAsia="en-GB"/>
        </w:rPr>
      </w:pPr>
      <w:hyperlink w:anchor="_Toc90216759" w:history="1">
        <w:r w:rsidR="00183CC8" w:rsidRPr="00BA3362">
          <w:rPr>
            <w:rStyle w:val="Hyperlink"/>
            <w:noProof/>
          </w:rPr>
          <w:t>2.3.6</w:t>
        </w:r>
        <w:r w:rsidR="00183CC8">
          <w:rPr>
            <w:rFonts w:eastAsiaTheme="minorEastAsia" w:cstheme="minorBidi"/>
            <w:noProof/>
            <w:szCs w:val="24"/>
            <w:lang w:eastAsia="en-GB"/>
          </w:rPr>
          <w:tab/>
        </w:r>
        <w:r w:rsidR="00183CC8" w:rsidRPr="00BA3362">
          <w:rPr>
            <w:rStyle w:val="Hyperlink"/>
            <w:noProof/>
          </w:rPr>
          <w:t>HEPES – 10 % (v/v) glycerol.</w:t>
        </w:r>
        <w:r w:rsidR="00183CC8">
          <w:rPr>
            <w:noProof/>
            <w:webHidden/>
          </w:rPr>
          <w:tab/>
        </w:r>
        <w:r w:rsidR="00183CC8">
          <w:rPr>
            <w:noProof/>
            <w:webHidden/>
          </w:rPr>
          <w:fldChar w:fldCharType="begin"/>
        </w:r>
        <w:r w:rsidR="00183CC8">
          <w:rPr>
            <w:noProof/>
            <w:webHidden/>
          </w:rPr>
          <w:instrText xml:space="preserve"> PAGEREF _Toc90216759 \h </w:instrText>
        </w:r>
        <w:r w:rsidR="00183CC8">
          <w:rPr>
            <w:noProof/>
            <w:webHidden/>
          </w:rPr>
        </w:r>
        <w:r w:rsidR="00183CC8">
          <w:rPr>
            <w:noProof/>
            <w:webHidden/>
          </w:rPr>
          <w:fldChar w:fldCharType="separate"/>
        </w:r>
        <w:r w:rsidR="00183CC8">
          <w:rPr>
            <w:noProof/>
            <w:webHidden/>
          </w:rPr>
          <w:t>35</w:t>
        </w:r>
        <w:r w:rsidR="00183CC8">
          <w:rPr>
            <w:noProof/>
            <w:webHidden/>
          </w:rPr>
          <w:fldChar w:fldCharType="end"/>
        </w:r>
      </w:hyperlink>
    </w:p>
    <w:p w14:paraId="7F4F2F6C" w14:textId="51613A48" w:rsidR="00183CC8" w:rsidRDefault="003373BF">
      <w:pPr>
        <w:pStyle w:val="TOC3"/>
        <w:tabs>
          <w:tab w:val="left" w:pos="1320"/>
        </w:tabs>
        <w:rPr>
          <w:rFonts w:eastAsiaTheme="minorEastAsia" w:cstheme="minorBidi"/>
          <w:noProof/>
          <w:szCs w:val="24"/>
          <w:lang w:eastAsia="en-GB"/>
        </w:rPr>
      </w:pPr>
      <w:hyperlink w:anchor="_Toc90216760" w:history="1">
        <w:r w:rsidR="00183CC8" w:rsidRPr="00BA3362">
          <w:rPr>
            <w:rStyle w:val="Hyperlink"/>
            <w:noProof/>
          </w:rPr>
          <w:t>2.3.7</w:t>
        </w:r>
        <w:r w:rsidR="00183CC8">
          <w:rPr>
            <w:rFonts w:eastAsiaTheme="minorEastAsia" w:cstheme="minorBidi"/>
            <w:noProof/>
            <w:szCs w:val="24"/>
            <w:lang w:eastAsia="en-GB"/>
          </w:rPr>
          <w:tab/>
        </w:r>
        <w:r w:rsidR="00183CC8" w:rsidRPr="00BA3362">
          <w:rPr>
            <w:rStyle w:val="Hyperlink"/>
            <w:noProof/>
          </w:rPr>
          <w:t>HEPES – 20 % (w/v) BSA.</w:t>
        </w:r>
        <w:r w:rsidR="00183CC8">
          <w:rPr>
            <w:noProof/>
            <w:webHidden/>
          </w:rPr>
          <w:tab/>
        </w:r>
        <w:r w:rsidR="00183CC8">
          <w:rPr>
            <w:noProof/>
            <w:webHidden/>
          </w:rPr>
          <w:fldChar w:fldCharType="begin"/>
        </w:r>
        <w:r w:rsidR="00183CC8">
          <w:rPr>
            <w:noProof/>
            <w:webHidden/>
          </w:rPr>
          <w:instrText xml:space="preserve"> PAGEREF _Toc90216760 \h </w:instrText>
        </w:r>
        <w:r w:rsidR="00183CC8">
          <w:rPr>
            <w:noProof/>
            <w:webHidden/>
          </w:rPr>
        </w:r>
        <w:r w:rsidR="00183CC8">
          <w:rPr>
            <w:noProof/>
            <w:webHidden/>
          </w:rPr>
          <w:fldChar w:fldCharType="separate"/>
        </w:r>
        <w:r w:rsidR="00183CC8">
          <w:rPr>
            <w:noProof/>
            <w:webHidden/>
          </w:rPr>
          <w:t>35</w:t>
        </w:r>
        <w:r w:rsidR="00183CC8">
          <w:rPr>
            <w:noProof/>
            <w:webHidden/>
          </w:rPr>
          <w:fldChar w:fldCharType="end"/>
        </w:r>
      </w:hyperlink>
    </w:p>
    <w:p w14:paraId="1BDB3BEC" w14:textId="2AD270AB" w:rsidR="00183CC8" w:rsidRDefault="003373BF">
      <w:pPr>
        <w:pStyle w:val="TOC3"/>
        <w:tabs>
          <w:tab w:val="left" w:pos="1320"/>
        </w:tabs>
        <w:rPr>
          <w:rFonts w:eastAsiaTheme="minorEastAsia" w:cstheme="minorBidi"/>
          <w:noProof/>
          <w:szCs w:val="24"/>
          <w:lang w:eastAsia="en-GB"/>
        </w:rPr>
      </w:pPr>
      <w:hyperlink w:anchor="_Toc90216761" w:history="1">
        <w:r w:rsidR="00183CC8" w:rsidRPr="00BA3362">
          <w:rPr>
            <w:rStyle w:val="Hyperlink"/>
            <w:noProof/>
          </w:rPr>
          <w:t>2.3.8</w:t>
        </w:r>
        <w:r w:rsidR="00183CC8">
          <w:rPr>
            <w:rFonts w:eastAsiaTheme="minorEastAsia" w:cstheme="minorBidi"/>
            <w:noProof/>
            <w:szCs w:val="24"/>
            <w:lang w:eastAsia="en-GB"/>
          </w:rPr>
          <w:tab/>
        </w:r>
        <w:r w:rsidR="00183CC8" w:rsidRPr="00BA3362">
          <w:rPr>
            <w:rStyle w:val="Hyperlink"/>
            <w:noProof/>
          </w:rPr>
          <w:t>HEPES – 2 % (w/v) low melting-point agarose.</w:t>
        </w:r>
        <w:r w:rsidR="00183CC8">
          <w:rPr>
            <w:noProof/>
            <w:webHidden/>
          </w:rPr>
          <w:tab/>
        </w:r>
        <w:r w:rsidR="00183CC8">
          <w:rPr>
            <w:noProof/>
            <w:webHidden/>
          </w:rPr>
          <w:fldChar w:fldCharType="begin"/>
        </w:r>
        <w:r w:rsidR="00183CC8">
          <w:rPr>
            <w:noProof/>
            <w:webHidden/>
          </w:rPr>
          <w:instrText xml:space="preserve"> PAGEREF _Toc90216761 \h </w:instrText>
        </w:r>
        <w:r w:rsidR="00183CC8">
          <w:rPr>
            <w:noProof/>
            <w:webHidden/>
          </w:rPr>
        </w:r>
        <w:r w:rsidR="00183CC8">
          <w:rPr>
            <w:noProof/>
            <w:webHidden/>
          </w:rPr>
          <w:fldChar w:fldCharType="separate"/>
        </w:r>
        <w:r w:rsidR="00183CC8">
          <w:rPr>
            <w:noProof/>
            <w:webHidden/>
          </w:rPr>
          <w:t>35</w:t>
        </w:r>
        <w:r w:rsidR="00183CC8">
          <w:rPr>
            <w:noProof/>
            <w:webHidden/>
          </w:rPr>
          <w:fldChar w:fldCharType="end"/>
        </w:r>
      </w:hyperlink>
    </w:p>
    <w:p w14:paraId="44967F9C" w14:textId="0805CF57" w:rsidR="00183CC8" w:rsidRDefault="003373BF">
      <w:pPr>
        <w:pStyle w:val="TOC3"/>
        <w:tabs>
          <w:tab w:val="left" w:pos="1320"/>
        </w:tabs>
        <w:rPr>
          <w:rFonts w:eastAsiaTheme="minorEastAsia" w:cstheme="minorBidi"/>
          <w:noProof/>
          <w:szCs w:val="24"/>
          <w:lang w:eastAsia="en-GB"/>
        </w:rPr>
      </w:pPr>
      <w:hyperlink w:anchor="_Toc90216762" w:history="1">
        <w:r w:rsidR="00183CC8" w:rsidRPr="00BA3362">
          <w:rPr>
            <w:rStyle w:val="Hyperlink"/>
            <w:noProof/>
          </w:rPr>
          <w:t>2.3.9</w:t>
        </w:r>
        <w:r w:rsidR="00183CC8">
          <w:rPr>
            <w:rFonts w:eastAsiaTheme="minorEastAsia" w:cstheme="minorBidi"/>
            <w:noProof/>
            <w:szCs w:val="24"/>
            <w:lang w:eastAsia="en-GB"/>
          </w:rPr>
          <w:tab/>
        </w:r>
        <w:r w:rsidR="00183CC8" w:rsidRPr="00BA3362">
          <w:rPr>
            <w:rStyle w:val="Hyperlink"/>
            <w:noProof/>
          </w:rPr>
          <w:t>20 % (w/v) uranyl acetate (UA) in methanol.</w:t>
        </w:r>
        <w:r w:rsidR="00183CC8">
          <w:rPr>
            <w:noProof/>
            <w:webHidden/>
          </w:rPr>
          <w:tab/>
        </w:r>
        <w:r w:rsidR="00183CC8">
          <w:rPr>
            <w:noProof/>
            <w:webHidden/>
          </w:rPr>
          <w:fldChar w:fldCharType="begin"/>
        </w:r>
        <w:r w:rsidR="00183CC8">
          <w:rPr>
            <w:noProof/>
            <w:webHidden/>
          </w:rPr>
          <w:instrText xml:space="preserve"> PAGEREF _Toc90216762 \h </w:instrText>
        </w:r>
        <w:r w:rsidR="00183CC8">
          <w:rPr>
            <w:noProof/>
            <w:webHidden/>
          </w:rPr>
        </w:r>
        <w:r w:rsidR="00183CC8">
          <w:rPr>
            <w:noProof/>
            <w:webHidden/>
          </w:rPr>
          <w:fldChar w:fldCharType="separate"/>
        </w:r>
        <w:r w:rsidR="00183CC8">
          <w:rPr>
            <w:noProof/>
            <w:webHidden/>
          </w:rPr>
          <w:t>35</w:t>
        </w:r>
        <w:r w:rsidR="00183CC8">
          <w:rPr>
            <w:noProof/>
            <w:webHidden/>
          </w:rPr>
          <w:fldChar w:fldCharType="end"/>
        </w:r>
      </w:hyperlink>
    </w:p>
    <w:p w14:paraId="5CAA6A52" w14:textId="230E2C0A" w:rsidR="00183CC8" w:rsidRDefault="003373BF">
      <w:pPr>
        <w:pStyle w:val="TOC3"/>
        <w:tabs>
          <w:tab w:val="left" w:pos="1540"/>
        </w:tabs>
        <w:rPr>
          <w:rFonts w:eastAsiaTheme="minorEastAsia" w:cstheme="minorBidi"/>
          <w:noProof/>
          <w:szCs w:val="24"/>
          <w:lang w:eastAsia="en-GB"/>
        </w:rPr>
      </w:pPr>
      <w:hyperlink w:anchor="_Toc90216763" w:history="1">
        <w:r w:rsidR="00183CC8" w:rsidRPr="00BA3362">
          <w:rPr>
            <w:rStyle w:val="Hyperlink"/>
            <w:noProof/>
          </w:rPr>
          <w:t>2.3.10</w:t>
        </w:r>
        <w:r w:rsidR="00183CC8">
          <w:rPr>
            <w:rFonts w:eastAsiaTheme="minorEastAsia" w:cstheme="minorBidi"/>
            <w:noProof/>
            <w:szCs w:val="24"/>
            <w:lang w:eastAsia="en-GB"/>
          </w:rPr>
          <w:tab/>
        </w:r>
        <w:r w:rsidR="00183CC8" w:rsidRPr="00BA3362">
          <w:rPr>
            <w:rStyle w:val="Hyperlink"/>
            <w:noProof/>
          </w:rPr>
          <w:t>1 % (w/v) uranyl acetate (UA) in acetone.</w:t>
        </w:r>
        <w:r w:rsidR="00183CC8">
          <w:rPr>
            <w:noProof/>
            <w:webHidden/>
          </w:rPr>
          <w:tab/>
        </w:r>
        <w:r w:rsidR="00183CC8">
          <w:rPr>
            <w:noProof/>
            <w:webHidden/>
          </w:rPr>
          <w:fldChar w:fldCharType="begin"/>
        </w:r>
        <w:r w:rsidR="00183CC8">
          <w:rPr>
            <w:noProof/>
            <w:webHidden/>
          </w:rPr>
          <w:instrText xml:space="preserve"> PAGEREF _Toc90216763 \h </w:instrText>
        </w:r>
        <w:r w:rsidR="00183CC8">
          <w:rPr>
            <w:noProof/>
            <w:webHidden/>
          </w:rPr>
        </w:r>
        <w:r w:rsidR="00183CC8">
          <w:rPr>
            <w:noProof/>
            <w:webHidden/>
          </w:rPr>
          <w:fldChar w:fldCharType="separate"/>
        </w:r>
        <w:r w:rsidR="00183CC8">
          <w:rPr>
            <w:noProof/>
            <w:webHidden/>
          </w:rPr>
          <w:t>36</w:t>
        </w:r>
        <w:r w:rsidR="00183CC8">
          <w:rPr>
            <w:noProof/>
            <w:webHidden/>
          </w:rPr>
          <w:fldChar w:fldCharType="end"/>
        </w:r>
      </w:hyperlink>
    </w:p>
    <w:p w14:paraId="10BDC626" w14:textId="3327C9AD" w:rsidR="00183CC8" w:rsidRDefault="003373BF">
      <w:pPr>
        <w:pStyle w:val="TOC3"/>
        <w:tabs>
          <w:tab w:val="left" w:pos="1540"/>
        </w:tabs>
        <w:rPr>
          <w:rFonts w:eastAsiaTheme="minorEastAsia" w:cstheme="minorBidi"/>
          <w:noProof/>
          <w:szCs w:val="24"/>
          <w:lang w:eastAsia="en-GB"/>
        </w:rPr>
      </w:pPr>
      <w:hyperlink w:anchor="_Toc90216764" w:history="1">
        <w:r w:rsidR="00183CC8" w:rsidRPr="00BA3362">
          <w:rPr>
            <w:rStyle w:val="Hyperlink"/>
            <w:noProof/>
          </w:rPr>
          <w:t>2.3.11</w:t>
        </w:r>
        <w:r w:rsidR="00183CC8">
          <w:rPr>
            <w:rFonts w:eastAsiaTheme="minorEastAsia" w:cstheme="minorBidi"/>
            <w:noProof/>
            <w:szCs w:val="24"/>
            <w:lang w:eastAsia="en-GB"/>
          </w:rPr>
          <w:tab/>
        </w:r>
        <w:r w:rsidR="00183CC8" w:rsidRPr="00BA3362">
          <w:rPr>
            <w:rStyle w:val="Hyperlink"/>
            <w:noProof/>
          </w:rPr>
          <w:t>0.05 – 0.1 % (w/v) egg lecithin in chloroform.</w:t>
        </w:r>
        <w:r w:rsidR="00183CC8">
          <w:rPr>
            <w:noProof/>
            <w:webHidden/>
          </w:rPr>
          <w:tab/>
        </w:r>
        <w:r w:rsidR="00183CC8">
          <w:rPr>
            <w:noProof/>
            <w:webHidden/>
          </w:rPr>
          <w:fldChar w:fldCharType="begin"/>
        </w:r>
        <w:r w:rsidR="00183CC8">
          <w:rPr>
            <w:noProof/>
            <w:webHidden/>
          </w:rPr>
          <w:instrText xml:space="preserve"> PAGEREF _Toc90216764 \h </w:instrText>
        </w:r>
        <w:r w:rsidR="00183CC8">
          <w:rPr>
            <w:noProof/>
            <w:webHidden/>
          </w:rPr>
        </w:r>
        <w:r w:rsidR="00183CC8">
          <w:rPr>
            <w:noProof/>
            <w:webHidden/>
          </w:rPr>
          <w:fldChar w:fldCharType="separate"/>
        </w:r>
        <w:r w:rsidR="00183CC8">
          <w:rPr>
            <w:noProof/>
            <w:webHidden/>
          </w:rPr>
          <w:t>36</w:t>
        </w:r>
        <w:r w:rsidR="00183CC8">
          <w:rPr>
            <w:noProof/>
            <w:webHidden/>
          </w:rPr>
          <w:fldChar w:fldCharType="end"/>
        </w:r>
      </w:hyperlink>
    </w:p>
    <w:p w14:paraId="5B676B08" w14:textId="03914344" w:rsidR="00183CC8" w:rsidRDefault="003373BF">
      <w:pPr>
        <w:pStyle w:val="TOC3"/>
        <w:tabs>
          <w:tab w:val="left" w:pos="1540"/>
        </w:tabs>
        <w:rPr>
          <w:rFonts w:eastAsiaTheme="minorEastAsia" w:cstheme="minorBidi"/>
          <w:noProof/>
          <w:szCs w:val="24"/>
          <w:lang w:eastAsia="en-GB"/>
        </w:rPr>
      </w:pPr>
      <w:hyperlink w:anchor="_Toc90216765" w:history="1">
        <w:r w:rsidR="00183CC8" w:rsidRPr="00BA3362">
          <w:rPr>
            <w:rStyle w:val="Hyperlink"/>
            <w:noProof/>
          </w:rPr>
          <w:t>2.3.12</w:t>
        </w:r>
        <w:r w:rsidR="00183CC8">
          <w:rPr>
            <w:rFonts w:eastAsiaTheme="minorEastAsia" w:cstheme="minorBidi"/>
            <w:noProof/>
            <w:szCs w:val="24"/>
            <w:lang w:eastAsia="en-GB"/>
          </w:rPr>
          <w:tab/>
        </w:r>
        <w:r w:rsidR="00183CC8" w:rsidRPr="00BA3362">
          <w:rPr>
            <w:rStyle w:val="Hyperlink"/>
            <w:noProof/>
          </w:rPr>
          <w:t>Sodium Citrate.</w:t>
        </w:r>
        <w:r w:rsidR="00183CC8">
          <w:rPr>
            <w:noProof/>
            <w:webHidden/>
          </w:rPr>
          <w:tab/>
        </w:r>
        <w:r w:rsidR="00183CC8">
          <w:rPr>
            <w:noProof/>
            <w:webHidden/>
          </w:rPr>
          <w:fldChar w:fldCharType="begin"/>
        </w:r>
        <w:r w:rsidR="00183CC8">
          <w:rPr>
            <w:noProof/>
            <w:webHidden/>
          </w:rPr>
          <w:instrText xml:space="preserve"> PAGEREF _Toc90216765 \h </w:instrText>
        </w:r>
        <w:r w:rsidR="00183CC8">
          <w:rPr>
            <w:noProof/>
            <w:webHidden/>
          </w:rPr>
        </w:r>
        <w:r w:rsidR="00183CC8">
          <w:rPr>
            <w:noProof/>
            <w:webHidden/>
          </w:rPr>
          <w:fldChar w:fldCharType="separate"/>
        </w:r>
        <w:r w:rsidR="00183CC8">
          <w:rPr>
            <w:noProof/>
            <w:webHidden/>
          </w:rPr>
          <w:t>36</w:t>
        </w:r>
        <w:r w:rsidR="00183CC8">
          <w:rPr>
            <w:noProof/>
            <w:webHidden/>
          </w:rPr>
          <w:fldChar w:fldCharType="end"/>
        </w:r>
      </w:hyperlink>
    </w:p>
    <w:p w14:paraId="2981F9D5" w14:textId="35DFA881" w:rsidR="00183CC8" w:rsidRDefault="003373BF">
      <w:pPr>
        <w:pStyle w:val="TOC3"/>
        <w:tabs>
          <w:tab w:val="left" w:pos="1540"/>
        </w:tabs>
        <w:rPr>
          <w:rFonts w:eastAsiaTheme="minorEastAsia" w:cstheme="minorBidi"/>
          <w:noProof/>
          <w:szCs w:val="24"/>
          <w:lang w:eastAsia="en-GB"/>
        </w:rPr>
      </w:pPr>
      <w:hyperlink w:anchor="_Toc90216766" w:history="1">
        <w:r w:rsidR="00183CC8" w:rsidRPr="00BA3362">
          <w:rPr>
            <w:rStyle w:val="Hyperlink"/>
            <w:noProof/>
          </w:rPr>
          <w:t>2.3.13</w:t>
        </w:r>
        <w:r w:rsidR="00183CC8">
          <w:rPr>
            <w:rFonts w:eastAsiaTheme="minorEastAsia" w:cstheme="minorBidi"/>
            <w:noProof/>
            <w:szCs w:val="24"/>
            <w:lang w:eastAsia="en-GB"/>
          </w:rPr>
          <w:tab/>
        </w:r>
        <w:r w:rsidR="00183CC8" w:rsidRPr="00BA3362">
          <w:rPr>
            <w:rStyle w:val="Hyperlink"/>
            <w:noProof/>
          </w:rPr>
          <w:t>Calcium chloride (CaCl</w:t>
        </w:r>
        <w:r w:rsidR="00183CC8" w:rsidRPr="00BA3362">
          <w:rPr>
            <w:rStyle w:val="Hyperlink"/>
            <w:noProof/>
            <w:vertAlign w:val="subscript"/>
          </w:rPr>
          <w:t>2</w:t>
        </w:r>
        <w:r w:rsidR="00183CC8" w:rsidRPr="00BA3362">
          <w:rPr>
            <w:rStyle w:val="Hyperlink"/>
            <w:noProof/>
          </w:rPr>
          <w:t>).</w:t>
        </w:r>
        <w:r w:rsidR="00183CC8">
          <w:rPr>
            <w:noProof/>
            <w:webHidden/>
          </w:rPr>
          <w:tab/>
        </w:r>
        <w:r w:rsidR="00183CC8">
          <w:rPr>
            <w:noProof/>
            <w:webHidden/>
          </w:rPr>
          <w:fldChar w:fldCharType="begin"/>
        </w:r>
        <w:r w:rsidR="00183CC8">
          <w:rPr>
            <w:noProof/>
            <w:webHidden/>
          </w:rPr>
          <w:instrText xml:space="preserve"> PAGEREF _Toc90216766 \h </w:instrText>
        </w:r>
        <w:r w:rsidR="00183CC8">
          <w:rPr>
            <w:noProof/>
            <w:webHidden/>
          </w:rPr>
        </w:r>
        <w:r w:rsidR="00183CC8">
          <w:rPr>
            <w:noProof/>
            <w:webHidden/>
          </w:rPr>
          <w:fldChar w:fldCharType="separate"/>
        </w:r>
        <w:r w:rsidR="00183CC8">
          <w:rPr>
            <w:noProof/>
            <w:webHidden/>
          </w:rPr>
          <w:t>36</w:t>
        </w:r>
        <w:r w:rsidR="00183CC8">
          <w:rPr>
            <w:noProof/>
            <w:webHidden/>
          </w:rPr>
          <w:fldChar w:fldCharType="end"/>
        </w:r>
      </w:hyperlink>
    </w:p>
    <w:p w14:paraId="7A5A37BE" w14:textId="03DEFCFF" w:rsidR="00183CC8" w:rsidRDefault="003373BF">
      <w:pPr>
        <w:pStyle w:val="TOC3"/>
        <w:tabs>
          <w:tab w:val="left" w:pos="1540"/>
        </w:tabs>
        <w:rPr>
          <w:rFonts w:eastAsiaTheme="minorEastAsia" w:cstheme="minorBidi"/>
          <w:noProof/>
          <w:szCs w:val="24"/>
          <w:lang w:eastAsia="en-GB"/>
        </w:rPr>
      </w:pPr>
      <w:hyperlink w:anchor="_Toc90216767" w:history="1">
        <w:r w:rsidR="00183CC8" w:rsidRPr="00BA3362">
          <w:rPr>
            <w:rStyle w:val="Hyperlink"/>
            <w:noProof/>
            <w:lang w:val="es-ES"/>
          </w:rPr>
          <w:t>2.3.14</w:t>
        </w:r>
        <w:r w:rsidR="00183CC8">
          <w:rPr>
            <w:rFonts w:eastAsiaTheme="minorEastAsia" w:cstheme="minorBidi"/>
            <w:noProof/>
            <w:szCs w:val="24"/>
            <w:lang w:eastAsia="en-GB"/>
          </w:rPr>
          <w:tab/>
        </w:r>
        <w:r w:rsidR="00183CC8" w:rsidRPr="00BA3362">
          <w:rPr>
            <w:rStyle w:val="Hyperlink"/>
            <w:noProof/>
            <w:lang w:val="es-ES"/>
          </w:rPr>
          <w:t>Tris-acetate EDTA (TAE) – 50X.</w:t>
        </w:r>
        <w:r w:rsidR="00183CC8">
          <w:rPr>
            <w:noProof/>
            <w:webHidden/>
          </w:rPr>
          <w:tab/>
        </w:r>
        <w:r w:rsidR="00183CC8">
          <w:rPr>
            <w:noProof/>
            <w:webHidden/>
          </w:rPr>
          <w:fldChar w:fldCharType="begin"/>
        </w:r>
        <w:r w:rsidR="00183CC8">
          <w:rPr>
            <w:noProof/>
            <w:webHidden/>
          </w:rPr>
          <w:instrText xml:space="preserve"> PAGEREF _Toc90216767 \h </w:instrText>
        </w:r>
        <w:r w:rsidR="00183CC8">
          <w:rPr>
            <w:noProof/>
            <w:webHidden/>
          </w:rPr>
        </w:r>
        <w:r w:rsidR="00183CC8">
          <w:rPr>
            <w:noProof/>
            <w:webHidden/>
          </w:rPr>
          <w:fldChar w:fldCharType="separate"/>
        </w:r>
        <w:r w:rsidR="00183CC8">
          <w:rPr>
            <w:noProof/>
            <w:webHidden/>
          </w:rPr>
          <w:t>36</w:t>
        </w:r>
        <w:r w:rsidR="00183CC8">
          <w:rPr>
            <w:noProof/>
            <w:webHidden/>
          </w:rPr>
          <w:fldChar w:fldCharType="end"/>
        </w:r>
      </w:hyperlink>
    </w:p>
    <w:p w14:paraId="72196C48" w14:textId="71E722D1" w:rsidR="00183CC8" w:rsidRDefault="003373BF">
      <w:pPr>
        <w:pStyle w:val="TOC3"/>
        <w:tabs>
          <w:tab w:val="left" w:pos="1540"/>
        </w:tabs>
        <w:rPr>
          <w:rFonts w:eastAsiaTheme="minorEastAsia" w:cstheme="minorBidi"/>
          <w:noProof/>
          <w:szCs w:val="24"/>
          <w:lang w:eastAsia="en-GB"/>
        </w:rPr>
      </w:pPr>
      <w:hyperlink w:anchor="_Toc90216768" w:history="1">
        <w:r w:rsidR="00183CC8" w:rsidRPr="00BA3362">
          <w:rPr>
            <w:rStyle w:val="Hyperlink"/>
            <w:noProof/>
          </w:rPr>
          <w:t>2.3.15</w:t>
        </w:r>
        <w:r w:rsidR="00183CC8">
          <w:rPr>
            <w:rFonts w:eastAsiaTheme="minorEastAsia" w:cstheme="minorBidi"/>
            <w:noProof/>
            <w:szCs w:val="24"/>
            <w:lang w:eastAsia="en-GB"/>
          </w:rPr>
          <w:tab/>
        </w:r>
        <w:r w:rsidR="00183CC8" w:rsidRPr="00BA3362">
          <w:rPr>
            <w:rStyle w:val="Hyperlink"/>
            <w:noProof/>
          </w:rPr>
          <w:t>Agarose Gel.</w:t>
        </w:r>
        <w:r w:rsidR="00183CC8">
          <w:rPr>
            <w:noProof/>
            <w:webHidden/>
          </w:rPr>
          <w:tab/>
        </w:r>
        <w:r w:rsidR="00183CC8">
          <w:rPr>
            <w:noProof/>
            <w:webHidden/>
          </w:rPr>
          <w:fldChar w:fldCharType="begin"/>
        </w:r>
        <w:r w:rsidR="00183CC8">
          <w:rPr>
            <w:noProof/>
            <w:webHidden/>
          </w:rPr>
          <w:instrText xml:space="preserve"> PAGEREF _Toc90216768 \h </w:instrText>
        </w:r>
        <w:r w:rsidR="00183CC8">
          <w:rPr>
            <w:noProof/>
            <w:webHidden/>
          </w:rPr>
        </w:r>
        <w:r w:rsidR="00183CC8">
          <w:rPr>
            <w:noProof/>
            <w:webHidden/>
          </w:rPr>
          <w:fldChar w:fldCharType="separate"/>
        </w:r>
        <w:r w:rsidR="00183CC8">
          <w:rPr>
            <w:noProof/>
            <w:webHidden/>
          </w:rPr>
          <w:t>36</w:t>
        </w:r>
        <w:r w:rsidR="00183CC8">
          <w:rPr>
            <w:noProof/>
            <w:webHidden/>
          </w:rPr>
          <w:fldChar w:fldCharType="end"/>
        </w:r>
      </w:hyperlink>
    </w:p>
    <w:p w14:paraId="545BF486" w14:textId="6FB7005B" w:rsidR="00183CC8" w:rsidRDefault="003373BF">
      <w:pPr>
        <w:pStyle w:val="TOC3"/>
        <w:tabs>
          <w:tab w:val="left" w:pos="1540"/>
        </w:tabs>
        <w:rPr>
          <w:rFonts w:eastAsiaTheme="minorEastAsia" w:cstheme="minorBidi"/>
          <w:noProof/>
          <w:szCs w:val="24"/>
          <w:lang w:eastAsia="en-GB"/>
        </w:rPr>
      </w:pPr>
      <w:hyperlink w:anchor="_Toc90216769" w:history="1">
        <w:r w:rsidR="00183CC8" w:rsidRPr="00BA3362">
          <w:rPr>
            <w:rStyle w:val="Hyperlink"/>
            <w:noProof/>
          </w:rPr>
          <w:t>2.3.16</w:t>
        </w:r>
        <w:r w:rsidR="00183CC8">
          <w:rPr>
            <w:rFonts w:eastAsiaTheme="minorEastAsia" w:cstheme="minorBidi"/>
            <w:noProof/>
            <w:szCs w:val="24"/>
            <w:lang w:eastAsia="en-GB"/>
          </w:rPr>
          <w:tab/>
        </w:r>
        <w:r w:rsidR="00183CC8" w:rsidRPr="00BA3362">
          <w:rPr>
            <w:rStyle w:val="Hyperlink"/>
            <w:noProof/>
          </w:rPr>
          <w:t>100 mM sodium phosphate buffer.</w:t>
        </w:r>
        <w:r w:rsidR="00183CC8">
          <w:rPr>
            <w:noProof/>
            <w:webHidden/>
          </w:rPr>
          <w:tab/>
        </w:r>
        <w:r w:rsidR="00183CC8">
          <w:rPr>
            <w:noProof/>
            <w:webHidden/>
          </w:rPr>
          <w:fldChar w:fldCharType="begin"/>
        </w:r>
        <w:r w:rsidR="00183CC8">
          <w:rPr>
            <w:noProof/>
            <w:webHidden/>
          </w:rPr>
          <w:instrText xml:space="preserve"> PAGEREF _Toc90216769 \h </w:instrText>
        </w:r>
        <w:r w:rsidR="00183CC8">
          <w:rPr>
            <w:noProof/>
            <w:webHidden/>
          </w:rPr>
        </w:r>
        <w:r w:rsidR="00183CC8">
          <w:rPr>
            <w:noProof/>
            <w:webHidden/>
          </w:rPr>
          <w:fldChar w:fldCharType="separate"/>
        </w:r>
        <w:r w:rsidR="00183CC8">
          <w:rPr>
            <w:noProof/>
            <w:webHidden/>
          </w:rPr>
          <w:t>37</w:t>
        </w:r>
        <w:r w:rsidR="00183CC8">
          <w:rPr>
            <w:noProof/>
            <w:webHidden/>
          </w:rPr>
          <w:fldChar w:fldCharType="end"/>
        </w:r>
      </w:hyperlink>
    </w:p>
    <w:p w14:paraId="66C0A7F2" w14:textId="5B1AC71D" w:rsidR="00183CC8" w:rsidRDefault="003373BF">
      <w:pPr>
        <w:pStyle w:val="TOC2"/>
        <w:tabs>
          <w:tab w:val="left" w:pos="958"/>
        </w:tabs>
        <w:rPr>
          <w:rFonts w:eastAsiaTheme="minorEastAsia" w:cstheme="minorBidi"/>
          <w:szCs w:val="24"/>
          <w:lang w:eastAsia="en-GB"/>
        </w:rPr>
      </w:pPr>
      <w:hyperlink w:anchor="_Toc90216770" w:history="1">
        <w:r w:rsidR="00183CC8" w:rsidRPr="00BA3362">
          <w:rPr>
            <w:rStyle w:val="Hyperlink"/>
          </w:rPr>
          <w:t>2.4</w:t>
        </w:r>
        <w:r w:rsidR="00183CC8">
          <w:rPr>
            <w:rFonts w:eastAsiaTheme="minorEastAsia" w:cstheme="minorBidi"/>
            <w:szCs w:val="24"/>
            <w:lang w:eastAsia="en-GB"/>
          </w:rPr>
          <w:tab/>
        </w:r>
        <w:r w:rsidR="00183CC8" w:rsidRPr="00BA3362">
          <w:rPr>
            <w:rStyle w:val="Hyperlink"/>
          </w:rPr>
          <w:t>Fixatives.</w:t>
        </w:r>
        <w:r w:rsidR="00183CC8">
          <w:rPr>
            <w:webHidden/>
          </w:rPr>
          <w:tab/>
        </w:r>
        <w:r w:rsidR="00183CC8">
          <w:rPr>
            <w:webHidden/>
          </w:rPr>
          <w:fldChar w:fldCharType="begin"/>
        </w:r>
        <w:r w:rsidR="00183CC8">
          <w:rPr>
            <w:webHidden/>
          </w:rPr>
          <w:instrText xml:space="preserve"> PAGEREF _Toc90216770 \h </w:instrText>
        </w:r>
        <w:r w:rsidR="00183CC8">
          <w:rPr>
            <w:webHidden/>
          </w:rPr>
        </w:r>
        <w:r w:rsidR="00183CC8">
          <w:rPr>
            <w:webHidden/>
          </w:rPr>
          <w:fldChar w:fldCharType="separate"/>
        </w:r>
        <w:r w:rsidR="00183CC8">
          <w:rPr>
            <w:webHidden/>
          </w:rPr>
          <w:t>37</w:t>
        </w:r>
        <w:r w:rsidR="00183CC8">
          <w:rPr>
            <w:webHidden/>
          </w:rPr>
          <w:fldChar w:fldCharType="end"/>
        </w:r>
      </w:hyperlink>
    </w:p>
    <w:p w14:paraId="07F7E501" w14:textId="7477BD38" w:rsidR="00183CC8" w:rsidRDefault="003373BF">
      <w:pPr>
        <w:pStyle w:val="TOC3"/>
        <w:tabs>
          <w:tab w:val="left" w:pos="1320"/>
        </w:tabs>
        <w:rPr>
          <w:rFonts w:eastAsiaTheme="minorEastAsia" w:cstheme="minorBidi"/>
          <w:noProof/>
          <w:szCs w:val="24"/>
          <w:lang w:eastAsia="en-GB"/>
        </w:rPr>
      </w:pPr>
      <w:hyperlink w:anchor="_Toc90216771" w:history="1">
        <w:r w:rsidR="00183CC8" w:rsidRPr="00BA3362">
          <w:rPr>
            <w:rStyle w:val="Hyperlink"/>
            <w:noProof/>
          </w:rPr>
          <w:t>2.4.1</w:t>
        </w:r>
        <w:r w:rsidR="00183CC8">
          <w:rPr>
            <w:rFonts w:eastAsiaTheme="minorEastAsia" w:cstheme="minorBidi"/>
            <w:noProof/>
            <w:szCs w:val="24"/>
            <w:lang w:eastAsia="en-GB"/>
          </w:rPr>
          <w:tab/>
        </w:r>
        <w:r w:rsidR="00183CC8" w:rsidRPr="00BA3362">
          <w:rPr>
            <w:rStyle w:val="Hyperlink"/>
            <w:noProof/>
          </w:rPr>
          <w:t>Paraformaldehyde (PFA).</w:t>
        </w:r>
        <w:r w:rsidR="00183CC8">
          <w:rPr>
            <w:noProof/>
            <w:webHidden/>
          </w:rPr>
          <w:tab/>
        </w:r>
        <w:r w:rsidR="00183CC8">
          <w:rPr>
            <w:noProof/>
            <w:webHidden/>
          </w:rPr>
          <w:fldChar w:fldCharType="begin"/>
        </w:r>
        <w:r w:rsidR="00183CC8">
          <w:rPr>
            <w:noProof/>
            <w:webHidden/>
          </w:rPr>
          <w:instrText xml:space="preserve"> PAGEREF _Toc90216771 \h </w:instrText>
        </w:r>
        <w:r w:rsidR="00183CC8">
          <w:rPr>
            <w:noProof/>
            <w:webHidden/>
          </w:rPr>
        </w:r>
        <w:r w:rsidR="00183CC8">
          <w:rPr>
            <w:noProof/>
            <w:webHidden/>
          </w:rPr>
          <w:fldChar w:fldCharType="separate"/>
        </w:r>
        <w:r w:rsidR="00183CC8">
          <w:rPr>
            <w:noProof/>
            <w:webHidden/>
          </w:rPr>
          <w:t>37</w:t>
        </w:r>
        <w:r w:rsidR="00183CC8">
          <w:rPr>
            <w:noProof/>
            <w:webHidden/>
          </w:rPr>
          <w:fldChar w:fldCharType="end"/>
        </w:r>
      </w:hyperlink>
    </w:p>
    <w:p w14:paraId="4C191507" w14:textId="64F4DAAF" w:rsidR="00183CC8" w:rsidRDefault="003373BF">
      <w:pPr>
        <w:pStyle w:val="TOC4"/>
        <w:rPr>
          <w:rFonts w:eastAsiaTheme="minorEastAsia" w:cstheme="minorBidi"/>
          <w:noProof/>
          <w:szCs w:val="24"/>
          <w:lang w:eastAsia="en-GB"/>
        </w:rPr>
      </w:pPr>
      <w:hyperlink w:anchor="_Toc90216772" w:history="1">
        <w:r w:rsidR="00183CC8" w:rsidRPr="00BA3362">
          <w:rPr>
            <w:rStyle w:val="Hyperlink"/>
            <w:noProof/>
          </w:rPr>
          <w:t>2.4.1.1</w:t>
        </w:r>
        <w:r w:rsidR="00183CC8">
          <w:rPr>
            <w:rFonts w:eastAsiaTheme="minorEastAsia" w:cstheme="minorBidi"/>
            <w:noProof/>
            <w:szCs w:val="24"/>
            <w:lang w:eastAsia="en-GB"/>
          </w:rPr>
          <w:tab/>
        </w:r>
        <w:r w:rsidR="00183CC8" w:rsidRPr="00BA3362">
          <w:rPr>
            <w:rStyle w:val="Hyperlink"/>
            <w:noProof/>
          </w:rPr>
          <w:t>16 % (w/v) paraformaldehyde stock solution.</w:t>
        </w:r>
        <w:r w:rsidR="00183CC8">
          <w:rPr>
            <w:noProof/>
            <w:webHidden/>
          </w:rPr>
          <w:tab/>
        </w:r>
        <w:r w:rsidR="00183CC8">
          <w:rPr>
            <w:noProof/>
            <w:webHidden/>
          </w:rPr>
          <w:fldChar w:fldCharType="begin"/>
        </w:r>
        <w:r w:rsidR="00183CC8">
          <w:rPr>
            <w:noProof/>
            <w:webHidden/>
          </w:rPr>
          <w:instrText xml:space="preserve"> PAGEREF _Toc90216772 \h </w:instrText>
        </w:r>
        <w:r w:rsidR="00183CC8">
          <w:rPr>
            <w:noProof/>
            <w:webHidden/>
          </w:rPr>
        </w:r>
        <w:r w:rsidR="00183CC8">
          <w:rPr>
            <w:noProof/>
            <w:webHidden/>
          </w:rPr>
          <w:fldChar w:fldCharType="separate"/>
        </w:r>
        <w:r w:rsidR="00183CC8">
          <w:rPr>
            <w:noProof/>
            <w:webHidden/>
          </w:rPr>
          <w:t>37</w:t>
        </w:r>
        <w:r w:rsidR="00183CC8">
          <w:rPr>
            <w:noProof/>
            <w:webHidden/>
          </w:rPr>
          <w:fldChar w:fldCharType="end"/>
        </w:r>
      </w:hyperlink>
    </w:p>
    <w:p w14:paraId="79489A30" w14:textId="0B477932" w:rsidR="00183CC8" w:rsidRDefault="003373BF">
      <w:pPr>
        <w:pStyle w:val="TOC4"/>
        <w:rPr>
          <w:rFonts w:eastAsiaTheme="minorEastAsia" w:cstheme="minorBidi"/>
          <w:noProof/>
          <w:szCs w:val="24"/>
          <w:lang w:eastAsia="en-GB"/>
        </w:rPr>
      </w:pPr>
      <w:hyperlink w:anchor="_Toc90216773" w:history="1">
        <w:r w:rsidR="00183CC8" w:rsidRPr="00BA3362">
          <w:rPr>
            <w:rStyle w:val="Hyperlink"/>
            <w:noProof/>
          </w:rPr>
          <w:t>2.4.1.2</w:t>
        </w:r>
        <w:r w:rsidR="00183CC8">
          <w:rPr>
            <w:rFonts w:eastAsiaTheme="minorEastAsia" w:cstheme="minorBidi"/>
            <w:noProof/>
            <w:szCs w:val="24"/>
            <w:lang w:eastAsia="en-GB"/>
          </w:rPr>
          <w:tab/>
        </w:r>
        <w:r w:rsidR="00183CC8" w:rsidRPr="00BA3362">
          <w:rPr>
            <w:rStyle w:val="Hyperlink"/>
            <w:noProof/>
          </w:rPr>
          <w:t>3.2 % (w/v) paraformaldehyde fixing solution.</w:t>
        </w:r>
        <w:r w:rsidR="00183CC8">
          <w:rPr>
            <w:noProof/>
            <w:webHidden/>
          </w:rPr>
          <w:tab/>
        </w:r>
        <w:r w:rsidR="00183CC8">
          <w:rPr>
            <w:noProof/>
            <w:webHidden/>
          </w:rPr>
          <w:fldChar w:fldCharType="begin"/>
        </w:r>
        <w:r w:rsidR="00183CC8">
          <w:rPr>
            <w:noProof/>
            <w:webHidden/>
          </w:rPr>
          <w:instrText xml:space="preserve"> PAGEREF _Toc90216773 \h </w:instrText>
        </w:r>
        <w:r w:rsidR="00183CC8">
          <w:rPr>
            <w:noProof/>
            <w:webHidden/>
          </w:rPr>
        </w:r>
        <w:r w:rsidR="00183CC8">
          <w:rPr>
            <w:noProof/>
            <w:webHidden/>
          </w:rPr>
          <w:fldChar w:fldCharType="separate"/>
        </w:r>
        <w:r w:rsidR="00183CC8">
          <w:rPr>
            <w:noProof/>
            <w:webHidden/>
          </w:rPr>
          <w:t>37</w:t>
        </w:r>
        <w:r w:rsidR="00183CC8">
          <w:rPr>
            <w:noProof/>
            <w:webHidden/>
          </w:rPr>
          <w:fldChar w:fldCharType="end"/>
        </w:r>
      </w:hyperlink>
    </w:p>
    <w:p w14:paraId="71500BCF" w14:textId="489BCE5D" w:rsidR="00183CC8" w:rsidRDefault="003373BF">
      <w:pPr>
        <w:pStyle w:val="TOC3"/>
        <w:tabs>
          <w:tab w:val="left" w:pos="1320"/>
        </w:tabs>
        <w:rPr>
          <w:rFonts w:eastAsiaTheme="minorEastAsia" w:cstheme="minorBidi"/>
          <w:noProof/>
          <w:szCs w:val="24"/>
          <w:lang w:eastAsia="en-GB"/>
        </w:rPr>
      </w:pPr>
      <w:hyperlink w:anchor="_Toc90216774" w:history="1">
        <w:r w:rsidR="00183CC8" w:rsidRPr="00BA3362">
          <w:rPr>
            <w:rStyle w:val="Hyperlink"/>
            <w:noProof/>
          </w:rPr>
          <w:t>2.4.2</w:t>
        </w:r>
        <w:r w:rsidR="00183CC8">
          <w:rPr>
            <w:rFonts w:eastAsiaTheme="minorEastAsia" w:cstheme="minorBidi"/>
            <w:noProof/>
            <w:szCs w:val="24"/>
            <w:lang w:eastAsia="en-GB"/>
          </w:rPr>
          <w:tab/>
        </w:r>
        <w:r w:rsidR="00183CC8" w:rsidRPr="00BA3362">
          <w:rPr>
            <w:rStyle w:val="Hyperlink"/>
            <w:noProof/>
          </w:rPr>
          <w:t>2.5 % (v/v) glutaraldehyde.</w:t>
        </w:r>
        <w:r w:rsidR="00183CC8">
          <w:rPr>
            <w:noProof/>
            <w:webHidden/>
          </w:rPr>
          <w:tab/>
        </w:r>
        <w:r w:rsidR="00183CC8">
          <w:rPr>
            <w:noProof/>
            <w:webHidden/>
          </w:rPr>
          <w:fldChar w:fldCharType="begin"/>
        </w:r>
        <w:r w:rsidR="00183CC8">
          <w:rPr>
            <w:noProof/>
            <w:webHidden/>
          </w:rPr>
          <w:instrText xml:space="preserve"> PAGEREF _Toc90216774 \h </w:instrText>
        </w:r>
        <w:r w:rsidR="00183CC8">
          <w:rPr>
            <w:noProof/>
            <w:webHidden/>
          </w:rPr>
        </w:r>
        <w:r w:rsidR="00183CC8">
          <w:rPr>
            <w:noProof/>
            <w:webHidden/>
          </w:rPr>
          <w:fldChar w:fldCharType="separate"/>
        </w:r>
        <w:r w:rsidR="00183CC8">
          <w:rPr>
            <w:noProof/>
            <w:webHidden/>
          </w:rPr>
          <w:t>37</w:t>
        </w:r>
        <w:r w:rsidR="00183CC8">
          <w:rPr>
            <w:noProof/>
            <w:webHidden/>
          </w:rPr>
          <w:fldChar w:fldCharType="end"/>
        </w:r>
      </w:hyperlink>
    </w:p>
    <w:p w14:paraId="26E20574" w14:textId="09B8C91F" w:rsidR="00183CC8" w:rsidRDefault="003373BF">
      <w:pPr>
        <w:pStyle w:val="TOC3"/>
        <w:tabs>
          <w:tab w:val="left" w:pos="1320"/>
        </w:tabs>
        <w:rPr>
          <w:rFonts w:eastAsiaTheme="minorEastAsia" w:cstheme="minorBidi"/>
          <w:noProof/>
          <w:szCs w:val="24"/>
          <w:lang w:eastAsia="en-GB"/>
        </w:rPr>
      </w:pPr>
      <w:hyperlink w:anchor="_Toc90216775" w:history="1">
        <w:r w:rsidR="00183CC8" w:rsidRPr="00BA3362">
          <w:rPr>
            <w:rStyle w:val="Hyperlink"/>
            <w:noProof/>
          </w:rPr>
          <w:t>2.4.3</w:t>
        </w:r>
        <w:r w:rsidR="00183CC8">
          <w:rPr>
            <w:rFonts w:eastAsiaTheme="minorEastAsia" w:cstheme="minorBidi"/>
            <w:noProof/>
            <w:szCs w:val="24"/>
            <w:lang w:eastAsia="en-GB"/>
          </w:rPr>
          <w:tab/>
        </w:r>
        <w:r w:rsidR="00183CC8" w:rsidRPr="00BA3362">
          <w:rPr>
            <w:rStyle w:val="Hyperlink"/>
            <w:noProof/>
          </w:rPr>
          <w:t>2 % (w/v) aqueous osmium tetroxide (OsO</w:t>
        </w:r>
        <w:r w:rsidR="00183CC8" w:rsidRPr="00BA3362">
          <w:rPr>
            <w:rStyle w:val="Hyperlink"/>
            <w:noProof/>
            <w:vertAlign w:val="subscript"/>
          </w:rPr>
          <w:t>4</w:t>
        </w:r>
        <w:r w:rsidR="00183CC8" w:rsidRPr="00BA3362">
          <w:rPr>
            <w:rStyle w:val="Hyperlink"/>
            <w:noProof/>
          </w:rPr>
          <w:t>).</w:t>
        </w:r>
        <w:r w:rsidR="00183CC8">
          <w:rPr>
            <w:noProof/>
            <w:webHidden/>
          </w:rPr>
          <w:tab/>
        </w:r>
        <w:r w:rsidR="00183CC8">
          <w:rPr>
            <w:noProof/>
            <w:webHidden/>
          </w:rPr>
          <w:fldChar w:fldCharType="begin"/>
        </w:r>
        <w:r w:rsidR="00183CC8">
          <w:rPr>
            <w:noProof/>
            <w:webHidden/>
          </w:rPr>
          <w:instrText xml:space="preserve"> PAGEREF _Toc90216775 \h </w:instrText>
        </w:r>
        <w:r w:rsidR="00183CC8">
          <w:rPr>
            <w:noProof/>
            <w:webHidden/>
          </w:rPr>
        </w:r>
        <w:r w:rsidR="00183CC8">
          <w:rPr>
            <w:noProof/>
            <w:webHidden/>
          </w:rPr>
          <w:fldChar w:fldCharType="separate"/>
        </w:r>
        <w:r w:rsidR="00183CC8">
          <w:rPr>
            <w:noProof/>
            <w:webHidden/>
          </w:rPr>
          <w:t>37</w:t>
        </w:r>
        <w:r w:rsidR="00183CC8">
          <w:rPr>
            <w:noProof/>
            <w:webHidden/>
          </w:rPr>
          <w:fldChar w:fldCharType="end"/>
        </w:r>
      </w:hyperlink>
    </w:p>
    <w:p w14:paraId="47F7F35B" w14:textId="4AD401E6" w:rsidR="00183CC8" w:rsidRDefault="003373BF">
      <w:pPr>
        <w:pStyle w:val="TOC2"/>
        <w:tabs>
          <w:tab w:val="left" w:pos="958"/>
        </w:tabs>
        <w:rPr>
          <w:rFonts w:eastAsiaTheme="minorEastAsia" w:cstheme="minorBidi"/>
          <w:szCs w:val="24"/>
          <w:lang w:eastAsia="en-GB"/>
        </w:rPr>
      </w:pPr>
      <w:hyperlink w:anchor="_Toc90216776" w:history="1">
        <w:r w:rsidR="00183CC8" w:rsidRPr="00BA3362">
          <w:rPr>
            <w:rStyle w:val="Hyperlink"/>
          </w:rPr>
          <w:t>2.5</w:t>
        </w:r>
        <w:r w:rsidR="00183CC8">
          <w:rPr>
            <w:rFonts w:eastAsiaTheme="minorEastAsia" w:cstheme="minorBidi"/>
            <w:szCs w:val="24"/>
            <w:lang w:eastAsia="en-GB"/>
          </w:rPr>
          <w:tab/>
        </w:r>
        <w:r w:rsidR="00183CC8" w:rsidRPr="00BA3362">
          <w:rPr>
            <w:rStyle w:val="Hyperlink"/>
          </w:rPr>
          <w:t>Freeze-substitution medium for TEM.</w:t>
        </w:r>
        <w:r w:rsidR="00183CC8">
          <w:rPr>
            <w:webHidden/>
          </w:rPr>
          <w:tab/>
        </w:r>
        <w:r w:rsidR="00183CC8">
          <w:rPr>
            <w:webHidden/>
          </w:rPr>
          <w:fldChar w:fldCharType="begin"/>
        </w:r>
        <w:r w:rsidR="00183CC8">
          <w:rPr>
            <w:webHidden/>
          </w:rPr>
          <w:instrText xml:space="preserve"> PAGEREF _Toc90216776 \h </w:instrText>
        </w:r>
        <w:r w:rsidR="00183CC8">
          <w:rPr>
            <w:webHidden/>
          </w:rPr>
        </w:r>
        <w:r w:rsidR="00183CC8">
          <w:rPr>
            <w:webHidden/>
          </w:rPr>
          <w:fldChar w:fldCharType="separate"/>
        </w:r>
        <w:r w:rsidR="00183CC8">
          <w:rPr>
            <w:webHidden/>
          </w:rPr>
          <w:t>38</w:t>
        </w:r>
        <w:r w:rsidR="00183CC8">
          <w:rPr>
            <w:webHidden/>
          </w:rPr>
          <w:fldChar w:fldCharType="end"/>
        </w:r>
      </w:hyperlink>
    </w:p>
    <w:p w14:paraId="0E3FB717" w14:textId="62973180" w:rsidR="00183CC8" w:rsidRDefault="003373BF">
      <w:pPr>
        <w:pStyle w:val="TOC3"/>
        <w:tabs>
          <w:tab w:val="left" w:pos="1320"/>
        </w:tabs>
        <w:rPr>
          <w:rFonts w:eastAsiaTheme="minorEastAsia" w:cstheme="minorBidi"/>
          <w:noProof/>
          <w:szCs w:val="24"/>
          <w:lang w:eastAsia="en-GB"/>
        </w:rPr>
      </w:pPr>
      <w:hyperlink w:anchor="_Toc90216777" w:history="1">
        <w:r w:rsidR="00183CC8" w:rsidRPr="00BA3362">
          <w:rPr>
            <w:rStyle w:val="Hyperlink"/>
            <w:noProof/>
          </w:rPr>
          <w:t>2.5.1</w:t>
        </w:r>
        <w:r w:rsidR="00183CC8">
          <w:rPr>
            <w:rFonts w:eastAsiaTheme="minorEastAsia" w:cstheme="minorBidi"/>
            <w:noProof/>
            <w:szCs w:val="24"/>
            <w:lang w:eastAsia="en-GB"/>
          </w:rPr>
          <w:tab/>
        </w:r>
        <w:r w:rsidR="00183CC8" w:rsidRPr="00BA3362">
          <w:rPr>
            <w:rStyle w:val="Hyperlink"/>
            <w:noProof/>
          </w:rPr>
          <w:t>1 % (w/v) OsO</w:t>
        </w:r>
        <w:r w:rsidR="00183CC8" w:rsidRPr="00BA3362">
          <w:rPr>
            <w:rStyle w:val="Hyperlink"/>
            <w:noProof/>
            <w:vertAlign w:val="subscript"/>
          </w:rPr>
          <w:t>4</w:t>
        </w:r>
        <w:r w:rsidR="00183CC8" w:rsidRPr="00BA3362">
          <w:rPr>
            <w:rStyle w:val="Hyperlink"/>
            <w:noProof/>
          </w:rPr>
          <w:t xml:space="preserve"> in dried ethanol.</w:t>
        </w:r>
        <w:r w:rsidR="00183CC8">
          <w:rPr>
            <w:noProof/>
            <w:webHidden/>
          </w:rPr>
          <w:tab/>
        </w:r>
        <w:r w:rsidR="00183CC8">
          <w:rPr>
            <w:noProof/>
            <w:webHidden/>
          </w:rPr>
          <w:fldChar w:fldCharType="begin"/>
        </w:r>
        <w:r w:rsidR="00183CC8">
          <w:rPr>
            <w:noProof/>
            <w:webHidden/>
          </w:rPr>
          <w:instrText xml:space="preserve"> PAGEREF _Toc90216777 \h </w:instrText>
        </w:r>
        <w:r w:rsidR="00183CC8">
          <w:rPr>
            <w:noProof/>
            <w:webHidden/>
          </w:rPr>
        </w:r>
        <w:r w:rsidR="00183CC8">
          <w:rPr>
            <w:noProof/>
            <w:webHidden/>
          </w:rPr>
          <w:fldChar w:fldCharType="separate"/>
        </w:r>
        <w:r w:rsidR="00183CC8">
          <w:rPr>
            <w:noProof/>
            <w:webHidden/>
          </w:rPr>
          <w:t>38</w:t>
        </w:r>
        <w:r w:rsidR="00183CC8">
          <w:rPr>
            <w:noProof/>
            <w:webHidden/>
          </w:rPr>
          <w:fldChar w:fldCharType="end"/>
        </w:r>
      </w:hyperlink>
    </w:p>
    <w:p w14:paraId="3D5F9657" w14:textId="6BC6E68D" w:rsidR="00183CC8" w:rsidRDefault="003373BF">
      <w:pPr>
        <w:pStyle w:val="TOC3"/>
        <w:tabs>
          <w:tab w:val="left" w:pos="1320"/>
        </w:tabs>
        <w:rPr>
          <w:rFonts w:eastAsiaTheme="minorEastAsia" w:cstheme="minorBidi"/>
          <w:noProof/>
          <w:szCs w:val="24"/>
          <w:lang w:eastAsia="en-GB"/>
        </w:rPr>
      </w:pPr>
      <w:hyperlink w:anchor="_Toc90216778" w:history="1">
        <w:r w:rsidR="00183CC8" w:rsidRPr="00BA3362">
          <w:rPr>
            <w:rStyle w:val="Hyperlink"/>
            <w:noProof/>
          </w:rPr>
          <w:t>2.5.2</w:t>
        </w:r>
        <w:r w:rsidR="00183CC8">
          <w:rPr>
            <w:rFonts w:eastAsiaTheme="minorEastAsia" w:cstheme="minorBidi"/>
            <w:noProof/>
            <w:szCs w:val="24"/>
            <w:lang w:eastAsia="en-GB"/>
          </w:rPr>
          <w:tab/>
        </w:r>
        <w:r w:rsidR="00183CC8" w:rsidRPr="00BA3362">
          <w:rPr>
            <w:rStyle w:val="Hyperlink"/>
            <w:noProof/>
          </w:rPr>
          <w:t>2 % (w/v) OsO</w:t>
        </w:r>
        <w:r w:rsidR="00183CC8" w:rsidRPr="00BA3362">
          <w:rPr>
            <w:rStyle w:val="Hyperlink"/>
            <w:noProof/>
            <w:vertAlign w:val="subscript"/>
          </w:rPr>
          <w:t>4</w:t>
        </w:r>
        <w:r w:rsidR="00183CC8" w:rsidRPr="00BA3362">
          <w:rPr>
            <w:rStyle w:val="Hyperlink"/>
            <w:noProof/>
          </w:rPr>
          <w:t xml:space="preserve"> in dried ethanol.</w:t>
        </w:r>
        <w:r w:rsidR="00183CC8">
          <w:rPr>
            <w:noProof/>
            <w:webHidden/>
          </w:rPr>
          <w:tab/>
        </w:r>
        <w:r w:rsidR="00183CC8">
          <w:rPr>
            <w:noProof/>
            <w:webHidden/>
          </w:rPr>
          <w:fldChar w:fldCharType="begin"/>
        </w:r>
        <w:r w:rsidR="00183CC8">
          <w:rPr>
            <w:noProof/>
            <w:webHidden/>
          </w:rPr>
          <w:instrText xml:space="preserve"> PAGEREF _Toc90216778 \h </w:instrText>
        </w:r>
        <w:r w:rsidR="00183CC8">
          <w:rPr>
            <w:noProof/>
            <w:webHidden/>
          </w:rPr>
        </w:r>
        <w:r w:rsidR="00183CC8">
          <w:rPr>
            <w:noProof/>
            <w:webHidden/>
          </w:rPr>
          <w:fldChar w:fldCharType="separate"/>
        </w:r>
        <w:r w:rsidR="00183CC8">
          <w:rPr>
            <w:noProof/>
            <w:webHidden/>
          </w:rPr>
          <w:t>38</w:t>
        </w:r>
        <w:r w:rsidR="00183CC8">
          <w:rPr>
            <w:noProof/>
            <w:webHidden/>
          </w:rPr>
          <w:fldChar w:fldCharType="end"/>
        </w:r>
      </w:hyperlink>
    </w:p>
    <w:p w14:paraId="17176F29" w14:textId="439192EF" w:rsidR="00183CC8" w:rsidRDefault="003373BF">
      <w:pPr>
        <w:pStyle w:val="TOC3"/>
        <w:tabs>
          <w:tab w:val="left" w:pos="1320"/>
        </w:tabs>
        <w:rPr>
          <w:rFonts w:eastAsiaTheme="minorEastAsia" w:cstheme="minorBidi"/>
          <w:noProof/>
          <w:szCs w:val="24"/>
          <w:lang w:eastAsia="en-GB"/>
        </w:rPr>
      </w:pPr>
      <w:hyperlink w:anchor="_Toc90216779" w:history="1">
        <w:r w:rsidR="00183CC8" w:rsidRPr="00BA3362">
          <w:rPr>
            <w:rStyle w:val="Hyperlink"/>
            <w:noProof/>
          </w:rPr>
          <w:t>2.5.3</w:t>
        </w:r>
        <w:r w:rsidR="00183CC8">
          <w:rPr>
            <w:rFonts w:eastAsiaTheme="minorEastAsia" w:cstheme="minorBidi"/>
            <w:noProof/>
            <w:szCs w:val="24"/>
            <w:lang w:eastAsia="en-GB"/>
          </w:rPr>
          <w:tab/>
        </w:r>
        <w:r w:rsidR="00183CC8" w:rsidRPr="00BA3362">
          <w:rPr>
            <w:rStyle w:val="Hyperlink"/>
            <w:noProof/>
          </w:rPr>
          <w:t>2 % (w/v) OsO</w:t>
        </w:r>
        <w:r w:rsidR="00183CC8" w:rsidRPr="00BA3362">
          <w:rPr>
            <w:rStyle w:val="Hyperlink"/>
            <w:noProof/>
            <w:vertAlign w:val="subscript"/>
          </w:rPr>
          <w:t>4</w:t>
        </w:r>
        <w:r w:rsidR="00183CC8" w:rsidRPr="00BA3362">
          <w:rPr>
            <w:rStyle w:val="Hyperlink"/>
            <w:noProof/>
          </w:rPr>
          <w:t xml:space="preserve"> + 2 % (w/v) uranyl acetate (UA) in dried ethanol.</w:t>
        </w:r>
        <w:r w:rsidR="00183CC8">
          <w:rPr>
            <w:noProof/>
            <w:webHidden/>
          </w:rPr>
          <w:tab/>
        </w:r>
        <w:r w:rsidR="00183CC8">
          <w:rPr>
            <w:noProof/>
            <w:webHidden/>
          </w:rPr>
          <w:fldChar w:fldCharType="begin"/>
        </w:r>
        <w:r w:rsidR="00183CC8">
          <w:rPr>
            <w:noProof/>
            <w:webHidden/>
          </w:rPr>
          <w:instrText xml:space="preserve"> PAGEREF _Toc90216779 \h </w:instrText>
        </w:r>
        <w:r w:rsidR="00183CC8">
          <w:rPr>
            <w:noProof/>
            <w:webHidden/>
          </w:rPr>
        </w:r>
        <w:r w:rsidR="00183CC8">
          <w:rPr>
            <w:noProof/>
            <w:webHidden/>
          </w:rPr>
          <w:fldChar w:fldCharType="separate"/>
        </w:r>
        <w:r w:rsidR="00183CC8">
          <w:rPr>
            <w:noProof/>
            <w:webHidden/>
          </w:rPr>
          <w:t>38</w:t>
        </w:r>
        <w:r w:rsidR="00183CC8">
          <w:rPr>
            <w:noProof/>
            <w:webHidden/>
          </w:rPr>
          <w:fldChar w:fldCharType="end"/>
        </w:r>
      </w:hyperlink>
    </w:p>
    <w:p w14:paraId="79102C6B" w14:textId="09DEC512" w:rsidR="00183CC8" w:rsidRDefault="003373BF">
      <w:pPr>
        <w:pStyle w:val="TOC3"/>
        <w:tabs>
          <w:tab w:val="left" w:pos="1320"/>
        </w:tabs>
        <w:rPr>
          <w:rFonts w:eastAsiaTheme="minorEastAsia" w:cstheme="minorBidi"/>
          <w:noProof/>
          <w:szCs w:val="24"/>
          <w:lang w:eastAsia="en-GB"/>
        </w:rPr>
      </w:pPr>
      <w:hyperlink w:anchor="_Toc90216780" w:history="1">
        <w:r w:rsidR="00183CC8" w:rsidRPr="00BA3362">
          <w:rPr>
            <w:rStyle w:val="Hyperlink"/>
            <w:noProof/>
          </w:rPr>
          <w:t>2.5.4</w:t>
        </w:r>
        <w:r w:rsidR="00183CC8">
          <w:rPr>
            <w:rFonts w:eastAsiaTheme="minorEastAsia" w:cstheme="minorBidi"/>
            <w:noProof/>
            <w:szCs w:val="24"/>
            <w:lang w:eastAsia="en-GB"/>
          </w:rPr>
          <w:tab/>
        </w:r>
        <w:r w:rsidR="00183CC8" w:rsidRPr="00BA3362">
          <w:rPr>
            <w:rStyle w:val="Hyperlink"/>
            <w:noProof/>
          </w:rPr>
          <w:t>1 % (w/v) OsO</w:t>
        </w:r>
        <w:r w:rsidR="00183CC8" w:rsidRPr="00BA3362">
          <w:rPr>
            <w:rStyle w:val="Hyperlink"/>
            <w:noProof/>
            <w:vertAlign w:val="subscript"/>
          </w:rPr>
          <w:t>4</w:t>
        </w:r>
        <w:r w:rsidR="00183CC8" w:rsidRPr="00BA3362">
          <w:rPr>
            <w:rStyle w:val="Hyperlink"/>
            <w:noProof/>
          </w:rPr>
          <w:t xml:space="preserve"> in dried acetone.</w:t>
        </w:r>
        <w:r w:rsidR="00183CC8">
          <w:rPr>
            <w:noProof/>
            <w:webHidden/>
          </w:rPr>
          <w:tab/>
        </w:r>
        <w:r w:rsidR="00183CC8">
          <w:rPr>
            <w:noProof/>
            <w:webHidden/>
          </w:rPr>
          <w:fldChar w:fldCharType="begin"/>
        </w:r>
        <w:r w:rsidR="00183CC8">
          <w:rPr>
            <w:noProof/>
            <w:webHidden/>
          </w:rPr>
          <w:instrText xml:space="preserve"> PAGEREF _Toc90216780 \h </w:instrText>
        </w:r>
        <w:r w:rsidR="00183CC8">
          <w:rPr>
            <w:noProof/>
            <w:webHidden/>
          </w:rPr>
        </w:r>
        <w:r w:rsidR="00183CC8">
          <w:rPr>
            <w:noProof/>
            <w:webHidden/>
          </w:rPr>
          <w:fldChar w:fldCharType="separate"/>
        </w:r>
        <w:r w:rsidR="00183CC8">
          <w:rPr>
            <w:noProof/>
            <w:webHidden/>
          </w:rPr>
          <w:t>38</w:t>
        </w:r>
        <w:r w:rsidR="00183CC8">
          <w:rPr>
            <w:noProof/>
            <w:webHidden/>
          </w:rPr>
          <w:fldChar w:fldCharType="end"/>
        </w:r>
      </w:hyperlink>
    </w:p>
    <w:p w14:paraId="7C84EB5F" w14:textId="66C3B62F" w:rsidR="00183CC8" w:rsidRDefault="003373BF">
      <w:pPr>
        <w:pStyle w:val="TOC3"/>
        <w:tabs>
          <w:tab w:val="left" w:pos="1320"/>
        </w:tabs>
        <w:rPr>
          <w:rFonts w:eastAsiaTheme="minorEastAsia" w:cstheme="minorBidi"/>
          <w:noProof/>
          <w:szCs w:val="24"/>
          <w:lang w:eastAsia="en-GB"/>
        </w:rPr>
      </w:pPr>
      <w:hyperlink w:anchor="_Toc90216781" w:history="1">
        <w:r w:rsidR="00183CC8" w:rsidRPr="00BA3362">
          <w:rPr>
            <w:rStyle w:val="Hyperlink"/>
            <w:noProof/>
          </w:rPr>
          <w:t>2.5.5</w:t>
        </w:r>
        <w:r w:rsidR="00183CC8">
          <w:rPr>
            <w:rFonts w:eastAsiaTheme="minorEastAsia" w:cstheme="minorBidi"/>
            <w:noProof/>
            <w:szCs w:val="24"/>
            <w:lang w:eastAsia="en-GB"/>
          </w:rPr>
          <w:tab/>
        </w:r>
        <w:r w:rsidR="00183CC8" w:rsidRPr="00BA3362">
          <w:rPr>
            <w:rStyle w:val="Hyperlink"/>
            <w:noProof/>
          </w:rPr>
          <w:t>2 % (w/v) OsO</w:t>
        </w:r>
        <w:r w:rsidR="00183CC8" w:rsidRPr="00BA3362">
          <w:rPr>
            <w:rStyle w:val="Hyperlink"/>
            <w:noProof/>
            <w:vertAlign w:val="subscript"/>
          </w:rPr>
          <w:t>4</w:t>
        </w:r>
        <w:r w:rsidR="00183CC8" w:rsidRPr="00BA3362">
          <w:rPr>
            <w:rStyle w:val="Hyperlink"/>
            <w:noProof/>
          </w:rPr>
          <w:t xml:space="preserve"> in dried acetone.</w:t>
        </w:r>
        <w:r w:rsidR="00183CC8">
          <w:rPr>
            <w:noProof/>
            <w:webHidden/>
          </w:rPr>
          <w:tab/>
        </w:r>
        <w:r w:rsidR="00183CC8">
          <w:rPr>
            <w:noProof/>
            <w:webHidden/>
          </w:rPr>
          <w:fldChar w:fldCharType="begin"/>
        </w:r>
        <w:r w:rsidR="00183CC8">
          <w:rPr>
            <w:noProof/>
            <w:webHidden/>
          </w:rPr>
          <w:instrText xml:space="preserve"> PAGEREF _Toc90216781 \h </w:instrText>
        </w:r>
        <w:r w:rsidR="00183CC8">
          <w:rPr>
            <w:noProof/>
            <w:webHidden/>
          </w:rPr>
        </w:r>
        <w:r w:rsidR="00183CC8">
          <w:rPr>
            <w:noProof/>
            <w:webHidden/>
          </w:rPr>
          <w:fldChar w:fldCharType="separate"/>
        </w:r>
        <w:r w:rsidR="00183CC8">
          <w:rPr>
            <w:noProof/>
            <w:webHidden/>
          </w:rPr>
          <w:t>39</w:t>
        </w:r>
        <w:r w:rsidR="00183CC8">
          <w:rPr>
            <w:noProof/>
            <w:webHidden/>
          </w:rPr>
          <w:fldChar w:fldCharType="end"/>
        </w:r>
      </w:hyperlink>
    </w:p>
    <w:p w14:paraId="124687F0" w14:textId="575F2FEB" w:rsidR="00183CC8" w:rsidRDefault="003373BF">
      <w:pPr>
        <w:pStyle w:val="TOC3"/>
        <w:tabs>
          <w:tab w:val="left" w:pos="1320"/>
        </w:tabs>
        <w:rPr>
          <w:rFonts w:eastAsiaTheme="minorEastAsia" w:cstheme="minorBidi"/>
          <w:noProof/>
          <w:szCs w:val="24"/>
          <w:lang w:eastAsia="en-GB"/>
        </w:rPr>
      </w:pPr>
      <w:hyperlink w:anchor="_Toc90216782" w:history="1">
        <w:r w:rsidR="00183CC8" w:rsidRPr="00BA3362">
          <w:rPr>
            <w:rStyle w:val="Hyperlink"/>
            <w:noProof/>
          </w:rPr>
          <w:t>2.5.6</w:t>
        </w:r>
        <w:r w:rsidR="00183CC8">
          <w:rPr>
            <w:rFonts w:eastAsiaTheme="minorEastAsia" w:cstheme="minorBidi"/>
            <w:noProof/>
            <w:szCs w:val="24"/>
            <w:lang w:eastAsia="en-GB"/>
          </w:rPr>
          <w:tab/>
        </w:r>
        <w:r w:rsidR="00183CC8" w:rsidRPr="00BA3362">
          <w:rPr>
            <w:rStyle w:val="Hyperlink"/>
            <w:noProof/>
          </w:rPr>
          <w:t>1 % (w/v) OsO</w:t>
        </w:r>
        <w:r w:rsidR="00183CC8" w:rsidRPr="00BA3362">
          <w:rPr>
            <w:rStyle w:val="Hyperlink"/>
            <w:noProof/>
            <w:vertAlign w:val="subscript"/>
          </w:rPr>
          <w:t>4</w:t>
        </w:r>
        <w:r w:rsidR="00183CC8" w:rsidRPr="00BA3362">
          <w:rPr>
            <w:rStyle w:val="Hyperlink"/>
            <w:noProof/>
          </w:rPr>
          <w:t xml:space="preserve"> + 0.5 % (v/v) glutaraldehyde in dried acetone.</w:t>
        </w:r>
        <w:r w:rsidR="00183CC8">
          <w:rPr>
            <w:noProof/>
            <w:webHidden/>
          </w:rPr>
          <w:tab/>
        </w:r>
        <w:r w:rsidR="00183CC8">
          <w:rPr>
            <w:noProof/>
            <w:webHidden/>
          </w:rPr>
          <w:fldChar w:fldCharType="begin"/>
        </w:r>
        <w:r w:rsidR="00183CC8">
          <w:rPr>
            <w:noProof/>
            <w:webHidden/>
          </w:rPr>
          <w:instrText xml:space="preserve"> PAGEREF _Toc90216782 \h </w:instrText>
        </w:r>
        <w:r w:rsidR="00183CC8">
          <w:rPr>
            <w:noProof/>
            <w:webHidden/>
          </w:rPr>
        </w:r>
        <w:r w:rsidR="00183CC8">
          <w:rPr>
            <w:noProof/>
            <w:webHidden/>
          </w:rPr>
          <w:fldChar w:fldCharType="separate"/>
        </w:r>
        <w:r w:rsidR="00183CC8">
          <w:rPr>
            <w:noProof/>
            <w:webHidden/>
          </w:rPr>
          <w:t>39</w:t>
        </w:r>
        <w:r w:rsidR="00183CC8">
          <w:rPr>
            <w:noProof/>
            <w:webHidden/>
          </w:rPr>
          <w:fldChar w:fldCharType="end"/>
        </w:r>
      </w:hyperlink>
    </w:p>
    <w:p w14:paraId="36D9AF5F" w14:textId="0403CDD5" w:rsidR="00183CC8" w:rsidRDefault="003373BF">
      <w:pPr>
        <w:pStyle w:val="TOC3"/>
        <w:tabs>
          <w:tab w:val="left" w:pos="1320"/>
        </w:tabs>
        <w:rPr>
          <w:rFonts w:eastAsiaTheme="minorEastAsia" w:cstheme="minorBidi"/>
          <w:noProof/>
          <w:szCs w:val="24"/>
          <w:lang w:eastAsia="en-GB"/>
        </w:rPr>
      </w:pPr>
      <w:hyperlink w:anchor="_Toc90216783" w:history="1">
        <w:r w:rsidR="00183CC8" w:rsidRPr="00BA3362">
          <w:rPr>
            <w:rStyle w:val="Hyperlink"/>
            <w:noProof/>
          </w:rPr>
          <w:t>2.5.7</w:t>
        </w:r>
        <w:r w:rsidR="00183CC8">
          <w:rPr>
            <w:rFonts w:eastAsiaTheme="minorEastAsia" w:cstheme="minorBidi"/>
            <w:noProof/>
            <w:szCs w:val="24"/>
            <w:lang w:eastAsia="en-GB"/>
          </w:rPr>
          <w:tab/>
        </w:r>
        <w:r w:rsidR="00183CC8" w:rsidRPr="00BA3362">
          <w:rPr>
            <w:rStyle w:val="Hyperlink"/>
            <w:noProof/>
          </w:rPr>
          <w:t>1 % (w/v) OsO</w:t>
        </w:r>
        <w:r w:rsidR="00183CC8" w:rsidRPr="00BA3362">
          <w:rPr>
            <w:rStyle w:val="Hyperlink"/>
            <w:noProof/>
            <w:vertAlign w:val="subscript"/>
          </w:rPr>
          <w:t>4</w:t>
        </w:r>
        <w:r w:rsidR="00183CC8" w:rsidRPr="00BA3362">
          <w:rPr>
            <w:rStyle w:val="Hyperlink"/>
            <w:noProof/>
          </w:rPr>
          <w:t xml:space="preserve"> + 0.5 % (v/v) glutaraldehyde + 3 % (w/v) UA in dried acetone.</w:t>
        </w:r>
        <w:r w:rsidR="00183CC8">
          <w:rPr>
            <w:noProof/>
            <w:webHidden/>
          </w:rPr>
          <w:tab/>
        </w:r>
        <w:r w:rsidR="00183CC8">
          <w:rPr>
            <w:noProof/>
            <w:webHidden/>
          </w:rPr>
          <w:fldChar w:fldCharType="begin"/>
        </w:r>
        <w:r w:rsidR="00183CC8">
          <w:rPr>
            <w:noProof/>
            <w:webHidden/>
          </w:rPr>
          <w:instrText xml:space="preserve"> PAGEREF _Toc90216783 \h </w:instrText>
        </w:r>
        <w:r w:rsidR="00183CC8">
          <w:rPr>
            <w:noProof/>
            <w:webHidden/>
          </w:rPr>
        </w:r>
        <w:r w:rsidR="00183CC8">
          <w:rPr>
            <w:noProof/>
            <w:webHidden/>
          </w:rPr>
          <w:fldChar w:fldCharType="separate"/>
        </w:r>
        <w:r w:rsidR="00183CC8">
          <w:rPr>
            <w:noProof/>
            <w:webHidden/>
          </w:rPr>
          <w:t>39</w:t>
        </w:r>
        <w:r w:rsidR="00183CC8">
          <w:rPr>
            <w:noProof/>
            <w:webHidden/>
          </w:rPr>
          <w:fldChar w:fldCharType="end"/>
        </w:r>
      </w:hyperlink>
    </w:p>
    <w:p w14:paraId="5829974B" w14:textId="5A0CC196" w:rsidR="00183CC8" w:rsidRDefault="003373BF">
      <w:pPr>
        <w:pStyle w:val="TOC2"/>
        <w:tabs>
          <w:tab w:val="left" w:pos="958"/>
        </w:tabs>
        <w:rPr>
          <w:rFonts w:eastAsiaTheme="minorEastAsia" w:cstheme="minorBidi"/>
          <w:szCs w:val="24"/>
          <w:lang w:eastAsia="en-GB"/>
        </w:rPr>
      </w:pPr>
      <w:hyperlink w:anchor="_Toc90216784" w:history="1">
        <w:r w:rsidR="00183CC8" w:rsidRPr="00BA3362">
          <w:rPr>
            <w:rStyle w:val="Hyperlink"/>
          </w:rPr>
          <w:t>2.6</w:t>
        </w:r>
        <w:r w:rsidR="00183CC8">
          <w:rPr>
            <w:rFonts w:eastAsiaTheme="minorEastAsia" w:cstheme="minorBidi"/>
            <w:szCs w:val="24"/>
            <w:lang w:eastAsia="en-GB"/>
          </w:rPr>
          <w:tab/>
        </w:r>
        <w:r w:rsidR="00183CC8" w:rsidRPr="00BA3362">
          <w:rPr>
            <w:rStyle w:val="Hyperlink"/>
          </w:rPr>
          <w:t>Resins for TEM.</w:t>
        </w:r>
        <w:r w:rsidR="00183CC8">
          <w:rPr>
            <w:webHidden/>
          </w:rPr>
          <w:tab/>
        </w:r>
        <w:r w:rsidR="00183CC8">
          <w:rPr>
            <w:webHidden/>
          </w:rPr>
          <w:fldChar w:fldCharType="begin"/>
        </w:r>
        <w:r w:rsidR="00183CC8">
          <w:rPr>
            <w:webHidden/>
          </w:rPr>
          <w:instrText xml:space="preserve"> PAGEREF _Toc90216784 \h </w:instrText>
        </w:r>
        <w:r w:rsidR="00183CC8">
          <w:rPr>
            <w:webHidden/>
          </w:rPr>
        </w:r>
        <w:r w:rsidR="00183CC8">
          <w:rPr>
            <w:webHidden/>
          </w:rPr>
          <w:fldChar w:fldCharType="separate"/>
        </w:r>
        <w:r w:rsidR="00183CC8">
          <w:rPr>
            <w:webHidden/>
          </w:rPr>
          <w:t>39</w:t>
        </w:r>
        <w:r w:rsidR="00183CC8">
          <w:rPr>
            <w:webHidden/>
          </w:rPr>
          <w:fldChar w:fldCharType="end"/>
        </w:r>
      </w:hyperlink>
    </w:p>
    <w:p w14:paraId="4E9DF289" w14:textId="18DA980F" w:rsidR="00183CC8" w:rsidRDefault="003373BF">
      <w:pPr>
        <w:pStyle w:val="TOC3"/>
        <w:tabs>
          <w:tab w:val="left" w:pos="1320"/>
        </w:tabs>
        <w:rPr>
          <w:rFonts w:eastAsiaTheme="minorEastAsia" w:cstheme="minorBidi"/>
          <w:noProof/>
          <w:szCs w:val="24"/>
          <w:lang w:eastAsia="en-GB"/>
        </w:rPr>
      </w:pPr>
      <w:hyperlink w:anchor="_Toc90216785" w:history="1">
        <w:r w:rsidR="00183CC8" w:rsidRPr="00BA3362">
          <w:rPr>
            <w:rStyle w:val="Hyperlink"/>
            <w:noProof/>
          </w:rPr>
          <w:t>2.6.1</w:t>
        </w:r>
        <w:r w:rsidR="00183CC8">
          <w:rPr>
            <w:rFonts w:eastAsiaTheme="minorEastAsia" w:cstheme="minorBidi"/>
            <w:noProof/>
            <w:szCs w:val="24"/>
            <w:lang w:eastAsia="en-GB"/>
          </w:rPr>
          <w:tab/>
        </w:r>
        <w:r w:rsidR="00183CC8" w:rsidRPr="00BA3362">
          <w:rPr>
            <w:rStyle w:val="Hyperlink"/>
            <w:noProof/>
          </w:rPr>
          <w:t>Epon.</w:t>
        </w:r>
        <w:r w:rsidR="00183CC8">
          <w:rPr>
            <w:noProof/>
            <w:webHidden/>
          </w:rPr>
          <w:tab/>
        </w:r>
        <w:r w:rsidR="00183CC8">
          <w:rPr>
            <w:noProof/>
            <w:webHidden/>
          </w:rPr>
          <w:fldChar w:fldCharType="begin"/>
        </w:r>
        <w:r w:rsidR="00183CC8">
          <w:rPr>
            <w:noProof/>
            <w:webHidden/>
          </w:rPr>
          <w:instrText xml:space="preserve"> PAGEREF _Toc90216785 \h </w:instrText>
        </w:r>
        <w:r w:rsidR="00183CC8">
          <w:rPr>
            <w:noProof/>
            <w:webHidden/>
          </w:rPr>
        </w:r>
        <w:r w:rsidR="00183CC8">
          <w:rPr>
            <w:noProof/>
            <w:webHidden/>
          </w:rPr>
          <w:fldChar w:fldCharType="separate"/>
        </w:r>
        <w:r w:rsidR="00183CC8">
          <w:rPr>
            <w:noProof/>
            <w:webHidden/>
          </w:rPr>
          <w:t>39</w:t>
        </w:r>
        <w:r w:rsidR="00183CC8">
          <w:rPr>
            <w:noProof/>
            <w:webHidden/>
          </w:rPr>
          <w:fldChar w:fldCharType="end"/>
        </w:r>
      </w:hyperlink>
    </w:p>
    <w:p w14:paraId="1C6E46E4" w14:textId="4D4CA940" w:rsidR="00183CC8" w:rsidRDefault="003373BF">
      <w:pPr>
        <w:pStyle w:val="TOC3"/>
        <w:tabs>
          <w:tab w:val="left" w:pos="1320"/>
        </w:tabs>
        <w:rPr>
          <w:rFonts w:eastAsiaTheme="minorEastAsia" w:cstheme="minorBidi"/>
          <w:noProof/>
          <w:szCs w:val="24"/>
          <w:lang w:eastAsia="en-GB"/>
        </w:rPr>
      </w:pPr>
      <w:hyperlink w:anchor="_Toc90216786" w:history="1">
        <w:r w:rsidR="00183CC8" w:rsidRPr="00BA3362">
          <w:rPr>
            <w:rStyle w:val="Hyperlink"/>
            <w:noProof/>
          </w:rPr>
          <w:t>2.6.2</w:t>
        </w:r>
        <w:r w:rsidR="00183CC8">
          <w:rPr>
            <w:rFonts w:eastAsiaTheme="minorEastAsia" w:cstheme="minorBidi"/>
            <w:noProof/>
            <w:szCs w:val="24"/>
            <w:lang w:eastAsia="en-GB"/>
          </w:rPr>
          <w:tab/>
        </w:r>
        <w:r w:rsidR="00183CC8" w:rsidRPr="00BA3362">
          <w:rPr>
            <w:rStyle w:val="Hyperlink"/>
            <w:noProof/>
          </w:rPr>
          <w:t>Epon/propylene oxide.</w:t>
        </w:r>
        <w:r w:rsidR="00183CC8">
          <w:rPr>
            <w:noProof/>
            <w:webHidden/>
          </w:rPr>
          <w:tab/>
        </w:r>
        <w:r w:rsidR="00183CC8">
          <w:rPr>
            <w:noProof/>
            <w:webHidden/>
          </w:rPr>
          <w:fldChar w:fldCharType="begin"/>
        </w:r>
        <w:r w:rsidR="00183CC8">
          <w:rPr>
            <w:noProof/>
            <w:webHidden/>
          </w:rPr>
          <w:instrText xml:space="preserve"> PAGEREF _Toc90216786 \h </w:instrText>
        </w:r>
        <w:r w:rsidR="00183CC8">
          <w:rPr>
            <w:noProof/>
            <w:webHidden/>
          </w:rPr>
        </w:r>
        <w:r w:rsidR="00183CC8">
          <w:rPr>
            <w:noProof/>
            <w:webHidden/>
          </w:rPr>
          <w:fldChar w:fldCharType="separate"/>
        </w:r>
        <w:r w:rsidR="00183CC8">
          <w:rPr>
            <w:noProof/>
            <w:webHidden/>
          </w:rPr>
          <w:t>39</w:t>
        </w:r>
        <w:r w:rsidR="00183CC8">
          <w:rPr>
            <w:noProof/>
            <w:webHidden/>
          </w:rPr>
          <w:fldChar w:fldCharType="end"/>
        </w:r>
      </w:hyperlink>
    </w:p>
    <w:p w14:paraId="4DA2597E" w14:textId="1B223358" w:rsidR="00183CC8" w:rsidRDefault="003373BF">
      <w:pPr>
        <w:pStyle w:val="TOC3"/>
        <w:tabs>
          <w:tab w:val="left" w:pos="1320"/>
        </w:tabs>
        <w:rPr>
          <w:rFonts w:eastAsiaTheme="minorEastAsia" w:cstheme="minorBidi"/>
          <w:noProof/>
          <w:szCs w:val="24"/>
          <w:lang w:eastAsia="en-GB"/>
        </w:rPr>
      </w:pPr>
      <w:hyperlink w:anchor="_Toc90216787" w:history="1">
        <w:r w:rsidR="00183CC8" w:rsidRPr="00BA3362">
          <w:rPr>
            <w:rStyle w:val="Hyperlink"/>
            <w:noProof/>
          </w:rPr>
          <w:t>2.6.3</w:t>
        </w:r>
        <w:r w:rsidR="00183CC8">
          <w:rPr>
            <w:rFonts w:eastAsiaTheme="minorEastAsia" w:cstheme="minorBidi"/>
            <w:noProof/>
            <w:szCs w:val="24"/>
            <w:lang w:eastAsia="en-GB"/>
          </w:rPr>
          <w:tab/>
        </w:r>
        <w:r w:rsidR="00183CC8" w:rsidRPr="00BA3362">
          <w:rPr>
            <w:rStyle w:val="Hyperlink"/>
            <w:noProof/>
          </w:rPr>
          <w:t>Spurr.</w:t>
        </w:r>
        <w:r w:rsidR="00183CC8">
          <w:rPr>
            <w:noProof/>
            <w:webHidden/>
          </w:rPr>
          <w:tab/>
        </w:r>
        <w:r w:rsidR="00183CC8">
          <w:rPr>
            <w:noProof/>
            <w:webHidden/>
          </w:rPr>
          <w:fldChar w:fldCharType="begin"/>
        </w:r>
        <w:r w:rsidR="00183CC8">
          <w:rPr>
            <w:noProof/>
            <w:webHidden/>
          </w:rPr>
          <w:instrText xml:space="preserve"> PAGEREF _Toc90216787 \h </w:instrText>
        </w:r>
        <w:r w:rsidR="00183CC8">
          <w:rPr>
            <w:noProof/>
            <w:webHidden/>
          </w:rPr>
        </w:r>
        <w:r w:rsidR="00183CC8">
          <w:rPr>
            <w:noProof/>
            <w:webHidden/>
          </w:rPr>
          <w:fldChar w:fldCharType="separate"/>
        </w:r>
        <w:r w:rsidR="00183CC8">
          <w:rPr>
            <w:noProof/>
            <w:webHidden/>
          </w:rPr>
          <w:t>40</w:t>
        </w:r>
        <w:r w:rsidR="00183CC8">
          <w:rPr>
            <w:noProof/>
            <w:webHidden/>
          </w:rPr>
          <w:fldChar w:fldCharType="end"/>
        </w:r>
      </w:hyperlink>
    </w:p>
    <w:p w14:paraId="6850073F" w14:textId="2CAF8173" w:rsidR="00183CC8" w:rsidRDefault="003373BF">
      <w:pPr>
        <w:pStyle w:val="TOC3"/>
        <w:tabs>
          <w:tab w:val="left" w:pos="1320"/>
        </w:tabs>
        <w:rPr>
          <w:rFonts w:eastAsiaTheme="minorEastAsia" w:cstheme="minorBidi"/>
          <w:noProof/>
          <w:szCs w:val="24"/>
          <w:lang w:eastAsia="en-GB"/>
        </w:rPr>
      </w:pPr>
      <w:hyperlink w:anchor="_Toc90216788" w:history="1">
        <w:r w:rsidR="00183CC8" w:rsidRPr="00BA3362">
          <w:rPr>
            <w:rStyle w:val="Hyperlink"/>
            <w:noProof/>
          </w:rPr>
          <w:t>2.6.4</w:t>
        </w:r>
        <w:r w:rsidR="00183CC8">
          <w:rPr>
            <w:rFonts w:eastAsiaTheme="minorEastAsia" w:cstheme="minorBidi"/>
            <w:noProof/>
            <w:szCs w:val="24"/>
            <w:lang w:eastAsia="en-GB"/>
          </w:rPr>
          <w:tab/>
        </w:r>
        <w:r w:rsidR="00183CC8" w:rsidRPr="00BA3362">
          <w:rPr>
            <w:rStyle w:val="Hyperlink"/>
            <w:noProof/>
          </w:rPr>
          <w:t>30, 60 and 90 % (v/v) Spurr in acetone.</w:t>
        </w:r>
        <w:r w:rsidR="00183CC8">
          <w:rPr>
            <w:noProof/>
            <w:webHidden/>
          </w:rPr>
          <w:tab/>
        </w:r>
        <w:r w:rsidR="00183CC8">
          <w:rPr>
            <w:noProof/>
            <w:webHidden/>
          </w:rPr>
          <w:fldChar w:fldCharType="begin"/>
        </w:r>
        <w:r w:rsidR="00183CC8">
          <w:rPr>
            <w:noProof/>
            <w:webHidden/>
          </w:rPr>
          <w:instrText xml:space="preserve"> PAGEREF _Toc90216788 \h </w:instrText>
        </w:r>
        <w:r w:rsidR="00183CC8">
          <w:rPr>
            <w:noProof/>
            <w:webHidden/>
          </w:rPr>
        </w:r>
        <w:r w:rsidR="00183CC8">
          <w:rPr>
            <w:noProof/>
            <w:webHidden/>
          </w:rPr>
          <w:fldChar w:fldCharType="separate"/>
        </w:r>
        <w:r w:rsidR="00183CC8">
          <w:rPr>
            <w:noProof/>
            <w:webHidden/>
          </w:rPr>
          <w:t>40</w:t>
        </w:r>
        <w:r w:rsidR="00183CC8">
          <w:rPr>
            <w:noProof/>
            <w:webHidden/>
          </w:rPr>
          <w:fldChar w:fldCharType="end"/>
        </w:r>
      </w:hyperlink>
    </w:p>
    <w:p w14:paraId="6132D8DF" w14:textId="22E9CE10" w:rsidR="00183CC8" w:rsidRDefault="003373BF">
      <w:pPr>
        <w:pStyle w:val="TOC2"/>
        <w:tabs>
          <w:tab w:val="left" w:pos="958"/>
        </w:tabs>
        <w:rPr>
          <w:rFonts w:eastAsiaTheme="minorEastAsia" w:cstheme="minorBidi"/>
          <w:szCs w:val="24"/>
          <w:lang w:eastAsia="en-GB"/>
        </w:rPr>
      </w:pPr>
      <w:hyperlink w:anchor="_Toc90216789" w:history="1">
        <w:r w:rsidR="00183CC8" w:rsidRPr="00BA3362">
          <w:rPr>
            <w:rStyle w:val="Hyperlink"/>
          </w:rPr>
          <w:t>2.7</w:t>
        </w:r>
        <w:r w:rsidR="00183CC8">
          <w:rPr>
            <w:rFonts w:eastAsiaTheme="minorEastAsia" w:cstheme="minorBidi"/>
            <w:szCs w:val="24"/>
            <w:lang w:eastAsia="en-GB"/>
          </w:rPr>
          <w:tab/>
        </w:r>
        <w:r w:rsidR="00183CC8" w:rsidRPr="00BA3362">
          <w:rPr>
            <w:rStyle w:val="Hyperlink"/>
          </w:rPr>
          <w:t>Stains for TEM.</w:t>
        </w:r>
        <w:r w:rsidR="00183CC8">
          <w:rPr>
            <w:webHidden/>
          </w:rPr>
          <w:tab/>
        </w:r>
        <w:r w:rsidR="00183CC8">
          <w:rPr>
            <w:webHidden/>
          </w:rPr>
          <w:fldChar w:fldCharType="begin"/>
        </w:r>
        <w:r w:rsidR="00183CC8">
          <w:rPr>
            <w:webHidden/>
          </w:rPr>
          <w:instrText xml:space="preserve"> PAGEREF _Toc90216789 \h </w:instrText>
        </w:r>
        <w:r w:rsidR="00183CC8">
          <w:rPr>
            <w:webHidden/>
          </w:rPr>
        </w:r>
        <w:r w:rsidR="00183CC8">
          <w:rPr>
            <w:webHidden/>
          </w:rPr>
          <w:fldChar w:fldCharType="separate"/>
        </w:r>
        <w:r w:rsidR="00183CC8">
          <w:rPr>
            <w:webHidden/>
          </w:rPr>
          <w:t>40</w:t>
        </w:r>
        <w:r w:rsidR="00183CC8">
          <w:rPr>
            <w:webHidden/>
          </w:rPr>
          <w:fldChar w:fldCharType="end"/>
        </w:r>
      </w:hyperlink>
    </w:p>
    <w:p w14:paraId="76B6CCCF" w14:textId="3AD25D5B" w:rsidR="00183CC8" w:rsidRDefault="003373BF">
      <w:pPr>
        <w:pStyle w:val="TOC3"/>
        <w:tabs>
          <w:tab w:val="left" w:pos="1320"/>
        </w:tabs>
        <w:rPr>
          <w:rFonts w:eastAsiaTheme="minorEastAsia" w:cstheme="minorBidi"/>
          <w:noProof/>
          <w:szCs w:val="24"/>
          <w:lang w:eastAsia="en-GB"/>
        </w:rPr>
      </w:pPr>
      <w:hyperlink w:anchor="_Toc90216790" w:history="1">
        <w:r w:rsidR="00183CC8" w:rsidRPr="00BA3362">
          <w:rPr>
            <w:rStyle w:val="Hyperlink"/>
            <w:noProof/>
          </w:rPr>
          <w:t>2.7.1</w:t>
        </w:r>
        <w:r w:rsidR="00183CC8">
          <w:rPr>
            <w:rFonts w:eastAsiaTheme="minorEastAsia" w:cstheme="minorBidi"/>
            <w:noProof/>
            <w:szCs w:val="24"/>
            <w:lang w:eastAsia="en-GB"/>
          </w:rPr>
          <w:tab/>
        </w:r>
        <w:r w:rsidR="00183CC8" w:rsidRPr="00BA3362">
          <w:rPr>
            <w:rStyle w:val="Hyperlink"/>
            <w:noProof/>
          </w:rPr>
          <w:t>Reynold’s lead citrate.</w:t>
        </w:r>
        <w:r w:rsidR="00183CC8">
          <w:rPr>
            <w:noProof/>
            <w:webHidden/>
          </w:rPr>
          <w:tab/>
        </w:r>
        <w:r w:rsidR="00183CC8">
          <w:rPr>
            <w:noProof/>
            <w:webHidden/>
          </w:rPr>
          <w:fldChar w:fldCharType="begin"/>
        </w:r>
        <w:r w:rsidR="00183CC8">
          <w:rPr>
            <w:noProof/>
            <w:webHidden/>
          </w:rPr>
          <w:instrText xml:space="preserve"> PAGEREF _Toc90216790 \h </w:instrText>
        </w:r>
        <w:r w:rsidR="00183CC8">
          <w:rPr>
            <w:noProof/>
            <w:webHidden/>
          </w:rPr>
        </w:r>
        <w:r w:rsidR="00183CC8">
          <w:rPr>
            <w:noProof/>
            <w:webHidden/>
          </w:rPr>
          <w:fldChar w:fldCharType="separate"/>
        </w:r>
        <w:r w:rsidR="00183CC8">
          <w:rPr>
            <w:noProof/>
            <w:webHidden/>
          </w:rPr>
          <w:t>40</w:t>
        </w:r>
        <w:r w:rsidR="00183CC8">
          <w:rPr>
            <w:noProof/>
            <w:webHidden/>
          </w:rPr>
          <w:fldChar w:fldCharType="end"/>
        </w:r>
      </w:hyperlink>
    </w:p>
    <w:p w14:paraId="5DDC0D52" w14:textId="7306F4F1" w:rsidR="00183CC8" w:rsidRDefault="003373BF">
      <w:pPr>
        <w:pStyle w:val="TOC3"/>
        <w:tabs>
          <w:tab w:val="left" w:pos="1320"/>
        </w:tabs>
        <w:rPr>
          <w:rFonts w:eastAsiaTheme="minorEastAsia" w:cstheme="minorBidi"/>
          <w:noProof/>
          <w:szCs w:val="24"/>
          <w:lang w:eastAsia="en-GB"/>
        </w:rPr>
      </w:pPr>
      <w:hyperlink w:anchor="_Toc90216791" w:history="1">
        <w:r w:rsidR="00183CC8" w:rsidRPr="00BA3362">
          <w:rPr>
            <w:rStyle w:val="Hyperlink"/>
            <w:noProof/>
          </w:rPr>
          <w:t>2.7.2</w:t>
        </w:r>
        <w:r w:rsidR="00183CC8">
          <w:rPr>
            <w:rFonts w:eastAsiaTheme="minorEastAsia" w:cstheme="minorBidi"/>
            <w:noProof/>
            <w:szCs w:val="24"/>
            <w:lang w:eastAsia="en-GB"/>
          </w:rPr>
          <w:tab/>
        </w:r>
        <w:r w:rsidR="00183CC8" w:rsidRPr="00BA3362">
          <w:rPr>
            <w:rStyle w:val="Hyperlink"/>
            <w:noProof/>
          </w:rPr>
          <w:t>3 % (w/v) aqueous uranyl acetate.</w:t>
        </w:r>
        <w:r w:rsidR="00183CC8">
          <w:rPr>
            <w:noProof/>
            <w:webHidden/>
          </w:rPr>
          <w:tab/>
        </w:r>
        <w:r w:rsidR="00183CC8">
          <w:rPr>
            <w:noProof/>
            <w:webHidden/>
          </w:rPr>
          <w:fldChar w:fldCharType="begin"/>
        </w:r>
        <w:r w:rsidR="00183CC8">
          <w:rPr>
            <w:noProof/>
            <w:webHidden/>
          </w:rPr>
          <w:instrText xml:space="preserve"> PAGEREF _Toc90216791 \h </w:instrText>
        </w:r>
        <w:r w:rsidR="00183CC8">
          <w:rPr>
            <w:noProof/>
            <w:webHidden/>
          </w:rPr>
        </w:r>
        <w:r w:rsidR="00183CC8">
          <w:rPr>
            <w:noProof/>
            <w:webHidden/>
          </w:rPr>
          <w:fldChar w:fldCharType="separate"/>
        </w:r>
        <w:r w:rsidR="00183CC8">
          <w:rPr>
            <w:noProof/>
            <w:webHidden/>
          </w:rPr>
          <w:t>41</w:t>
        </w:r>
        <w:r w:rsidR="00183CC8">
          <w:rPr>
            <w:noProof/>
            <w:webHidden/>
          </w:rPr>
          <w:fldChar w:fldCharType="end"/>
        </w:r>
      </w:hyperlink>
    </w:p>
    <w:p w14:paraId="5DF7E0D3" w14:textId="3A9A9513" w:rsidR="00183CC8" w:rsidRDefault="003373BF">
      <w:pPr>
        <w:pStyle w:val="TOC2"/>
        <w:tabs>
          <w:tab w:val="left" w:pos="958"/>
        </w:tabs>
        <w:rPr>
          <w:rFonts w:eastAsiaTheme="minorEastAsia" w:cstheme="minorBidi"/>
          <w:szCs w:val="24"/>
          <w:lang w:eastAsia="en-GB"/>
        </w:rPr>
      </w:pPr>
      <w:hyperlink w:anchor="_Toc90216792" w:history="1">
        <w:r w:rsidR="00183CC8" w:rsidRPr="00BA3362">
          <w:rPr>
            <w:rStyle w:val="Hyperlink"/>
          </w:rPr>
          <w:t>2.8</w:t>
        </w:r>
        <w:r w:rsidR="00183CC8">
          <w:rPr>
            <w:rFonts w:eastAsiaTheme="minorEastAsia" w:cstheme="minorBidi"/>
            <w:szCs w:val="24"/>
            <w:lang w:eastAsia="en-GB"/>
          </w:rPr>
          <w:tab/>
        </w:r>
        <w:r w:rsidR="00183CC8" w:rsidRPr="00BA3362">
          <w:rPr>
            <w:rStyle w:val="Hyperlink"/>
          </w:rPr>
          <w:t>Antibiotics.</w:t>
        </w:r>
        <w:r w:rsidR="00183CC8">
          <w:rPr>
            <w:webHidden/>
          </w:rPr>
          <w:tab/>
        </w:r>
        <w:r w:rsidR="00183CC8">
          <w:rPr>
            <w:webHidden/>
          </w:rPr>
          <w:fldChar w:fldCharType="begin"/>
        </w:r>
        <w:r w:rsidR="00183CC8">
          <w:rPr>
            <w:webHidden/>
          </w:rPr>
          <w:instrText xml:space="preserve"> PAGEREF _Toc90216792 \h </w:instrText>
        </w:r>
        <w:r w:rsidR="00183CC8">
          <w:rPr>
            <w:webHidden/>
          </w:rPr>
        </w:r>
        <w:r w:rsidR="00183CC8">
          <w:rPr>
            <w:webHidden/>
          </w:rPr>
          <w:fldChar w:fldCharType="separate"/>
        </w:r>
        <w:r w:rsidR="00183CC8">
          <w:rPr>
            <w:webHidden/>
          </w:rPr>
          <w:t>41</w:t>
        </w:r>
        <w:r w:rsidR="00183CC8">
          <w:rPr>
            <w:webHidden/>
          </w:rPr>
          <w:fldChar w:fldCharType="end"/>
        </w:r>
      </w:hyperlink>
    </w:p>
    <w:p w14:paraId="0978D6EC" w14:textId="366A30E4" w:rsidR="00183CC8" w:rsidRDefault="003373BF">
      <w:pPr>
        <w:pStyle w:val="TOC2"/>
        <w:tabs>
          <w:tab w:val="left" w:pos="958"/>
        </w:tabs>
        <w:rPr>
          <w:rFonts w:eastAsiaTheme="minorEastAsia" w:cstheme="minorBidi"/>
          <w:szCs w:val="24"/>
          <w:lang w:eastAsia="en-GB"/>
        </w:rPr>
      </w:pPr>
      <w:hyperlink w:anchor="_Toc90216793" w:history="1">
        <w:r w:rsidR="00183CC8" w:rsidRPr="00BA3362">
          <w:rPr>
            <w:rStyle w:val="Hyperlink"/>
          </w:rPr>
          <w:t>2.9</w:t>
        </w:r>
        <w:r w:rsidR="00183CC8">
          <w:rPr>
            <w:rFonts w:eastAsiaTheme="minorEastAsia" w:cstheme="minorBidi"/>
            <w:szCs w:val="24"/>
            <w:lang w:eastAsia="en-GB"/>
          </w:rPr>
          <w:tab/>
        </w:r>
        <w:r w:rsidR="00183CC8" w:rsidRPr="00BA3362">
          <w:rPr>
            <w:rStyle w:val="Hyperlink"/>
          </w:rPr>
          <w:t>Primers.</w:t>
        </w:r>
        <w:r w:rsidR="00183CC8">
          <w:rPr>
            <w:webHidden/>
          </w:rPr>
          <w:tab/>
        </w:r>
        <w:r w:rsidR="00183CC8">
          <w:rPr>
            <w:webHidden/>
          </w:rPr>
          <w:fldChar w:fldCharType="begin"/>
        </w:r>
        <w:r w:rsidR="00183CC8">
          <w:rPr>
            <w:webHidden/>
          </w:rPr>
          <w:instrText xml:space="preserve"> PAGEREF _Toc90216793 \h </w:instrText>
        </w:r>
        <w:r w:rsidR="00183CC8">
          <w:rPr>
            <w:webHidden/>
          </w:rPr>
        </w:r>
        <w:r w:rsidR="00183CC8">
          <w:rPr>
            <w:webHidden/>
          </w:rPr>
          <w:fldChar w:fldCharType="separate"/>
        </w:r>
        <w:r w:rsidR="00183CC8">
          <w:rPr>
            <w:webHidden/>
          </w:rPr>
          <w:t>42</w:t>
        </w:r>
        <w:r w:rsidR="00183CC8">
          <w:rPr>
            <w:webHidden/>
          </w:rPr>
          <w:fldChar w:fldCharType="end"/>
        </w:r>
      </w:hyperlink>
    </w:p>
    <w:p w14:paraId="7BD9CE28" w14:textId="6E0C66D9" w:rsidR="00183CC8" w:rsidRDefault="003373BF">
      <w:pPr>
        <w:pStyle w:val="TOC2"/>
        <w:tabs>
          <w:tab w:val="left" w:pos="958"/>
        </w:tabs>
        <w:rPr>
          <w:rFonts w:eastAsiaTheme="minorEastAsia" w:cstheme="minorBidi"/>
          <w:szCs w:val="24"/>
          <w:lang w:eastAsia="en-GB"/>
        </w:rPr>
      </w:pPr>
      <w:hyperlink w:anchor="_Toc90216794" w:history="1">
        <w:r w:rsidR="00183CC8" w:rsidRPr="00BA3362">
          <w:rPr>
            <w:rStyle w:val="Hyperlink"/>
          </w:rPr>
          <w:t>2.10</w:t>
        </w:r>
        <w:r w:rsidR="00183CC8">
          <w:rPr>
            <w:rFonts w:eastAsiaTheme="minorEastAsia" w:cstheme="minorBidi"/>
            <w:szCs w:val="24"/>
            <w:lang w:eastAsia="en-GB"/>
          </w:rPr>
          <w:tab/>
        </w:r>
        <w:r w:rsidR="00183CC8" w:rsidRPr="00BA3362">
          <w:rPr>
            <w:rStyle w:val="Hyperlink"/>
          </w:rPr>
          <w:t>Bacterial strains and storage.</w:t>
        </w:r>
        <w:r w:rsidR="00183CC8">
          <w:rPr>
            <w:webHidden/>
          </w:rPr>
          <w:tab/>
        </w:r>
        <w:r w:rsidR="00183CC8">
          <w:rPr>
            <w:webHidden/>
          </w:rPr>
          <w:fldChar w:fldCharType="begin"/>
        </w:r>
        <w:r w:rsidR="00183CC8">
          <w:rPr>
            <w:webHidden/>
          </w:rPr>
          <w:instrText xml:space="preserve"> PAGEREF _Toc90216794 \h </w:instrText>
        </w:r>
        <w:r w:rsidR="00183CC8">
          <w:rPr>
            <w:webHidden/>
          </w:rPr>
        </w:r>
        <w:r w:rsidR="00183CC8">
          <w:rPr>
            <w:webHidden/>
          </w:rPr>
          <w:fldChar w:fldCharType="separate"/>
        </w:r>
        <w:r w:rsidR="00183CC8">
          <w:rPr>
            <w:webHidden/>
          </w:rPr>
          <w:t>42</w:t>
        </w:r>
        <w:r w:rsidR="00183CC8">
          <w:rPr>
            <w:webHidden/>
          </w:rPr>
          <w:fldChar w:fldCharType="end"/>
        </w:r>
      </w:hyperlink>
    </w:p>
    <w:p w14:paraId="6DC6DE19" w14:textId="571D55F8" w:rsidR="00183CC8" w:rsidRDefault="003373BF">
      <w:pPr>
        <w:pStyle w:val="TOC3"/>
        <w:tabs>
          <w:tab w:val="left" w:pos="1540"/>
        </w:tabs>
        <w:rPr>
          <w:rFonts w:eastAsiaTheme="minorEastAsia" w:cstheme="minorBidi"/>
          <w:noProof/>
          <w:szCs w:val="24"/>
          <w:lang w:eastAsia="en-GB"/>
        </w:rPr>
      </w:pPr>
      <w:hyperlink w:anchor="_Toc90216795" w:history="1">
        <w:r w:rsidR="00183CC8" w:rsidRPr="00BA3362">
          <w:rPr>
            <w:rStyle w:val="Hyperlink"/>
            <w:noProof/>
          </w:rPr>
          <w:t>2.10.1</w:t>
        </w:r>
        <w:r w:rsidR="00183CC8">
          <w:rPr>
            <w:rFonts w:eastAsiaTheme="minorEastAsia" w:cstheme="minorBidi"/>
            <w:noProof/>
            <w:szCs w:val="24"/>
            <w:lang w:eastAsia="en-GB"/>
          </w:rPr>
          <w:tab/>
        </w:r>
        <w:r w:rsidR="00183CC8" w:rsidRPr="00BA3362">
          <w:rPr>
            <w:rStyle w:val="Hyperlink"/>
            <w:noProof/>
          </w:rPr>
          <w:t>Storage of bacterial strains.</w:t>
        </w:r>
        <w:r w:rsidR="00183CC8">
          <w:rPr>
            <w:noProof/>
            <w:webHidden/>
          </w:rPr>
          <w:tab/>
        </w:r>
        <w:r w:rsidR="00183CC8">
          <w:rPr>
            <w:noProof/>
            <w:webHidden/>
          </w:rPr>
          <w:fldChar w:fldCharType="begin"/>
        </w:r>
        <w:r w:rsidR="00183CC8">
          <w:rPr>
            <w:noProof/>
            <w:webHidden/>
          </w:rPr>
          <w:instrText xml:space="preserve"> PAGEREF _Toc90216795 \h </w:instrText>
        </w:r>
        <w:r w:rsidR="00183CC8">
          <w:rPr>
            <w:noProof/>
            <w:webHidden/>
          </w:rPr>
        </w:r>
        <w:r w:rsidR="00183CC8">
          <w:rPr>
            <w:noProof/>
            <w:webHidden/>
          </w:rPr>
          <w:fldChar w:fldCharType="separate"/>
        </w:r>
        <w:r w:rsidR="00183CC8">
          <w:rPr>
            <w:noProof/>
            <w:webHidden/>
          </w:rPr>
          <w:t>42</w:t>
        </w:r>
        <w:r w:rsidR="00183CC8">
          <w:rPr>
            <w:noProof/>
            <w:webHidden/>
          </w:rPr>
          <w:fldChar w:fldCharType="end"/>
        </w:r>
      </w:hyperlink>
    </w:p>
    <w:p w14:paraId="014351CF" w14:textId="3860AC18" w:rsidR="00183CC8" w:rsidRDefault="003373BF">
      <w:pPr>
        <w:pStyle w:val="TOC3"/>
        <w:tabs>
          <w:tab w:val="left" w:pos="1540"/>
        </w:tabs>
        <w:rPr>
          <w:rFonts w:eastAsiaTheme="minorEastAsia" w:cstheme="minorBidi"/>
          <w:noProof/>
          <w:szCs w:val="24"/>
          <w:lang w:eastAsia="en-GB"/>
        </w:rPr>
      </w:pPr>
      <w:hyperlink w:anchor="_Toc90216796" w:history="1">
        <w:r w:rsidR="00183CC8" w:rsidRPr="00BA3362">
          <w:rPr>
            <w:rStyle w:val="Hyperlink"/>
            <w:noProof/>
          </w:rPr>
          <w:t>2.10.2</w:t>
        </w:r>
        <w:r w:rsidR="00183CC8">
          <w:rPr>
            <w:rFonts w:eastAsiaTheme="minorEastAsia" w:cstheme="minorBidi"/>
            <w:noProof/>
            <w:szCs w:val="24"/>
            <w:lang w:eastAsia="en-GB"/>
          </w:rPr>
          <w:tab/>
        </w:r>
        <w:r w:rsidR="00183CC8" w:rsidRPr="00BA3362">
          <w:rPr>
            <w:rStyle w:val="Hyperlink"/>
            <w:noProof/>
          </w:rPr>
          <w:t>Bacterial strains.</w:t>
        </w:r>
        <w:r w:rsidR="00183CC8">
          <w:rPr>
            <w:noProof/>
            <w:webHidden/>
          </w:rPr>
          <w:tab/>
        </w:r>
        <w:r w:rsidR="00183CC8">
          <w:rPr>
            <w:noProof/>
            <w:webHidden/>
          </w:rPr>
          <w:fldChar w:fldCharType="begin"/>
        </w:r>
        <w:r w:rsidR="00183CC8">
          <w:rPr>
            <w:noProof/>
            <w:webHidden/>
          </w:rPr>
          <w:instrText xml:space="preserve"> PAGEREF _Toc90216796 \h </w:instrText>
        </w:r>
        <w:r w:rsidR="00183CC8">
          <w:rPr>
            <w:noProof/>
            <w:webHidden/>
          </w:rPr>
        </w:r>
        <w:r w:rsidR="00183CC8">
          <w:rPr>
            <w:noProof/>
            <w:webHidden/>
          </w:rPr>
          <w:fldChar w:fldCharType="separate"/>
        </w:r>
        <w:r w:rsidR="00183CC8">
          <w:rPr>
            <w:noProof/>
            <w:webHidden/>
          </w:rPr>
          <w:t>42</w:t>
        </w:r>
        <w:r w:rsidR="00183CC8">
          <w:rPr>
            <w:noProof/>
            <w:webHidden/>
          </w:rPr>
          <w:fldChar w:fldCharType="end"/>
        </w:r>
      </w:hyperlink>
    </w:p>
    <w:p w14:paraId="0EA614E5" w14:textId="46416D3D" w:rsidR="00183CC8" w:rsidRDefault="003373BF">
      <w:pPr>
        <w:pStyle w:val="TOC2"/>
        <w:tabs>
          <w:tab w:val="left" w:pos="958"/>
        </w:tabs>
        <w:rPr>
          <w:rFonts w:eastAsiaTheme="minorEastAsia" w:cstheme="minorBidi"/>
          <w:szCs w:val="24"/>
          <w:lang w:eastAsia="en-GB"/>
        </w:rPr>
      </w:pPr>
      <w:hyperlink w:anchor="_Toc90216797" w:history="1">
        <w:r w:rsidR="00183CC8" w:rsidRPr="00BA3362">
          <w:rPr>
            <w:rStyle w:val="Hyperlink"/>
          </w:rPr>
          <w:t>2.11</w:t>
        </w:r>
        <w:r w:rsidR="00183CC8">
          <w:rPr>
            <w:rFonts w:eastAsiaTheme="minorEastAsia" w:cstheme="minorBidi"/>
            <w:szCs w:val="24"/>
            <w:lang w:eastAsia="en-GB"/>
          </w:rPr>
          <w:tab/>
        </w:r>
        <w:r w:rsidR="00183CC8" w:rsidRPr="00BA3362">
          <w:rPr>
            <w:rStyle w:val="Hyperlink"/>
          </w:rPr>
          <w:t>Growth conditions.</w:t>
        </w:r>
        <w:r w:rsidR="00183CC8">
          <w:rPr>
            <w:webHidden/>
          </w:rPr>
          <w:tab/>
        </w:r>
        <w:r w:rsidR="00183CC8">
          <w:rPr>
            <w:webHidden/>
          </w:rPr>
          <w:fldChar w:fldCharType="begin"/>
        </w:r>
        <w:r w:rsidR="00183CC8">
          <w:rPr>
            <w:webHidden/>
          </w:rPr>
          <w:instrText xml:space="preserve"> PAGEREF _Toc90216797 \h </w:instrText>
        </w:r>
        <w:r w:rsidR="00183CC8">
          <w:rPr>
            <w:webHidden/>
          </w:rPr>
        </w:r>
        <w:r w:rsidR="00183CC8">
          <w:rPr>
            <w:webHidden/>
          </w:rPr>
          <w:fldChar w:fldCharType="separate"/>
        </w:r>
        <w:r w:rsidR="00183CC8">
          <w:rPr>
            <w:webHidden/>
          </w:rPr>
          <w:t>44</w:t>
        </w:r>
        <w:r w:rsidR="00183CC8">
          <w:rPr>
            <w:webHidden/>
          </w:rPr>
          <w:fldChar w:fldCharType="end"/>
        </w:r>
      </w:hyperlink>
    </w:p>
    <w:p w14:paraId="147C4C7E" w14:textId="24428A49" w:rsidR="00183CC8" w:rsidRDefault="003373BF">
      <w:pPr>
        <w:pStyle w:val="TOC3"/>
        <w:tabs>
          <w:tab w:val="left" w:pos="1540"/>
        </w:tabs>
        <w:rPr>
          <w:rFonts w:eastAsiaTheme="minorEastAsia" w:cstheme="minorBidi"/>
          <w:noProof/>
          <w:szCs w:val="24"/>
          <w:lang w:eastAsia="en-GB"/>
        </w:rPr>
      </w:pPr>
      <w:hyperlink w:anchor="_Toc90216798" w:history="1">
        <w:r w:rsidR="00183CC8" w:rsidRPr="00BA3362">
          <w:rPr>
            <w:rStyle w:val="Hyperlink"/>
            <w:noProof/>
          </w:rPr>
          <w:t>2.11.1</w:t>
        </w:r>
        <w:r w:rsidR="00183CC8">
          <w:rPr>
            <w:rFonts w:eastAsiaTheme="minorEastAsia" w:cstheme="minorBidi"/>
            <w:noProof/>
            <w:szCs w:val="24"/>
            <w:lang w:eastAsia="en-GB"/>
          </w:rPr>
          <w:tab/>
        </w:r>
        <w:r w:rsidR="00183CC8" w:rsidRPr="00BA3362">
          <w:rPr>
            <w:rStyle w:val="Hyperlink"/>
            <w:noProof/>
          </w:rPr>
          <w:t>Standard growth conditions.</w:t>
        </w:r>
        <w:r w:rsidR="00183CC8">
          <w:rPr>
            <w:noProof/>
            <w:webHidden/>
          </w:rPr>
          <w:tab/>
        </w:r>
        <w:r w:rsidR="00183CC8">
          <w:rPr>
            <w:noProof/>
            <w:webHidden/>
          </w:rPr>
          <w:fldChar w:fldCharType="begin"/>
        </w:r>
        <w:r w:rsidR="00183CC8">
          <w:rPr>
            <w:noProof/>
            <w:webHidden/>
          </w:rPr>
          <w:instrText xml:space="preserve"> PAGEREF _Toc90216798 \h </w:instrText>
        </w:r>
        <w:r w:rsidR="00183CC8">
          <w:rPr>
            <w:noProof/>
            <w:webHidden/>
          </w:rPr>
        </w:r>
        <w:r w:rsidR="00183CC8">
          <w:rPr>
            <w:noProof/>
            <w:webHidden/>
          </w:rPr>
          <w:fldChar w:fldCharType="separate"/>
        </w:r>
        <w:r w:rsidR="00183CC8">
          <w:rPr>
            <w:noProof/>
            <w:webHidden/>
          </w:rPr>
          <w:t>44</w:t>
        </w:r>
        <w:r w:rsidR="00183CC8">
          <w:rPr>
            <w:noProof/>
            <w:webHidden/>
          </w:rPr>
          <w:fldChar w:fldCharType="end"/>
        </w:r>
      </w:hyperlink>
    </w:p>
    <w:p w14:paraId="7F8F3EB2" w14:textId="2D6C8E5D" w:rsidR="00183CC8" w:rsidRDefault="003373BF">
      <w:pPr>
        <w:pStyle w:val="TOC3"/>
        <w:tabs>
          <w:tab w:val="left" w:pos="1540"/>
        </w:tabs>
        <w:rPr>
          <w:rFonts w:eastAsiaTheme="minorEastAsia" w:cstheme="minorBidi"/>
          <w:noProof/>
          <w:szCs w:val="24"/>
          <w:lang w:eastAsia="en-GB"/>
        </w:rPr>
      </w:pPr>
      <w:hyperlink w:anchor="_Toc90216799" w:history="1">
        <w:r w:rsidR="00183CC8" w:rsidRPr="00BA3362">
          <w:rPr>
            <w:rStyle w:val="Hyperlink"/>
            <w:noProof/>
          </w:rPr>
          <w:t>2.11.2</w:t>
        </w:r>
        <w:r w:rsidR="00183CC8">
          <w:rPr>
            <w:rFonts w:eastAsiaTheme="minorEastAsia" w:cstheme="minorBidi"/>
            <w:noProof/>
            <w:szCs w:val="24"/>
            <w:lang w:eastAsia="en-GB"/>
          </w:rPr>
          <w:tab/>
        </w:r>
        <w:r w:rsidR="00183CC8" w:rsidRPr="00BA3362">
          <w:rPr>
            <w:rStyle w:val="Hyperlink"/>
            <w:noProof/>
          </w:rPr>
          <w:t>Growth conditions of IPTG-dependant strains.</w:t>
        </w:r>
        <w:r w:rsidR="00183CC8">
          <w:rPr>
            <w:noProof/>
            <w:webHidden/>
          </w:rPr>
          <w:tab/>
        </w:r>
        <w:r w:rsidR="00183CC8">
          <w:rPr>
            <w:noProof/>
            <w:webHidden/>
          </w:rPr>
          <w:fldChar w:fldCharType="begin"/>
        </w:r>
        <w:r w:rsidR="00183CC8">
          <w:rPr>
            <w:noProof/>
            <w:webHidden/>
          </w:rPr>
          <w:instrText xml:space="preserve"> PAGEREF _Toc90216799 \h </w:instrText>
        </w:r>
        <w:r w:rsidR="00183CC8">
          <w:rPr>
            <w:noProof/>
            <w:webHidden/>
          </w:rPr>
        </w:r>
        <w:r w:rsidR="00183CC8">
          <w:rPr>
            <w:noProof/>
            <w:webHidden/>
          </w:rPr>
          <w:fldChar w:fldCharType="separate"/>
        </w:r>
        <w:r w:rsidR="00183CC8">
          <w:rPr>
            <w:noProof/>
            <w:webHidden/>
          </w:rPr>
          <w:t>44</w:t>
        </w:r>
        <w:r w:rsidR="00183CC8">
          <w:rPr>
            <w:noProof/>
            <w:webHidden/>
          </w:rPr>
          <w:fldChar w:fldCharType="end"/>
        </w:r>
      </w:hyperlink>
    </w:p>
    <w:p w14:paraId="35652EB5" w14:textId="35B32D43" w:rsidR="00183CC8" w:rsidRDefault="003373BF">
      <w:pPr>
        <w:pStyle w:val="TOC3"/>
        <w:tabs>
          <w:tab w:val="left" w:pos="1540"/>
        </w:tabs>
        <w:rPr>
          <w:rFonts w:eastAsiaTheme="minorEastAsia" w:cstheme="minorBidi"/>
          <w:noProof/>
          <w:szCs w:val="24"/>
          <w:lang w:eastAsia="en-GB"/>
        </w:rPr>
      </w:pPr>
      <w:hyperlink w:anchor="_Toc90216800" w:history="1">
        <w:r w:rsidR="00183CC8" w:rsidRPr="00BA3362">
          <w:rPr>
            <w:rStyle w:val="Hyperlink"/>
            <w:noProof/>
          </w:rPr>
          <w:t>2.11.3</w:t>
        </w:r>
        <w:r w:rsidR="00183CC8">
          <w:rPr>
            <w:rFonts w:eastAsiaTheme="minorEastAsia" w:cstheme="minorBidi"/>
            <w:noProof/>
            <w:szCs w:val="24"/>
            <w:lang w:eastAsia="en-GB"/>
          </w:rPr>
          <w:tab/>
        </w:r>
        <w:r w:rsidR="00183CC8" w:rsidRPr="00BA3362">
          <w:rPr>
            <w:rStyle w:val="Hyperlink"/>
            <w:noProof/>
          </w:rPr>
          <w:t>Growth conditions for cryo-fixation methods.</w:t>
        </w:r>
        <w:r w:rsidR="00183CC8">
          <w:rPr>
            <w:noProof/>
            <w:webHidden/>
          </w:rPr>
          <w:tab/>
        </w:r>
        <w:r w:rsidR="00183CC8">
          <w:rPr>
            <w:noProof/>
            <w:webHidden/>
          </w:rPr>
          <w:fldChar w:fldCharType="begin"/>
        </w:r>
        <w:r w:rsidR="00183CC8">
          <w:rPr>
            <w:noProof/>
            <w:webHidden/>
          </w:rPr>
          <w:instrText xml:space="preserve"> PAGEREF _Toc90216800 \h </w:instrText>
        </w:r>
        <w:r w:rsidR="00183CC8">
          <w:rPr>
            <w:noProof/>
            <w:webHidden/>
          </w:rPr>
        </w:r>
        <w:r w:rsidR="00183CC8">
          <w:rPr>
            <w:noProof/>
            <w:webHidden/>
          </w:rPr>
          <w:fldChar w:fldCharType="separate"/>
        </w:r>
        <w:r w:rsidR="00183CC8">
          <w:rPr>
            <w:noProof/>
            <w:webHidden/>
          </w:rPr>
          <w:t>44</w:t>
        </w:r>
        <w:r w:rsidR="00183CC8">
          <w:rPr>
            <w:noProof/>
            <w:webHidden/>
          </w:rPr>
          <w:fldChar w:fldCharType="end"/>
        </w:r>
      </w:hyperlink>
    </w:p>
    <w:p w14:paraId="05BDB78A" w14:textId="1ABAB70B" w:rsidR="00183CC8" w:rsidRDefault="003373BF">
      <w:pPr>
        <w:pStyle w:val="TOC3"/>
        <w:tabs>
          <w:tab w:val="left" w:pos="1540"/>
        </w:tabs>
        <w:rPr>
          <w:rFonts w:eastAsiaTheme="minorEastAsia" w:cstheme="minorBidi"/>
          <w:noProof/>
          <w:szCs w:val="24"/>
          <w:lang w:eastAsia="en-GB"/>
        </w:rPr>
      </w:pPr>
      <w:hyperlink w:anchor="_Toc90216801" w:history="1">
        <w:r w:rsidR="00183CC8" w:rsidRPr="00BA3362">
          <w:rPr>
            <w:rStyle w:val="Hyperlink"/>
            <w:noProof/>
          </w:rPr>
          <w:t>2.11.4</w:t>
        </w:r>
        <w:r w:rsidR="00183CC8">
          <w:rPr>
            <w:rFonts w:eastAsiaTheme="minorEastAsia" w:cstheme="minorBidi"/>
            <w:noProof/>
            <w:szCs w:val="24"/>
            <w:lang w:eastAsia="en-GB"/>
          </w:rPr>
          <w:tab/>
        </w:r>
        <w:r w:rsidR="00183CC8" w:rsidRPr="00BA3362">
          <w:rPr>
            <w:rStyle w:val="Hyperlink"/>
            <w:noProof/>
          </w:rPr>
          <w:t>Growth conditions and harvest for microscopy of antibiotic experiments.</w:t>
        </w:r>
        <w:r w:rsidR="00183CC8">
          <w:rPr>
            <w:noProof/>
            <w:webHidden/>
          </w:rPr>
          <w:tab/>
        </w:r>
        <w:r w:rsidR="00183CC8">
          <w:rPr>
            <w:noProof/>
            <w:webHidden/>
          </w:rPr>
          <w:fldChar w:fldCharType="begin"/>
        </w:r>
        <w:r w:rsidR="00183CC8">
          <w:rPr>
            <w:noProof/>
            <w:webHidden/>
          </w:rPr>
          <w:instrText xml:space="preserve"> PAGEREF _Toc90216801 \h </w:instrText>
        </w:r>
        <w:r w:rsidR="00183CC8">
          <w:rPr>
            <w:noProof/>
            <w:webHidden/>
          </w:rPr>
        </w:r>
        <w:r w:rsidR="00183CC8">
          <w:rPr>
            <w:noProof/>
            <w:webHidden/>
          </w:rPr>
          <w:fldChar w:fldCharType="separate"/>
        </w:r>
        <w:r w:rsidR="00183CC8">
          <w:rPr>
            <w:noProof/>
            <w:webHidden/>
          </w:rPr>
          <w:t>45</w:t>
        </w:r>
        <w:r w:rsidR="00183CC8">
          <w:rPr>
            <w:noProof/>
            <w:webHidden/>
          </w:rPr>
          <w:fldChar w:fldCharType="end"/>
        </w:r>
      </w:hyperlink>
    </w:p>
    <w:p w14:paraId="5A36DE2E" w14:textId="2FF27086" w:rsidR="00183CC8" w:rsidRDefault="003373BF">
      <w:pPr>
        <w:pStyle w:val="TOC2"/>
        <w:tabs>
          <w:tab w:val="left" w:pos="958"/>
        </w:tabs>
        <w:rPr>
          <w:rFonts w:eastAsiaTheme="minorEastAsia" w:cstheme="minorBidi"/>
          <w:szCs w:val="24"/>
          <w:lang w:eastAsia="en-GB"/>
        </w:rPr>
      </w:pPr>
      <w:hyperlink w:anchor="_Toc90216802" w:history="1">
        <w:r w:rsidR="00183CC8" w:rsidRPr="00BA3362">
          <w:rPr>
            <w:rStyle w:val="Hyperlink"/>
          </w:rPr>
          <w:t>2.12</w:t>
        </w:r>
        <w:r w:rsidR="00183CC8">
          <w:rPr>
            <w:rFonts w:eastAsiaTheme="minorEastAsia" w:cstheme="minorBidi"/>
            <w:szCs w:val="24"/>
            <w:lang w:eastAsia="en-GB"/>
          </w:rPr>
          <w:tab/>
        </w:r>
        <w:r w:rsidR="00183CC8" w:rsidRPr="00BA3362">
          <w:rPr>
            <w:rStyle w:val="Hyperlink"/>
          </w:rPr>
          <w:t>Harvesting cells by centrifugation.</w:t>
        </w:r>
        <w:r w:rsidR="00183CC8">
          <w:rPr>
            <w:webHidden/>
          </w:rPr>
          <w:tab/>
        </w:r>
        <w:r w:rsidR="00183CC8">
          <w:rPr>
            <w:webHidden/>
          </w:rPr>
          <w:fldChar w:fldCharType="begin"/>
        </w:r>
        <w:r w:rsidR="00183CC8">
          <w:rPr>
            <w:webHidden/>
          </w:rPr>
          <w:instrText xml:space="preserve"> PAGEREF _Toc90216802 \h </w:instrText>
        </w:r>
        <w:r w:rsidR="00183CC8">
          <w:rPr>
            <w:webHidden/>
          </w:rPr>
        </w:r>
        <w:r w:rsidR="00183CC8">
          <w:rPr>
            <w:webHidden/>
          </w:rPr>
          <w:fldChar w:fldCharType="separate"/>
        </w:r>
        <w:r w:rsidR="00183CC8">
          <w:rPr>
            <w:webHidden/>
          </w:rPr>
          <w:t>45</w:t>
        </w:r>
        <w:r w:rsidR="00183CC8">
          <w:rPr>
            <w:webHidden/>
          </w:rPr>
          <w:fldChar w:fldCharType="end"/>
        </w:r>
      </w:hyperlink>
    </w:p>
    <w:p w14:paraId="05F67BA2" w14:textId="57E9DEF4" w:rsidR="00183CC8" w:rsidRDefault="003373BF">
      <w:pPr>
        <w:pStyle w:val="TOC2"/>
        <w:tabs>
          <w:tab w:val="left" w:pos="958"/>
        </w:tabs>
        <w:rPr>
          <w:rFonts w:eastAsiaTheme="minorEastAsia" w:cstheme="minorBidi"/>
          <w:szCs w:val="24"/>
          <w:lang w:eastAsia="en-GB"/>
        </w:rPr>
      </w:pPr>
      <w:hyperlink w:anchor="_Toc90216803" w:history="1">
        <w:r w:rsidR="00183CC8" w:rsidRPr="00BA3362">
          <w:rPr>
            <w:rStyle w:val="Hyperlink"/>
          </w:rPr>
          <w:t>2.13</w:t>
        </w:r>
        <w:r w:rsidR="00183CC8">
          <w:rPr>
            <w:rFonts w:eastAsiaTheme="minorEastAsia" w:cstheme="minorBidi"/>
            <w:szCs w:val="24"/>
            <w:lang w:eastAsia="en-GB"/>
          </w:rPr>
          <w:tab/>
        </w:r>
        <w:r w:rsidR="00183CC8" w:rsidRPr="00BA3362">
          <w:rPr>
            <w:rStyle w:val="Hyperlink"/>
          </w:rPr>
          <w:t>Determination of bacterial density.</w:t>
        </w:r>
        <w:r w:rsidR="00183CC8">
          <w:rPr>
            <w:webHidden/>
          </w:rPr>
          <w:tab/>
        </w:r>
        <w:r w:rsidR="00183CC8">
          <w:rPr>
            <w:webHidden/>
          </w:rPr>
          <w:fldChar w:fldCharType="begin"/>
        </w:r>
        <w:r w:rsidR="00183CC8">
          <w:rPr>
            <w:webHidden/>
          </w:rPr>
          <w:instrText xml:space="preserve"> PAGEREF _Toc90216803 \h </w:instrText>
        </w:r>
        <w:r w:rsidR="00183CC8">
          <w:rPr>
            <w:webHidden/>
          </w:rPr>
        </w:r>
        <w:r w:rsidR="00183CC8">
          <w:rPr>
            <w:webHidden/>
          </w:rPr>
          <w:fldChar w:fldCharType="separate"/>
        </w:r>
        <w:r w:rsidR="00183CC8">
          <w:rPr>
            <w:webHidden/>
          </w:rPr>
          <w:t>45</w:t>
        </w:r>
        <w:r w:rsidR="00183CC8">
          <w:rPr>
            <w:webHidden/>
          </w:rPr>
          <w:fldChar w:fldCharType="end"/>
        </w:r>
      </w:hyperlink>
    </w:p>
    <w:p w14:paraId="5BF19F10" w14:textId="42314DCF" w:rsidR="00183CC8" w:rsidRDefault="003373BF">
      <w:pPr>
        <w:pStyle w:val="TOC3"/>
        <w:tabs>
          <w:tab w:val="left" w:pos="1540"/>
        </w:tabs>
        <w:rPr>
          <w:rFonts w:eastAsiaTheme="minorEastAsia" w:cstheme="minorBidi"/>
          <w:noProof/>
          <w:szCs w:val="24"/>
          <w:lang w:eastAsia="en-GB"/>
        </w:rPr>
      </w:pPr>
      <w:hyperlink w:anchor="_Toc90216804" w:history="1">
        <w:r w:rsidR="00183CC8" w:rsidRPr="00BA3362">
          <w:rPr>
            <w:rStyle w:val="Hyperlink"/>
            <w:noProof/>
          </w:rPr>
          <w:t>2.13.1</w:t>
        </w:r>
        <w:r w:rsidR="00183CC8">
          <w:rPr>
            <w:rFonts w:eastAsiaTheme="minorEastAsia" w:cstheme="minorBidi"/>
            <w:noProof/>
            <w:szCs w:val="24"/>
            <w:lang w:eastAsia="en-GB"/>
          </w:rPr>
          <w:tab/>
        </w:r>
        <w:r w:rsidR="00183CC8" w:rsidRPr="00BA3362">
          <w:rPr>
            <w:rStyle w:val="Hyperlink"/>
            <w:noProof/>
          </w:rPr>
          <w:t>Optical density (OD</w:t>
        </w:r>
        <w:r w:rsidR="00183CC8" w:rsidRPr="00BA3362">
          <w:rPr>
            <w:rStyle w:val="Hyperlink"/>
            <w:noProof/>
            <w:vertAlign w:val="subscript"/>
          </w:rPr>
          <w:t>600</w:t>
        </w:r>
        <w:r w:rsidR="00183CC8" w:rsidRPr="00BA3362">
          <w:rPr>
            <w:rStyle w:val="Hyperlink"/>
            <w:noProof/>
          </w:rPr>
          <w:t>).</w:t>
        </w:r>
        <w:r w:rsidR="00183CC8">
          <w:rPr>
            <w:noProof/>
            <w:webHidden/>
          </w:rPr>
          <w:tab/>
        </w:r>
        <w:r w:rsidR="00183CC8">
          <w:rPr>
            <w:noProof/>
            <w:webHidden/>
          </w:rPr>
          <w:fldChar w:fldCharType="begin"/>
        </w:r>
        <w:r w:rsidR="00183CC8">
          <w:rPr>
            <w:noProof/>
            <w:webHidden/>
          </w:rPr>
          <w:instrText xml:space="preserve"> PAGEREF _Toc90216804 \h </w:instrText>
        </w:r>
        <w:r w:rsidR="00183CC8">
          <w:rPr>
            <w:noProof/>
            <w:webHidden/>
          </w:rPr>
        </w:r>
        <w:r w:rsidR="00183CC8">
          <w:rPr>
            <w:noProof/>
            <w:webHidden/>
          </w:rPr>
          <w:fldChar w:fldCharType="separate"/>
        </w:r>
        <w:r w:rsidR="00183CC8">
          <w:rPr>
            <w:noProof/>
            <w:webHidden/>
          </w:rPr>
          <w:t>45</w:t>
        </w:r>
        <w:r w:rsidR="00183CC8">
          <w:rPr>
            <w:noProof/>
            <w:webHidden/>
          </w:rPr>
          <w:fldChar w:fldCharType="end"/>
        </w:r>
      </w:hyperlink>
    </w:p>
    <w:p w14:paraId="5F6FFEE7" w14:textId="33A0892F" w:rsidR="00183CC8" w:rsidRDefault="003373BF">
      <w:pPr>
        <w:pStyle w:val="TOC3"/>
        <w:tabs>
          <w:tab w:val="left" w:pos="1540"/>
        </w:tabs>
        <w:rPr>
          <w:rFonts w:eastAsiaTheme="minorEastAsia" w:cstheme="minorBidi"/>
          <w:noProof/>
          <w:szCs w:val="24"/>
          <w:lang w:eastAsia="en-GB"/>
        </w:rPr>
      </w:pPr>
      <w:hyperlink w:anchor="_Toc90216805" w:history="1">
        <w:r w:rsidR="00183CC8" w:rsidRPr="00BA3362">
          <w:rPr>
            <w:rStyle w:val="Hyperlink"/>
            <w:noProof/>
          </w:rPr>
          <w:t>2.13.2</w:t>
        </w:r>
        <w:r w:rsidR="00183CC8">
          <w:rPr>
            <w:rFonts w:eastAsiaTheme="minorEastAsia" w:cstheme="minorBidi"/>
            <w:noProof/>
            <w:szCs w:val="24"/>
            <w:lang w:eastAsia="en-GB"/>
          </w:rPr>
          <w:tab/>
        </w:r>
        <w:r w:rsidR="00183CC8" w:rsidRPr="00BA3362">
          <w:rPr>
            <w:rStyle w:val="Hyperlink"/>
            <w:noProof/>
          </w:rPr>
          <w:t>Colony-forming units (CFU).</w:t>
        </w:r>
        <w:r w:rsidR="00183CC8">
          <w:rPr>
            <w:noProof/>
            <w:webHidden/>
          </w:rPr>
          <w:tab/>
        </w:r>
        <w:r w:rsidR="00183CC8">
          <w:rPr>
            <w:noProof/>
            <w:webHidden/>
          </w:rPr>
          <w:fldChar w:fldCharType="begin"/>
        </w:r>
        <w:r w:rsidR="00183CC8">
          <w:rPr>
            <w:noProof/>
            <w:webHidden/>
          </w:rPr>
          <w:instrText xml:space="preserve"> PAGEREF _Toc90216805 \h </w:instrText>
        </w:r>
        <w:r w:rsidR="00183CC8">
          <w:rPr>
            <w:noProof/>
            <w:webHidden/>
          </w:rPr>
        </w:r>
        <w:r w:rsidR="00183CC8">
          <w:rPr>
            <w:noProof/>
            <w:webHidden/>
          </w:rPr>
          <w:fldChar w:fldCharType="separate"/>
        </w:r>
        <w:r w:rsidR="00183CC8">
          <w:rPr>
            <w:noProof/>
            <w:webHidden/>
          </w:rPr>
          <w:t>45</w:t>
        </w:r>
        <w:r w:rsidR="00183CC8">
          <w:rPr>
            <w:noProof/>
            <w:webHidden/>
          </w:rPr>
          <w:fldChar w:fldCharType="end"/>
        </w:r>
      </w:hyperlink>
    </w:p>
    <w:p w14:paraId="6692D8CE" w14:textId="5FA58F56" w:rsidR="00183CC8" w:rsidRDefault="003373BF">
      <w:pPr>
        <w:pStyle w:val="TOC2"/>
        <w:tabs>
          <w:tab w:val="left" w:pos="958"/>
        </w:tabs>
        <w:rPr>
          <w:rFonts w:eastAsiaTheme="minorEastAsia" w:cstheme="minorBidi"/>
          <w:szCs w:val="24"/>
          <w:lang w:eastAsia="en-GB"/>
        </w:rPr>
      </w:pPr>
      <w:hyperlink w:anchor="_Toc90216806" w:history="1">
        <w:r w:rsidR="00183CC8" w:rsidRPr="00BA3362">
          <w:rPr>
            <w:rStyle w:val="Hyperlink"/>
          </w:rPr>
          <w:t>2.14</w:t>
        </w:r>
        <w:r w:rsidR="00183CC8">
          <w:rPr>
            <w:rFonts w:eastAsiaTheme="minorEastAsia" w:cstheme="minorBidi"/>
            <w:szCs w:val="24"/>
            <w:lang w:eastAsia="en-GB"/>
          </w:rPr>
          <w:tab/>
        </w:r>
        <w:r w:rsidR="00183CC8" w:rsidRPr="00BA3362">
          <w:rPr>
            <w:rStyle w:val="Hyperlink"/>
          </w:rPr>
          <w:t>Growth curves.</w:t>
        </w:r>
        <w:r w:rsidR="00183CC8">
          <w:rPr>
            <w:webHidden/>
          </w:rPr>
          <w:tab/>
        </w:r>
        <w:r w:rsidR="00183CC8">
          <w:rPr>
            <w:webHidden/>
          </w:rPr>
          <w:fldChar w:fldCharType="begin"/>
        </w:r>
        <w:r w:rsidR="00183CC8">
          <w:rPr>
            <w:webHidden/>
          </w:rPr>
          <w:instrText xml:space="preserve"> PAGEREF _Toc90216806 \h </w:instrText>
        </w:r>
        <w:r w:rsidR="00183CC8">
          <w:rPr>
            <w:webHidden/>
          </w:rPr>
        </w:r>
        <w:r w:rsidR="00183CC8">
          <w:rPr>
            <w:webHidden/>
          </w:rPr>
          <w:fldChar w:fldCharType="separate"/>
        </w:r>
        <w:r w:rsidR="00183CC8">
          <w:rPr>
            <w:webHidden/>
          </w:rPr>
          <w:t>46</w:t>
        </w:r>
        <w:r w:rsidR="00183CC8">
          <w:rPr>
            <w:webHidden/>
          </w:rPr>
          <w:fldChar w:fldCharType="end"/>
        </w:r>
      </w:hyperlink>
    </w:p>
    <w:p w14:paraId="2A943E77" w14:textId="6FFB943B" w:rsidR="00183CC8" w:rsidRDefault="003373BF">
      <w:pPr>
        <w:pStyle w:val="TOC2"/>
        <w:tabs>
          <w:tab w:val="left" w:pos="958"/>
        </w:tabs>
        <w:rPr>
          <w:rFonts w:eastAsiaTheme="minorEastAsia" w:cstheme="minorBidi"/>
          <w:szCs w:val="24"/>
          <w:lang w:eastAsia="en-GB"/>
        </w:rPr>
      </w:pPr>
      <w:hyperlink w:anchor="_Toc90216807" w:history="1">
        <w:r w:rsidR="00183CC8" w:rsidRPr="00BA3362">
          <w:rPr>
            <w:rStyle w:val="Hyperlink"/>
          </w:rPr>
          <w:t>2.15</w:t>
        </w:r>
        <w:r w:rsidR="00183CC8">
          <w:rPr>
            <w:rFonts w:eastAsiaTheme="minorEastAsia" w:cstheme="minorBidi"/>
            <w:szCs w:val="24"/>
            <w:lang w:eastAsia="en-GB"/>
          </w:rPr>
          <w:tab/>
        </w:r>
        <w:r w:rsidR="00183CC8" w:rsidRPr="00BA3362">
          <w:rPr>
            <w:rStyle w:val="Hyperlink"/>
          </w:rPr>
          <w:t>Survival curves.</w:t>
        </w:r>
        <w:r w:rsidR="00183CC8">
          <w:rPr>
            <w:webHidden/>
          </w:rPr>
          <w:tab/>
        </w:r>
        <w:r w:rsidR="00183CC8">
          <w:rPr>
            <w:webHidden/>
          </w:rPr>
          <w:fldChar w:fldCharType="begin"/>
        </w:r>
        <w:r w:rsidR="00183CC8">
          <w:rPr>
            <w:webHidden/>
          </w:rPr>
          <w:instrText xml:space="preserve"> PAGEREF _Toc90216807 \h </w:instrText>
        </w:r>
        <w:r w:rsidR="00183CC8">
          <w:rPr>
            <w:webHidden/>
          </w:rPr>
        </w:r>
        <w:r w:rsidR="00183CC8">
          <w:rPr>
            <w:webHidden/>
          </w:rPr>
          <w:fldChar w:fldCharType="separate"/>
        </w:r>
        <w:r w:rsidR="00183CC8">
          <w:rPr>
            <w:webHidden/>
          </w:rPr>
          <w:t>46</w:t>
        </w:r>
        <w:r w:rsidR="00183CC8">
          <w:rPr>
            <w:webHidden/>
          </w:rPr>
          <w:fldChar w:fldCharType="end"/>
        </w:r>
      </w:hyperlink>
    </w:p>
    <w:p w14:paraId="142D16BA" w14:textId="76ED5CB8" w:rsidR="00183CC8" w:rsidRDefault="003373BF">
      <w:pPr>
        <w:pStyle w:val="TOC2"/>
        <w:tabs>
          <w:tab w:val="left" w:pos="958"/>
        </w:tabs>
        <w:rPr>
          <w:rFonts w:eastAsiaTheme="minorEastAsia" w:cstheme="minorBidi"/>
          <w:szCs w:val="24"/>
          <w:lang w:eastAsia="en-GB"/>
        </w:rPr>
      </w:pPr>
      <w:hyperlink w:anchor="_Toc90216808" w:history="1">
        <w:r w:rsidR="00183CC8" w:rsidRPr="00BA3362">
          <w:rPr>
            <w:rStyle w:val="Hyperlink"/>
          </w:rPr>
          <w:t>2.16</w:t>
        </w:r>
        <w:r w:rsidR="00183CC8">
          <w:rPr>
            <w:rFonts w:eastAsiaTheme="minorEastAsia" w:cstheme="minorBidi"/>
            <w:szCs w:val="24"/>
            <w:lang w:eastAsia="en-GB"/>
          </w:rPr>
          <w:tab/>
        </w:r>
        <w:r w:rsidR="00183CC8" w:rsidRPr="00BA3362">
          <w:rPr>
            <w:rStyle w:val="Hyperlink"/>
          </w:rPr>
          <w:t>Phage transduction.</w:t>
        </w:r>
        <w:r w:rsidR="00183CC8">
          <w:rPr>
            <w:webHidden/>
          </w:rPr>
          <w:tab/>
        </w:r>
        <w:r w:rsidR="00183CC8">
          <w:rPr>
            <w:webHidden/>
          </w:rPr>
          <w:fldChar w:fldCharType="begin"/>
        </w:r>
        <w:r w:rsidR="00183CC8">
          <w:rPr>
            <w:webHidden/>
          </w:rPr>
          <w:instrText xml:space="preserve"> PAGEREF _Toc90216808 \h </w:instrText>
        </w:r>
        <w:r w:rsidR="00183CC8">
          <w:rPr>
            <w:webHidden/>
          </w:rPr>
        </w:r>
        <w:r w:rsidR="00183CC8">
          <w:rPr>
            <w:webHidden/>
          </w:rPr>
          <w:fldChar w:fldCharType="separate"/>
        </w:r>
        <w:r w:rsidR="00183CC8">
          <w:rPr>
            <w:webHidden/>
          </w:rPr>
          <w:t>46</w:t>
        </w:r>
        <w:r w:rsidR="00183CC8">
          <w:rPr>
            <w:webHidden/>
          </w:rPr>
          <w:fldChar w:fldCharType="end"/>
        </w:r>
      </w:hyperlink>
    </w:p>
    <w:p w14:paraId="20CD9997" w14:textId="355A725F" w:rsidR="00183CC8" w:rsidRDefault="003373BF">
      <w:pPr>
        <w:pStyle w:val="TOC3"/>
        <w:tabs>
          <w:tab w:val="left" w:pos="1540"/>
        </w:tabs>
        <w:rPr>
          <w:rFonts w:eastAsiaTheme="minorEastAsia" w:cstheme="minorBidi"/>
          <w:noProof/>
          <w:szCs w:val="24"/>
          <w:lang w:eastAsia="en-GB"/>
        </w:rPr>
      </w:pPr>
      <w:hyperlink w:anchor="_Toc90216809" w:history="1">
        <w:r w:rsidR="00183CC8" w:rsidRPr="00BA3362">
          <w:rPr>
            <w:rStyle w:val="Hyperlink"/>
            <w:noProof/>
          </w:rPr>
          <w:t>2.16.1</w:t>
        </w:r>
        <w:r w:rsidR="00183CC8">
          <w:rPr>
            <w:rFonts w:eastAsiaTheme="minorEastAsia" w:cstheme="minorBidi"/>
            <w:noProof/>
            <w:szCs w:val="24"/>
            <w:lang w:eastAsia="en-GB"/>
          </w:rPr>
          <w:tab/>
        </w:r>
        <w:r w:rsidR="00183CC8" w:rsidRPr="00BA3362">
          <w:rPr>
            <w:rStyle w:val="Hyperlink"/>
            <w:noProof/>
          </w:rPr>
          <w:t>Bacteriophage.</w:t>
        </w:r>
        <w:r w:rsidR="00183CC8">
          <w:rPr>
            <w:noProof/>
            <w:webHidden/>
          </w:rPr>
          <w:tab/>
        </w:r>
        <w:r w:rsidR="00183CC8">
          <w:rPr>
            <w:noProof/>
            <w:webHidden/>
          </w:rPr>
          <w:fldChar w:fldCharType="begin"/>
        </w:r>
        <w:r w:rsidR="00183CC8">
          <w:rPr>
            <w:noProof/>
            <w:webHidden/>
          </w:rPr>
          <w:instrText xml:space="preserve"> PAGEREF _Toc90216809 \h </w:instrText>
        </w:r>
        <w:r w:rsidR="00183CC8">
          <w:rPr>
            <w:noProof/>
            <w:webHidden/>
          </w:rPr>
        </w:r>
        <w:r w:rsidR="00183CC8">
          <w:rPr>
            <w:noProof/>
            <w:webHidden/>
          </w:rPr>
          <w:fldChar w:fldCharType="separate"/>
        </w:r>
        <w:r w:rsidR="00183CC8">
          <w:rPr>
            <w:noProof/>
            <w:webHidden/>
          </w:rPr>
          <w:t>46</w:t>
        </w:r>
        <w:r w:rsidR="00183CC8">
          <w:rPr>
            <w:noProof/>
            <w:webHidden/>
          </w:rPr>
          <w:fldChar w:fldCharType="end"/>
        </w:r>
      </w:hyperlink>
    </w:p>
    <w:p w14:paraId="0A89FC4B" w14:textId="6CA36E16" w:rsidR="00183CC8" w:rsidRDefault="003373BF">
      <w:pPr>
        <w:pStyle w:val="TOC3"/>
        <w:tabs>
          <w:tab w:val="left" w:pos="1540"/>
        </w:tabs>
        <w:rPr>
          <w:rFonts w:eastAsiaTheme="minorEastAsia" w:cstheme="minorBidi"/>
          <w:noProof/>
          <w:szCs w:val="24"/>
          <w:lang w:eastAsia="en-GB"/>
        </w:rPr>
      </w:pPr>
      <w:hyperlink w:anchor="_Toc90216810" w:history="1">
        <w:r w:rsidR="00183CC8" w:rsidRPr="00BA3362">
          <w:rPr>
            <w:rStyle w:val="Hyperlink"/>
            <w:noProof/>
          </w:rPr>
          <w:t>2.16.2</w:t>
        </w:r>
        <w:r w:rsidR="00183CC8">
          <w:rPr>
            <w:rFonts w:eastAsiaTheme="minorEastAsia" w:cstheme="minorBidi"/>
            <w:noProof/>
            <w:szCs w:val="24"/>
            <w:lang w:eastAsia="en-GB"/>
          </w:rPr>
          <w:tab/>
        </w:r>
        <w:r w:rsidR="00183CC8" w:rsidRPr="00BA3362">
          <w:rPr>
            <w:rStyle w:val="Hyperlink"/>
            <w:noProof/>
          </w:rPr>
          <w:t>Preparation of phage lysate.</w:t>
        </w:r>
        <w:r w:rsidR="00183CC8">
          <w:rPr>
            <w:noProof/>
            <w:webHidden/>
          </w:rPr>
          <w:tab/>
        </w:r>
        <w:r w:rsidR="00183CC8">
          <w:rPr>
            <w:noProof/>
            <w:webHidden/>
          </w:rPr>
          <w:fldChar w:fldCharType="begin"/>
        </w:r>
        <w:r w:rsidR="00183CC8">
          <w:rPr>
            <w:noProof/>
            <w:webHidden/>
          </w:rPr>
          <w:instrText xml:space="preserve"> PAGEREF _Toc90216810 \h </w:instrText>
        </w:r>
        <w:r w:rsidR="00183CC8">
          <w:rPr>
            <w:noProof/>
            <w:webHidden/>
          </w:rPr>
        </w:r>
        <w:r w:rsidR="00183CC8">
          <w:rPr>
            <w:noProof/>
            <w:webHidden/>
          </w:rPr>
          <w:fldChar w:fldCharType="separate"/>
        </w:r>
        <w:r w:rsidR="00183CC8">
          <w:rPr>
            <w:noProof/>
            <w:webHidden/>
          </w:rPr>
          <w:t>47</w:t>
        </w:r>
        <w:r w:rsidR="00183CC8">
          <w:rPr>
            <w:noProof/>
            <w:webHidden/>
          </w:rPr>
          <w:fldChar w:fldCharType="end"/>
        </w:r>
      </w:hyperlink>
    </w:p>
    <w:p w14:paraId="6AA072D4" w14:textId="6B61A8D6" w:rsidR="00183CC8" w:rsidRDefault="003373BF">
      <w:pPr>
        <w:pStyle w:val="TOC3"/>
        <w:tabs>
          <w:tab w:val="left" w:pos="1540"/>
        </w:tabs>
        <w:rPr>
          <w:rFonts w:eastAsiaTheme="minorEastAsia" w:cstheme="minorBidi"/>
          <w:noProof/>
          <w:szCs w:val="24"/>
          <w:lang w:eastAsia="en-GB"/>
        </w:rPr>
      </w:pPr>
      <w:hyperlink w:anchor="_Toc90216811" w:history="1">
        <w:r w:rsidR="00183CC8" w:rsidRPr="00BA3362">
          <w:rPr>
            <w:rStyle w:val="Hyperlink"/>
            <w:noProof/>
          </w:rPr>
          <w:t>2.16.3</w:t>
        </w:r>
        <w:r w:rsidR="00183CC8">
          <w:rPr>
            <w:rFonts w:eastAsiaTheme="minorEastAsia" w:cstheme="minorBidi"/>
            <w:noProof/>
            <w:szCs w:val="24"/>
            <w:lang w:eastAsia="en-GB"/>
          </w:rPr>
          <w:tab/>
        </w:r>
        <w:r w:rsidR="00183CC8" w:rsidRPr="00BA3362">
          <w:rPr>
            <w:rStyle w:val="Hyperlink"/>
            <w:noProof/>
          </w:rPr>
          <w:t>Phage transduction.</w:t>
        </w:r>
        <w:r w:rsidR="00183CC8">
          <w:rPr>
            <w:noProof/>
            <w:webHidden/>
          </w:rPr>
          <w:tab/>
        </w:r>
        <w:r w:rsidR="00183CC8">
          <w:rPr>
            <w:noProof/>
            <w:webHidden/>
          </w:rPr>
          <w:fldChar w:fldCharType="begin"/>
        </w:r>
        <w:r w:rsidR="00183CC8">
          <w:rPr>
            <w:noProof/>
            <w:webHidden/>
          </w:rPr>
          <w:instrText xml:space="preserve"> PAGEREF _Toc90216811 \h </w:instrText>
        </w:r>
        <w:r w:rsidR="00183CC8">
          <w:rPr>
            <w:noProof/>
            <w:webHidden/>
          </w:rPr>
        </w:r>
        <w:r w:rsidR="00183CC8">
          <w:rPr>
            <w:noProof/>
            <w:webHidden/>
          </w:rPr>
          <w:fldChar w:fldCharType="separate"/>
        </w:r>
        <w:r w:rsidR="00183CC8">
          <w:rPr>
            <w:noProof/>
            <w:webHidden/>
          </w:rPr>
          <w:t>47</w:t>
        </w:r>
        <w:r w:rsidR="00183CC8">
          <w:rPr>
            <w:noProof/>
            <w:webHidden/>
          </w:rPr>
          <w:fldChar w:fldCharType="end"/>
        </w:r>
      </w:hyperlink>
    </w:p>
    <w:p w14:paraId="286227F4" w14:textId="69BD69FB" w:rsidR="00183CC8" w:rsidRDefault="003373BF">
      <w:pPr>
        <w:pStyle w:val="TOC2"/>
        <w:tabs>
          <w:tab w:val="left" w:pos="958"/>
        </w:tabs>
        <w:rPr>
          <w:rFonts w:eastAsiaTheme="minorEastAsia" w:cstheme="minorBidi"/>
          <w:szCs w:val="24"/>
          <w:lang w:eastAsia="en-GB"/>
        </w:rPr>
      </w:pPr>
      <w:hyperlink w:anchor="_Toc90216812" w:history="1">
        <w:r w:rsidR="00183CC8" w:rsidRPr="00BA3362">
          <w:rPr>
            <w:rStyle w:val="Hyperlink"/>
          </w:rPr>
          <w:t>2.17</w:t>
        </w:r>
        <w:r w:rsidR="00183CC8">
          <w:rPr>
            <w:rFonts w:eastAsiaTheme="minorEastAsia" w:cstheme="minorBidi"/>
            <w:szCs w:val="24"/>
            <w:lang w:eastAsia="en-GB"/>
          </w:rPr>
          <w:tab/>
        </w:r>
        <w:r w:rsidR="00183CC8" w:rsidRPr="00BA3362">
          <w:rPr>
            <w:rStyle w:val="Hyperlink"/>
          </w:rPr>
          <w:t>DNA techniques.</w:t>
        </w:r>
        <w:r w:rsidR="00183CC8">
          <w:rPr>
            <w:webHidden/>
          </w:rPr>
          <w:tab/>
        </w:r>
        <w:r w:rsidR="00183CC8">
          <w:rPr>
            <w:webHidden/>
          </w:rPr>
          <w:fldChar w:fldCharType="begin"/>
        </w:r>
        <w:r w:rsidR="00183CC8">
          <w:rPr>
            <w:webHidden/>
          </w:rPr>
          <w:instrText xml:space="preserve"> PAGEREF _Toc90216812 \h </w:instrText>
        </w:r>
        <w:r w:rsidR="00183CC8">
          <w:rPr>
            <w:webHidden/>
          </w:rPr>
        </w:r>
        <w:r w:rsidR="00183CC8">
          <w:rPr>
            <w:webHidden/>
          </w:rPr>
          <w:fldChar w:fldCharType="separate"/>
        </w:r>
        <w:r w:rsidR="00183CC8">
          <w:rPr>
            <w:webHidden/>
          </w:rPr>
          <w:t>47</w:t>
        </w:r>
        <w:r w:rsidR="00183CC8">
          <w:rPr>
            <w:webHidden/>
          </w:rPr>
          <w:fldChar w:fldCharType="end"/>
        </w:r>
      </w:hyperlink>
    </w:p>
    <w:p w14:paraId="58A3758F" w14:textId="5F10F5B1" w:rsidR="00183CC8" w:rsidRDefault="003373BF">
      <w:pPr>
        <w:pStyle w:val="TOC3"/>
        <w:tabs>
          <w:tab w:val="left" w:pos="1540"/>
        </w:tabs>
        <w:rPr>
          <w:rFonts w:eastAsiaTheme="minorEastAsia" w:cstheme="minorBidi"/>
          <w:noProof/>
          <w:szCs w:val="24"/>
          <w:lang w:eastAsia="en-GB"/>
        </w:rPr>
      </w:pPr>
      <w:hyperlink w:anchor="_Toc90216813" w:history="1">
        <w:r w:rsidR="00183CC8" w:rsidRPr="00BA3362">
          <w:rPr>
            <w:rStyle w:val="Hyperlink"/>
            <w:noProof/>
          </w:rPr>
          <w:t>2.17.1</w:t>
        </w:r>
        <w:r w:rsidR="00183CC8">
          <w:rPr>
            <w:rFonts w:eastAsiaTheme="minorEastAsia" w:cstheme="minorBidi"/>
            <w:noProof/>
            <w:szCs w:val="24"/>
            <w:lang w:eastAsia="en-GB"/>
          </w:rPr>
          <w:tab/>
        </w:r>
        <w:r w:rsidR="00183CC8" w:rsidRPr="00BA3362">
          <w:rPr>
            <w:rStyle w:val="Hyperlink"/>
            <w:noProof/>
          </w:rPr>
          <w:t>Genomic DNA extraction.</w:t>
        </w:r>
        <w:r w:rsidR="00183CC8">
          <w:rPr>
            <w:noProof/>
            <w:webHidden/>
          </w:rPr>
          <w:tab/>
        </w:r>
        <w:r w:rsidR="00183CC8">
          <w:rPr>
            <w:noProof/>
            <w:webHidden/>
          </w:rPr>
          <w:fldChar w:fldCharType="begin"/>
        </w:r>
        <w:r w:rsidR="00183CC8">
          <w:rPr>
            <w:noProof/>
            <w:webHidden/>
          </w:rPr>
          <w:instrText xml:space="preserve"> PAGEREF _Toc90216813 \h </w:instrText>
        </w:r>
        <w:r w:rsidR="00183CC8">
          <w:rPr>
            <w:noProof/>
            <w:webHidden/>
          </w:rPr>
        </w:r>
        <w:r w:rsidR="00183CC8">
          <w:rPr>
            <w:noProof/>
            <w:webHidden/>
          </w:rPr>
          <w:fldChar w:fldCharType="separate"/>
        </w:r>
        <w:r w:rsidR="00183CC8">
          <w:rPr>
            <w:noProof/>
            <w:webHidden/>
          </w:rPr>
          <w:t>47</w:t>
        </w:r>
        <w:r w:rsidR="00183CC8">
          <w:rPr>
            <w:noProof/>
            <w:webHidden/>
          </w:rPr>
          <w:fldChar w:fldCharType="end"/>
        </w:r>
      </w:hyperlink>
    </w:p>
    <w:p w14:paraId="11E1D874" w14:textId="195CA8E7" w:rsidR="00183CC8" w:rsidRDefault="003373BF">
      <w:pPr>
        <w:pStyle w:val="TOC3"/>
        <w:tabs>
          <w:tab w:val="left" w:pos="1540"/>
        </w:tabs>
        <w:rPr>
          <w:rFonts w:eastAsiaTheme="minorEastAsia" w:cstheme="minorBidi"/>
          <w:noProof/>
          <w:szCs w:val="24"/>
          <w:lang w:eastAsia="en-GB"/>
        </w:rPr>
      </w:pPr>
      <w:hyperlink w:anchor="_Toc90216814" w:history="1">
        <w:r w:rsidR="00183CC8" w:rsidRPr="00BA3362">
          <w:rPr>
            <w:rStyle w:val="Hyperlink"/>
            <w:noProof/>
          </w:rPr>
          <w:t>2.17.2</w:t>
        </w:r>
        <w:r w:rsidR="00183CC8">
          <w:rPr>
            <w:rFonts w:eastAsiaTheme="minorEastAsia" w:cstheme="minorBidi"/>
            <w:noProof/>
            <w:szCs w:val="24"/>
            <w:lang w:eastAsia="en-GB"/>
          </w:rPr>
          <w:tab/>
        </w:r>
        <w:r w:rsidR="00183CC8" w:rsidRPr="00BA3362">
          <w:rPr>
            <w:rStyle w:val="Hyperlink"/>
            <w:noProof/>
          </w:rPr>
          <w:t>Primer design.</w:t>
        </w:r>
        <w:r w:rsidR="00183CC8">
          <w:rPr>
            <w:noProof/>
            <w:webHidden/>
          </w:rPr>
          <w:tab/>
        </w:r>
        <w:r w:rsidR="00183CC8">
          <w:rPr>
            <w:noProof/>
            <w:webHidden/>
          </w:rPr>
          <w:fldChar w:fldCharType="begin"/>
        </w:r>
        <w:r w:rsidR="00183CC8">
          <w:rPr>
            <w:noProof/>
            <w:webHidden/>
          </w:rPr>
          <w:instrText xml:space="preserve"> PAGEREF _Toc90216814 \h </w:instrText>
        </w:r>
        <w:r w:rsidR="00183CC8">
          <w:rPr>
            <w:noProof/>
            <w:webHidden/>
          </w:rPr>
        </w:r>
        <w:r w:rsidR="00183CC8">
          <w:rPr>
            <w:noProof/>
            <w:webHidden/>
          </w:rPr>
          <w:fldChar w:fldCharType="separate"/>
        </w:r>
        <w:r w:rsidR="00183CC8">
          <w:rPr>
            <w:noProof/>
            <w:webHidden/>
          </w:rPr>
          <w:t>48</w:t>
        </w:r>
        <w:r w:rsidR="00183CC8">
          <w:rPr>
            <w:noProof/>
            <w:webHidden/>
          </w:rPr>
          <w:fldChar w:fldCharType="end"/>
        </w:r>
      </w:hyperlink>
    </w:p>
    <w:p w14:paraId="20398407" w14:textId="7F136C44" w:rsidR="00183CC8" w:rsidRDefault="003373BF">
      <w:pPr>
        <w:pStyle w:val="TOC3"/>
        <w:tabs>
          <w:tab w:val="left" w:pos="1540"/>
        </w:tabs>
        <w:rPr>
          <w:rFonts w:eastAsiaTheme="minorEastAsia" w:cstheme="minorBidi"/>
          <w:noProof/>
          <w:szCs w:val="24"/>
          <w:lang w:eastAsia="en-GB"/>
        </w:rPr>
      </w:pPr>
      <w:hyperlink w:anchor="_Toc90216815" w:history="1">
        <w:r w:rsidR="00183CC8" w:rsidRPr="00BA3362">
          <w:rPr>
            <w:rStyle w:val="Hyperlink"/>
            <w:noProof/>
          </w:rPr>
          <w:t>2.17.3</w:t>
        </w:r>
        <w:r w:rsidR="00183CC8">
          <w:rPr>
            <w:rFonts w:eastAsiaTheme="minorEastAsia" w:cstheme="minorBidi"/>
            <w:noProof/>
            <w:szCs w:val="24"/>
            <w:lang w:eastAsia="en-GB"/>
          </w:rPr>
          <w:tab/>
        </w:r>
        <w:r w:rsidR="00183CC8" w:rsidRPr="00BA3362">
          <w:rPr>
            <w:rStyle w:val="Hyperlink"/>
            <w:noProof/>
          </w:rPr>
          <w:t>Phusion polymerase – PCR amplification.</w:t>
        </w:r>
        <w:r w:rsidR="00183CC8">
          <w:rPr>
            <w:noProof/>
            <w:webHidden/>
          </w:rPr>
          <w:tab/>
        </w:r>
        <w:r w:rsidR="00183CC8">
          <w:rPr>
            <w:noProof/>
            <w:webHidden/>
          </w:rPr>
          <w:fldChar w:fldCharType="begin"/>
        </w:r>
        <w:r w:rsidR="00183CC8">
          <w:rPr>
            <w:noProof/>
            <w:webHidden/>
          </w:rPr>
          <w:instrText xml:space="preserve"> PAGEREF _Toc90216815 \h </w:instrText>
        </w:r>
        <w:r w:rsidR="00183CC8">
          <w:rPr>
            <w:noProof/>
            <w:webHidden/>
          </w:rPr>
        </w:r>
        <w:r w:rsidR="00183CC8">
          <w:rPr>
            <w:noProof/>
            <w:webHidden/>
          </w:rPr>
          <w:fldChar w:fldCharType="separate"/>
        </w:r>
        <w:r w:rsidR="00183CC8">
          <w:rPr>
            <w:noProof/>
            <w:webHidden/>
          </w:rPr>
          <w:t>48</w:t>
        </w:r>
        <w:r w:rsidR="00183CC8">
          <w:rPr>
            <w:noProof/>
            <w:webHidden/>
          </w:rPr>
          <w:fldChar w:fldCharType="end"/>
        </w:r>
      </w:hyperlink>
    </w:p>
    <w:p w14:paraId="598AC89F" w14:textId="3CFA4A7E" w:rsidR="00183CC8" w:rsidRDefault="003373BF">
      <w:pPr>
        <w:pStyle w:val="TOC3"/>
        <w:tabs>
          <w:tab w:val="left" w:pos="1540"/>
        </w:tabs>
        <w:rPr>
          <w:rFonts w:eastAsiaTheme="minorEastAsia" w:cstheme="minorBidi"/>
          <w:noProof/>
          <w:szCs w:val="24"/>
          <w:lang w:eastAsia="en-GB"/>
        </w:rPr>
      </w:pPr>
      <w:hyperlink w:anchor="_Toc90216816" w:history="1">
        <w:r w:rsidR="00183CC8" w:rsidRPr="00BA3362">
          <w:rPr>
            <w:rStyle w:val="Hyperlink"/>
            <w:noProof/>
          </w:rPr>
          <w:t>2.17.4</w:t>
        </w:r>
        <w:r w:rsidR="00183CC8">
          <w:rPr>
            <w:rFonts w:eastAsiaTheme="minorEastAsia" w:cstheme="minorBidi"/>
            <w:noProof/>
            <w:szCs w:val="24"/>
            <w:lang w:eastAsia="en-GB"/>
          </w:rPr>
          <w:tab/>
        </w:r>
        <w:r w:rsidR="00183CC8" w:rsidRPr="00BA3362">
          <w:rPr>
            <w:rStyle w:val="Hyperlink"/>
            <w:noProof/>
          </w:rPr>
          <w:t>Agarose gel electrophoresis.</w:t>
        </w:r>
        <w:r w:rsidR="00183CC8">
          <w:rPr>
            <w:noProof/>
            <w:webHidden/>
          </w:rPr>
          <w:tab/>
        </w:r>
        <w:r w:rsidR="00183CC8">
          <w:rPr>
            <w:noProof/>
            <w:webHidden/>
          </w:rPr>
          <w:fldChar w:fldCharType="begin"/>
        </w:r>
        <w:r w:rsidR="00183CC8">
          <w:rPr>
            <w:noProof/>
            <w:webHidden/>
          </w:rPr>
          <w:instrText xml:space="preserve"> PAGEREF _Toc90216816 \h </w:instrText>
        </w:r>
        <w:r w:rsidR="00183CC8">
          <w:rPr>
            <w:noProof/>
            <w:webHidden/>
          </w:rPr>
        </w:r>
        <w:r w:rsidR="00183CC8">
          <w:rPr>
            <w:noProof/>
            <w:webHidden/>
          </w:rPr>
          <w:fldChar w:fldCharType="separate"/>
        </w:r>
        <w:r w:rsidR="00183CC8">
          <w:rPr>
            <w:noProof/>
            <w:webHidden/>
          </w:rPr>
          <w:t>49</w:t>
        </w:r>
        <w:r w:rsidR="00183CC8">
          <w:rPr>
            <w:noProof/>
            <w:webHidden/>
          </w:rPr>
          <w:fldChar w:fldCharType="end"/>
        </w:r>
      </w:hyperlink>
    </w:p>
    <w:p w14:paraId="3C3F71ED" w14:textId="69B14F41" w:rsidR="00183CC8" w:rsidRDefault="003373BF">
      <w:pPr>
        <w:pStyle w:val="TOC2"/>
        <w:tabs>
          <w:tab w:val="left" w:pos="958"/>
        </w:tabs>
        <w:rPr>
          <w:rFonts w:eastAsiaTheme="minorEastAsia" w:cstheme="minorBidi"/>
          <w:szCs w:val="24"/>
          <w:lang w:eastAsia="en-GB"/>
        </w:rPr>
      </w:pPr>
      <w:hyperlink w:anchor="_Toc90216817" w:history="1">
        <w:r w:rsidR="00183CC8" w:rsidRPr="00BA3362">
          <w:rPr>
            <w:rStyle w:val="Hyperlink"/>
          </w:rPr>
          <w:t>2.18</w:t>
        </w:r>
        <w:r w:rsidR="00183CC8">
          <w:rPr>
            <w:rFonts w:eastAsiaTheme="minorEastAsia" w:cstheme="minorBidi"/>
            <w:szCs w:val="24"/>
            <w:lang w:eastAsia="en-GB"/>
          </w:rPr>
          <w:tab/>
        </w:r>
        <w:r w:rsidR="00183CC8" w:rsidRPr="00BA3362">
          <w:rPr>
            <w:rStyle w:val="Hyperlink"/>
          </w:rPr>
          <w:t>Super resolution light microscopy.</w:t>
        </w:r>
        <w:r w:rsidR="00183CC8">
          <w:rPr>
            <w:webHidden/>
          </w:rPr>
          <w:tab/>
        </w:r>
        <w:r w:rsidR="00183CC8">
          <w:rPr>
            <w:webHidden/>
          </w:rPr>
          <w:fldChar w:fldCharType="begin"/>
        </w:r>
        <w:r w:rsidR="00183CC8">
          <w:rPr>
            <w:webHidden/>
          </w:rPr>
          <w:instrText xml:space="preserve"> PAGEREF _Toc90216817 \h </w:instrText>
        </w:r>
        <w:r w:rsidR="00183CC8">
          <w:rPr>
            <w:webHidden/>
          </w:rPr>
        </w:r>
        <w:r w:rsidR="00183CC8">
          <w:rPr>
            <w:webHidden/>
          </w:rPr>
          <w:fldChar w:fldCharType="separate"/>
        </w:r>
        <w:r w:rsidR="00183CC8">
          <w:rPr>
            <w:webHidden/>
          </w:rPr>
          <w:t>50</w:t>
        </w:r>
        <w:r w:rsidR="00183CC8">
          <w:rPr>
            <w:webHidden/>
          </w:rPr>
          <w:fldChar w:fldCharType="end"/>
        </w:r>
      </w:hyperlink>
    </w:p>
    <w:p w14:paraId="690255BB" w14:textId="0E7463EA" w:rsidR="00183CC8" w:rsidRDefault="003373BF">
      <w:pPr>
        <w:pStyle w:val="TOC3"/>
        <w:tabs>
          <w:tab w:val="left" w:pos="1540"/>
        </w:tabs>
        <w:rPr>
          <w:rFonts w:eastAsiaTheme="minorEastAsia" w:cstheme="minorBidi"/>
          <w:noProof/>
          <w:szCs w:val="24"/>
          <w:lang w:eastAsia="en-GB"/>
        </w:rPr>
      </w:pPr>
      <w:hyperlink w:anchor="_Toc90216818" w:history="1">
        <w:r w:rsidR="00183CC8" w:rsidRPr="00BA3362">
          <w:rPr>
            <w:rStyle w:val="Hyperlink"/>
            <w:noProof/>
          </w:rPr>
          <w:t>2.18.1</w:t>
        </w:r>
        <w:r w:rsidR="00183CC8">
          <w:rPr>
            <w:rFonts w:eastAsiaTheme="minorEastAsia" w:cstheme="minorBidi"/>
            <w:noProof/>
            <w:szCs w:val="24"/>
            <w:lang w:eastAsia="en-GB"/>
          </w:rPr>
          <w:tab/>
        </w:r>
        <w:r w:rsidR="00183CC8" w:rsidRPr="00BA3362">
          <w:rPr>
            <w:rStyle w:val="Hyperlink"/>
            <w:noProof/>
          </w:rPr>
          <w:t>Coverslip preparation.</w:t>
        </w:r>
        <w:r w:rsidR="00183CC8">
          <w:rPr>
            <w:noProof/>
            <w:webHidden/>
          </w:rPr>
          <w:tab/>
        </w:r>
        <w:r w:rsidR="00183CC8">
          <w:rPr>
            <w:noProof/>
            <w:webHidden/>
          </w:rPr>
          <w:fldChar w:fldCharType="begin"/>
        </w:r>
        <w:r w:rsidR="00183CC8">
          <w:rPr>
            <w:noProof/>
            <w:webHidden/>
          </w:rPr>
          <w:instrText xml:space="preserve"> PAGEREF _Toc90216818 \h </w:instrText>
        </w:r>
        <w:r w:rsidR="00183CC8">
          <w:rPr>
            <w:noProof/>
            <w:webHidden/>
          </w:rPr>
        </w:r>
        <w:r w:rsidR="00183CC8">
          <w:rPr>
            <w:noProof/>
            <w:webHidden/>
          </w:rPr>
          <w:fldChar w:fldCharType="separate"/>
        </w:r>
        <w:r w:rsidR="00183CC8">
          <w:rPr>
            <w:noProof/>
            <w:webHidden/>
          </w:rPr>
          <w:t>50</w:t>
        </w:r>
        <w:r w:rsidR="00183CC8">
          <w:rPr>
            <w:noProof/>
            <w:webHidden/>
          </w:rPr>
          <w:fldChar w:fldCharType="end"/>
        </w:r>
      </w:hyperlink>
    </w:p>
    <w:p w14:paraId="199FCF76" w14:textId="0EA2C8CC" w:rsidR="00183CC8" w:rsidRDefault="003373BF">
      <w:pPr>
        <w:pStyle w:val="TOC3"/>
        <w:tabs>
          <w:tab w:val="left" w:pos="1540"/>
        </w:tabs>
        <w:rPr>
          <w:rFonts w:eastAsiaTheme="minorEastAsia" w:cstheme="minorBidi"/>
          <w:noProof/>
          <w:szCs w:val="24"/>
          <w:lang w:eastAsia="en-GB"/>
        </w:rPr>
      </w:pPr>
      <w:hyperlink w:anchor="_Toc90216819" w:history="1">
        <w:r w:rsidR="00183CC8" w:rsidRPr="00BA3362">
          <w:rPr>
            <w:rStyle w:val="Hyperlink"/>
            <w:noProof/>
          </w:rPr>
          <w:t>2.18.2</w:t>
        </w:r>
        <w:r w:rsidR="00183CC8">
          <w:rPr>
            <w:rFonts w:eastAsiaTheme="minorEastAsia" w:cstheme="minorBidi"/>
            <w:noProof/>
            <w:szCs w:val="24"/>
            <w:lang w:eastAsia="en-GB"/>
          </w:rPr>
          <w:tab/>
        </w:r>
        <w:r w:rsidR="00183CC8" w:rsidRPr="00BA3362">
          <w:rPr>
            <w:rStyle w:val="Hyperlink"/>
            <w:noProof/>
          </w:rPr>
          <w:t>Sample preparation for structured Illumination microscopy (SIM).</w:t>
        </w:r>
        <w:r w:rsidR="00183CC8">
          <w:rPr>
            <w:noProof/>
            <w:webHidden/>
          </w:rPr>
          <w:tab/>
        </w:r>
        <w:r w:rsidR="00183CC8">
          <w:rPr>
            <w:noProof/>
            <w:webHidden/>
          </w:rPr>
          <w:fldChar w:fldCharType="begin"/>
        </w:r>
        <w:r w:rsidR="00183CC8">
          <w:rPr>
            <w:noProof/>
            <w:webHidden/>
          </w:rPr>
          <w:instrText xml:space="preserve"> PAGEREF _Toc90216819 \h </w:instrText>
        </w:r>
        <w:r w:rsidR="00183CC8">
          <w:rPr>
            <w:noProof/>
            <w:webHidden/>
          </w:rPr>
        </w:r>
        <w:r w:rsidR="00183CC8">
          <w:rPr>
            <w:noProof/>
            <w:webHidden/>
          </w:rPr>
          <w:fldChar w:fldCharType="separate"/>
        </w:r>
        <w:r w:rsidR="00183CC8">
          <w:rPr>
            <w:noProof/>
            <w:webHidden/>
          </w:rPr>
          <w:t>50</w:t>
        </w:r>
        <w:r w:rsidR="00183CC8">
          <w:rPr>
            <w:noProof/>
            <w:webHidden/>
          </w:rPr>
          <w:fldChar w:fldCharType="end"/>
        </w:r>
      </w:hyperlink>
    </w:p>
    <w:p w14:paraId="22E6A441" w14:textId="03A093B4" w:rsidR="00183CC8" w:rsidRDefault="003373BF">
      <w:pPr>
        <w:pStyle w:val="TOC4"/>
        <w:rPr>
          <w:rFonts w:eastAsiaTheme="minorEastAsia" w:cstheme="minorBidi"/>
          <w:noProof/>
          <w:szCs w:val="24"/>
          <w:lang w:eastAsia="en-GB"/>
        </w:rPr>
      </w:pPr>
      <w:hyperlink w:anchor="_Toc90216820" w:history="1">
        <w:r w:rsidR="00183CC8" w:rsidRPr="00BA3362">
          <w:rPr>
            <w:rStyle w:val="Hyperlink"/>
            <w:noProof/>
          </w:rPr>
          <w:t>2.18.2.1</w:t>
        </w:r>
        <w:r w:rsidR="00183CC8">
          <w:rPr>
            <w:rFonts w:eastAsiaTheme="minorEastAsia" w:cstheme="minorBidi"/>
            <w:noProof/>
            <w:szCs w:val="24"/>
            <w:lang w:eastAsia="en-GB"/>
          </w:rPr>
          <w:tab/>
        </w:r>
        <w:r w:rsidR="00183CC8" w:rsidRPr="00BA3362">
          <w:rPr>
            <w:rStyle w:val="Hyperlink"/>
            <w:noProof/>
          </w:rPr>
          <w:t>Labelling the cell surface with NHS-ester.</w:t>
        </w:r>
        <w:r w:rsidR="00183CC8">
          <w:rPr>
            <w:noProof/>
            <w:webHidden/>
          </w:rPr>
          <w:tab/>
        </w:r>
        <w:r w:rsidR="00183CC8">
          <w:rPr>
            <w:noProof/>
            <w:webHidden/>
          </w:rPr>
          <w:fldChar w:fldCharType="begin"/>
        </w:r>
        <w:r w:rsidR="00183CC8">
          <w:rPr>
            <w:noProof/>
            <w:webHidden/>
          </w:rPr>
          <w:instrText xml:space="preserve"> PAGEREF _Toc90216820 \h </w:instrText>
        </w:r>
        <w:r w:rsidR="00183CC8">
          <w:rPr>
            <w:noProof/>
            <w:webHidden/>
          </w:rPr>
        </w:r>
        <w:r w:rsidR="00183CC8">
          <w:rPr>
            <w:noProof/>
            <w:webHidden/>
          </w:rPr>
          <w:fldChar w:fldCharType="separate"/>
        </w:r>
        <w:r w:rsidR="00183CC8">
          <w:rPr>
            <w:noProof/>
            <w:webHidden/>
          </w:rPr>
          <w:t>50</w:t>
        </w:r>
        <w:r w:rsidR="00183CC8">
          <w:rPr>
            <w:noProof/>
            <w:webHidden/>
          </w:rPr>
          <w:fldChar w:fldCharType="end"/>
        </w:r>
      </w:hyperlink>
    </w:p>
    <w:p w14:paraId="053828E9" w14:textId="51E329FC" w:rsidR="00183CC8" w:rsidRDefault="003373BF">
      <w:pPr>
        <w:pStyle w:val="TOC4"/>
        <w:rPr>
          <w:rFonts w:eastAsiaTheme="minorEastAsia" w:cstheme="minorBidi"/>
          <w:noProof/>
          <w:szCs w:val="24"/>
          <w:lang w:eastAsia="en-GB"/>
        </w:rPr>
      </w:pPr>
      <w:hyperlink w:anchor="_Toc90216821" w:history="1">
        <w:r w:rsidR="00183CC8" w:rsidRPr="00BA3362">
          <w:rPr>
            <w:rStyle w:val="Hyperlink"/>
            <w:noProof/>
          </w:rPr>
          <w:t>2.18.2.2</w:t>
        </w:r>
        <w:r w:rsidR="00183CC8">
          <w:rPr>
            <w:rFonts w:eastAsiaTheme="minorEastAsia" w:cstheme="minorBidi"/>
            <w:noProof/>
            <w:szCs w:val="24"/>
            <w:lang w:eastAsia="en-GB"/>
          </w:rPr>
          <w:tab/>
        </w:r>
        <w:r w:rsidR="00183CC8" w:rsidRPr="00BA3362">
          <w:rPr>
            <w:rStyle w:val="Hyperlink"/>
            <w:noProof/>
          </w:rPr>
          <w:t>Fixation.</w:t>
        </w:r>
        <w:r w:rsidR="00183CC8">
          <w:rPr>
            <w:noProof/>
            <w:webHidden/>
          </w:rPr>
          <w:tab/>
        </w:r>
        <w:r w:rsidR="00183CC8">
          <w:rPr>
            <w:noProof/>
            <w:webHidden/>
          </w:rPr>
          <w:fldChar w:fldCharType="begin"/>
        </w:r>
        <w:r w:rsidR="00183CC8">
          <w:rPr>
            <w:noProof/>
            <w:webHidden/>
          </w:rPr>
          <w:instrText xml:space="preserve"> PAGEREF _Toc90216821 \h </w:instrText>
        </w:r>
        <w:r w:rsidR="00183CC8">
          <w:rPr>
            <w:noProof/>
            <w:webHidden/>
          </w:rPr>
        </w:r>
        <w:r w:rsidR="00183CC8">
          <w:rPr>
            <w:noProof/>
            <w:webHidden/>
          </w:rPr>
          <w:fldChar w:fldCharType="separate"/>
        </w:r>
        <w:r w:rsidR="00183CC8">
          <w:rPr>
            <w:noProof/>
            <w:webHidden/>
          </w:rPr>
          <w:t>50</w:t>
        </w:r>
        <w:r w:rsidR="00183CC8">
          <w:rPr>
            <w:noProof/>
            <w:webHidden/>
          </w:rPr>
          <w:fldChar w:fldCharType="end"/>
        </w:r>
      </w:hyperlink>
    </w:p>
    <w:p w14:paraId="56861735" w14:textId="1A6C9705" w:rsidR="00183CC8" w:rsidRDefault="003373BF">
      <w:pPr>
        <w:pStyle w:val="TOC4"/>
        <w:rPr>
          <w:rFonts w:eastAsiaTheme="minorEastAsia" w:cstheme="minorBidi"/>
          <w:noProof/>
          <w:szCs w:val="24"/>
          <w:lang w:eastAsia="en-GB"/>
        </w:rPr>
      </w:pPr>
      <w:hyperlink w:anchor="_Toc90216822" w:history="1">
        <w:r w:rsidR="00183CC8" w:rsidRPr="00BA3362">
          <w:rPr>
            <w:rStyle w:val="Hyperlink"/>
            <w:noProof/>
          </w:rPr>
          <w:t>2.18.2.3</w:t>
        </w:r>
        <w:r w:rsidR="00183CC8">
          <w:rPr>
            <w:rFonts w:eastAsiaTheme="minorEastAsia" w:cstheme="minorBidi"/>
            <w:noProof/>
            <w:szCs w:val="24"/>
            <w:lang w:eastAsia="en-GB"/>
          </w:rPr>
          <w:tab/>
        </w:r>
        <w:r w:rsidR="00183CC8" w:rsidRPr="00BA3362">
          <w:rPr>
            <w:rStyle w:val="Hyperlink"/>
            <w:noProof/>
          </w:rPr>
          <w:t>Sample and microscope slide preparation.</w:t>
        </w:r>
        <w:r w:rsidR="00183CC8">
          <w:rPr>
            <w:noProof/>
            <w:webHidden/>
          </w:rPr>
          <w:tab/>
        </w:r>
        <w:r w:rsidR="00183CC8">
          <w:rPr>
            <w:noProof/>
            <w:webHidden/>
          </w:rPr>
          <w:fldChar w:fldCharType="begin"/>
        </w:r>
        <w:r w:rsidR="00183CC8">
          <w:rPr>
            <w:noProof/>
            <w:webHidden/>
          </w:rPr>
          <w:instrText xml:space="preserve"> PAGEREF _Toc90216822 \h </w:instrText>
        </w:r>
        <w:r w:rsidR="00183CC8">
          <w:rPr>
            <w:noProof/>
            <w:webHidden/>
          </w:rPr>
        </w:r>
        <w:r w:rsidR="00183CC8">
          <w:rPr>
            <w:noProof/>
            <w:webHidden/>
          </w:rPr>
          <w:fldChar w:fldCharType="separate"/>
        </w:r>
        <w:r w:rsidR="00183CC8">
          <w:rPr>
            <w:noProof/>
            <w:webHidden/>
          </w:rPr>
          <w:t>50</w:t>
        </w:r>
        <w:r w:rsidR="00183CC8">
          <w:rPr>
            <w:noProof/>
            <w:webHidden/>
          </w:rPr>
          <w:fldChar w:fldCharType="end"/>
        </w:r>
      </w:hyperlink>
    </w:p>
    <w:p w14:paraId="71353EAB" w14:textId="100E766C" w:rsidR="00183CC8" w:rsidRDefault="003373BF">
      <w:pPr>
        <w:pStyle w:val="TOC3"/>
        <w:tabs>
          <w:tab w:val="left" w:pos="1540"/>
        </w:tabs>
        <w:rPr>
          <w:rFonts w:eastAsiaTheme="minorEastAsia" w:cstheme="minorBidi"/>
          <w:noProof/>
          <w:szCs w:val="24"/>
          <w:lang w:eastAsia="en-GB"/>
        </w:rPr>
      </w:pPr>
      <w:hyperlink w:anchor="_Toc90216823" w:history="1">
        <w:r w:rsidR="00183CC8" w:rsidRPr="00BA3362">
          <w:rPr>
            <w:rStyle w:val="Hyperlink"/>
            <w:noProof/>
          </w:rPr>
          <w:t>2.18.3</w:t>
        </w:r>
        <w:r w:rsidR="00183CC8">
          <w:rPr>
            <w:rFonts w:eastAsiaTheme="minorEastAsia" w:cstheme="minorBidi"/>
            <w:noProof/>
            <w:szCs w:val="24"/>
            <w:lang w:eastAsia="en-GB"/>
          </w:rPr>
          <w:tab/>
        </w:r>
        <w:r w:rsidR="00183CC8" w:rsidRPr="00BA3362">
          <w:rPr>
            <w:rStyle w:val="Hyperlink"/>
            <w:noProof/>
          </w:rPr>
          <w:t>SIM microscopy.</w:t>
        </w:r>
        <w:r w:rsidR="00183CC8">
          <w:rPr>
            <w:noProof/>
            <w:webHidden/>
          </w:rPr>
          <w:tab/>
        </w:r>
        <w:r w:rsidR="00183CC8">
          <w:rPr>
            <w:noProof/>
            <w:webHidden/>
          </w:rPr>
          <w:fldChar w:fldCharType="begin"/>
        </w:r>
        <w:r w:rsidR="00183CC8">
          <w:rPr>
            <w:noProof/>
            <w:webHidden/>
          </w:rPr>
          <w:instrText xml:space="preserve"> PAGEREF _Toc90216823 \h </w:instrText>
        </w:r>
        <w:r w:rsidR="00183CC8">
          <w:rPr>
            <w:noProof/>
            <w:webHidden/>
          </w:rPr>
        </w:r>
        <w:r w:rsidR="00183CC8">
          <w:rPr>
            <w:noProof/>
            <w:webHidden/>
          </w:rPr>
          <w:fldChar w:fldCharType="separate"/>
        </w:r>
        <w:r w:rsidR="00183CC8">
          <w:rPr>
            <w:noProof/>
            <w:webHidden/>
          </w:rPr>
          <w:t>51</w:t>
        </w:r>
        <w:r w:rsidR="00183CC8">
          <w:rPr>
            <w:noProof/>
            <w:webHidden/>
          </w:rPr>
          <w:fldChar w:fldCharType="end"/>
        </w:r>
      </w:hyperlink>
    </w:p>
    <w:p w14:paraId="22B20DF9" w14:textId="4E2C9CB8" w:rsidR="00183CC8" w:rsidRDefault="003373BF">
      <w:pPr>
        <w:pStyle w:val="TOC3"/>
        <w:tabs>
          <w:tab w:val="left" w:pos="1540"/>
        </w:tabs>
        <w:rPr>
          <w:rFonts w:eastAsiaTheme="minorEastAsia" w:cstheme="minorBidi"/>
          <w:noProof/>
          <w:szCs w:val="24"/>
          <w:lang w:eastAsia="en-GB"/>
        </w:rPr>
      </w:pPr>
      <w:hyperlink w:anchor="_Toc90216824" w:history="1">
        <w:r w:rsidR="00183CC8" w:rsidRPr="00BA3362">
          <w:rPr>
            <w:rStyle w:val="Hyperlink"/>
            <w:noProof/>
          </w:rPr>
          <w:t>2.18.4</w:t>
        </w:r>
        <w:r w:rsidR="00183CC8">
          <w:rPr>
            <w:rFonts w:eastAsiaTheme="minorEastAsia" w:cstheme="minorBidi"/>
            <w:noProof/>
            <w:szCs w:val="24"/>
            <w:lang w:eastAsia="en-GB"/>
          </w:rPr>
          <w:tab/>
        </w:r>
        <w:r w:rsidR="00183CC8" w:rsidRPr="00BA3362">
          <w:rPr>
            <w:rStyle w:val="Hyperlink"/>
            <w:noProof/>
          </w:rPr>
          <w:t>SIM image processing.</w:t>
        </w:r>
        <w:r w:rsidR="00183CC8">
          <w:rPr>
            <w:noProof/>
            <w:webHidden/>
          </w:rPr>
          <w:tab/>
        </w:r>
        <w:r w:rsidR="00183CC8">
          <w:rPr>
            <w:noProof/>
            <w:webHidden/>
          </w:rPr>
          <w:fldChar w:fldCharType="begin"/>
        </w:r>
        <w:r w:rsidR="00183CC8">
          <w:rPr>
            <w:noProof/>
            <w:webHidden/>
          </w:rPr>
          <w:instrText xml:space="preserve"> PAGEREF _Toc90216824 \h </w:instrText>
        </w:r>
        <w:r w:rsidR="00183CC8">
          <w:rPr>
            <w:noProof/>
            <w:webHidden/>
          </w:rPr>
        </w:r>
        <w:r w:rsidR="00183CC8">
          <w:rPr>
            <w:noProof/>
            <w:webHidden/>
          </w:rPr>
          <w:fldChar w:fldCharType="separate"/>
        </w:r>
        <w:r w:rsidR="00183CC8">
          <w:rPr>
            <w:noProof/>
            <w:webHidden/>
          </w:rPr>
          <w:t>51</w:t>
        </w:r>
        <w:r w:rsidR="00183CC8">
          <w:rPr>
            <w:noProof/>
            <w:webHidden/>
          </w:rPr>
          <w:fldChar w:fldCharType="end"/>
        </w:r>
      </w:hyperlink>
    </w:p>
    <w:p w14:paraId="23CEDA02" w14:textId="671606F3" w:rsidR="00183CC8" w:rsidRDefault="003373BF">
      <w:pPr>
        <w:pStyle w:val="TOC3"/>
        <w:tabs>
          <w:tab w:val="left" w:pos="1540"/>
        </w:tabs>
        <w:rPr>
          <w:rFonts w:eastAsiaTheme="minorEastAsia" w:cstheme="minorBidi"/>
          <w:noProof/>
          <w:szCs w:val="24"/>
          <w:lang w:eastAsia="en-GB"/>
        </w:rPr>
      </w:pPr>
      <w:hyperlink w:anchor="_Toc90216825" w:history="1">
        <w:r w:rsidR="00183CC8" w:rsidRPr="00BA3362">
          <w:rPr>
            <w:rStyle w:val="Hyperlink"/>
            <w:noProof/>
          </w:rPr>
          <w:t>2.18.5</w:t>
        </w:r>
        <w:r w:rsidR="00183CC8">
          <w:rPr>
            <w:rFonts w:eastAsiaTheme="minorEastAsia" w:cstheme="minorBidi"/>
            <w:noProof/>
            <w:szCs w:val="24"/>
            <w:lang w:eastAsia="en-GB"/>
          </w:rPr>
          <w:tab/>
        </w:r>
        <w:r w:rsidR="00183CC8" w:rsidRPr="00BA3362">
          <w:rPr>
            <w:rStyle w:val="Hyperlink"/>
            <w:noProof/>
          </w:rPr>
          <w:t>Cell volume estimation.</w:t>
        </w:r>
        <w:r w:rsidR="00183CC8">
          <w:rPr>
            <w:noProof/>
            <w:webHidden/>
          </w:rPr>
          <w:tab/>
        </w:r>
        <w:r w:rsidR="00183CC8">
          <w:rPr>
            <w:noProof/>
            <w:webHidden/>
          </w:rPr>
          <w:fldChar w:fldCharType="begin"/>
        </w:r>
        <w:r w:rsidR="00183CC8">
          <w:rPr>
            <w:noProof/>
            <w:webHidden/>
          </w:rPr>
          <w:instrText xml:space="preserve"> PAGEREF _Toc90216825 \h </w:instrText>
        </w:r>
        <w:r w:rsidR="00183CC8">
          <w:rPr>
            <w:noProof/>
            <w:webHidden/>
          </w:rPr>
        </w:r>
        <w:r w:rsidR="00183CC8">
          <w:rPr>
            <w:noProof/>
            <w:webHidden/>
          </w:rPr>
          <w:fldChar w:fldCharType="separate"/>
        </w:r>
        <w:r w:rsidR="00183CC8">
          <w:rPr>
            <w:noProof/>
            <w:webHidden/>
          </w:rPr>
          <w:t>51</w:t>
        </w:r>
        <w:r w:rsidR="00183CC8">
          <w:rPr>
            <w:noProof/>
            <w:webHidden/>
          </w:rPr>
          <w:fldChar w:fldCharType="end"/>
        </w:r>
      </w:hyperlink>
    </w:p>
    <w:p w14:paraId="518E3C51" w14:textId="28952BB3" w:rsidR="00183CC8" w:rsidRDefault="003373BF">
      <w:pPr>
        <w:pStyle w:val="TOC2"/>
        <w:tabs>
          <w:tab w:val="left" w:pos="958"/>
        </w:tabs>
        <w:rPr>
          <w:rFonts w:eastAsiaTheme="minorEastAsia" w:cstheme="minorBidi"/>
          <w:szCs w:val="24"/>
          <w:lang w:eastAsia="en-GB"/>
        </w:rPr>
      </w:pPr>
      <w:hyperlink w:anchor="_Toc90216826" w:history="1">
        <w:r w:rsidR="00183CC8" w:rsidRPr="00BA3362">
          <w:rPr>
            <w:rStyle w:val="Hyperlink"/>
          </w:rPr>
          <w:t>2.19</w:t>
        </w:r>
        <w:r w:rsidR="00183CC8">
          <w:rPr>
            <w:rFonts w:eastAsiaTheme="minorEastAsia" w:cstheme="minorBidi"/>
            <w:szCs w:val="24"/>
            <w:lang w:eastAsia="en-GB"/>
          </w:rPr>
          <w:tab/>
        </w:r>
        <w:r w:rsidR="00183CC8" w:rsidRPr="00BA3362">
          <w:rPr>
            <w:rStyle w:val="Hyperlink"/>
          </w:rPr>
          <w:t>Scanning electron microscopy (SEM).</w:t>
        </w:r>
        <w:r w:rsidR="00183CC8">
          <w:rPr>
            <w:webHidden/>
          </w:rPr>
          <w:tab/>
        </w:r>
        <w:r w:rsidR="00183CC8">
          <w:rPr>
            <w:webHidden/>
          </w:rPr>
          <w:fldChar w:fldCharType="begin"/>
        </w:r>
        <w:r w:rsidR="00183CC8">
          <w:rPr>
            <w:webHidden/>
          </w:rPr>
          <w:instrText xml:space="preserve"> PAGEREF _Toc90216826 \h </w:instrText>
        </w:r>
        <w:r w:rsidR="00183CC8">
          <w:rPr>
            <w:webHidden/>
          </w:rPr>
        </w:r>
        <w:r w:rsidR="00183CC8">
          <w:rPr>
            <w:webHidden/>
          </w:rPr>
          <w:fldChar w:fldCharType="separate"/>
        </w:r>
        <w:r w:rsidR="00183CC8">
          <w:rPr>
            <w:webHidden/>
          </w:rPr>
          <w:t>52</w:t>
        </w:r>
        <w:r w:rsidR="00183CC8">
          <w:rPr>
            <w:webHidden/>
          </w:rPr>
          <w:fldChar w:fldCharType="end"/>
        </w:r>
      </w:hyperlink>
    </w:p>
    <w:p w14:paraId="58ACD51A" w14:textId="59C147EF" w:rsidR="00183CC8" w:rsidRDefault="003373BF">
      <w:pPr>
        <w:pStyle w:val="TOC3"/>
        <w:tabs>
          <w:tab w:val="left" w:pos="1540"/>
        </w:tabs>
        <w:rPr>
          <w:rFonts w:eastAsiaTheme="minorEastAsia" w:cstheme="minorBidi"/>
          <w:noProof/>
          <w:szCs w:val="24"/>
          <w:lang w:eastAsia="en-GB"/>
        </w:rPr>
      </w:pPr>
      <w:hyperlink w:anchor="_Toc90216827" w:history="1">
        <w:r w:rsidR="00183CC8" w:rsidRPr="00BA3362">
          <w:rPr>
            <w:rStyle w:val="Hyperlink"/>
            <w:noProof/>
          </w:rPr>
          <w:t>2.19.1</w:t>
        </w:r>
        <w:r w:rsidR="00183CC8">
          <w:rPr>
            <w:rFonts w:eastAsiaTheme="minorEastAsia" w:cstheme="minorBidi"/>
            <w:noProof/>
            <w:szCs w:val="24"/>
            <w:lang w:eastAsia="en-GB"/>
          </w:rPr>
          <w:tab/>
        </w:r>
        <w:r w:rsidR="00183CC8" w:rsidRPr="00BA3362">
          <w:rPr>
            <w:rStyle w:val="Hyperlink"/>
            <w:noProof/>
          </w:rPr>
          <w:t>Sample preparation for SEM.</w:t>
        </w:r>
        <w:r w:rsidR="00183CC8">
          <w:rPr>
            <w:noProof/>
            <w:webHidden/>
          </w:rPr>
          <w:tab/>
        </w:r>
        <w:r w:rsidR="00183CC8">
          <w:rPr>
            <w:noProof/>
            <w:webHidden/>
          </w:rPr>
          <w:fldChar w:fldCharType="begin"/>
        </w:r>
        <w:r w:rsidR="00183CC8">
          <w:rPr>
            <w:noProof/>
            <w:webHidden/>
          </w:rPr>
          <w:instrText xml:space="preserve"> PAGEREF _Toc90216827 \h </w:instrText>
        </w:r>
        <w:r w:rsidR="00183CC8">
          <w:rPr>
            <w:noProof/>
            <w:webHidden/>
          </w:rPr>
        </w:r>
        <w:r w:rsidR="00183CC8">
          <w:rPr>
            <w:noProof/>
            <w:webHidden/>
          </w:rPr>
          <w:fldChar w:fldCharType="separate"/>
        </w:r>
        <w:r w:rsidR="00183CC8">
          <w:rPr>
            <w:noProof/>
            <w:webHidden/>
          </w:rPr>
          <w:t>52</w:t>
        </w:r>
        <w:r w:rsidR="00183CC8">
          <w:rPr>
            <w:noProof/>
            <w:webHidden/>
          </w:rPr>
          <w:fldChar w:fldCharType="end"/>
        </w:r>
      </w:hyperlink>
    </w:p>
    <w:p w14:paraId="797832F0" w14:textId="1F46197E" w:rsidR="00183CC8" w:rsidRDefault="003373BF">
      <w:pPr>
        <w:pStyle w:val="TOC3"/>
        <w:tabs>
          <w:tab w:val="left" w:pos="1540"/>
        </w:tabs>
        <w:rPr>
          <w:rFonts w:eastAsiaTheme="minorEastAsia" w:cstheme="minorBidi"/>
          <w:noProof/>
          <w:szCs w:val="24"/>
          <w:lang w:eastAsia="en-GB"/>
        </w:rPr>
      </w:pPr>
      <w:hyperlink w:anchor="_Toc90216828" w:history="1">
        <w:r w:rsidR="00183CC8" w:rsidRPr="00BA3362">
          <w:rPr>
            <w:rStyle w:val="Hyperlink"/>
            <w:noProof/>
          </w:rPr>
          <w:t>2.19.2</w:t>
        </w:r>
        <w:r w:rsidR="00183CC8">
          <w:rPr>
            <w:rFonts w:eastAsiaTheme="minorEastAsia" w:cstheme="minorBidi"/>
            <w:noProof/>
            <w:szCs w:val="24"/>
            <w:lang w:eastAsia="en-GB"/>
          </w:rPr>
          <w:tab/>
        </w:r>
        <w:r w:rsidR="00183CC8" w:rsidRPr="00BA3362">
          <w:rPr>
            <w:rStyle w:val="Hyperlink"/>
            <w:noProof/>
          </w:rPr>
          <w:t>Au sputter coating.</w:t>
        </w:r>
        <w:r w:rsidR="00183CC8">
          <w:rPr>
            <w:noProof/>
            <w:webHidden/>
          </w:rPr>
          <w:tab/>
        </w:r>
        <w:r w:rsidR="00183CC8">
          <w:rPr>
            <w:noProof/>
            <w:webHidden/>
          </w:rPr>
          <w:fldChar w:fldCharType="begin"/>
        </w:r>
        <w:r w:rsidR="00183CC8">
          <w:rPr>
            <w:noProof/>
            <w:webHidden/>
          </w:rPr>
          <w:instrText xml:space="preserve"> PAGEREF _Toc90216828 \h </w:instrText>
        </w:r>
        <w:r w:rsidR="00183CC8">
          <w:rPr>
            <w:noProof/>
            <w:webHidden/>
          </w:rPr>
        </w:r>
        <w:r w:rsidR="00183CC8">
          <w:rPr>
            <w:noProof/>
            <w:webHidden/>
          </w:rPr>
          <w:fldChar w:fldCharType="separate"/>
        </w:r>
        <w:r w:rsidR="00183CC8">
          <w:rPr>
            <w:noProof/>
            <w:webHidden/>
          </w:rPr>
          <w:t>52</w:t>
        </w:r>
        <w:r w:rsidR="00183CC8">
          <w:rPr>
            <w:noProof/>
            <w:webHidden/>
          </w:rPr>
          <w:fldChar w:fldCharType="end"/>
        </w:r>
      </w:hyperlink>
    </w:p>
    <w:p w14:paraId="134721FE" w14:textId="3390A0C0" w:rsidR="00183CC8" w:rsidRDefault="003373BF">
      <w:pPr>
        <w:pStyle w:val="TOC3"/>
        <w:tabs>
          <w:tab w:val="left" w:pos="1540"/>
        </w:tabs>
        <w:rPr>
          <w:rFonts w:eastAsiaTheme="minorEastAsia" w:cstheme="minorBidi"/>
          <w:noProof/>
          <w:szCs w:val="24"/>
          <w:lang w:eastAsia="en-GB"/>
        </w:rPr>
      </w:pPr>
      <w:hyperlink w:anchor="_Toc90216829" w:history="1">
        <w:r w:rsidR="00183CC8" w:rsidRPr="00BA3362">
          <w:rPr>
            <w:rStyle w:val="Hyperlink"/>
            <w:noProof/>
          </w:rPr>
          <w:t>2.19.3</w:t>
        </w:r>
        <w:r w:rsidR="00183CC8">
          <w:rPr>
            <w:rFonts w:eastAsiaTheme="minorEastAsia" w:cstheme="minorBidi"/>
            <w:noProof/>
            <w:szCs w:val="24"/>
            <w:lang w:eastAsia="en-GB"/>
          </w:rPr>
          <w:tab/>
        </w:r>
        <w:r w:rsidR="00183CC8" w:rsidRPr="00BA3362">
          <w:rPr>
            <w:rStyle w:val="Hyperlink"/>
            <w:noProof/>
          </w:rPr>
          <w:t>SEM microscopy.</w:t>
        </w:r>
        <w:r w:rsidR="00183CC8">
          <w:rPr>
            <w:noProof/>
            <w:webHidden/>
          </w:rPr>
          <w:tab/>
        </w:r>
        <w:r w:rsidR="00183CC8">
          <w:rPr>
            <w:noProof/>
            <w:webHidden/>
          </w:rPr>
          <w:fldChar w:fldCharType="begin"/>
        </w:r>
        <w:r w:rsidR="00183CC8">
          <w:rPr>
            <w:noProof/>
            <w:webHidden/>
          </w:rPr>
          <w:instrText xml:space="preserve"> PAGEREF _Toc90216829 \h </w:instrText>
        </w:r>
        <w:r w:rsidR="00183CC8">
          <w:rPr>
            <w:noProof/>
            <w:webHidden/>
          </w:rPr>
        </w:r>
        <w:r w:rsidR="00183CC8">
          <w:rPr>
            <w:noProof/>
            <w:webHidden/>
          </w:rPr>
          <w:fldChar w:fldCharType="separate"/>
        </w:r>
        <w:r w:rsidR="00183CC8">
          <w:rPr>
            <w:noProof/>
            <w:webHidden/>
          </w:rPr>
          <w:t>52</w:t>
        </w:r>
        <w:r w:rsidR="00183CC8">
          <w:rPr>
            <w:noProof/>
            <w:webHidden/>
          </w:rPr>
          <w:fldChar w:fldCharType="end"/>
        </w:r>
      </w:hyperlink>
    </w:p>
    <w:p w14:paraId="2AEFCA0B" w14:textId="31A991E9" w:rsidR="00183CC8" w:rsidRDefault="003373BF">
      <w:pPr>
        <w:pStyle w:val="TOC2"/>
        <w:tabs>
          <w:tab w:val="left" w:pos="958"/>
        </w:tabs>
        <w:rPr>
          <w:rFonts w:eastAsiaTheme="minorEastAsia" w:cstheme="minorBidi"/>
          <w:szCs w:val="24"/>
          <w:lang w:eastAsia="en-GB"/>
        </w:rPr>
      </w:pPr>
      <w:hyperlink w:anchor="_Toc90216830" w:history="1">
        <w:r w:rsidR="00183CC8" w:rsidRPr="00BA3362">
          <w:rPr>
            <w:rStyle w:val="Hyperlink"/>
          </w:rPr>
          <w:t>2.20</w:t>
        </w:r>
        <w:r w:rsidR="00183CC8">
          <w:rPr>
            <w:rFonts w:eastAsiaTheme="minorEastAsia" w:cstheme="minorBidi"/>
            <w:szCs w:val="24"/>
            <w:lang w:eastAsia="en-GB"/>
          </w:rPr>
          <w:tab/>
        </w:r>
        <w:r w:rsidR="00183CC8" w:rsidRPr="00BA3362">
          <w:rPr>
            <w:rStyle w:val="Hyperlink"/>
          </w:rPr>
          <w:t>Transmission-electron microscopy (TEM).</w:t>
        </w:r>
        <w:r w:rsidR="00183CC8">
          <w:rPr>
            <w:webHidden/>
          </w:rPr>
          <w:tab/>
        </w:r>
        <w:r w:rsidR="00183CC8">
          <w:rPr>
            <w:webHidden/>
          </w:rPr>
          <w:fldChar w:fldCharType="begin"/>
        </w:r>
        <w:r w:rsidR="00183CC8">
          <w:rPr>
            <w:webHidden/>
          </w:rPr>
          <w:instrText xml:space="preserve"> PAGEREF _Toc90216830 \h </w:instrText>
        </w:r>
        <w:r w:rsidR="00183CC8">
          <w:rPr>
            <w:webHidden/>
          </w:rPr>
        </w:r>
        <w:r w:rsidR="00183CC8">
          <w:rPr>
            <w:webHidden/>
          </w:rPr>
          <w:fldChar w:fldCharType="separate"/>
        </w:r>
        <w:r w:rsidR="00183CC8">
          <w:rPr>
            <w:webHidden/>
          </w:rPr>
          <w:t>53</w:t>
        </w:r>
        <w:r w:rsidR="00183CC8">
          <w:rPr>
            <w:webHidden/>
          </w:rPr>
          <w:fldChar w:fldCharType="end"/>
        </w:r>
      </w:hyperlink>
    </w:p>
    <w:p w14:paraId="4C26C763" w14:textId="4A463AF3" w:rsidR="00183CC8" w:rsidRDefault="003373BF">
      <w:pPr>
        <w:pStyle w:val="TOC3"/>
        <w:tabs>
          <w:tab w:val="left" w:pos="1540"/>
        </w:tabs>
        <w:rPr>
          <w:rFonts w:eastAsiaTheme="minorEastAsia" w:cstheme="minorBidi"/>
          <w:noProof/>
          <w:szCs w:val="24"/>
          <w:lang w:eastAsia="en-GB"/>
        </w:rPr>
      </w:pPr>
      <w:hyperlink w:anchor="_Toc90216831" w:history="1">
        <w:r w:rsidR="00183CC8" w:rsidRPr="00BA3362">
          <w:rPr>
            <w:rStyle w:val="Hyperlink"/>
            <w:noProof/>
          </w:rPr>
          <w:t>2.20.1</w:t>
        </w:r>
        <w:r w:rsidR="00183CC8">
          <w:rPr>
            <w:rFonts w:eastAsiaTheme="minorEastAsia" w:cstheme="minorBidi"/>
            <w:noProof/>
            <w:szCs w:val="24"/>
            <w:lang w:eastAsia="en-GB"/>
          </w:rPr>
          <w:tab/>
        </w:r>
        <w:r w:rsidR="00183CC8" w:rsidRPr="00BA3362">
          <w:rPr>
            <w:rStyle w:val="Hyperlink"/>
            <w:noProof/>
          </w:rPr>
          <w:t>Chemical fixation TEM.</w:t>
        </w:r>
        <w:r w:rsidR="00183CC8">
          <w:rPr>
            <w:noProof/>
            <w:webHidden/>
          </w:rPr>
          <w:tab/>
        </w:r>
        <w:r w:rsidR="00183CC8">
          <w:rPr>
            <w:noProof/>
            <w:webHidden/>
          </w:rPr>
          <w:fldChar w:fldCharType="begin"/>
        </w:r>
        <w:r w:rsidR="00183CC8">
          <w:rPr>
            <w:noProof/>
            <w:webHidden/>
          </w:rPr>
          <w:instrText xml:space="preserve"> PAGEREF _Toc90216831 \h </w:instrText>
        </w:r>
        <w:r w:rsidR="00183CC8">
          <w:rPr>
            <w:noProof/>
            <w:webHidden/>
          </w:rPr>
        </w:r>
        <w:r w:rsidR="00183CC8">
          <w:rPr>
            <w:noProof/>
            <w:webHidden/>
          </w:rPr>
          <w:fldChar w:fldCharType="separate"/>
        </w:r>
        <w:r w:rsidR="00183CC8">
          <w:rPr>
            <w:noProof/>
            <w:webHidden/>
          </w:rPr>
          <w:t>53</w:t>
        </w:r>
        <w:r w:rsidR="00183CC8">
          <w:rPr>
            <w:noProof/>
            <w:webHidden/>
          </w:rPr>
          <w:fldChar w:fldCharType="end"/>
        </w:r>
      </w:hyperlink>
    </w:p>
    <w:p w14:paraId="06BBEE12" w14:textId="4AF581B7" w:rsidR="00183CC8" w:rsidRDefault="003373BF">
      <w:pPr>
        <w:pStyle w:val="TOC4"/>
        <w:rPr>
          <w:rFonts w:eastAsiaTheme="minorEastAsia" w:cstheme="minorBidi"/>
          <w:noProof/>
          <w:szCs w:val="24"/>
          <w:lang w:eastAsia="en-GB"/>
        </w:rPr>
      </w:pPr>
      <w:hyperlink w:anchor="_Toc90216832" w:history="1">
        <w:r w:rsidR="00183CC8" w:rsidRPr="00BA3362">
          <w:rPr>
            <w:rStyle w:val="Hyperlink"/>
            <w:noProof/>
          </w:rPr>
          <w:t>2.20.1.1</w:t>
        </w:r>
        <w:r w:rsidR="00183CC8">
          <w:rPr>
            <w:rFonts w:eastAsiaTheme="minorEastAsia" w:cstheme="minorBidi"/>
            <w:noProof/>
            <w:szCs w:val="24"/>
            <w:lang w:eastAsia="en-GB"/>
          </w:rPr>
          <w:tab/>
        </w:r>
        <w:r w:rsidR="00183CC8" w:rsidRPr="00BA3362">
          <w:rPr>
            <w:rStyle w:val="Hyperlink"/>
            <w:noProof/>
          </w:rPr>
          <w:t>Chemical fixation.</w:t>
        </w:r>
        <w:r w:rsidR="00183CC8">
          <w:rPr>
            <w:noProof/>
            <w:webHidden/>
          </w:rPr>
          <w:tab/>
        </w:r>
        <w:r w:rsidR="00183CC8">
          <w:rPr>
            <w:noProof/>
            <w:webHidden/>
          </w:rPr>
          <w:fldChar w:fldCharType="begin"/>
        </w:r>
        <w:r w:rsidR="00183CC8">
          <w:rPr>
            <w:noProof/>
            <w:webHidden/>
          </w:rPr>
          <w:instrText xml:space="preserve"> PAGEREF _Toc90216832 \h </w:instrText>
        </w:r>
        <w:r w:rsidR="00183CC8">
          <w:rPr>
            <w:noProof/>
            <w:webHidden/>
          </w:rPr>
        </w:r>
        <w:r w:rsidR="00183CC8">
          <w:rPr>
            <w:noProof/>
            <w:webHidden/>
          </w:rPr>
          <w:fldChar w:fldCharType="separate"/>
        </w:r>
        <w:r w:rsidR="00183CC8">
          <w:rPr>
            <w:noProof/>
            <w:webHidden/>
          </w:rPr>
          <w:t>53</w:t>
        </w:r>
        <w:r w:rsidR="00183CC8">
          <w:rPr>
            <w:noProof/>
            <w:webHidden/>
          </w:rPr>
          <w:fldChar w:fldCharType="end"/>
        </w:r>
      </w:hyperlink>
    </w:p>
    <w:p w14:paraId="72A8D87E" w14:textId="432BF588" w:rsidR="00183CC8" w:rsidRDefault="003373BF">
      <w:pPr>
        <w:pStyle w:val="TOC4"/>
        <w:rPr>
          <w:rFonts w:eastAsiaTheme="minorEastAsia" w:cstheme="minorBidi"/>
          <w:noProof/>
          <w:szCs w:val="24"/>
          <w:lang w:eastAsia="en-GB"/>
        </w:rPr>
      </w:pPr>
      <w:hyperlink w:anchor="_Toc90216833" w:history="1">
        <w:r w:rsidR="00183CC8" w:rsidRPr="00BA3362">
          <w:rPr>
            <w:rStyle w:val="Hyperlink"/>
            <w:noProof/>
          </w:rPr>
          <w:t>2.20.1.2</w:t>
        </w:r>
        <w:r w:rsidR="00183CC8">
          <w:rPr>
            <w:rFonts w:eastAsiaTheme="minorEastAsia" w:cstheme="minorBidi"/>
            <w:noProof/>
            <w:szCs w:val="24"/>
            <w:lang w:eastAsia="en-GB"/>
          </w:rPr>
          <w:tab/>
        </w:r>
        <w:r w:rsidR="00183CC8" w:rsidRPr="00BA3362">
          <w:rPr>
            <w:rStyle w:val="Hyperlink"/>
            <w:noProof/>
          </w:rPr>
          <w:t>Epon resin embedding and polymerisation.</w:t>
        </w:r>
        <w:r w:rsidR="00183CC8">
          <w:rPr>
            <w:noProof/>
            <w:webHidden/>
          </w:rPr>
          <w:tab/>
        </w:r>
        <w:r w:rsidR="00183CC8">
          <w:rPr>
            <w:noProof/>
            <w:webHidden/>
          </w:rPr>
          <w:fldChar w:fldCharType="begin"/>
        </w:r>
        <w:r w:rsidR="00183CC8">
          <w:rPr>
            <w:noProof/>
            <w:webHidden/>
          </w:rPr>
          <w:instrText xml:space="preserve"> PAGEREF _Toc90216833 \h </w:instrText>
        </w:r>
        <w:r w:rsidR="00183CC8">
          <w:rPr>
            <w:noProof/>
            <w:webHidden/>
          </w:rPr>
        </w:r>
        <w:r w:rsidR="00183CC8">
          <w:rPr>
            <w:noProof/>
            <w:webHidden/>
          </w:rPr>
          <w:fldChar w:fldCharType="separate"/>
        </w:r>
        <w:r w:rsidR="00183CC8">
          <w:rPr>
            <w:noProof/>
            <w:webHidden/>
          </w:rPr>
          <w:t>53</w:t>
        </w:r>
        <w:r w:rsidR="00183CC8">
          <w:rPr>
            <w:noProof/>
            <w:webHidden/>
          </w:rPr>
          <w:fldChar w:fldCharType="end"/>
        </w:r>
      </w:hyperlink>
    </w:p>
    <w:p w14:paraId="52863D34" w14:textId="66B19952" w:rsidR="00183CC8" w:rsidRDefault="003373BF">
      <w:pPr>
        <w:pStyle w:val="TOC3"/>
        <w:tabs>
          <w:tab w:val="left" w:pos="1540"/>
        </w:tabs>
        <w:rPr>
          <w:rFonts w:eastAsiaTheme="minorEastAsia" w:cstheme="minorBidi"/>
          <w:noProof/>
          <w:szCs w:val="24"/>
          <w:lang w:eastAsia="en-GB"/>
        </w:rPr>
      </w:pPr>
      <w:hyperlink w:anchor="_Toc90216834" w:history="1">
        <w:r w:rsidR="00183CC8" w:rsidRPr="00BA3362">
          <w:rPr>
            <w:rStyle w:val="Hyperlink"/>
            <w:noProof/>
          </w:rPr>
          <w:t>2.20.2</w:t>
        </w:r>
        <w:r w:rsidR="00183CC8">
          <w:rPr>
            <w:rFonts w:eastAsiaTheme="minorEastAsia" w:cstheme="minorBidi"/>
            <w:noProof/>
            <w:szCs w:val="24"/>
            <w:lang w:eastAsia="en-GB"/>
          </w:rPr>
          <w:tab/>
        </w:r>
        <w:r w:rsidR="00183CC8" w:rsidRPr="00BA3362">
          <w:rPr>
            <w:rStyle w:val="Hyperlink"/>
            <w:noProof/>
          </w:rPr>
          <w:t>Freeze-substitution TEM.</w:t>
        </w:r>
        <w:r w:rsidR="00183CC8">
          <w:rPr>
            <w:noProof/>
            <w:webHidden/>
          </w:rPr>
          <w:tab/>
        </w:r>
        <w:r w:rsidR="00183CC8">
          <w:rPr>
            <w:noProof/>
            <w:webHidden/>
          </w:rPr>
          <w:fldChar w:fldCharType="begin"/>
        </w:r>
        <w:r w:rsidR="00183CC8">
          <w:rPr>
            <w:noProof/>
            <w:webHidden/>
          </w:rPr>
          <w:instrText xml:space="preserve"> PAGEREF _Toc90216834 \h </w:instrText>
        </w:r>
        <w:r w:rsidR="00183CC8">
          <w:rPr>
            <w:noProof/>
            <w:webHidden/>
          </w:rPr>
        </w:r>
        <w:r w:rsidR="00183CC8">
          <w:rPr>
            <w:noProof/>
            <w:webHidden/>
          </w:rPr>
          <w:fldChar w:fldCharType="separate"/>
        </w:r>
        <w:r w:rsidR="00183CC8">
          <w:rPr>
            <w:noProof/>
            <w:webHidden/>
          </w:rPr>
          <w:t>54</w:t>
        </w:r>
        <w:r w:rsidR="00183CC8">
          <w:rPr>
            <w:noProof/>
            <w:webHidden/>
          </w:rPr>
          <w:fldChar w:fldCharType="end"/>
        </w:r>
      </w:hyperlink>
    </w:p>
    <w:p w14:paraId="02E6CF3B" w14:textId="3C093B53" w:rsidR="00183CC8" w:rsidRDefault="003373BF">
      <w:pPr>
        <w:pStyle w:val="TOC4"/>
        <w:rPr>
          <w:rFonts w:eastAsiaTheme="minorEastAsia" w:cstheme="minorBidi"/>
          <w:noProof/>
          <w:szCs w:val="24"/>
          <w:lang w:eastAsia="en-GB"/>
        </w:rPr>
      </w:pPr>
      <w:hyperlink w:anchor="_Toc90216835" w:history="1">
        <w:r w:rsidR="00183CC8" w:rsidRPr="00BA3362">
          <w:rPr>
            <w:rStyle w:val="Hyperlink"/>
            <w:noProof/>
          </w:rPr>
          <w:t>2.20.2.1</w:t>
        </w:r>
        <w:r w:rsidR="00183CC8">
          <w:rPr>
            <w:rFonts w:eastAsiaTheme="minorEastAsia" w:cstheme="minorBidi"/>
            <w:noProof/>
            <w:szCs w:val="24"/>
            <w:lang w:eastAsia="en-GB"/>
          </w:rPr>
          <w:tab/>
        </w:r>
        <w:r w:rsidR="00183CC8" w:rsidRPr="00BA3362">
          <w:rPr>
            <w:rStyle w:val="Hyperlink"/>
            <w:noProof/>
          </w:rPr>
          <w:t>Sample preparation for freeze-substitution.</w:t>
        </w:r>
        <w:r w:rsidR="00183CC8">
          <w:rPr>
            <w:noProof/>
            <w:webHidden/>
          </w:rPr>
          <w:tab/>
        </w:r>
        <w:r w:rsidR="00183CC8">
          <w:rPr>
            <w:noProof/>
            <w:webHidden/>
          </w:rPr>
          <w:fldChar w:fldCharType="begin"/>
        </w:r>
        <w:r w:rsidR="00183CC8">
          <w:rPr>
            <w:noProof/>
            <w:webHidden/>
          </w:rPr>
          <w:instrText xml:space="preserve"> PAGEREF _Toc90216835 \h </w:instrText>
        </w:r>
        <w:r w:rsidR="00183CC8">
          <w:rPr>
            <w:noProof/>
            <w:webHidden/>
          </w:rPr>
        </w:r>
        <w:r w:rsidR="00183CC8">
          <w:rPr>
            <w:noProof/>
            <w:webHidden/>
          </w:rPr>
          <w:fldChar w:fldCharType="separate"/>
        </w:r>
        <w:r w:rsidR="00183CC8">
          <w:rPr>
            <w:noProof/>
            <w:webHidden/>
          </w:rPr>
          <w:t>54</w:t>
        </w:r>
        <w:r w:rsidR="00183CC8">
          <w:rPr>
            <w:noProof/>
            <w:webHidden/>
          </w:rPr>
          <w:fldChar w:fldCharType="end"/>
        </w:r>
      </w:hyperlink>
    </w:p>
    <w:p w14:paraId="6BA8CE04" w14:textId="080EB406" w:rsidR="00183CC8" w:rsidRDefault="003373BF">
      <w:pPr>
        <w:pStyle w:val="TOC4"/>
        <w:rPr>
          <w:rFonts w:eastAsiaTheme="minorEastAsia" w:cstheme="minorBidi"/>
          <w:noProof/>
          <w:szCs w:val="24"/>
          <w:lang w:eastAsia="en-GB"/>
        </w:rPr>
      </w:pPr>
      <w:hyperlink w:anchor="_Toc90216836" w:history="1">
        <w:r w:rsidR="00183CC8" w:rsidRPr="00BA3362">
          <w:rPr>
            <w:rStyle w:val="Hyperlink"/>
            <w:noProof/>
          </w:rPr>
          <w:t>2.20.2.2</w:t>
        </w:r>
        <w:r w:rsidR="00183CC8">
          <w:rPr>
            <w:rFonts w:eastAsiaTheme="minorEastAsia" w:cstheme="minorBidi"/>
            <w:noProof/>
            <w:szCs w:val="24"/>
            <w:lang w:eastAsia="en-GB"/>
          </w:rPr>
          <w:tab/>
        </w:r>
        <w:r w:rsidR="00183CC8" w:rsidRPr="00BA3362">
          <w:rPr>
            <w:rStyle w:val="Hyperlink"/>
            <w:noProof/>
          </w:rPr>
          <w:t>High-pressure freezing (HPF) flat carrier system.</w:t>
        </w:r>
        <w:r w:rsidR="00183CC8">
          <w:rPr>
            <w:noProof/>
            <w:webHidden/>
          </w:rPr>
          <w:tab/>
        </w:r>
        <w:r w:rsidR="00183CC8">
          <w:rPr>
            <w:noProof/>
            <w:webHidden/>
          </w:rPr>
          <w:fldChar w:fldCharType="begin"/>
        </w:r>
        <w:r w:rsidR="00183CC8">
          <w:rPr>
            <w:noProof/>
            <w:webHidden/>
          </w:rPr>
          <w:instrText xml:space="preserve"> PAGEREF _Toc90216836 \h </w:instrText>
        </w:r>
        <w:r w:rsidR="00183CC8">
          <w:rPr>
            <w:noProof/>
            <w:webHidden/>
          </w:rPr>
        </w:r>
        <w:r w:rsidR="00183CC8">
          <w:rPr>
            <w:noProof/>
            <w:webHidden/>
          </w:rPr>
          <w:fldChar w:fldCharType="separate"/>
        </w:r>
        <w:r w:rsidR="00183CC8">
          <w:rPr>
            <w:noProof/>
            <w:webHidden/>
          </w:rPr>
          <w:t>54</w:t>
        </w:r>
        <w:r w:rsidR="00183CC8">
          <w:rPr>
            <w:noProof/>
            <w:webHidden/>
          </w:rPr>
          <w:fldChar w:fldCharType="end"/>
        </w:r>
      </w:hyperlink>
    </w:p>
    <w:p w14:paraId="45F46983" w14:textId="1B32837D" w:rsidR="00183CC8" w:rsidRDefault="003373BF">
      <w:pPr>
        <w:pStyle w:val="TOC4"/>
        <w:rPr>
          <w:rFonts w:eastAsiaTheme="minorEastAsia" w:cstheme="minorBidi"/>
          <w:noProof/>
          <w:szCs w:val="24"/>
          <w:lang w:eastAsia="en-GB"/>
        </w:rPr>
      </w:pPr>
      <w:hyperlink w:anchor="_Toc90216837" w:history="1">
        <w:r w:rsidR="00183CC8" w:rsidRPr="00BA3362">
          <w:rPr>
            <w:rStyle w:val="Hyperlink"/>
            <w:noProof/>
          </w:rPr>
          <w:t>2.20.2.3</w:t>
        </w:r>
        <w:r w:rsidR="00183CC8">
          <w:rPr>
            <w:rFonts w:eastAsiaTheme="minorEastAsia" w:cstheme="minorBidi"/>
            <w:noProof/>
            <w:szCs w:val="24"/>
            <w:lang w:eastAsia="en-GB"/>
          </w:rPr>
          <w:tab/>
        </w:r>
        <w:r w:rsidR="00183CC8" w:rsidRPr="00BA3362">
          <w:rPr>
            <w:rStyle w:val="Hyperlink"/>
            <w:noProof/>
          </w:rPr>
          <w:t>Freeze-substitution (FS).</w:t>
        </w:r>
        <w:r w:rsidR="00183CC8">
          <w:rPr>
            <w:noProof/>
            <w:webHidden/>
          </w:rPr>
          <w:tab/>
        </w:r>
        <w:r w:rsidR="00183CC8">
          <w:rPr>
            <w:noProof/>
            <w:webHidden/>
          </w:rPr>
          <w:fldChar w:fldCharType="begin"/>
        </w:r>
        <w:r w:rsidR="00183CC8">
          <w:rPr>
            <w:noProof/>
            <w:webHidden/>
          </w:rPr>
          <w:instrText xml:space="preserve"> PAGEREF _Toc90216837 \h </w:instrText>
        </w:r>
        <w:r w:rsidR="00183CC8">
          <w:rPr>
            <w:noProof/>
            <w:webHidden/>
          </w:rPr>
        </w:r>
        <w:r w:rsidR="00183CC8">
          <w:rPr>
            <w:noProof/>
            <w:webHidden/>
          </w:rPr>
          <w:fldChar w:fldCharType="separate"/>
        </w:r>
        <w:r w:rsidR="00183CC8">
          <w:rPr>
            <w:noProof/>
            <w:webHidden/>
          </w:rPr>
          <w:t>54</w:t>
        </w:r>
        <w:r w:rsidR="00183CC8">
          <w:rPr>
            <w:noProof/>
            <w:webHidden/>
          </w:rPr>
          <w:fldChar w:fldCharType="end"/>
        </w:r>
      </w:hyperlink>
    </w:p>
    <w:p w14:paraId="4C80B34F" w14:textId="4C138DA9" w:rsidR="00183CC8" w:rsidRDefault="003373BF">
      <w:pPr>
        <w:pStyle w:val="TOC4"/>
        <w:rPr>
          <w:rFonts w:eastAsiaTheme="minorEastAsia" w:cstheme="minorBidi"/>
          <w:noProof/>
          <w:szCs w:val="24"/>
          <w:lang w:eastAsia="en-GB"/>
        </w:rPr>
      </w:pPr>
      <w:hyperlink w:anchor="_Toc90216838" w:history="1">
        <w:r w:rsidR="00183CC8" w:rsidRPr="00BA3362">
          <w:rPr>
            <w:rStyle w:val="Hyperlink"/>
            <w:noProof/>
          </w:rPr>
          <w:t>2.20.2.4</w:t>
        </w:r>
        <w:r w:rsidR="00183CC8">
          <w:rPr>
            <w:rFonts w:eastAsiaTheme="minorEastAsia" w:cstheme="minorBidi"/>
            <w:noProof/>
            <w:szCs w:val="24"/>
            <w:lang w:eastAsia="en-GB"/>
          </w:rPr>
          <w:tab/>
        </w:r>
        <w:r w:rsidR="00183CC8" w:rsidRPr="00BA3362">
          <w:rPr>
            <w:rStyle w:val="Hyperlink"/>
            <w:noProof/>
          </w:rPr>
          <w:t>Super quick freeze-substitution (SQFS).</w:t>
        </w:r>
        <w:r w:rsidR="00183CC8">
          <w:rPr>
            <w:noProof/>
            <w:webHidden/>
          </w:rPr>
          <w:tab/>
        </w:r>
        <w:r w:rsidR="00183CC8">
          <w:rPr>
            <w:noProof/>
            <w:webHidden/>
          </w:rPr>
          <w:fldChar w:fldCharType="begin"/>
        </w:r>
        <w:r w:rsidR="00183CC8">
          <w:rPr>
            <w:noProof/>
            <w:webHidden/>
          </w:rPr>
          <w:instrText xml:space="preserve"> PAGEREF _Toc90216838 \h </w:instrText>
        </w:r>
        <w:r w:rsidR="00183CC8">
          <w:rPr>
            <w:noProof/>
            <w:webHidden/>
          </w:rPr>
        </w:r>
        <w:r w:rsidR="00183CC8">
          <w:rPr>
            <w:noProof/>
            <w:webHidden/>
          </w:rPr>
          <w:fldChar w:fldCharType="separate"/>
        </w:r>
        <w:r w:rsidR="00183CC8">
          <w:rPr>
            <w:noProof/>
            <w:webHidden/>
          </w:rPr>
          <w:t>55</w:t>
        </w:r>
        <w:r w:rsidR="00183CC8">
          <w:rPr>
            <w:noProof/>
            <w:webHidden/>
          </w:rPr>
          <w:fldChar w:fldCharType="end"/>
        </w:r>
      </w:hyperlink>
    </w:p>
    <w:p w14:paraId="006BCD0C" w14:textId="36BCD50E" w:rsidR="00183CC8" w:rsidRDefault="003373BF">
      <w:pPr>
        <w:pStyle w:val="TOC4"/>
        <w:rPr>
          <w:rFonts w:eastAsiaTheme="minorEastAsia" w:cstheme="minorBidi"/>
          <w:noProof/>
          <w:szCs w:val="24"/>
          <w:lang w:eastAsia="en-GB"/>
        </w:rPr>
      </w:pPr>
      <w:hyperlink w:anchor="_Toc90216839" w:history="1">
        <w:r w:rsidR="00183CC8" w:rsidRPr="00BA3362">
          <w:rPr>
            <w:rStyle w:val="Hyperlink"/>
            <w:noProof/>
          </w:rPr>
          <w:t>2.20.2.5</w:t>
        </w:r>
        <w:r w:rsidR="00183CC8">
          <w:rPr>
            <w:rFonts w:eastAsiaTheme="minorEastAsia" w:cstheme="minorBidi"/>
            <w:noProof/>
            <w:szCs w:val="24"/>
            <w:lang w:eastAsia="en-GB"/>
          </w:rPr>
          <w:tab/>
        </w:r>
        <w:r w:rsidR="00183CC8" w:rsidRPr="00BA3362">
          <w:rPr>
            <w:rStyle w:val="Hyperlink"/>
            <w:noProof/>
          </w:rPr>
          <w:t>Room temperature processing of FS cells.</w:t>
        </w:r>
        <w:r w:rsidR="00183CC8">
          <w:rPr>
            <w:noProof/>
            <w:webHidden/>
          </w:rPr>
          <w:tab/>
        </w:r>
        <w:r w:rsidR="00183CC8">
          <w:rPr>
            <w:noProof/>
            <w:webHidden/>
          </w:rPr>
          <w:fldChar w:fldCharType="begin"/>
        </w:r>
        <w:r w:rsidR="00183CC8">
          <w:rPr>
            <w:noProof/>
            <w:webHidden/>
          </w:rPr>
          <w:instrText xml:space="preserve"> PAGEREF _Toc90216839 \h </w:instrText>
        </w:r>
        <w:r w:rsidR="00183CC8">
          <w:rPr>
            <w:noProof/>
            <w:webHidden/>
          </w:rPr>
        </w:r>
        <w:r w:rsidR="00183CC8">
          <w:rPr>
            <w:noProof/>
            <w:webHidden/>
          </w:rPr>
          <w:fldChar w:fldCharType="separate"/>
        </w:r>
        <w:r w:rsidR="00183CC8">
          <w:rPr>
            <w:noProof/>
            <w:webHidden/>
          </w:rPr>
          <w:t>55</w:t>
        </w:r>
        <w:r w:rsidR="00183CC8">
          <w:rPr>
            <w:noProof/>
            <w:webHidden/>
          </w:rPr>
          <w:fldChar w:fldCharType="end"/>
        </w:r>
      </w:hyperlink>
    </w:p>
    <w:p w14:paraId="42A5F5B0" w14:textId="3C3C3D6F" w:rsidR="00183CC8" w:rsidRDefault="003373BF">
      <w:pPr>
        <w:pStyle w:val="TOC4"/>
        <w:rPr>
          <w:rFonts w:eastAsiaTheme="minorEastAsia" w:cstheme="minorBidi"/>
          <w:noProof/>
          <w:szCs w:val="24"/>
          <w:lang w:eastAsia="en-GB"/>
        </w:rPr>
      </w:pPr>
      <w:hyperlink w:anchor="_Toc90216840" w:history="1">
        <w:r w:rsidR="00183CC8" w:rsidRPr="00BA3362">
          <w:rPr>
            <w:rStyle w:val="Hyperlink"/>
            <w:noProof/>
          </w:rPr>
          <w:t>2.20.2.6</w:t>
        </w:r>
        <w:r w:rsidR="00183CC8">
          <w:rPr>
            <w:rFonts w:eastAsiaTheme="minorEastAsia" w:cstheme="minorBidi"/>
            <w:noProof/>
            <w:szCs w:val="24"/>
            <w:lang w:eastAsia="en-GB"/>
          </w:rPr>
          <w:tab/>
        </w:r>
        <w:r w:rsidR="00183CC8" w:rsidRPr="00BA3362">
          <w:rPr>
            <w:rStyle w:val="Hyperlink"/>
            <w:noProof/>
          </w:rPr>
          <w:t>Spurr resin embedding and polymerisation.</w:t>
        </w:r>
        <w:r w:rsidR="00183CC8">
          <w:rPr>
            <w:noProof/>
            <w:webHidden/>
          </w:rPr>
          <w:tab/>
        </w:r>
        <w:r w:rsidR="00183CC8">
          <w:rPr>
            <w:noProof/>
            <w:webHidden/>
          </w:rPr>
          <w:fldChar w:fldCharType="begin"/>
        </w:r>
        <w:r w:rsidR="00183CC8">
          <w:rPr>
            <w:noProof/>
            <w:webHidden/>
          </w:rPr>
          <w:instrText xml:space="preserve"> PAGEREF _Toc90216840 \h </w:instrText>
        </w:r>
        <w:r w:rsidR="00183CC8">
          <w:rPr>
            <w:noProof/>
            <w:webHidden/>
          </w:rPr>
        </w:r>
        <w:r w:rsidR="00183CC8">
          <w:rPr>
            <w:noProof/>
            <w:webHidden/>
          </w:rPr>
          <w:fldChar w:fldCharType="separate"/>
        </w:r>
        <w:r w:rsidR="00183CC8">
          <w:rPr>
            <w:noProof/>
            <w:webHidden/>
          </w:rPr>
          <w:t>55</w:t>
        </w:r>
        <w:r w:rsidR="00183CC8">
          <w:rPr>
            <w:noProof/>
            <w:webHidden/>
          </w:rPr>
          <w:fldChar w:fldCharType="end"/>
        </w:r>
      </w:hyperlink>
    </w:p>
    <w:p w14:paraId="73CF40D8" w14:textId="3A5D0742" w:rsidR="00183CC8" w:rsidRDefault="003373BF">
      <w:pPr>
        <w:pStyle w:val="TOC4"/>
        <w:rPr>
          <w:rFonts w:eastAsiaTheme="minorEastAsia" w:cstheme="minorBidi"/>
          <w:noProof/>
          <w:szCs w:val="24"/>
          <w:lang w:eastAsia="en-GB"/>
        </w:rPr>
      </w:pPr>
      <w:hyperlink w:anchor="_Toc90216841" w:history="1">
        <w:r w:rsidR="00183CC8" w:rsidRPr="00BA3362">
          <w:rPr>
            <w:rStyle w:val="Hyperlink"/>
            <w:noProof/>
          </w:rPr>
          <w:t>2.20.2.7</w:t>
        </w:r>
        <w:r w:rsidR="00183CC8">
          <w:rPr>
            <w:rFonts w:eastAsiaTheme="minorEastAsia" w:cstheme="minorBidi"/>
            <w:noProof/>
            <w:szCs w:val="24"/>
            <w:lang w:eastAsia="en-GB"/>
          </w:rPr>
          <w:tab/>
        </w:r>
        <w:r w:rsidR="00183CC8" w:rsidRPr="00BA3362">
          <w:rPr>
            <w:rStyle w:val="Hyperlink"/>
            <w:bCs/>
            <w:noProof/>
          </w:rPr>
          <w:t>Rapid infiltration and polymerisation.</w:t>
        </w:r>
        <w:r w:rsidR="00183CC8">
          <w:rPr>
            <w:noProof/>
            <w:webHidden/>
          </w:rPr>
          <w:tab/>
        </w:r>
        <w:r w:rsidR="00183CC8">
          <w:rPr>
            <w:noProof/>
            <w:webHidden/>
          </w:rPr>
          <w:fldChar w:fldCharType="begin"/>
        </w:r>
        <w:r w:rsidR="00183CC8">
          <w:rPr>
            <w:noProof/>
            <w:webHidden/>
          </w:rPr>
          <w:instrText xml:space="preserve"> PAGEREF _Toc90216841 \h </w:instrText>
        </w:r>
        <w:r w:rsidR="00183CC8">
          <w:rPr>
            <w:noProof/>
            <w:webHidden/>
          </w:rPr>
        </w:r>
        <w:r w:rsidR="00183CC8">
          <w:rPr>
            <w:noProof/>
            <w:webHidden/>
          </w:rPr>
          <w:fldChar w:fldCharType="separate"/>
        </w:r>
        <w:r w:rsidR="00183CC8">
          <w:rPr>
            <w:noProof/>
            <w:webHidden/>
          </w:rPr>
          <w:t>56</w:t>
        </w:r>
        <w:r w:rsidR="00183CC8">
          <w:rPr>
            <w:noProof/>
            <w:webHidden/>
          </w:rPr>
          <w:fldChar w:fldCharType="end"/>
        </w:r>
      </w:hyperlink>
    </w:p>
    <w:p w14:paraId="70F796F3" w14:textId="0731215E" w:rsidR="00183CC8" w:rsidRDefault="003373BF">
      <w:pPr>
        <w:pStyle w:val="TOC3"/>
        <w:tabs>
          <w:tab w:val="left" w:pos="1540"/>
        </w:tabs>
        <w:rPr>
          <w:rFonts w:eastAsiaTheme="minorEastAsia" w:cstheme="minorBidi"/>
          <w:noProof/>
          <w:szCs w:val="24"/>
          <w:lang w:eastAsia="en-GB"/>
        </w:rPr>
      </w:pPr>
      <w:hyperlink w:anchor="_Toc90216842" w:history="1">
        <w:r w:rsidR="00183CC8" w:rsidRPr="00BA3362">
          <w:rPr>
            <w:rStyle w:val="Hyperlink"/>
            <w:noProof/>
          </w:rPr>
          <w:t>2.20.3</w:t>
        </w:r>
        <w:r w:rsidR="00183CC8">
          <w:rPr>
            <w:rFonts w:eastAsiaTheme="minorEastAsia" w:cstheme="minorBidi"/>
            <w:noProof/>
            <w:szCs w:val="24"/>
            <w:lang w:eastAsia="en-GB"/>
          </w:rPr>
          <w:tab/>
        </w:r>
        <w:r w:rsidR="00183CC8" w:rsidRPr="00BA3362">
          <w:rPr>
            <w:rStyle w:val="Hyperlink"/>
            <w:noProof/>
          </w:rPr>
          <w:t>TEM grid preparation.</w:t>
        </w:r>
        <w:r w:rsidR="00183CC8">
          <w:rPr>
            <w:noProof/>
            <w:webHidden/>
          </w:rPr>
          <w:tab/>
        </w:r>
        <w:r w:rsidR="00183CC8">
          <w:rPr>
            <w:noProof/>
            <w:webHidden/>
          </w:rPr>
          <w:fldChar w:fldCharType="begin"/>
        </w:r>
        <w:r w:rsidR="00183CC8">
          <w:rPr>
            <w:noProof/>
            <w:webHidden/>
          </w:rPr>
          <w:instrText xml:space="preserve"> PAGEREF _Toc90216842 \h </w:instrText>
        </w:r>
        <w:r w:rsidR="00183CC8">
          <w:rPr>
            <w:noProof/>
            <w:webHidden/>
          </w:rPr>
        </w:r>
        <w:r w:rsidR="00183CC8">
          <w:rPr>
            <w:noProof/>
            <w:webHidden/>
          </w:rPr>
          <w:fldChar w:fldCharType="separate"/>
        </w:r>
        <w:r w:rsidR="00183CC8">
          <w:rPr>
            <w:noProof/>
            <w:webHidden/>
          </w:rPr>
          <w:t>56</w:t>
        </w:r>
        <w:r w:rsidR="00183CC8">
          <w:rPr>
            <w:noProof/>
            <w:webHidden/>
          </w:rPr>
          <w:fldChar w:fldCharType="end"/>
        </w:r>
      </w:hyperlink>
    </w:p>
    <w:p w14:paraId="6566EB7A" w14:textId="17B8E231" w:rsidR="00183CC8" w:rsidRDefault="003373BF">
      <w:pPr>
        <w:pStyle w:val="TOC3"/>
        <w:tabs>
          <w:tab w:val="left" w:pos="1540"/>
        </w:tabs>
        <w:rPr>
          <w:rFonts w:eastAsiaTheme="minorEastAsia" w:cstheme="minorBidi"/>
          <w:noProof/>
          <w:szCs w:val="24"/>
          <w:lang w:eastAsia="en-GB"/>
        </w:rPr>
      </w:pPr>
      <w:hyperlink w:anchor="_Toc90216843" w:history="1">
        <w:r w:rsidR="00183CC8" w:rsidRPr="00BA3362">
          <w:rPr>
            <w:rStyle w:val="Hyperlink"/>
            <w:noProof/>
          </w:rPr>
          <w:t>2.20.4</w:t>
        </w:r>
        <w:r w:rsidR="00183CC8">
          <w:rPr>
            <w:rFonts w:eastAsiaTheme="minorEastAsia" w:cstheme="minorBidi"/>
            <w:noProof/>
            <w:szCs w:val="24"/>
            <w:lang w:eastAsia="en-GB"/>
          </w:rPr>
          <w:tab/>
        </w:r>
        <w:r w:rsidR="00183CC8" w:rsidRPr="00BA3362">
          <w:rPr>
            <w:rStyle w:val="Hyperlink"/>
            <w:noProof/>
          </w:rPr>
          <w:t>Glass knifemaking.</w:t>
        </w:r>
        <w:r w:rsidR="00183CC8">
          <w:rPr>
            <w:noProof/>
            <w:webHidden/>
          </w:rPr>
          <w:tab/>
        </w:r>
        <w:r w:rsidR="00183CC8">
          <w:rPr>
            <w:noProof/>
            <w:webHidden/>
          </w:rPr>
          <w:fldChar w:fldCharType="begin"/>
        </w:r>
        <w:r w:rsidR="00183CC8">
          <w:rPr>
            <w:noProof/>
            <w:webHidden/>
          </w:rPr>
          <w:instrText xml:space="preserve"> PAGEREF _Toc90216843 \h </w:instrText>
        </w:r>
        <w:r w:rsidR="00183CC8">
          <w:rPr>
            <w:noProof/>
            <w:webHidden/>
          </w:rPr>
        </w:r>
        <w:r w:rsidR="00183CC8">
          <w:rPr>
            <w:noProof/>
            <w:webHidden/>
          </w:rPr>
          <w:fldChar w:fldCharType="separate"/>
        </w:r>
        <w:r w:rsidR="00183CC8">
          <w:rPr>
            <w:noProof/>
            <w:webHidden/>
          </w:rPr>
          <w:t>56</w:t>
        </w:r>
        <w:r w:rsidR="00183CC8">
          <w:rPr>
            <w:noProof/>
            <w:webHidden/>
          </w:rPr>
          <w:fldChar w:fldCharType="end"/>
        </w:r>
      </w:hyperlink>
    </w:p>
    <w:p w14:paraId="38648342" w14:textId="30F74273" w:rsidR="00183CC8" w:rsidRDefault="003373BF">
      <w:pPr>
        <w:pStyle w:val="TOC3"/>
        <w:tabs>
          <w:tab w:val="left" w:pos="1540"/>
        </w:tabs>
        <w:rPr>
          <w:rFonts w:eastAsiaTheme="minorEastAsia" w:cstheme="minorBidi"/>
          <w:noProof/>
          <w:szCs w:val="24"/>
          <w:lang w:eastAsia="en-GB"/>
        </w:rPr>
      </w:pPr>
      <w:hyperlink w:anchor="_Toc90216844" w:history="1">
        <w:r w:rsidR="00183CC8" w:rsidRPr="00BA3362">
          <w:rPr>
            <w:rStyle w:val="Hyperlink"/>
            <w:noProof/>
          </w:rPr>
          <w:t>2.20.5</w:t>
        </w:r>
        <w:r w:rsidR="00183CC8">
          <w:rPr>
            <w:rFonts w:eastAsiaTheme="minorEastAsia" w:cstheme="minorBidi"/>
            <w:noProof/>
            <w:szCs w:val="24"/>
            <w:lang w:eastAsia="en-GB"/>
          </w:rPr>
          <w:tab/>
        </w:r>
        <w:r w:rsidR="00183CC8" w:rsidRPr="00BA3362">
          <w:rPr>
            <w:rStyle w:val="Hyperlink"/>
            <w:noProof/>
          </w:rPr>
          <w:t>Thin-sectioning at room temperature.</w:t>
        </w:r>
        <w:r w:rsidR="00183CC8">
          <w:rPr>
            <w:noProof/>
            <w:webHidden/>
          </w:rPr>
          <w:tab/>
        </w:r>
        <w:r w:rsidR="00183CC8">
          <w:rPr>
            <w:noProof/>
            <w:webHidden/>
          </w:rPr>
          <w:fldChar w:fldCharType="begin"/>
        </w:r>
        <w:r w:rsidR="00183CC8">
          <w:rPr>
            <w:noProof/>
            <w:webHidden/>
          </w:rPr>
          <w:instrText xml:space="preserve"> PAGEREF _Toc90216844 \h </w:instrText>
        </w:r>
        <w:r w:rsidR="00183CC8">
          <w:rPr>
            <w:noProof/>
            <w:webHidden/>
          </w:rPr>
        </w:r>
        <w:r w:rsidR="00183CC8">
          <w:rPr>
            <w:noProof/>
            <w:webHidden/>
          </w:rPr>
          <w:fldChar w:fldCharType="separate"/>
        </w:r>
        <w:r w:rsidR="00183CC8">
          <w:rPr>
            <w:noProof/>
            <w:webHidden/>
          </w:rPr>
          <w:t>56</w:t>
        </w:r>
        <w:r w:rsidR="00183CC8">
          <w:rPr>
            <w:noProof/>
            <w:webHidden/>
          </w:rPr>
          <w:fldChar w:fldCharType="end"/>
        </w:r>
      </w:hyperlink>
    </w:p>
    <w:p w14:paraId="030C4FF3" w14:textId="201AE592" w:rsidR="00183CC8" w:rsidRDefault="003373BF">
      <w:pPr>
        <w:pStyle w:val="TOC3"/>
        <w:tabs>
          <w:tab w:val="left" w:pos="1540"/>
        </w:tabs>
        <w:rPr>
          <w:rFonts w:eastAsiaTheme="minorEastAsia" w:cstheme="minorBidi"/>
          <w:noProof/>
          <w:szCs w:val="24"/>
          <w:lang w:eastAsia="en-GB"/>
        </w:rPr>
      </w:pPr>
      <w:hyperlink w:anchor="_Toc90216845" w:history="1">
        <w:r w:rsidR="00183CC8" w:rsidRPr="00BA3362">
          <w:rPr>
            <w:rStyle w:val="Hyperlink"/>
            <w:noProof/>
          </w:rPr>
          <w:t>2.20.6</w:t>
        </w:r>
        <w:r w:rsidR="00183CC8">
          <w:rPr>
            <w:rFonts w:eastAsiaTheme="minorEastAsia" w:cstheme="minorBidi"/>
            <w:noProof/>
            <w:szCs w:val="24"/>
            <w:lang w:eastAsia="en-GB"/>
          </w:rPr>
          <w:tab/>
        </w:r>
        <w:r w:rsidR="00183CC8" w:rsidRPr="00BA3362">
          <w:rPr>
            <w:rStyle w:val="Hyperlink"/>
            <w:noProof/>
          </w:rPr>
          <w:t>TEM grid staining.</w:t>
        </w:r>
        <w:r w:rsidR="00183CC8">
          <w:rPr>
            <w:noProof/>
            <w:webHidden/>
          </w:rPr>
          <w:tab/>
        </w:r>
        <w:r w:rsidR="00183CC8">
          <w:rPr>
            <w:noProof/>
            <w:webHidden/>
          </w:rPr>
          <w:fldChar w:fldCharType="begin"/>
        </w:r>
        <w:r w:rsidR="00183CC8">
          <w:rPr>
            <w:noProof/>
            <w:webHidden/>
          </w:rPr>
          <w:instrText xml:space="preserve"> PAGEREF _Toc90216845 \h </w:instrText>
        </w:r>
        <w:r w:rsidR="00183CC8">
          <w:rPr>
            <w:noProof/>
            <w:webHidden/>
          </w:rPr>
        </w:r>
        <w:r w:rsidR="00183CC8">
          <w:rPr>
            <w:noProof/>
            <w:webHidden/>
          </w:rPr>
          <w:fldChar w:fldCharType="separate"/>
        </w:r>
        <w:r w:rsidR="00183CC8">
          <w:rPr>
            <w:noProof/>
            <w:webHidden/>
          </w:rPr>
          <w:t>57</w:t>
        </w:r>
        <w:r w:rsidR="00183CC8">
          <w:rPr>
            <w:noProof/>
            <w:webHidden/>
          </w:rPr>
          <w:fldChar w:fldCharType="end"/>
        </w:r>
      </w:hyperlink>
    </w:p>
    <w:p w14:paraId="0A63D002" w14:textId="6A6F51F9" w:rsidR="00183CC8" w:rsidRDefault="003373BF">
      <w:pPr>
        <w:pStyle w:val="TOC3"/>
        <w:tabs>
          <w:tab w:val="left" w:pos="1540"/>
        </w:tabs>
        <w:rPr>
          <w:rFonts w:eastAsiaTheme="minorEastAsia" w:cstheme="minorBidi"/>
          <w:noProof/>
          <w:szCs w:val="24"/>
          <w:lang w:eastAsia="en-GB"/>
        </w:rPr>
      </w:pPr>
      <w:hyperlink w:anchor="_Toc90216846" w:history="1">
        <w:r w:rsidR="00183CC8" w:rsidRPr="00BA3362">
          <w:rPr>
            <w:rStyle w:val="Hyperlink"/>
            <w:noProof/>
          </w:rPr>
          <w:t>2.20.7</w:t>
        </w:r>
        <w:r w:rsidR="00183CC8">
          <w:rPr>
            <w:rFonts w:eastAsiaTheme="minorEastAsia" w:cstheme="minorBidi"/>
            <w:noProof/>
            <w:szCs w:val="24"/>
            <w:lang w:eastAsia="en-GB"/>
          </w:rPr>
          <w:tab/>
        </w:r>
        <w:r w:rsidR="00183CC8" w:rsidRPr="00BA3362">
          <w:rPr>
            <w:rStyle w:val="Hyperlink"/>
            <w:noProof/>
          </w:rPr>
          <w:t>TEM microscopy.</w:t>
        </w:r>
        <w:r w:rsidR="00183CC8">
          <w:rPr>
            <w:noProof/>
            <w:webHidden/>
          </w:rPr>
          <w:tab/>
        </w:r>
        <w:r w:rsidR="00183CC8">
          <w:rPr>
            <w:noProof/>
            <w:webHidden/>
          </w:rPr>
          <w:fldChar w:fldCharType="begin"/>
        </w:r>
        <w:r w:rsidR="00183CC8">
          <w:rPr>
            <w:noProof/>
            <w:webHidden/>
          </w:rPr>
          <w:instrText xml:space="preserve"> PAGEREF _Toc90216846 \h </w:instrText>
        </w:r>
        <w:r w:rsidR="00183CC8">
          <w:rPr>
            <w:noProof/>
            <w:webHidden/>
          </w:rPr>
        </w:r>
        <w:r w:rsidR="00183CC8">
          <w:rPr>
            <w:noProof/>
            <w:webHidden/>
          </w:rPr>
          <w:fldChar w:fldCharType="separate"/>
        </w:r>
        <w:r w:rsidR="00183CC8">
          <w:rPr>
            <w:noProof/>
            <w:webHidden/>
          </w:rPr>
          <w:t>57</w:t>
        </w:r>
        <w:r w:rsidR="00183CC8">
          <w:rPr>
            <w:noProof/>
            <w:webHidden/>
          </w:rPr>
          <w:fldChar w:fldCharType="end"/>
        </w:r>
      </w:hyperlink>
    </w:p>
    <w:p w14:paraId="322F8F15" w14:textId="1082C733" w:rsidR="00183CC8" w:rsidRDefault="003373BF">
      <w:pPr>
        <w:pStyle w:val="TOC3"/>
        <w:tabs>
          <w:tab w:val="left" w:pos="1540"/>
        </w:tabs>
        <w:rPr>
          <w:rFonts w:eastAsiaTheme="minorEastAsia" w:cstheme="minorBidi"/>
          <w:noProof/>
          <w:szCs w:val="24"/>
          <w:lang w:eastAsia="en-GB"/>
        </w:rPr>
      </w:pPr>
      <w:hyperlink w:anchor="_Toc90216847" w:history="1">
        <w:r w:rsidR="00183CC8" w:rsidRPr="00BA3362">
          <w:rPr>
            <w:rStyle w:val="Hyperlink"/>
            <w:noProof/>
          </w:rPr>
          <w:t>2.20.8</w:t>
        </w:r>
        <w:r w:rsidR="00183CC8">
          <w:rPr>
            <w:rFonts w:eastAsiaTheme="minorEastAsia" w:cstheme="minorBidi"/>
            <w:noProof/>
            <w:szCs w:val="24"/>
            <w:lang w:eastAsia="en-GB"/>
          </w:rPr>
          <w:tab/>
        </w:r>
        <w:r w:rsidR="00183CC8" w:rsidRPr="00BA3362">
          <w:rPr>
            <w:rStyle w:val="Hyperlink"/>
            <w:noProof/>
          </w:rPr>
          <w:t>Measuring cell wall thickness from TEM micrographs.</w:t>
        </w:r>
        <w:r w:rsidR="00183CC8">
          <w:rPr>
            <w:noProof/>
            <w:webHidden/>
          </w:rPr>
          <w:tab/>
        </w:r>
        <w:r w:rsidR="00183CC8">
          <w:rPr>
            <w:noProof/>
            <w:webHidden/>
          </w:rPr>
          <w:fldChar w:fldCharType="begin"/>
        </w:r>
        <w:r w:rsidR="00183CC8">
          <w:rPr>
            <w:noProof/>
            <w:webHidden/>
          </w:rPr>
          <w:instrText xml:space="preserve"> PAGEREF _Toc90216847 \h </w:instrText>
        </w:r>
        <w:r w:rsidR="00183CC8">
          <w:rPr>
            <w:noProof/>
            <w:webHidden/>
          </w:rPr>
        </w:r>
        <w:r w:rsidR="00183CC8">
          <w:rPr>
            <w:noProof/>
            <w:webHidden/>
          </w:rPr>
          <w:fldChar w:fldCharType="separate"/>
        </w:r>
        <w:r w:rsidR="00183CC8">
          <w:rPr>
            <w:noProof/>
            <w:webHidden/>
          </w:rPr>
          <w:t>57</w:t>
        </w:r>
        <w:r w:rsidR="00183CC8">
          <w:rPr>
            <w:noProof/>
            <w:webHidden/>
          </w:rPr>
          <w:fldChar w:fldCharType="end"/>
        </w:r>
      </w:hyperlink>
    </w:p>
    <w:p w14:paraId="6590E57E" w14:textId="46B3164B" w:rsidR="00183CC8" w:rsidRDefault="003373BF">
      <w:pPr>
        <w:pStyle w:val="TOC3"/>
        <w:tabs>
          <w:tab w:val="left" w:pos="1540"/>
        </w:tabs>
        <w:rPr>
          <w:rFonts w:eastAsiaTheme="minorEastAsia" w:cstheme="minorBidi"/>
          <w:noProof/>
          <w:szCs w:val="24"/>
          <w:lang w:eastAsia="en-GB"/>
        </w:rPr>
      </w:pPr>
      <w:hyperlink w:anchor="_Toc90216848" w:history="1">
        <w:r w:rsidR="00183CC8" w:rsidRPr="00BA3362">
          <w:rPr>
            <w:rStyle w:val="Hyperlink"/>
            <w:noProof/>
          </w:rPr>
          <w:t>2.20.9</w:t>
        </w:r>
        <w:r w:rsidR="00183CC8">
          <w:rPr>
            <w:rFonts w:eastAsiaTheme="minorEastAsia" w:cstheme="minorBidi"/>
            <w:noProof/>
            <w:szCs w:val="24"/>
            <w:lang w:eastAsia="en-GB"/>
          </w:rPr>
          <w:tab/>
        </w:r>
        <w:r w:rsidR="00183CC8" w:rsidRPr="00BA3362">
          <w:rPr>
            <w:rStyle w:val="Hyperlink"/>
            <w:noProof/>
          </w:rPr>
          <w:t>Phenotype analysis and morphological quantification from TEM micrographs.</w:t>
        </w:r>
        <w:r w:rsidR="00183CC8">
          <w:rPr>
            <w:noProof/>
            <w:webHidden/>
          </w:rPr>
          <w:tab/>
        </w:r>
        <w:r w:rsidR="00183CC8">
          <w:rPr>
            <w:noProof/>
            <w:webHidden/>
          </w:rPr>
          <w:fldChar w:fldCharType="begin"/>
        </w:r>
        <w:r w:rsidR="00183CC8">
          <w:rPr>
            <w:noProof/>
            <w:webHidden/>
          </w:rPr>
          <w:instrText xml:space="preserve"> PAGEREF _Toc90216848 \h </w:instrText>
        </w:r>
        <w:r w:rsidR="00183CC8">
          <w:rPr>
            <w:noProof/>
            <w:webHidden/>
          </w:rPr>
        </w:r>
        <w:r w:rsidR="00183CC8">
          <w:rPr>
            <w:noProof/>
            <w:webHidden/>
          </w:rPr>
          <w:fldChar w:fldCharType="separate"/>
        </w:r>
        <w:r w:rsidR="00183CC8">
          <w:rPr>
            <w:noProof/>
            <w:webHidden/>
          </w:rPr>
          <w:t>58</w:t>
        </w:r>
        <w:r w:rsidR="00183CC8">
          <w:rPr>
            <w:noProof/>
            <w:webHidden/>
          </w:rPr>
          <w:fldChar w:fldCharType="end"/>
        </w:r>
      </w:hyperlink>
    </w:p>
    <w:p w14:paraId="02C111AB" w14:textId="490B747E" w:rsidR="00183CC8" w:rsidRDefault="003373BF">
      <w:pPr>
        <w:pStyle w:val="TOC2"/>
        <w:tabs>
          <w:tab w:val="left" w:pos="958"/>
        </w:tabs>
        <w:rPr>
          <w:rFonts w:eastAsiaTheme="minorEastAsia" w:cstheme="minorBidi"/>
          <w:szCs w:val="24"/>
          <w:lang w:eastAsia="en-GB"/>
        </w:rPr>
      </w:pPr>
      <w:hyperlink w:anchor="_Toc90216849" w:history="1">
        <w:r w:rsidR="00183CC8" w:rsidRPr="00BA3362">
          <w:rPr>
            <w:rStyle w:val="Hyperlink"/>
          </w:rPr>
          <w:t>2.21</w:t>
        </w:r>
        <w:r w:rsidR="00183CC8">
          <w:rPr>
            <w:rFonts w:eastAsiaTheme="minorEastAsia" w:cstheme="minorBidi"/>
            <w:szCs w:val="24"/>
            <w:lang w:eastAsia="en-GB"/>
          </w:rPr>
          <w:tab/>
        </w:r>
        <w:r w:rsidR="00183CC8" w:rsidRPr="00BA3362">
          <w:rPr>
            <w:rStyle w:val="Hyperlink"/>
          </w:rPr>
          <w:t>Cryo-transmission electron microscopy (cryo-TEM).</w:t>
        </w:r>
        <w:r w:rsidR="00183CC8">
          <w:rPr>
            <w:webHidden/>
          </w:rPr>
          <w:tab/>
        </w:r>
        <w:r w:rsidR="00183CC8">
          <w:rPr>
            <w:webHidden/>
          </w:rPr>
          <w:fldChar w:fldCharType="begin"/>
        </w:r>
        <w:r w:rsidR="00183CC8">
          <w:rPr>
            <w:webHidden/>
          </w:rPr>
          <w:instrText xml:space="preserve"> PAGEREF _Toc90216849 \h </w:instrText>
        </w:r>
        <w:r w:rsidR="00183CC8">
          <w:rPr>
            <w:webHidden/>
          </w:rPr>
        </w:r>
        <w:r w:rsidR="00183CC8">
          <w:rPr>
            <w:webHidden/>
          </w:rPr>
          <w:fldChar w:fldCharType="separate"/>
        </w:r>
        <w:r w:rsidR="00183CC8">
          <w:rPr>
            <w:webHidden/>
          </w:rPr>
          <w:t>59</w:t>
        </w:r>
        <w:r w:rsidR="00183CC8">
          <w:rPr>
            <w:webHidden/>
          </w:rPr>
          <w:fldChar w:fldCharType="end"/>
        </w:r>
      </w:hyperlink>
    </w:p>
    <w:p w14:paraId="43CF84B8" w14:textId="3A81224A" w:rsidR="00183CC8" w:rsidRDefault="003373BF">
      <w:pPr>
        <w:pStyle w:val="TOC3"/>
        <w:tabs>
          <w:tab w:val="left" w:pos="1540"/>
        </w:tabs>
        <w:rPr>
          <w:rFonts w:eastAsiaTheme="minorEastAsia" w:cstheme="minorBidi"/>
          <w:noProof/>
          <w:szCs w:val="24"/>
          <w:lang w:eastAsia="en-GB"/>
        </w:rPr>
      </w:pPr>
      <w:hyperlink w:anchor="_Toc90216850" w:history="1">
        <w:r w:rsidR="00183CC8" w:rsidRPr="00BA3362">
          <w:rPr>
            <w:rStyle w:val="Hyperlink"/>
            <w:noProof/>
          </w:rPr>
          <w:t>2.21.1</w:t>
        </w:r>
        <w:r w:rsidR="00183CC8">
          <w:rPr>
            <w:rFonts w:eastAsiaTheme="minorEastAsia" w:cstheme="minorBidi"/>
            <w:noProof/>
            <w:szCs w:val="24"/>
            <w:lang w:eastAsia="en-GB"/>
          </w:rPr>
          <w:tab/>
        </w:r>
        <w:r w:rsidR="00183CC8" w:rsidRPr="00BA3362">
          <w:rPr>
            <w:rStyle w:val="Hyperlink"/>
            <w:noProof/>
          </w:rPr>
          <w:t>Cryo-TEM grid preparation.</w:t>
        </w:r>
        <w:r w:rsidR="00183CC8">
          <w:rPr>
            <w:noProof/>
            <w:webHidden/>
          </w:rPr>
          <w:tab/>
        </w:r>
        <w:r w:rsidR="00183CC8">
          <w:rPr>
            <w:noProof/>
            <w:webHidden/>
          </w:rPr>
          <w:fldChar w:fldCharType="begin"/>
        </w:r>
        <w:r w:rsidR="00183CC8">
          <w:rPr>
            <w:noProof/>
            <w:webHidden/>
          </w:rPr>
          <w:instrText xml:space="preserve"> PAGEREF _Toc90216850 \h </w:instrText>
        </w:r>
        <w:r w:rsidR="00183CC8">
          <w:rPr>
            <w:noProof/>
            <w:webHidden/>
          </w:rPr>
        </w:r>
        <w:r w:rsidR="00183CC8">
          <w:rPr>
            <w:noProof/>
            <w:webHidden/>
          </w:rPr>
          <w:fldChar w:fldCharType="separate"/>
        </w:r>
        <w:r w:rsidR="00183CC8">
          <w:rPr>
            <w:noProof/>
            <w:webHidden/>
          </w:rPr>
          <w:t>59</w:t>
        </w:r>
        <w:r w:rsidR="00183CC8">
          <w:rPr>
            <w:noProof/>
            <w:webHidden/>
          </w:rPr>
          <w:fldChar w:fldCharType="end"/>
        </w:r>
      </w:hyperlink>
    </w:p>
    <w:p w14:paraId="0B235826" w14:textId="2DFA99D9" w:rsidR="00183CC8" w:rsidRDefault="003373BF">
      <w:pPr>
        <w:pStyle w:val="TOC3"/>
        <w:tabs>
          <w:tab w:val="left" w:pos="1540"/>
        </w:tabs>
        <w:rPr>
          <w:rFonts w:eastAsiaTheme="minorEastAsia" w:cstheme="minorBidi"/>
          <w:noProof/>
          <w:szCs w:val="24"/>
          <w:lang w:eastAsia="en-GB"/>
        </w:rPr>
      </w:pPr>
      <w:hyperlink w:anchor="_Toc90216851" w:history="1">
        <w:r w:rsidR="00183CC8" w:rsidRPr="00BA3362">
          <w:rPr>
            <w:rStyle w:val="Hyperlink"/>
            <w:noProof/>
          </w:rPr>
          <w:t>2.21.2</w:t>
        </w:r>
        <w:r w:rsidR="00183CC8">
          <w:rPr>
            <w:rFonts w:eastAsiaTheme="minorEastAsia" w:cstheme="minorBidi"/>
            <w:noProof/>
            <w:szCs w:val="24"/>
            <w:lang w:eastAsia="en-GB"/>
          </w:rPr>
          <w:tab/>
        </w:r>
        <w:r w:rsidR="00183CC8" w:rsidRPr="00BA3362">
          <w:rPr>
            <w:rStyle w:val="Hyperlink"/>
            <w:noProof/>
          </w:rPr>
          <w:t>Cryo-electron microscopy of vitreous sections (CEMOVIS).</w:t>
        </w:r>
        <w:r w:rsidR="00183CC8">
          <w:rPr>
            <w:noProof/>
            <w:webHidden/>
          </w:rPr>
          <w:tab/>
        </w:r>
        <w:r w:rsidR="00183CC8">
          <w:rPr>
            <w:noProof/>
            <w:webHidden/>
          </w:rPr>
          <w:fldChar w:fldCharType="begin"/>
        </w:r>
        <w:r w:rsidR="00183CC8">
          <w:rPr>
            <w:noProof/>
            <w:webHidden/>
          </w:rPr>
          <w:instrText xml:space="preserve"> PAGEREF _Toc90216851 \h </w:instrText>
        </w:r>
        <w:r w:rsidR="00183CC8">
          <w:rPr>
            <w:noProof/>
            <w:webHidden/>
          </w:rPr>
        </w:r>
        <w:r w:rsidR="00183CC8">
          <w:rPr>
            <w:noProof/>
            <w:webHidden/>
          </w:rPr>
          <w:fldChar w:fldCharType="separate"/>
        </w:r>
        <w:r w:rsidR="00183CC8">
          <w:rPr>
            <w:noProof/>
            <w:webHidden/>
          </w:rPr>
          <w:t>59</w:t>
        </w:r>
        <w:r w:rsidR="00183CC8">
          <w:rPr>
            <w:noProof/>
            <w:webHidden/>
          </w:rPr>
          <w:fldChar w:fldCharType="end"/>
        </w:r>
      </w:hyperlink>
    </w:p>
    <w:p w14:paraId="65F950FD" w14:textId="20936ECC" w:rsidR="00183CC8" w:rsidRDefault="003373BF">
      <w:pPr>
        <w:pStyle w:val="TOC4"/>
        <w:rPr>
          <w:rFonts w:eastAsiaTheme="minorEastAsia" w:cstheme="minorBidi"/>
          <w:noProof/>
          <w:szCs w:val="24"/>
          <w:lang w:eastAsia="en-GB"/>
        </w:rPr>
      </w:pPr>
      <w:hyperlink w:anchor="_Toc90216852" w:history="1">
        <w:r w:rsidR="00183CC8" w:rsidRPr="00BA3362">
          <w:rPr>
            <w:rStyle w:val="Hyperlink"/>
            <w:noProof/>
          </w:rPr>
          <w:t>2.21.2.1</w:t>
        </w:r>
        <w:r w:rsidR="00183CC8">
          <w:rPr>
            <w:rFonts w:eastAsiaTheme="minorEastAsia" w:cstheme="minorBidi"/>
            <w:noProof/>
            <w:szCs w:val="24"/>
            <w:lang w:eastAsia="en-GB"/>
          </w:rPr>
          <w:tab/>
        </w:r>
        <w:r w:rsidR="00183CC8" w:rsidRPr="00BA3362">
          <w:rPr>
            <w:rStyle w:val="Hyperlink"/>
            <w:noProof/>
          </w:rPr>
          <w:t>High-pressure freezing (HPF) copper tube system.</w:t>
        </w:r>
        <w:r w:rsidR="00183CC8">
          <w:rPr>
            <w:noProof/>
            <w:webHidden/>
          </w:rPr>
          <w:tab/>
        </w:r>
        <w:r w:rsidR="00183CC8">
          <w:rPr>
            <w:noProof/>
            <w:webHidden/>
          </w:rPr>
          <w:fldChar w:fldCharType="begin"/>
        </w:r>
        <w:r w:rsidR="00183CC8">
          <w:rPr>
            <w:noProof/>
            <w:webHidden/>
          </w:rPr>
          <w:instrText xml:space="preserve"> PAGEREF _Toc90216852 \h </w:instrText>
        </w:r>
        <w:r w:rsidR="00183CC8">
          <w:rPr>
            <w:noProof/>
            <w:webHidden/>
          </w:rPr>
        </w:r>
        <w:r w:rsidR="00183CC8">
          <w:rPr>
            <w:noProof/>
            <w:webHidden/>
          </w:rPr>
          <w:fldChar w:fldCharType="separate"/>
        </w:r>
        <w:r w:rsidR="00183CC8">
          <w:rPr>
            <w:noProof/>
            <w:webHidden/>
          </w:rPr>
          <w:t>59</w:t>
        </w:r>
        <w:r w:rsidR="00183CC8">
          <w:rPr>
            <w:noProof/>
            <w:webHidden/>
          </w:rPr>
          <w:fldChar w:fldCharType="end"/>
        </w:r>
      </w:hyperlink>
    </w:p>
    <w:p w14:paraId="28A4FA0A" w14:textId="14B606DA" w:rsidR="00183CC8" w:rsidRDefault="003373BF">
      <w:pPr>
        <w:pStyle w:val="TOC4"/>
        <w:rPr>
          <w:rFonts w:eastAsiaTheme="minorEastAsia" w:cstheme="minorBidi"/>
          <w:noProof/>
          <w:szCs w:val="24"/>
          <w:lang w:eastAsia="en-GB"/>
        </w:rPr>
      </w:pPr>
      <w:hyperlink w:anchor="_Toc90216853" w:history="1">
        <w:r w:rsidR="00183CC8" w:rsidRPr="00BA3362">
          <w:rPr>
            <w:rStyle w:val="Hyperlink"/>
            <w:noProof/>
          </w:rPr>
          <w:t>2.21.2.2</w:t>
        </w:r>
        <w:r w:rsidR="00183CC8">
          <w:rPr>
            <w:rFonts w:eastAsiaTheme="minorEastAsia" w:cstheme="minorBidi"/>
            <w:noProof/>
            <w:szCs w:val="24"/>
            <w:lang w:eastAsia="en-GB"/>
          </w:rPr>
          <w:tab/>
        </w:r>
        <w:r w:rsidR="00183CC8" w:rsidRPr="00BA3362">
          <w:rPr>
            <w:rStyle w:val="Hyperlink"/>
            <w:noProof/>
          </w:rPr>
          <w:t>Cryo-sectioning of frozen-hydrated samples.</w:t>
        </w:r>
        <w:r w:rsidR="00183CC8">
          <w:rPr>
            <w:noProof/>
            <w:webHidden/>
          </w:rPr>
          <w:tab/>
        </w:r>
        <w:r w:rsidR="00183CC8">
          <w:rPr>
            <w:noProof/>
            <w:webHidden/>
          </w:rPr>
          <w:fldChar w:fldCharType="begin"/>
        </w:r>
        <w:r w:rsidR="00183CC8">
          <w:rPr>
            <w:noProof/>
            <w:webHidden/>
          </w:rPr>
          <w:instrText xml:space="preserve"> PAGEREF _Toc90216853 \h </w:instrText>
        </w:r>
        <w:r w:rsidR="00183CC8">
          <w:rPr>
            <w:noProof/>
            <w:webHidden/>
          </w:rPr>
        </w:r>
        <w:r w:rsidR="00183CC8">
          <w:rPr>
            <w:noProof/>
            <w:webHidden/>
          </w:rPr>
          <w:fldChar w:fldCharType="separate"/>
        </w:r>
        <w:r w:rsidR="00183CC8">
          <w:rPr>
            <w:noProof/>
            <w:webHidden/>
          </w:rPr>
          <w:t>60</w:t>
        </w:r>
        <w:r w:rsidR="00183CC8">
          <w:rPr>
            <w:noProof/>
            <w:webHidden/>
          </w:rPr>
          <w:fldChar w:fldCharType="end"/>
        </w:r>
      </w:hyperlink>
    </w:p>
    <w:p w14:paraId="5C191C56" w14:textId="63364B69" w:rsidR="00183CC8" w:rsidRDefault="003373BF">
      <w:pPr>
        <w:pStyle w:val="TOC3"/>
        <w:tabs>
          <w:tab w:val="left" w:pos="1540"/>
        </w:tabs>
        <w:rPr>
          <w:rFonts w:eastAsiaTheme="minorEastAsia" w:cstheme="minorBidi"/>
          <w:noProof/>
          <w:szCs w:val="24"/>
          <w:lang w:eastAsia="en-GB"/>
        </w:rPr>
      </w:pPr>
      <w:hyperlink w:anchor="_Toc90216854" w:history="1">
        <w:r w:rsidR="00183CC8" w:rsidRPr="00BA3362">
          <w:rPr>
            <w:rStyle w:val="Hyperlink"/>
            <w:noProof/>
          </w:rPr>
          <w:t>2.21.3</w:t>
        </w:r>
        <w:r w:rsidR="00183CC8">
          <w:rPr>
            <w:rFonts w:eastAsiaTheme="minorEastAsia" w:cstheme="minorBidi"/>
            <w:noProof/>
            <w:szCs w:val="24"/>
            <w:lang w:eastAsia="en-GB"/>
          </w:rPr>
          <w:tab/>
        </w:r>
        <w:r w:rsidR="00183CC8" w:rsidRPr="00BA3362">
          <w:rPr>
            <w:rStyle w:val="Hyperlink"/>
            <w:noProof/>
          </w:rPr>
          <w:t>Cryo-TEM microscopy.</w:t>
        </w:r>
        <w:r w:rsidR="00183CC8">
          <w:rPr>
            <w:noProof/>
            <w:webHidden/>
          </w:rPr>
          <w:tab/>
        </w:r>
        <w:r w:rsidR="00183CC8">
          <w:rPr>
            <w:noProof/>
            <w:webHidden/>
          </w:rPr>
          <w:fldChar w:fldCharType="begin"/>
        </w:r>
        <w:r w:rsidR="00183CC8">
          <w:rPr>
            <w:noProof/>
            <w:webHidden/>
          </w:rPr>
          <w:instrText xml:space="preserve"> PAGEREF _Toc90216854 \h </w:instrText>
        </w:r>
        <w:r w:rsidR="00183CC8">
          <w:rPr>
            <w:noProof/>
            <w:webHidden/>
          </w:rPr>
        </w:r>
        <w:r w:rsidR="00183CC8">
          <w:rPr>
            <w:noProof/>
            <w:webHidden/>
          </w:rPr>
          <w:fldChar w:fldCharType="separate"/>
        </w:r>
        <w:r w:rsidR="00183CC8">
          <w:rPr>
            <w:noProof/>
            <w:webHidden/>
          </w:rPr>
          <w:t>60</w:t>
        </w:r>
        <w:r w:rsidR="00183CC8">
          <w:rPr>
            <w:noProof/>
            <w:webHidden/>
          </w:rPr>
          <w:fldChar w:fldCharType="end"/>
        </w:r>
      </w:hyperlink>
    </w:p>
    <w:p w14:paraId="4A60ECC1" w14:textId="10922ABF" w:rsidR="00183CC8" w:rsidRDefault="003373BF">
      <w:pPr>
        <w:pStyle w:val="TOC3"/>
        <w:tabs>
          <w:tab w:val="left" w:pos="1540"/>
        </w:tabs>
        <w:rPr>
          <w:rFonts w:eastAsiaTheme="minorEastAsia" w:cstheme="minorBidi"/>
          <w:noProof/>
          <w:szCs w:val="24"/>
          <w:lang w:eastAsia="en-GB"/>
        </w:rPr>
      </w:pPr>
      <w:hyperlink w:anchor="_Toc90216855" w:history="1">
        <w:r w:rsidR="00183CC8" w:rsidRPr="00BA3362">
          <w:rPr>
            <w:rStyle w:val="Hyperlink"/>
            <w:noProof/>
          </w:rPr>
          <w:t>2.21.4</w:t>
        </w:r>
        <w:r w:rsidR="00183CC8">
          <w:rPr>
            <w:rFonts w:eastAsiaTheme="minorEastAsia" w:cstheme="minorBidi"/>
            <w:noProof/>
            <w:szCs w:val="24"/>
            <w:lang w:eastAsia="en-GB"/>
          </w:rPr>
          <w:tab/>
        </w:r>
        <w:r w:rsidR="00183CC8" w:rsidRPr="00BA3362">
          <w:rPr>
            <w:rStyle w:val="Hyperlink"/>
            <w:noProof/>
          </w:rPr>
          <w:t>Cell envelope measurements from cryo-TEM.</w:t>
        </w:r>
        <w:r w:rsidR="00183CC8">
          <w:rPr>
            <w:noProof/>
            <w:webHidden/>
          </w:rPr>
          <w:tab/>
        </w:r>
        <w:r w:rsidR="00183CC8">
          <w:rPr>
            <w:noProof/>
            <w:webHidden/>
          </w:rPr>
          <w:fldChar w:fldCharType="begin"/>
        </w:r>
        <w:r w:rsidR="00183CC8">
          <w:rPr>
            <w:noProof/>
            <w:webHidden/>
          </w:rPr>
          <w:instrText xml:space="preserve"> PAGEREF _Toc90216855 \h </w:instrText>
        </w:r>
        <w:r w:rsidR="00183CC8">
          <w:rPr>
            <w:noProof/>
            <w:webHidden/>
          </w:rPr>
        </w:r>
        <w:r w:rsidR="00183CC8">
          <w:rPr>
            <w:noProof/>
            <w:webHidden/>
          </w:rPr>
          <w:fldChar w:fldCharType="separate"/>
        </w:r>
        <w:r w:rsidR="00183CC8">
          <w:rPr>
            <w:noProof/>
            <w:webHidden/>
          </w:rPr>
          <w:t>61</w:t>
        </w:r>
        <w:r w:rsidR="00183CC8">
          <w:rPr>
            <w:noProof/>
            <w:webHidden/>
          </w:rPr>
          <w:fldChar w:fldCharType="end"/>
        </w:r>
      </w:hyperlink>
    </w:p>
    <w:p w14:paraId="036775F8" w14:textId="4AD4F6F8" w:rsidR="00183CC8" w:rsidRDefault="003373BF">
      <w:pPr>
        <w:pStyle w:val="TOC2"/>
        <w:tabs>
          <w:tab w:val="left" w:pos="958"/>
        </w:tabs>
        <w:rPr>
          <w:rFonts w:eastAsiaTheme="minorEastAsia" w:cstheme="minorBidi"/>
          <w:szCs w:val="24"/>
          <w:lang w:eastAsia="en-GB"/>
        </w:rPr>
      </w:pPr>
      <w:hyperlink w:anchor="_Toc90216856" w:history="1">
        <w:r w:rsidR="00183CC8" w:rsidRPr="00BA3362">
          <w:rPr>
            <w:rStyle w:val="Hyperlink"/>
          </w:rPr>
          <w:t>2.22</w:t>
        </w:r>
        <w:r w:rsidR="00183CC8">
          <w:rPr>
            <w:rFonts w:eastAsiaTheme="minorEastAsia" w:cstheme="minorBidi"/>
            <w:szCs w:val="24"/>
            <w:lang w:eastAsia="en-GB"/>
          </w:rPr>
          <w:tab/>
        </w:r>
        <w:r w:rsidR="00183CC8" w:rsidRPr="00BA3362">
          <w:rPr>
            <w:rStyle w:val="Hyperlink"/>
          </w:rPr>
          <w:t>Whole cell cryo-TEM and cryo-electron tomography (cryo-ET).</w:t>
        </w:r>
        <w:r w:rsidR="00183CC8">
          <w:rPr>
            <w:webHidden/>
          </w:rPr>
          <w:tab/>
        </w:r>
        <w:r w:rsidR="00183CC8">
          <w:rPr>
            <w:webHidden/>
          </w:rPr>
          <w:fldChar w:fldCharType="begin"/>
        </w:r>
        <w:r w:rsidR="00183CC8">
          <w:rPr>
            <w:webHidden/>
          </w:rPr>
          <w:instrText xml:space="preserve"> PAGEREF _Toc90216856 \h </w:instrText>
        </w:r>
        <w:r w:rsidR="00183CC8">
          <w:rPr>
            <w:webHidden/>
          </w:rPr>
        </w:r>
        <w:r w:rsidR="00183CC8">
          <w:rPr>
            <w:webHidden/>
          </w:rPr>
          <w:fldChar w:fldCharType="separate"/>
        </w:r>
        <w:r w:rsidR="00183CC8">
          <w:rPr>
            <w:webHidden/>
          </w:rPr>
          <w:t>61</w:t>
        </w:r>
        <w:r w:rsidR="00183CC8">
          <w:rPr>
            <w:webHidden/>
          </w:rPr>
          <w:fldChar w:fldCharType="end"/>
        </w:r>
      </w:hyperlink>
    </w:p>
    <w:p w14:paraId="33255401" w14:textId="11DD1AE9" w:rsidR="00183CC8" w:rsidRDefault="003373BF">
      <w:pPr>
        <w:pStyle w:val="TOC2"/>
        <w:tabs>
          <w:tab w:val="left" w:pos="958"/>
        </w:tabs>
        <w:rPr>
          <w:rFonts w:eastAsiaTheme="minorEastAsia" w:cstheme="minorBidi"/>
          <w:szCs w:val="24"/>
          <w:lang w:eastAsia="en-GB"/>
        </w:rPr>
      </w:pPr>
      <w:hyperlink w:anchor="_Toc90216857" w:history="1">
        <w:r w:rsidR="00183CC8" w:rsidRPr="00BA3362">
          <w:rPr>
            <w:rStyle w:val="Hyperlink"/>
          </w:rPr>
          <w:t>2.23</w:t>
        </w:r>
        <w:r w:rsidR="00183CC8">
          <w:rPr>
            <w:rFonts w:eastAsiaTheme="minorEastAsia" w:cstheme="minorBidi"/>
            <w:szCs w:val="24"/>
            <w:lang w:eastAsia="en-GB"/>
          </w:rPr>
          <w:tab/>
        </w:r>
        <w:r w:rsidR="00183CC8" w:rsidRPr="00BA3362">
          <w:rPr>
            <w:rStyle w:val="Hyperlink"/>
          </w:rPr>
          <w:t>Statistics.</w:t>
        </w:r>
        <w:r w:rsidR="00183CC8">
          <w:rPr>
            <w:webHidden/>
          </w:rPr>
          <w:tab/>
        </w:r>
        <w:r w:rsidR="00183CC8">
          <w:rPr>
            <w:webHidden/>
          </w:rPr>
          <w:fldChar w:fldCharType="begin"/>
        </w:r>
        <w:r w:rsidR="00183CC8">
          <w:rPr>
            <w:webHidden/>
          </w:rPr>
          <w:instrText xml:space="preserve"> PAGEREF _Toc90216857 \h </w:instrText>
        </w:r>
        <w:r w:rsidR="00183CC8">
          <w:rPr>
            <w:webHidden/>
          </w:rPr>
        </w:r>
        <w:r w:rsidR="00183CC8">
          <w:rPr>
            <w:webHidden/>
          </w:rPr>
          <w:fldChar w:fldCharType="separate"/>
        </w:r>
        <w:r w:rsidR="00183CC8">
          <w:rPr>
            <w:webHidden/>
          </w:rPr>
          <w:t>61</w:t>
        </w:r>
        <w:r w:rsidR="00183CC8">
          <w:rPr>
            <w:webHidden/>
          </w:rPr>
          <w:fldChar w:fldCharType="end"/>
        </w:r>
      </w:hyperlink>
    </w:p>
    <w:p w14:paraId="3A148AF2" w14:textId="4B1FE607" w:rsidR="00183CC8" w:rsidRDefault="003373BF">
      <w:pPr>
        <w:pStyle w:val="TOC2"/>
        <w:tabs>
          <w:tab w:val="left" w:pos="958"/>
        </w:tabs>
        <w:rPr>
          <w:rFonts w:eastAsiaTheme="minorEastAsia" w:cstheme="minorBidi"/>
          <w:szCs w:val="24"/>
          <w:lang w:eastAsia="en-GB"/>
        </w:rPr>
      </w:pPr>
      <w:hyperlink w:anchor="_Toc90216858" w:history="1">
        <w:r w:rsidR="00183CC8" w:rsidRPr="00BA3362">
          <w:rPr>
            <w:rStyle w:val="Hyperlink"/>
          </w:rPr>
          <w:t>2.24</w:t>
        </w:r>
        <w:r w:rsidR="00183CC8">
          <w:rPr>
            <w:rFonts w:eastAsiaTheme="minorEastAsia" w:cstheme="minorBidi"/>
            <w:szCs w:val="24"/>
            <w:lang w:eastAsia="en-GB"/>
          </w:rPr>
          <w:tab/>
        </w:r>
        <w:r w:rsidR="00183CC8" w:rsidRPr="00BA3362">
          <w:rPr>
            <w:rStyle w:val="Hyperlink"/>
          </w:rPr>
          <w:t>Collaborative work.</w:t>
        </w:r>
        <w:r w:rsidR="00183CC8">
          <w:rPr>
            <w:webHidden/>
          </w:rPr>
          <w:tab/>
        </w:r>
        <w:r w:rsidR="00183CC8">
          <w:rPr>
            <w:webHidden/>
          </w:rPr>
          <w:fldChar w:fldCharType="begin"/>
        </w:r>
        <w:r w:rsidR="00183CC8">
          <w:rPr>
            <w:webHidden/>
          </w:rPr>
          <w:instrText xml:space="preserve"> PAGEREF _Toc90216858 \h </w:instrText>
        </w:r>
        <w:r w:rsidR="00183CC8">
          <w:rPr>
            <w:webHidden/>
          </w:rPr>
        </w:r>
        <w:r w:rsidR="00183CC8">
          <w:rPr>
            <w:webHidden/>
          </w:rPr>
          <w:fldChar w:fldCharType="separate"/>
        </w:r>
        <w:r w:rsidR="00183CC8">
          <w:rPr>
            <w:webHidden/>
          </w:rPr>
          <w:t>62</w:t>
        </w:r>
        <w:r w:rsidR="00183CC8">
          <w:rPr>
            <w:webHidden/>
          </w:rPr>
          <w:fldChar w:fldCharType="end"/>
        </w:r>
      </w:hyperlink>
    </w:p>
    <w:p w14:paraId="412344EC" w14:textId="6F816AB6" w:rsidR="00183CC8" w:rsidRDefault="003373BF">
      <w:pPr>
        <w:pStyle w:val="TOC1"/>
        <w:rPr>
          <w:rFonts w:eastAsiaTheme="minorEastAsia" w:cstheme="minorBidi"/>
          <w:b w:val="0"/>
          <w:szCs w:val="24"/>
          <w:lang w:eastAsia="en-GB"/>
        </w:rPr>
      </w:pPr>
      <w:hyperlink w:anchor="_Toc90216859" w:history="1">
        <w:r w:rsidR="00183CC8">
          <w:rPr>
            <w:rFonts w:eastAsiaTheme="minorEastAsia" w:cstheme="minorBidi"/>
            <w:b w:val="0"/>
            <w:szCs w:val="24"/>
            <w:lang w:eastAsia="en-GB"/>
          </w:rPr>
          <w:tab/>
        </w:r>
        <w:r w:rsidR="00183CC8" w:rsidRPr="00BA3362">
          <w:rPr>
            <w:rStyle w:val="Hyperlink"/>
          </w:rPr>
          <w:t>Chapter 3</w:t>
        </w:r>
        <w:r w:rsidR="00183CC8">
          <w:rPr>
            <w:webHidden/>
          </w:rPr>
          <w:tab/>
        </w:r>
        <w:r w:rsidR="00183CC8">
          <w:rPr>
            <w:webHidden/>
          </w:rPr>
          <w:fldChar w:fldCharType="begin"/>
        </w:r>
        <w:r w:rsidR="00183CC8">
          <w:rPr>
            <w:webHidden/>
          </w:rPr>
          <w:instrText xml:space="preserve"> PAGEREF _Toc90216859 \h </w:instrText>
        </w:r>
        <w:r w:rsidR="00183CC8">
          <w:rPr>
            <w:webHidden/>
          </w:rPr>
        </w:r>
        <w:r w:rsidR="00183CC8">
          <w:rPr>
            <w:webHidden/>
          </w:rPr>
          <w:fldChar w:fldCharType="separate"/>
        </w:r>
        <w:r w:rsidR="00183CC8">
          <w:rPr>
            <w:webHidden/>
          </w:rPr>
          <w:t>63</w:t>
        </w:r>
        <w:r w:rsidR="00183CC8">
          <w:rPr>
            <w:webHidden/>
          </w:rPr>
          <w:fldChar w:fldCharType="end"/>
        </w:r>
      </w:hyperlink>
    </w:p>
    <w:p w14:paraId="0117F7DE" w14:textId="4F7E503B" w:rsidR="00183CC8" w:rsidRDefault="003373BF">
      <w:pPr>
        <w:pStyle w:val="TOC1"/>
        <w:rPr>
          <w:rFonts w:eastAsiaTheme="minorEastAsia" w:cstheme="minorBidi"/>
          <w:b w:val="0"/>
          <w:szCs w:val="24"/>
          <w:lang w:eastAsia="en-GB"/>
        </w:rPr>
      </w:pPr>
      <w:hyperlink w:anchor="_Toc90216860" w:history="1">
        <w:r w:rsidR="00183CC8" w:rsidRPr="00BA3362">
          <w:rPr>
            <w:rStyle w:val="Hyperlink"/>
          </w:rPr>
          <w:t>Method Development for Studying the Bacterial Envelope using Electron Microscopy</w:t>
        </w:r>
        <w:r w:rsidR="00183CC8">
          <w:rPr>
            <w:webHidden/>
          </w:rPr>
          <w:tab/>
        </w:r>
        <w:r w:rsidR="00183CC8">
          <w:rPr>
            <w:webHidden/>
          </w:rPr>
          <w:fldChar w:fldCharType="begin"/>
        </w:r>
        <w:r w:rsidR="00183CC8">
          <w:rPr>
            <w:webHidden/>
          </w:rPr>
          <w:instrText xml:space="preserve"> PAGEREF _Toc90216860 \h </w:instrText>
        </w:r>
        <w:r w:rsidR="00183CC8">
          <w:rPr>
            <w:webHidden/>
          </w:rPr>
        </w:r>
        <w:r w:rsidR="00183CC8">
          <w:rPr>
            <w:webHidden/>
          </w:rPr>
          <w:fldChar w:fldCharType="separate"/>
        </w:r>
        <w:r w:rsidR="00183CC8">
          <w:rPr>
            <w:webHidden/>
          </w:rPr>
          <w:t>63</w:t>
        </w:r>
        <w:r w:rsidR="00183CC8">
          <w:rPr>
            <w:webHidden/>
          </w:rPr>
          <w:fldChar w:fldCharType="end"/>
        </w:r>
      </w:hyperlink>
    </w:p>
    <w:p w14:paraId="0F8CA2DE" w14:textId="04AB9C17" w:rsidR="00183CC8" w:rsidRDefault="003373BF">
      <w:pPr>
        <w:pStyle w:val="TOC2"/>
        <w:tabs>
          <w:tab w:val="left" w:pos="958"/>
        </w:tabs>
        <w:rPr>
          <w:rFonts w:eastAsiaTheme="minorEastAsia" w:cstheme="minorBidi"/>
          <w:szCs w:val="24"/>
          <w:lang w:eastAsia="en-GB"/>
        </w:rPr>
      </w:pPr>
      <w:hyperlink w:anchor="_Toc90216861" w:history="1">
        <w:r w:rsidR="00183CC8" w:rsidRPr="00BA3362">
          <w:rPr>
            <w:rStyle w:val="Hyperlink"/>
          </w:rPr>
          <w:t>3.1</w:t>
        </w:r>
        <w:r w:rsidR="00183CC8">
          <w:rPr>
            <w:rFonts w:eastAsiaTheme="minorEastAsia" w:cstheme="minorBidi"/>
            <w:szCs w:val="24"/>
            <w:lang w:eastAsia="en-GB"/>
          </w:rPr>
          <w:tab/>
        </w:r>
        <w:r w:rsidR="00183CC8" w:rsidRPr="00BA3362">
          <w:rPr>
            <w:rStyle w:val="Hyperlink"/>
          </w:rPr>
          <w:t>Introduction.</w:t>
        </w:r>
        <w:r w:rsidR="00183CC8">
          <w:rPr>
            <w:webHidden/>
          </w:rPr>
          <w:tab/>
        </w:r>
        <w:r w:rsidR="00183CC8">
          <w:rPr>
            <w:webHidden/>
          </w:rPr>
          <w:fldChar w:fldCharType="begin"/>
        </w:r>
        <w:r w:rsidR="00183CC8">
          <w:rPr>
            <w:webHidden/>
          </w:rPr>
          <w:instrText xml:space="preserve"> PAGEREF _Toc90216861 \h </w:instrText>
        </w:r>
        <w:r w:rsidR="00183CC8">
          <w:rPr>
            <w:webHidden/>
          </w:rPr>
        </w:r>
        <w:r w:rsidR="00183CC8">
          <w:rPr>
            <w:webHidden/>
          </w:rPr>
          <w:fldChar w:fldCharType="separate"/>
        </w:r>
        <w:r w:rsidR="00183CC8">
          <w:rPr>
            <w:webHidden/>
          </w:rPr>
          <w:t>63</w:t>
        </w:r>
        <w:r w:rsidR="00183CC8">
          <w:rPr>
            <w:webHidden/>
          </w:rPr>
          <w:fldChar w:fldCharType="end"/>
        </w:r>
      </w:hyperlink>
    </w:p>
    <w:p w14:paraId="2150E05D" w14:textId="57E050D7" w:rsidR="00183CC8" w:rsidRDefault="003373BF">
      <w:pPr>
        <w:pStyle w:val="TOC3"/>
        <w:tabs>
          <w:tab w:val="left" w:pos="1320"/>
        </w:tabs>
        <w:rPr>
          <w:rFonts w:eastAsiaTheme="minorEastAsia" w:cstheme="minorBidi"/>
          <w:noProof/>
          <w:szCs w:val="24"/>
          <w:lang w:eastAsia="en-GB"/>
        </w:rPr>
      </w:pPr>
      <w:hyperlink w:anchor="_Toc90216862" w:history="1">
        <w:r w:rsidR="00183CC8" w:rsidRPr="00BA3362">
          <w:rPr>
            <w:rStyle w:val="Hyperlink"/>
            <w:noProof/>
          </w:rPr>
          <w:t>3.1.1</w:t>
        </w:r>
        <w:r w:rsidR="00183CC8">
          <w:rPr>
            <w:rFonts w:eastAsiaTheme="minorEastAsia" w:cstheme="minorBidi"/>
            <w:noProof/>
            <w:szCs w:val="24"/>
            <w:lang w:eastAsia="en-GB"/>
          </w:rPr>
          <w:tab/>
        </w:r>
        <w:r w:rsidR="00183CC8" w:rsidRPr="00BA3362">
          <w:rPr>
            <w:rStyle w:val="Hyperlink"/>
            <w:noProof/>
          </w:rPr>
          <w:t>Aims of this chapter.</w:t>
        </w:r>
        <w:r w:rsidR="00183CC8">
          <w:rPr>
            <w:noProof/>
            <w:webHidden/>
          </w:rPr>
          <w:tab/>
        </w:r>
        <w:r w:rsidR="00183CC8">
          <w:rPr>
            <w:noProof/>
            <w:webHidden/>
          </w:rPr>
          <w:fldChar w:fldCharType="begin"/>
        </w:r>
        <w:r w:rsidR="00183CC8">
          <w:rPr>
            <w:noProof/>
            <w:webHidden/>
          </w:rPr>
          <w:instrText xml:space="preserve"> PAGEREF _Toc90216862 \h </w:instrText>
        </w:r>
        <w:r w:rsidR="00183CC8">
          <w:rPr>
            <w:noProof/>
            <w:webHidden/>
          </w:rPr>
        </w:r>
        <w:r w:rsidR="00183CC8">
          <w:rPr>
            <w:noProof/>
            <w:webHidden/>
          </w:rPr>
          <w:fldChar w:fldCharType="separate"/>
        </w:r>
        <w:r w:rsidR="00183CC8">
          <w:rPr>
            <w:noProof/>
            <w:webHidden/>
          </w:rPr>
          <w:t>71</w:t>
        </w:r>
        <w:r w:rsidR="00183CC8">
          <w:rPr>
            <w:noProof/>
            <w:webHidden/>
          </w:rPr>
          <w:fldChar w:fldCharType="end"/>
        </w:r>
      </w:hyperlink>
    </w:p>
    <w:p w14:paraId="36BC1A3A" w14:textId="2AEF7381" w:rsidR="00183CC8" w:rsidRDefault="003373BF">
      <w:pPr>
        <w:pStyle w:val="TOC2"/>
        <w:tabs>
          <w:tab w:val="left" w:pos="958"/>
        </w:tabs>
        <w:rPr>
          <w:rFonts w:eastAsiaTheme="minorEastAsia" w:cstheme="minorBidi"/>
          <w:szCs w:val="24"/>
          <w:lang w:eastAsia="en-GB"/>
        </w:rPr>
      </w:pPr>
      <w:hyperlink w:anchor="_Toc90216863" w:history="1">
        <w:r w:rsidR="00183CC8" w:rsidRPr="00BA3362">
          <w:rPr>
            <w:rStyle w:val="Hyperlink"/>
          </w:rPr>
          <w:t>3.2</w:t>
        </w:r>
        <w:r w:rsidR="00183CC8">
          <w:rPr>
            <w:rFonts w:eastAsiaTheme="minorEastAsia" w:cstheme="minorBidi"/>
            <w:szCs w:val="24"/>
            <w:lang w:eastAsia="en-GB"/>
          </w:rPr>
          <w:tab/>
        </w:r>
        <w:r w:rsidR="00183CC8" w:rsidRPr="00BA3362">
          <w:rPr>
            <w:rStyle w:val="Hyperlink"/>
          </w:rPr>
          <w:t>Cross-sectioning for detailed analysis of the bacterial envelope.</w:t>
        </w:r>
        <w:r w:rsidR="00183CC8">
          <w:rPr>
            <w:webHidden/>
          </w:rPr>
          <w:tab/>
        </w:r>
        <w:r w:rsidR="00183CC8">
          <w:rPr>
            <w:webHidden/>
          </w:rPr>
          <w:fldChar w:fldCharType="begin"/>
        </w:r>
        <w:r w:rsidR="00183CC8">
          <w:rPr>
            <w:webHidden/>
          </w:rPr>
          <w:instrText xml:space="preserve"> PAGEREF _Toc90216863 \h </w:instrText>
        </w:r>
        <w:r w:rsidR="00183CC8">
          <w:rPr>
            <w:webHidden/>
          </w:rPr>
        </w:r>
        <w:r w:rsidR="00183CC8">
          <w:rPr>
            <w:webHidden/>
          </w:rPr>
          <w:fldChar w:fldCharType="separate"/>
        </w:r>
        <w:r w:rsidR="00183CC8">
          <w:rPr>
            <w:webHidden/>
          </w:rPr>
          <w:t>72</w:t>
        </w:r>
        <w:r w:rsidR="00183CC8">
          <w:rPr>
            <w:webHidden/>
          </w:rPr>
          <w:fldChar w:fldCharType="end"/>
        </w:r>
      </w:hyperlink>
    </w:p>
    <w:p w14:paraId="6946FB5F" w14:textId="7B1FDF80" w:rsidR="00183CC8" w:rsidRDefault="003373BF">
      <w:pPr>
        <w:pStyle w:val="TOC2"/>
        <w:tabs>
          <w:tab w:val="left" w:pos="958"/>
        </w:tabs>
        <w:rPr>
          <w:rFonts w:eastAsiaTheme="minorEastAsia" w:cstheme="minorBidi"/>
          <w:szCs w:val="24"/>
          <w:lang w:eastAsia="en-GB"/>
        </w:rPr>
      </w:pPr>
      <w:hyperlink w:anchor="_Toc90216864" w:history="1">
        <w:r w:rsidR="00183CC8" w:rsidRPr="00BA3362">
          <w:rPr>
            <w:rStyle w:val="Hyperlink"/>
          </w:rPr>
          <w:t>3.3</w:t>
        </w:r>
        <w:r w:rsidR="00183CC8">
          <w:rPr>
            <w:rFonts w:eastAsiaTheme="minorEastAsia" w:cstheme="minorBidi"/>
            <w:szCs w:val="24"/>
            <w:lang w:eastAsia="en-GB"/>
          </w:rPr>
          <w:tab/>
        </w:r>
        <w:r w:rsidR="00183CC8" w:rsidRPr="00BA3362">
          <w:rPr>
            <w:rStyle w:val="Hyperlink"/>
          </w:rPr>
          <w:t>Chemical fixation TEM for bacterial morphology visualisation.</w:t>
        </w:r>
        <w:r w:rsidR="00183CC8">
          <w:rPr>
            <w:webHidden/>
          </w:rPr>
          <w:tab/>
        </w:r>
        <w:r w:rsidR="00183CC8">
          <w:rPr>
            <w:webHidden/>
          </w:rPr>
          <w:fldChar w:fldCharType="begin"/>
        </w:r>
        <w:r w:rsidR="00183CC8">
          <w:rPr>
            <w:webHidden/>
          </w:rPr>
          <w:instrText xml:space="preserve"> PAGEREF _Toc90216864 \h </w:instrText>
        </w:r>
        <w:r w:rsidR="00183CC8">
          <w:rPr>
            <w:webHidden/>
          </w:rPr>
        </w:r>
        <w:r w:rsidR="00183CC8">
          <w:rPr>
            <w:webHidden/>
          </w:rPr>
          <w:fldChar w:fldCharType="separate"/>
        </w:r>
        <w:r w:rsidR="00183CC8">
          <w:rPr>
            <w:webHidden/>
          </w:rPr>
          <w:t>74</w:t>
        </w:r>
        <w:r w:rsidR="00183CC8">
          <w:rPr>
            <w:webHidden/>
          </w:rPr>
          <w:fldChar w:fldCharType="end"/>
        </w:r>
      </w:hyperlink>
    </w:p>
    <w:p w14:paraId="63265B01" w14:textId="4D299F2C" w:rsidR="00183CC8" w:rsidRDefault="003373BF">
      <w:pPr>
        <w:pStyle w:val="TOC2"/>
        <w:tabs>
          <w:tab w:val="left" w:pos="958"/>
        </w:tabs>
        <w:rPr>
          <w:rFonts w:eastAsiaTheme="minorEastAsia" w:cstheme="minorBidi"/>
          <w:szCs w:val="24"/>
          <w:lang w:eastAsia="en-GB"/>
        </w:rPr>
      </w:pPr>
      <w:hyperlink w:anchor="_Toc90216865" w:history="1">
        <w:r w:rsidR="00183CC8" w:rsidRPr="00BA3362">
          <w:rPr>
            <w:rStyle w:val="Hyperlink"/>
          </w:rPr>
          <w:t>3.4</w:t>
        </w:r>
        <w:r w:rsidR="00183CC8">
          <w:rPr>
            <w:rFonts w:eastAsiaTheme="minorEastAsia" w:cstheme="minorBidi"/>
            <w:szCs w:val="24"/>
            <w:lang w:eastAsia="en-GB"/>
          </w:rPr>
          <w:tab/>
        </w:r>
        <w:r w:rsidR="00183CC8" w:rsidRPr="00BA3362">
          <w:rPr>
            <w:rStyle w:val="Hyperlink"/>
          </w:rPr>
          <w:t>Freeze-substitution TEM for detailed morphological analysis.</w:t>
        </w:r>
        <w:r w:rsidR="00183CC8">
          <w:rPr>
            <w:webHidden/>
          </w:rPr>
          <w:tab/>
        </w:r>
        <w:r w:rsidR="00183CC8">
          <w:rPr>
            <w:webHidden/>
          </w:rPr>
          <w:fldChar w:fldCharType="begin"/>
        </w:r>
        <w:r w:rsidR="00183CC8">
          <w:rPr>
            <w:webHidden/>
          </w:rPr>
          <w:instrText xml:space="preserve"> PAGEREF _Toc90216865 \h </w:instrText>
        </w:r>
        <w:r w:rsidR="00183CC8">
          <w:rPr>
            <w:webHidden/>
          </w:rPr>
        </w:r>
        <w:r w:rsidR="00183CC8">
          <w:rPr>
            <w:webHidden/>
          </w:rPr>
          <w:fldChar w:fldCharType="separate"/>
        </w:r>
        <w:r w:rsidR="00183CC8">
          <w:rPr>
            <w:webHidden/>
          </w:rPr>
          <w:t>79</w:t>
        </w:r>
        <w:r w:rsidR="00183CC8">
          <w:rPr>
            <w:webHidden/>
          </w:rPr>
          <w:fldChar w:fldCharType="end"/>
        </w:r>
      </w:hyperlink>
    </w:p>
    <w:p w14:paraId="517E19FE" w14:textId="0D0DEAC4" w:rsidR="00183CC8" w:rsidRDefault="003373BF">
      <w:pPr>
        <w:pStyle w:val="TOC3"/>
        <w:tabs>
          <w:tab w:val="left" w:pos="1320"/>
        </w:tabs>
        <w:rPr>
          <w:rFonts w:eastAsiaTheme="minorEastAsia" w:cstheme="minorBidi"/>
          <w:noProof/>
          <w:szCs w:val="24"/>
          <w:lang w:eastAsia="en-GB"/>
        </w:rPr>
      </w:pPr>
      <w:hyperlink w:anchor="_Toc90216866" w:history="1">
        <w:r w:rsidR="00183CC8" w:rsidRPr="00BA3362">
          <w:rPr>
            <w:rStyle w:val="Hyperlink"/>
            <w:noProof/>
          </w:rPr>
          <w:t>3.4.1</w:t>
        </w:r>
        <w:r w:rsidR="00183CC8">
          <w:rPr>
            <w:rFonts w:eastAsiaTheme="minorEastAsia" w:cstheme="minorBidi"/>
            <w:noProof/>
            <w:szCs w:val="24"/>
            <w:lang w:eastAsia="en-GB"/>
          </w:rPr>
          <w:tab/>
        </w:r>
        <w:r w:rsidR="00183CC8" w:rsidRPr="00BA3362">
          <w:rPr>
            <w:rStyle w:val="Hyperlink"/>
            <w:noProof/>
          </w:rPr>
          <w:t>Testing the best methodology and cryoprotectant for HPF.</w:t>
        </w:r>
        <w:r w:rsidR="00183CC8">
          <w:rPr>
            <w:noProof/>
            <w:webHidden/>
          </w:rPr>
          <w:tab/>
        </w:r>
        <w:r w:rsidR="00183CC8">
          <w:rPr>
            <w:noProof/>
            <w:webHidden/>
          </w:rPr>
          <w:fldChar w:fldCharType="begin"/>
        </w:r>
        <w:r w:rsidR="00183CC8">
          <w:rPr>
            <w:noProof/>
            <w:webHidden/>
          </w:rPr>
          <w:instrText xml:space="preserve"> PAGEREF _Toc90216866 \h </w:instrText>
        </w:r>
        <w:r w:rsidR="00183CC8">
          <w:rPr>
            <w:noProof/>
            <w:webHidden/>
          </w:rPr>
        </w:r>
        <w:r w:rsidR="00183CC8">
          <w:rPr>
            <w:noProof/>
            <w:webHidden/>
          </w:rPr>
          <w:fldChar w:fldCharType="separate"/>
        </w:r>
        <w:r w:rsidR="00183CC8">
          <w:rPr>
            <w:noProof/>
            <w:webHidden/>
          </w:rPr>
          <w:t>79</w:t>
        </w:r>
        <w:r w:rsidR="00183CC8">
          <w:rPr>
            <w:noProof/>
            <w:webHidden/>
          </w:rPr>
          <w:fldChar w:fldCharType="end"/>
        </w:r>
      </w:hyperlink>
    </w:p>
    <w:p w14:paraId="6DB7FCF0" w14:textId="7F1B0ED9" w:rsidR="00183CC8" w:rsidRDefault="003373BF">
      <w:pPr>
        <w:pStyle w:val="TOC3"/>
        <w:tabs>
          <w:tab w:val="left" w:pos="1320"/>
        </w:tabs>
        <w:rPr>
          <w:rFonts w:eastAsiaTheme="minorEastAsia" w:cstheme="minorBidi"/>
          <w:noProof/>
          <w:szCs w:val="24"/>
          <w:lang w:eastAsia="en-GB"/>
        </w:rPr>
      </w:pPr>
      <w:hyperlink w:anchor="_Toc90216867" w:history="1">
        <w:r w:rsidR="00183CC8" w:rsidRPr="00BA3362">
          <w:rPr>
            <w:rStyle w:val="Hyperlink"/>
            <w:noProof/>
          </w:rPr>
          <w:t>3.4.2</w:t>
        </w:r>
        <w:r w:rsidR="00183CC8">
          <w:rPr>
            <w:rFonts w:eastAsiaTheme="minorEastAsia" w:cstheme="minorBidi"/>
            <w:noProof/>
            <w:szCs w:val="24"/>
            <w:lang w:eastAsia="en-GB"/>
          </w:rPr>
          <w:tab/>
        </w:r>
        <w:r w:rsidR="00183CC8" w:rsidRPr="00BA3362">
          <w:rPr>
            <w:rStyle w:val="Hyperlink"/>
            <w:noProof/>
          </w:rPr>
          <w:t>Choosing the best FS medium.</w:t>
        </w:r>
        <w:r w:rsidR="00183CC8">
          <w:rPr>
            <w:noProof/>
            <w:webHidden/>
          </w:rPr>
          <w:tab/>
        </w:r>
        <w:r w:rsidR="00183CC8">
          <w:rPr>
            <w:noProof/>
            <w:webHidden/>
          </w:rPr>
          <w:fldChar w:fldCharType="begin"/>
        </w:r>
        <w:r w:rsidR="00183CC8">
          <w:rPr>
            <w:noProof/>
            <w:webHidden/>
          </w:rPr>
          <w:instrText xml:space="preserve"> PAGEREF _Toc90216867 \h </w:instrText>
        </w:r>
        <w:r w:rsidR="00183CC8">
          <w:rPr>
            <w:noProof/>
            <w:webHidden/>
          </w:rPr>
        </w:r>
        <w:r w:rsidR="00183CC8">
          <w:rPr>
            <w:noProof/>
            <w:webHidden/>
          </w:rPr>
          <w:fldChar w:fldCharType="separate"/>
        </w:r>
        <w:r w:rsidR="00183CC8">
          <w:rPr>
            <w:noProof/>
            <w:webHidden/>
          </w:rPr>
          <w:t>86</w:t>
        </w:r>
        <w:r w:rsidR="00183CC8">
          <w:rPr>
            <w:noProof/>
            <w:webHidden/>
          </w:rPr>
          <w:fldChar w:fldCharType="end"/>
        </w:r>
      </w:hyperlink>
    </w:p>
    <w:p w14:paraId="466F70F5" w14:textId="7EF3119C" w:rsidR="00183CC8" w:rsidRDefault="003373BF">
      <w:pPr>
        <w:pStyle w:val="TOC3"/>
        <w:tabs>
          <w:tab w:val="left" w:pos="1320"/>
        </w:tabs>
        <w:rPr>
          <w:rFonts w:eastAsiaTheme="minorEastAsia" w:cstheme="minorBidi"/>
          <w:noProof/>
          <w:szCs w:val="24"/>
          <w:lang w:eastAsia="en-GB"/>
        </w:rPr>
      </w:pPr>
      <w:hyperlink w:anchor="_Toc90216868" w:history="1">
        <w:r w:rsidR="00183CC8" w:rsidRPr="00BA3362">
          <w:rPr>
            <w:rStyle w:val="Hyperlink"/>
            <w:noProof/>
          </w:rPr>
          <w:t>3.4.3</w:t>
        </w:r>
        <w:r w:rsidR="00183CC8">
          <w:rPr>
            <w:rFonts w:eastAsiaTheme="minorEastAsia" w:cstheme="minorBidi"/>
            <w:noProof/>
            <w:szCs w:val="24"/>
            <w:lang w:eastAsia="en-GB"/>
          </w:rPr>
          <w:tab/>
        </w:r>
        <w:r w:rsidR="00183CC8" w:rsidRPr="00BA3362">
          <w:rPr>
            <w:rStyle w:val="Hyperlink"/>
            <w:noProof/>
          </w:rPr>
          <w:t>Embedding, thin-sectioning and staining.</w:t>
        </w:r>
        <w:r w:rsidR="00183CC8">
          <w:rPr>
            <w:noProof/>
            <w:webHidden/>
          </w:rPr>
          <w:tab/>
        </w:r>
        <w:r w:rsidR="00183CC8">
          <w:rPr>
            <w:noProof/>
            <w:webHidden/>
          </w:rPr>
          <w:fldChar w:fldCharType="begin"/>
        </w:r>
        <w:r w:rsidR="00183CC8">
          <w:rPr>
            <w:noProof/>
            <w:webHidden/>
          </w:rPr>
          <w:instrText xml:space="preserve"> PAGEREF _Toc90216868 \h </w:instrText>
        </w:r>
        <w:r w:rsidR="00183CC8">
          <w:rPr>
            <w:noProof/>
            <w:webHidden/>
          </w:rPr>
        </w:r>
        <w:r w:rsidR="00183CC8">
          <w:rPr>
            <w:noProof/>
            <w:webHidden/>
          </w:rPr>
          <w:fldChar w:fldCharType="separate"/>
        </w:r>
        <w:r w:rsidR="00183CC8">
          <w:rPr>
            <w:noProof/>
            <w:webHidden/>
          </w:rPr>
          <w:t>90</w:t>
        </w:r>
        <w:r w:rsidR="00183CC8">
          <w:rPr>
            <w:noProof/>
            <w:webHidden/>
          </w:rPr>
          <w:fldChar w:fldCharType="end"/>
        </w:r>
      </w:hyperlink>
    </w:p>
    <w:p w14:paraId="3C4D44E4" w14:textId="27A4B3AD" w:rsidR="00183CC8" w:rsidRDefault="003373BF">
      <w:pPr>
        <w:pStyle w:val="TOC3"/>
        <w:tabs>
          <w:tab w:val="left" w:pos="1320"/>
        </w:tabs>
        <w:rPr>
          <w:rFonts w:eastAsiaTheme="minorEastAsia" w:cstheme="minorBidi"/>
          <w:noProof/>
          <w:szCs w:val="24"/>
          <w:lang w:eastAsia="en-GB"/>
        </w:rPr>
      </w:pPr>
      <w:hyperlink w:anchor="_Toc90216869" w:history="1">
        <w:r w:rsidR="00183CC8" w:rsidRPr="00BA3362">
          <w:rPr>
            <w:rStyle w:val="Hyperlink"/>
            <w:noProof/>
          </w:rPr>
          <w:t>3.4.4</w:t>
        </w:r>
        <w:r w:rsidR="00183CC8">
          <w:rPr>
            <w:rFonts w:eastAsiaTheme="minorEastAsia" w:cstheme="minorBidi"/>
            <w:noProof/>
            <w:szCs w:val="24"/>
            <w:lang w:eastAsia="en-GB"/>
          </w:rPr>
          <w:tab/>
        </w:r>
        <w:r w:rsidR="00183CC8" w:rsidRPr="00BA3362">
          <w:rPr>
            <w:rStyle w:val="Hyperlink"/>
            <w:noProof/>
          </w:rPr>
          <w:t>A quicker freeze-substitution for faster processing (SQFS).</w:t>
        </w:r>
        <w:r w:rsidR="00183CC8">
          <w:rPr>
            <w:noProof/>
            <w:webHidden/>
          </w:rPr>
          <w:tab/>
        </w:r>
        <w:r w:rsidR="00183CC8">
          <w:rPr>
            <w:noProof/>
            <w:webHidden/>
          </w:rPr>
          <w:fldChar w:fldCharType="begin"/>
        </w:r>
        <w:r w:rsidR="00183CC8">
          <w:rPr>
            <w:noProof/>
            <w:webHidden/>
          </w:rPr>
          <w:instrText xml:space="preserve"> PAGEREF _Toc90216869 \h </w:instrText>
        </w:r>
        <w:r w:rsidR="00183CC8">
          <w:rPr>
            <w:noProof/>
            <w:webHidden/>
          </w:rPr>
        </w:r>
        <w:r w:rsidR="00183CC8">
          <w:rPr>
            <w:noProof/>
            <w:webHidden/>
          </w:rPr>
          <w:fldChar w:fldCharType="separate"/>
        </w:r>
        <w:r w:rsidR="00183CC8">
          <w:rPr>
            <w:noProof/>
            <w:webHidden/>
          </w:rPr>
          <w:t>97</w:t>
        </w:r>
        <w:r w:rsidR="00183CC8">
          <w:rPr>
            <w:noProof/>
            <w:webHidden/>
          </w:rPr>
          <w:fldChar w:fldCharType="end"/>
        </w:r>
      </w:hyperlink>
    </w:p>
    <w:p w14:paraId="7B58A927" w14:textId="13A4140B" w:rsidR="00183CC8" w:rsidRDefault="003373BF">
      <w:pPr>
        <w:pStyle w:val="TOC3"/>
        <w:tabs>
          <w:tab w:val="left" w:pos="1320"/>
        </w:tabs>
        <w:rPr>
          <w:rFonts w:eastAsiaTheme="minorEastAsia" w:cstheme="minorBidi"/>
          <w:noProof/>
          <w:szCs w:val="24"/>
          <w:lang w:eastAsia="en-GB"/>
        </w:rPr>
      </w:pPr>
      <w:hyperlink w:anchor="_Toc90216870" w:history="1">
        <w:r w:rsidR="00183CC8" w:rsidRPr="00BA3362">
          <w:rPr>
            <w:rStyle w:val="Hyperlink"/>
            <w:noProof/>
          </w:rPr>
          <w:t>3.4.5</w:t>
        </w:r>
        <w:r w:rsidR="00183CC8">
          <w:rPr>
            <w:rFonts w:eastAsiaTheme="minorEastAsia" w:cstheme="minorBidi"/>
            <w:noProof/>
            <w:szCs w:val="24"/>
            <w:lang w:eastAsia="en-GB"/>
          </w:rPr>
          <w:tab/>
        </w:r>
        <w:r w:rsidR="00183CC8" w:rsidRPr="00BA3362">
          <w:rPr>
            <w:rStyle w:val="Hyperlink"/>
            <w:noProof/>
          </w:rPr>
          <w:t>Rapid infiltration and polymerisation for FS.</w:t>
        </w:r>
        <w:r w:rsidR="00183CC8">
          <w:rPr>
            <w:noProof/>
            <w:webHidden/>
          </w:rPr>
          <w:tab/>
        </w:r>
        <w:r w:rsidR="00183CC8">
          <w:rPr>
            <w:noProof/>
            <w:webHidden/>
          </w:rPr>
          <w:fldChar w:fldCharType="begin"/>
        </w:r>
        <w:r w:rsidR="00183CC8">
          <w:rPr>
            <w:noProof/>
            <w:webHidden/>
          </w:rPr>
          <w:instrText xml:space="preserve"> PAGEREF _Toc90216870 \h </w:instrText>
        </w:r>
        <w:r w:rsidR="00183CC8">
          <w:rPr>
            <w:noProof/>
            <w:webHidden/>
          </w:rPr>
        </w:r>
        <w:r w:rsidR="00183CC8">
          <w:rPr>
            <w:noProof/>
            <w:webHidden/>
          </w:rPr>
          <w:fldChar w:fldCharType="separate"/>
        </w:r>
        <w:r w:rsidR="00183CC8">
          <w:rPr>
            <w:noProof/>
            <w:webHidden/>
          </w:rPr>
          <w:t>101</w:t>
        </w:r>
        <w:r w:rsidR="00183CC8">
          <w:rPr>
            <w:noProof/>
            <w:webHidden/>
          </w:rPr>
          <w:fldChar w:fldCharType="end"/>
        </w:r>
      </w:hyperlink>
    </w:p>
    <w:p w14:paraId="135E4491" w14:textId="612145AE" w:rsidR="00183CC8" w:rsidRDefault="003373BF">
      <w:pPr>
        <w:pStyle w:val="TOC3"/>
        <w:tabs>
          <w:tab w:val="left" w:pos="1320"/>
        </w:tabs>
        <w:rPr>
          <w:rFonts w:eastAsiaTheme="minorEastAsia" w:cstheme="minorBidi"/>
          <w:noProof/>
          <w:szCs w:val="24"/>
          <w:lang w:eastAsia="en-GB"/>
        </w:rPr>
      </w:pPr>
      <w:hyperlink w:anchor="_Toc90216871" w:history="1">
        <w:r w:rsidR="00183CC8" w:rsidRPr="00BA3362">
          <w:rPr>
            <w:rStyle w:val="Hyperlink"/>
            <w:noProof/>
          </w:rPr>
          <w:t>3.4.6</w:t>
        </w:r>
        <w:r w:rsidR="00183CC8">
          <w:rPr>
            <w:rFonts w:eastAsiaTheme="minorEastAsia" w:cstheme="minorBidi"/>
            <w:noProof/>
            <w:szCs w:val="24"/>
            <w:lang w:eastAsia="en-GB"/>
          </w:rPr>
          <w:tab/>
        </w:r>
        <w:r w:rsidR="00183CC8" w:rsidRPr="00BA3362">
          <w:rPr>
            <w:rStyle w:val="Hyperlink"/>
            <w:noProof/>
          </w:rPr>
          <w:t>Freeze-substitution provides better structural preservation than chemical fixation.</w:t>
        </w:r>
        <w:r w:rsidR="00183CC8">
          <w:rPr>
            <w:noProof/>
            <w:webHidden/>
          </w:rPr>
          <w:tab/>
        </w:r>
        <w:r w:rsidR="00183CC8">
          <w:rPr>
            <w:noProof/>
            <w:webHidden/>
          </w:rPr>
          <w:fldChar w:fldCharType="begin"/>
        </w:r>
        <w:r w:rsidR="00183CC8">
          <w:rPr>
            <w:noProof/>
            <w:webHidden/>
          </w:rPr>
          <w:instrText xml:space="preserve"> PAGEREF _Toc90216871 \h </w:instrText>
        </w:r>
        <w:r w:rsidR="00183CC8">
          <w:rPr>
            <w:noProof/>
            <w:webHidden/>
          </w:rPr>
        </w:r>
        <w:r w:rsidR="00183CC8">
          <w:rPr>
            <w:noProof/>
            <w:webHidden/>
          </w:rPr>
          <w:fldChar w:fldCharType="separate"/>
        </w:r>
        <w:r w:rsidR="00183CC8">
          <w:rPr>
            <w:noProof/>
            <w:webHidden/>
          </w:rPr>
          <w:t>101</w:t>
        </w:r>
        <w:r w:rsidR="00183CC8">
          <w:rPr>
            <w:noProof/>
            <w:webHidden/>
          </w:rPr>
          <w:fldChar w:fldCharType="end"/>
        </w:r>
      </w:hyperlink>
    </w:p>
    <w:p w14:paraId="22792AD8" w14:textId="68BF12B7" w:rsidR="00183CC8" w:rsidRDefault="003373BF">
      <w:pPr>
        <w:pStyle w:val="TOC2"/>
        <w:tabs>
          <w:tab w:val="left" w:pos="958"/>
        </w:tabs>
        <w:rPr>
          <w:rFonts w:eastAsiaTheme="minorEastAsia" w:cstheme="minorBidi"/>
          <w:szCs w:val="24"/>
          <w:lang w:eastAsia="en-GB"/>
        </w:rPr>
      </w:pPr>
      <w:hyperlink w:anchor="_Toc90216872" w:history="1">
        <w:r w:rsidR="00183CC8" w:rsidRPr="00BA3362">
          <w:rPr>
            <w:rStyle w:val="Hyperlink"/>
          </w:rPr>
          <w:t>3.5</w:t>
        </w:r>
        <w:r w:rsidR="00183CC8">
          <w:rPr>
            <w:rFonts w:eastAsiaTheme="minorEastAsia" w:cstheme="minorBidi"/>
            <w:szCs w:val="24"/>
            <w:lang w:eastAsia="en-GB"/>
          </w:rPr>
          <w:tab/>
        </w:r>
        <w:r w:rsidR="00183CC8" w:rsidRPr="00BA3362">
          <w:rPr>
            <w:rStyle w:val="Hyperlink"/>
          </w:rPr>
          <w:t>Cryo-electron microscopy of vitreous sections (CEMOVIS) for observing the exoplasm.</w:t>
        </w:r>
        <w:r w:rsidR="00183CC8">
          <w:rPr>
            <w:webHidden/>
          </w:rPr>
          <w:tab/>
        </w:r>
        <w:r w:rsidR="00183CC8">
          <w:rPr>
            <w:webHidden/>
          </w:rPr>
          <w:fldChar w:fldCharType="begin"/>
        </w:r>
        <w:r w:rsidR="00183CC8">
          <w:rPr>
            <w:webHidden/>
          </w:rPr>
          <w:instrText xml:space="preserve"> PAGEREF _Toc90216872 \h </w:instrText>
        </w:r>
        <w:r w:rsidR="00183CC8">
          <w:rPr>
            <w:webHidden/>
          </w:rPr>
        </w:r>
        <w:r w:rsidR="00183CC8">
          <w:rPr>
            <w:webHidden/>
          </w:rPr>
          <w:fldChar w:fldCharType="separate"/>
        </w:r>
        <w:r w:rsidR="00183CC8">
          <w:rPr>
            <w:webHidden/>
          </w:rPr>
          <w:t>104</w:t>
        </w:r>
        <w:r w:rsidR="00183CC8">
          <w:rPr>
            <w:webHidden/>
          </w:rPr>
          <w:fldChar w:fldCharType="end"/>
        </w:r>
      </w:hyperlink>
    </w:p>
    <w:p w14:paraId="1D6D74D7" w14:textId="2A0054AA" w:rsidR="00183CC8" w:rsidRDefault="003373BF">
      <w:pPr>
        <w:pStyle w:val="TOC3"/>
        <w:tabs>
          <w:tab w:val="left" w:pos="1320"/>
        </w:tabs>
        <w:rPr>
          <w:rFonts w:eastAsiaTheme="minorEastAsia" w:cstheme="minorBidi"/>
          <w:noProof/>
          <w:szCs w:val="24"/>
          <w:lang w:eastAsia="en-GB"/>
        </w:rPr>
      </w:pPr>
      <w:hyperlink w:anchor="_Toc90216873" w:history="1">
        <w:r w:rsidR="00183CC8" w:rsidRPr="00BA3362">
          <w:rPr>
            <w:rStyle w:val="Hyperlink"/>
            <w:noProof/>
          </w:rPr>
          <w:t>3.5.1</w:t>
        </w:r>
        <w:r w:rsidR="00183CC8">
          <w:rPr>
            <w:rFonts w:eastAsiaTheme="minorEastAsia" w:cstheme="minorBidi"/>
            <w:noProof/>
            <w:szCs w:val="24"/>
            <w:lang w:eastAsia="en-GB"/>
          </w:rPr>
          <w:tab/>
        </w:r>
        <w:r w:rsidR="00183CC8" w:rsidRPr="00BA3362">
          <w:rPr>
            <w:rStyle w:val="Hyperlink"/>
            <w:noProof/>
          </w:rPr>
          <w:t>HPF – specimen tube system for CEMOVIS.</w:t>
        </w:r>
        <w:r w:rsidR="00183CC8">
          <w:rPr>
            <w:noProof/>
            <w:webHidden/>
          </w:rPr>
          <w:tab/>
        </w:r>
        <w:r w:rsidR="00183CC8">
          <w:rPr>
            <w:noProof/>
            <w:webHidden/>
          </w:rPr>
          <w:fldChar w:fldCharType="begin"/>
        </w:r>
        <w:r w:rsidR="00183CC8">
          <w:rPr>
            <w:noProof/>
            <w:webHidden/>
          </w:rPr>
          <w:instrText xml:space="preserve"> PAGEREF _Toc90216873 \h </w:instrText>
        </w:r>
        <w:r w:rsidR="00183CC8">
          <w:rPr>
            <w:noProof/>
            <w:webHidden/>
          </w:rPr>
        </w:r>
        <w:r w:rsidR="00183CC8">
          <w:rPr>
            <w:noProof/>
            <w:webHidden/>
          </w:rPr>
          <w:fldChar w:fldCharType="separate"/>
        </w:r>
        <w:r w:rsidR="00183CC8">
          <w:rPr>
            <w:noProof/>
            <w:webHidden/>
          </w:rPr>
          <w:t>104</w:t>
        </w:r>
        <w:r w:rsidR="00183CC8">
          <w:rPr>
            <w:noProof/>
            <w:webHidden/>
          </w:rPr>
          <w:fldChar w:fldCharType="end"/>
        </w:r>
      </w:hyperlink>
    </w:p>
    <w:p w14:paraId="0B2823D1" w14:textId="2C518B9E" w:rsidR="00183CC8" w:rsidRDefault="003373BF">
      <w:pPr>
        <w:pStyle w:val="TOC3"/>
        <w:tabs>
          <w:tab w:val="left" w:pos="1320"/>
        </w:tabs>
        <w:rPr>
          <w:rFonts w:eastAsiaTheme="minorEastAsia" w:cstheme="minorBidi"/>
          <w:noProof/>
          <w:szCs w:val="24"/>
          <w:lang w:eastAsia="en-GB"/>
        </w:rPr>
      </w:pPr>
      <w:hyperlink w:anchor="_Toc90216874" w:history="1">
        <w:r w:rsidR="00183CC8" w:rsidRPr="00BA3362">
          <w:rPr>
            <w:rStyle w:val="Hyperlink"/>
            <w:noProof/>
          </w:rPr>
          <w:t>3.5.2</w:t>
        </w:r>
        <w:r w:rsidR="00183CC8">
          <w:rPr>
            <w:rFonts w:eastAsiaTheme="minorEastAsia" w:cstheme="minorBidi"/>
            <w:noProof/>
            <w:szCs w:val="24"/>
            <w:lang w:eastAsia="en-GB"/>
          </w:rPr>
          <w:tab/>
        </w:r>
        <w:r w:rsidR="00183CC8" w:rsidRPr="00BA3362">
          <w:rPr>
            <w:rStyle w:val="Hyperlink"/>
            <w:noProof/>
          </w:rPr>
          <w:t>Cryo-sectioning for CEMOVIS.</w:t>
        </w:r>
        <w:r w:rsidR="00183CC8">
          <w:rPr>
            <w:noProof/>
            <w:webHidden/>
          </w:rPr>
          <w:tab/>
        </w:r>
        <w:r w:rsidR="00183CC8">
          <w:rPr>
            <w:noProof/>
            <w:webHidden/>
          </w:rPr>
          <w:fldChar w:fldCharType="begin"/>
        </w:r>
        <w:r w:rsidR="00183CC8">
          <w:rPr>
            <w:noProof/>
            <w:webHidden/>
          </w:rPr>
          <w:instrText xml:space="preserve"> PAGEREF _Toc90216874 \h </w:instrText>
        </w:r>
        <w:r w:rsidR="00183CC8">
          <w:rPr>
            <w:noProof/>
            <w:webHidden/>
          </w:rPr>
        </w:r>
        <w:r w:rsidR="00183CC8">
          <w:rPr>
            <w:noProof/>
            <w:webHidden/>
          </w:rPr>
          <w:fldChar w:fldCharType="separate"/>
        </w:r>
        <w:r w:rsidR="00183CC8">
          <w:rPr>
            <w:noProof/>
            <w:webHidden/>
          </w:rPr>
          <w:t>105</w:t>
        </w:r>
        <w:r w:rsidR="00183CC8">
          <w:rPr>
            <w:noProof/>
            <w:webHidden/>
          </w:rPr>
          <w:fldChar w:fldCharType="end"/>
        </w:r>
      </w:hyperlink>
    </w:p>
    <w:p w14:paraId="1DF2B5E3" w14:textId="6E6B4283" w:rsidR="00183CC8" w:rsidRDefault="003373BF">
      <w:pPr>
        <w:pStyle w:val="TOC3"/>
        <w:tabs>
          <w:tab w:val="left" w:pos="1320"/>
        </w:tabs>
        <w:rPr>
          <w:rFonts w:eastAsiaTheme="minorEastAsia" w:cstheme="minorBidi"/>
          <w:noProof/>
          <w:szCs w:val="24"/>
          <w:lang w:eastAsia="en-GB"/>
        </w:rPr>
      </w:pPr>
      <w:hyperlink w:anchor="_Toc90216875" w:history="1">
        <w:r w:rsidR="00183CC8" w:rsidRPr="00BA3362">
          <w:rPr>
            <w:rStyle w:val="Hyperlink"/>
            <w:noProof/>
          </w:rPr>
          <w:t>3.5.3</w:t>
        </w:r>
        <w:r w:rsidR="00183CC8">
          <w:rPr>
            <w:rFonts w:eastAsiaTheme="minorEastAsia" w:cstheme="minorBidi"/>
            <w:noProof/>
            <w:szCs w:val="24"/>
            <w:lang w:eastAsia="en-GB"/>
          </w:rPr>
          <w:tab/>
        </w:r>
        <w:r w:rsidR="00183CC8" w:rsidRPr="00BA3362">
          <w:rPr>
            <w:rStyle w:val="Hyperlink"/>
            <w:noProof/>
          </w:rPr>
          <w:t>Best structural preservation and detail with CEMOVIS.</w:t>
        </w:r>
        <w:r w:rsidR="00183CC8">
          <w:rPr>
            <w:noProof/>
            <w:webHidden/>
          </w:rPr>
          <w:tab/>
        </w:r>
        <w:r w:rsidR="00183CC8">
          <w:rPr>
            <w:noProof/>
            <w:webHidden/>
          </w:rPr>
          <w:fldChar w:fldCharType="begin"/>
        </w:r>
        <w:r w:rsidR="00183CC8">
          <w:rPr>
            <w:noProof/>
            <w:webHidden/>
          </w:rPr>
          <w:instrText xml:space="preserve"> PAGEREF _Toc90216875 \h </w:instrText>
        </w:r>
        <w:r w:rsidR="00183CC8">
          <w:rPr>
            <w:noProof/>
            <w:webHidden/>
          </w:rPr>
        </w:r>
        <w:r w:rsidR="00183CC8">
          <w:rPr>
            <w:noProof/>
            <w:webHidden/>
          </w:rPr>
          <w:fldChar w:fldCharType="separate"/>
        </w:r>
        <w:r w:rsidR="00183CC8">
          <w:rPr>
            <w:noProof/>
            <w:webHidden/>
          </w:rPr>
          <w:t>110</w:t>
        </w:r>
        <w:r w:rsidR="00183CC8">
          <w:rPr>
            <w:noProof/>
            <w:webHidden/>
          </w:rPr>
          <w:fldChar w:fldCharType="end"/>
        </w:r>
      </w:hyperlink>
    </w:p>
    <w:p w14:paraId="03387858" w14:textId="767FFDC2" w:rsidR="00183CC8" w:rsidRDefault="003373BF">
      <w:pPr>
        <w:pStyle w:val="TOC2"/>
        <w:tabs>
          <w:tab w:val="left" w:pos="958"/>
        </w:tabs>
        <w:rPr>
          <w:rFonts w:eastAsiaTheme="minorEastAsia" w:cstheme="minorBidi"/>
          <w:szCs w:val="24"/>
          <w:lang w:eastAsia="en-GB"/>
        </w:rPr>
      </w:pPr>
      <w:hyperlink w:anchor="_Toc90216876" w:history="1">
        <w:r w:rsidR="00183CC8" w:rsidRPr="00BA3362">
          <w:rPr>
            <w:rStyle w:val="Hyperlink"/>
          </w:rPr>
          <w:t>3.6</w:t>
        </w:r>
        <w:r w:rsidR="00183CC8">
          <w:rPr>
            <w:rFonts w:eastAsiaTheme="minorEastAsia" w:cstheme="minorBidi"/>
            <w:szCs w:val="24"/>
            <w:lang w:eastAsia="en-GB"/>
          </w:rPr>
          <w:tab/>
        </w:r>
        <w:r w:rsidR="00183CC8" w:rsidRPr="00BA3362">
          <w:rPr>
            <w:rStyle w:val="Hyperlink"/>
          </w:rPr>
          <w:t>Discussion.</w:t>
        </w:r>
        <w:r w:rsidR="00183CC8">
          <w:rPr>
            <w:webHidden/>
          </w:rPr>
          <w:tab/>
        </w:r>
        <w:r w:rsidR="00183CC8">
          <w:rPr>
            <w:webHidden/>
          </w:rPr>
          <w:fldChar w:fldCharType="begin"/>
        </w:r>
        <w:r w:rsidR="00183CC8">
          <w:rPr>
            <w:webHidden/>
          </w:rPr>
          <w:instrText xml:space="preserve"> PAGEREF _Toc90216876 \h </w:instrText>
        </w:r>
        <w:r w:rsidR="00183CC8">
          <w:rPr>
            <w:webHidden/>
          </w:rPr>
        </w:r>
        <w:r w:rsidR="00183CC8">
          <w:rPr>
            <w:webHidden/>
          </w:rPr>
          <w:fldChar w:fldCharType="separate"/>
        </w:r>
        <w:r w:rsidR="00183CC8">
          <w:rPr>
            <w:webHidden/>
          </w:rPr>
          <w:t>112</w:t>
        </w:r>
        <w:r w:rsidR="00183CC8">
          <w:rPr>
            <w:webHidden/>
          </w:rPr>
          <w:fldChar w:fldCharType="end"/>
        </w:r>
      </w:hyperlink>
    </w:p>
    <w:p w14:paraId="286D8842" w14:textId="79EA6F86" w:rsidR="00183CC8" w:rsidRDefault="003373BF">
      <w:pPr>
        <w:pStyle w:val="TOC1"/>
        <w:rPr>
          <w:rFonts w:eastAsiaTheme="minorEastAsia" w:cstheme="minorBidi"/>
          <w:b w:val="0"/>
          <w:szCs w:val="24"/>
          <w:lang w:eastAsia="en-GB"/>
        </w:rPr>
      </w:pPr>
      <w:hyperlink w:anchor="_Toc90216877" w:history="1">
        <w:r w:rsidR="00183CC8">
          <w:rPr>
            <w:rFonts w:eastAsiaTheme="minorEastAsia" w:cstheme="minorBidi"/>
            <w:b w:val="0"/>
            <w:szCs w:val="24"/>
            <w:lang w:eastAsia="en-GB"/>
          </w:rPr>
          <w:tab/>
        </w:r>
        <w:r w:rsidR="00183CC8" w:rsidRPr="00BA3362">
          <w:rPr>
            <w:rStyle w:val="Hyperlink"/>
          </w:rPr>
          <w:t>Chapter 4</w:t>
        </w:r>
        <w:r w:rsidR="00183CC8">
          <w:rPr>
            <w:webHidden/>
          </w:rPr>
          <w:tab/>
        </w:r>
        <w:r w:rsidR="00183CC8">
          <w:rPr>
            <w:webHidden/>
          </w:rPr>
          <w:fldChar w:fldCharType="begin"/>
        </w:r>
        <w:r w:rsidR="00183CC8">
          <w:rPr>
            <w:webHidden/>
          </w:rPr>
          <w:instrText xml:space="preserve"> PAGEREF _Toc90216877 \h </w:instrText>
        </w:r>
        <w:r w:rsidR="00183CC8">
          <w:rPr>
            <w:webHidden/>
          </w:rPr>
        </w:r>
        <w:r w:rsidR="00183CC8">
          <w:rPr>
            <w:webHidden/>
          </w:rPr>
          <w:fldChar w:fldCharType="separate"/>
        </w:r>
        <w:r w:rsidR="00183CC8">
          <w:rPr>
            <w:webHidden/>
          </w:rPr>
          <w:t>118</w:t>
        </w:r>
        <w:r w:rsidR="00183CC8">
          <w:rPr>
            <w:webHidden/>
          </w:rPr>
          <w:fldChar w:fldCharType="end"/>
        </w:r>
      </w:hyperlink>
    </w:p>
    <w:p w14:paraId="0D111FFA" w14:textId="13D19D75" w:rsidR="00183CC8" w:rsidRDefault="003373BF">
      <w:pPr>
        <w:pStyle w:val="TOC1"/>
        <w:rPr>
          <w:rFonts w:eastAsiaTheme="minorEastAsia" w:cstheme="minorBidi"/>
          <w:b w:val="0"/>
          <w:szCs w:val="24"/>
          <w:lang w:eastAsia="en-GB"/>
        </w:rPr>
      </w:pPr>
      <w:hyperlink w:anchor="_Toc90216878" w:history="1">
        <w:r w:rsidR="00183CC8" w:rsidRPr="00BA3362">
          <w:rPr>
            <w:rStyle w:val="Hyperlink"/>
          </w:rPr>
          <w:t xml:space="preserve">Analysis of the </w:t>
        </w:r>
        <w:r w:rsidR="00183CC8" w:rsidRPr="00BA3362">
          <w:rPr>
            <w:rStyle w:val="Hyperlink"/>
            <w:i/>
            <w:iCs/>
          </w:rPr>
          <w:t>S. aureus</w:t>
        </w:r>
        <w:r w:rsidR="00183CC8" w:rsidRPr="00BA3362">
          <w:rPr>
            <w:rStyle w:val="Hyperlink"/>
          </w:rPr>
          <w:t xml:space="preserve"> Exoplasm</w:t>
        </w:r>
        <w:r w:rsidR="00183CC8">
          <w:rPr>
            <w:webHidden/>
          </w:rPr>
          <w:tab/>
        </w:r>
        <w:r w:rsidR="00183CC8">
          <w:rPr>
            <w:webHidden/>
          </w:rPr>
          <w:fldChar w:fldCharType="begin"/>
        </w:r>
        <w:r w:rsidR="00183CC8">
          <w:rPr>
            <w:webHidden/>
          </w:rPr>
          <w:instrText xml:space="preserve"> PAGEREF _Toc90216878 \h </w:instrText>
        </w:r>
        <w:r w:rsidR="00183CC8">
          <w:rPr>
            <w:webHidden/>
          </w:rPr>
        </w:r>
        <w:r w:rsidR="00183CC8">
          <w:rPr>
            <w:webHidden/>
          </w:rPr>
          <w:fldChar w:fldCharType="separate"/>
        </w:r>
        <w:r w:rsidR="00183CC8">
          <w:rPr>
            <w:webHidden/>
          </w:rPr>
          <w:t>118</w:t>
        </w:r>
        <w:r w:rsidR="00183CC8">
          <w:rPr>
            <w:webHidden/>
          </w:rPr>
          <w:fldChar w:fldCharType="end"/>
        </w:r>
      </w:hyperlink>
    </w:p>
    <w:p w14:paraId="650475B0" w14:textId="39FC074C" w:rsidR="00183CC8" w:rsidRDefault="003373BF">
      <w:pPr>
        <w:pStyle w:val="TOC2"/>
        <w:tabs>
          <w:tab w:val="left" w:pos="958"/>
        </w:tabs>
        <w:rPr>
          <w:rFonts w:eastAsiaTheme="minorEastAsia" w:cstheme="minorBidi"/>
          <w:szCs w:val="24"/>
          <w:lang w:eastAsia="en-GB"/>
        </w:rPr>
      </w:pPr>
      <w:hyperlink w:anchor="_Toc90216879" w:history="1">
        <w:r w:rsidR="00183CC8" w:rsidRPr="00BA3362">
          <w:rPr>
            <w:rStyle w:val="Hyperlink"/>
          </w:rPr>
          <w:t>4.1</w:t>
        </w:r>
        <w:r w:rsidR="00183CC8">
          <w:rPr>
            <w:rFonts w:eastAsiaTheme="minorEastAsia" w:cstheme="minorBidi"/>
            <w:szCs w:val="24"/>
            <w:lang w:eastAsia="en-GB"/>
          </w:rPr>
          <w:tab/>
        </w:r>
        <w:r w:rsidR="00183CC8" w:rsidRPr="00BA3362">
          <w:rPr>
            <w:rStyle w:val="Hyperlink"/>
          </w:rPr>
          <w:t>Introduction.</w:t>
        </w:r>
        <w:r w:rsidR="00183CC8">
          <w:rPr>
            <w:webHidden/>
          </w:rPr>
          <w:tab/>
        </w:r>
        <w:r w:rsidR="00183CC8">
          <w:rPr>
            <w:webHidden/>
          </w:rPr>
          <w:fldChar w:fldCharType="begin"/>
        </w:r>
        <w:r w:rsidR="00183CC8">
          <w:rPr>
            <w:webHidden/>
          </w:rPr>
          <w:instrText xml:space="preserve"> PAGEREF _Toc90216879 \h </w:instrText>
        </w:r>
        <w:r w:rsidR="00183CC8">
          <w:rPr>
            <w:webHidden/>
          </w:rPr>
        </w:r>
        <w:r w:rsidR="00183CC8">
          <w:rPr>
            <w:webHidden/>
          </w:rPr>
          <w:fldChar w:fldCharType="separate"/>
        </w:r>
        <w:r w:rsidR="00183CC8">
          <w:rPr>
            <w:webHidden/>
          </w:rPr>
          <w:t>118</w:t>
        </w:r>
        <w:r w:rsidR="00183CC8">
          <w:rPr>
            <w:webHidden/>
          </w:rPr>
          <w:fldChar w:fldCharType="end"/>
        </w:r>
      </w:hyperlink>
    </w:p>
    <w:p w14:paraId="7723BFCB" w14:textId="495D9613" w:rsidR="00183CC8" w:rsidRDefault="003373BF">
      <w:pPr>
        <w:pStyle w:val="TOC3"/>
        <w:tabs>
          <w:tab w:val="left" w:pos="1320"/>
        </w:tabs>
        <w:rPr>
          <w:rFonts w:eastAsiaTheme="minorEastAsia" w:cstheme="minorBidi"/>
          <w:noProof/>
          <w:szCs w:val="24"/>
          <w:lang w:eastAsia="en-GB"/>
        </w:rPr>
      </w:pPr>
      <w:hyperlink w:anchor="_Toc90216880" w:history="1">
        <w:r w:rsidR="00183CC8" w:rsidRPr="00BA3362">
          <w:rPr>
            <w:rStyle w:val="Hyperlink"/>
            <w:noProof/>
          </w:rPr>
          <w:t>4.1.1</w:t>
        </w:r>
        <w:r w:rsidR="00183CC8">
          <w:rPr>
            <w:rFonts w:eastAsiaTheme="minorEastAsia" w:cstheme="minorBidi"/>
            <w:noProof/>
            <w:szCs w:val="24"/>
            <w:lang w:eastAsia="en-GB"/>
          </w:rPr>
          <w:tab/>
        </w:r>
        <w:r w:rsidR="00183CC8" w:rsidRPr="00BA3362">
          <w:rPr>
            <w:rStyle w:val="Hyperlink"/>
            <w:noProof/>
          </w:rPr>
          <w:t>Aims of this chapter.</w:t>
        </w:r>
        <w:r w:rsidR="00183CC8">
          <w:rPr>
            <w:noProof/>
            <w:webHidden/>
          </w:rPr>
          <w:tab/>
        </w:r>
        <w:r w:rsidR="00183CC8">
          <w:rPr>
            <w:noProof/>
            <w:webHidden/>
          </w:rPr>
          <w:fldChar w:fldCharType="begin"/>
        </w:r>
        <w:r w:rsidR="00183CC8">
          <w:rPr>
            <w:noProof/>
            <w:webHidden/>
          </w:rPr>
          <w:instrText xml:space="preserve"> PAGEREF _Toc90216880 \h </w:instrText>
        </w:r>
        <w:r w:rsidR="00183CC8">
          <w:rPr>
            <w:noProof/>
            <w:webHidden/>
          </w:rPr>
        </w:r>
        <w:r w:rsidR="00183CC8">
          <w:rPr>
            <w:noProof/>
            <w:webHidden/>
          </w:rPr>
          <w:fldChar w:fldCharType="separate"/>
        </w:r>
        <w:r w:rsidR="00183CC8">
          <w:rPr>
            <w:noProof/>
            <w:webHidden/>
          </w:rPr>
          <w:t>122</w:t>
        </w:r>
        <w:r w:rsidR="00183CC8">
          <w:rPr>
            <w:noProof/>
            <w:webHidden/>
          </w:rPr>
          <w:fldChar w:fldCharType="end"/>
        </w:r>
      </w:hyperlink>
    </w:p>
    <w:p w14:paraId="3181CD4D" w14:textId="10B766EE" w:rsidR="00183CC8" w:rsidRDefault="003373BF">
      <w:pPr>
        <w:pStyle w:val="TOC2"/>
        <w:tabs>
          <w:tab w:val="left" w:pos="958"/>
        </w:tabs>
        <w:rPr>
          <w:rFonts w:eastAsiaTheme="minorEastAsia" w:cstheme="minorBidi"/>
          <w:szCs w:val="24"/>
          <w:lang w:eastAsia="en-GB"/>
        </w:rPr>
      </w:pPr>
      <w:hyperlink w:anchor="_Toc90216881" w:history="1">
        <w:r w:rsidR="00183CC8" w:rsidRPr="00BA3362">
          <w:rPr>
            <w:rStyle w:val="Hyperlink"/>
          </w:rPr>
          <w:t>4.2</w:t>
        </w:r>
        <w:r w:rsidR="00183CC8">
          <w:rPr>
            <w:rFonts w:eastAsiaTheme="minorEastAsia" w:cstheme="minorBidi"/>
            <w:szCs w:val="24"/>
            <w:lang w:eastAsia="en-GB"/>
          </w:rPr>
          <w:tab/>
        </w:r>
        <w:r w:rsidR="00183CC8" w:rsidRPr="00BA3362">
          <w:rPr>
            <w:rStyle w:val="Hyperlink"/>
          </w:rPr>
          <w:t>The exoplasm as seen by electron microscopy.</w:t>
        </w:r>
        <w:r w:rsidR="00183CC8">
          <w:rPr>
            <w:webHidden/>
          </w:rPr>
          <w:tab/>
        </w:r>
        <w:r w:rsidR="00183CC8">
          <w:rPr>
            <w:webHidden/>
          </w:rPr>
          <w:fldChar w:fldCharType="begin"/>
        </w:r>
        <w:r w:rsidR="00183CC8">
          <w:rPr>
            <w:webHidden/>
          </w:rPr>
          <w:instrText xml:space="preserve"> PAGEREF _Toc90216881 \h </w:instrText>
        </w:r>
        <w:r w:rsidR="00183CC8">
          <w:rPr>
            <w:webHidden/>
          </w:rPr>
        </w:r>
        <w:r w:rsidR="00183CC8">
          <w:rPr>
            <w:webHidden/>
          </w:rPr>
          <w:fldChar w:fldCharType="separate"/>
        </w:r>
        <w:r w:rsidR="00183CC8">
          <w:rPr>
            <w:webHidden/>
          </w:rPr>
          <w:t>123</w:t>
        </w:r>
        <w:r w:rsidR="00183CC8">
          <w:rPr>
            <w:webHidden/>
          </w:rPr>
          <w:fldChar w:fldCharType="end"/>
        </w:r>
      </w:hyperlink>
    </w:p>
    <w:p w14:paraId="5BADD4DE" w14:textId="65CC3EF0" w:rsidR="00183CC8" w:rsidRDefault="003373BF">
      <w:pPr>
        <w:pStyle w:val="TOC3"/>
        <w:tabs>
          <w:tab w:val="left" w:pos="1320"/>
        </w:tabs>
        <w:rPr>
          <w:rFonts w:eastAsiaTheme="minorEastAsia" w:cstheme="minorBidi"/>
          <w:noProof/>
          <w:szCs w:val="24"/>
          <w:lang w:eastAsia="en-GB"/>
        </w:rPr>
      </w:pPr>
      <w:hyperlink w:anchor="_Toc90216882" w:history="1">
        <w:r w:rsidR="00183CC8" w:rsidRPr="00BA3362">
          <w:rPr>
            <w:rStyle w:val="Hyperlink"/>
            <w:noProof/>
          </w:rPr>
          <w:t>4.2.1</w:t>
        </w:r>
        <w:r w:rsidR="00183CC8">
          <w:rPr>
            <w:rFonts w:eastAsiaTheme="minorEastAsia" w:cstheme="minorBidi"/>
            <w:noProof/>
            <w:szCs w:val="24"/>
            <w:lang w:eastAsia="en-GB"/>
          </w:rPr>
          <w:tab/>
        </w:r>
        <w:r w:rsidR="00183CC8" w:rsidRPr="00BA3362">
          <w:rPr>
            <w:rStyle w:val="Hyperlink"/>
            <w:noProof/>
          </w:rPr>
          <w:t>The bacterial envelope of SH1000 analysed by chemical fixation TEM.</w:t>
        </w:r>
        <w:r w:rsidR="00183CC8">
          <w:rPr>
            <w:noProof/>
            <w:webHidden/>
          </w:rPr>
          <w:tab/>
        </w:r>
        <w:r w:rsidR="00183CC8">
          <w:rPr>
            <w:noProof/>
            <w:webHidden/>
          </w:rPr>
          <w:fldChar w:fldCharType="begin"/>
        </w:r>
        <w:r w:rsidR="00183CC8">
          <w:rPr>
            <w:noProof/>
            <w:webHidden/>
          </w:rPr>
          <w:instrText xml:space="preserve"> PAGEREF _Toc90216882 \h </w:instrText>
        </w:r>
        <w:r w:rsidR="00183CC8">
          <w:rPr>
            <w:noProof/>
            <w:webHidden/>
          </w:rPr>
        </w:r>
        <w:r w:rsidR="00183CC8">
          <w:rPr>
            <w:noProof/>
            <w:webHidden/>
          </w:rPr>
          <w:fldChar w:fldCharType="separate"/>
        </w:r>
        <w:r w:rsidR="00183CC8">
          <w:rPr>
            <w:noProof/>
            <w:webHidden/>
          </w:rPr>
          <w:t>123</w:t>
        </w:r>
        <w:r w:rsidR="00183CC8">
          <w:rPr>
            <w:noProof/>
            <w:webHidden/>
          </w:rPr>
          <w:fldChar w:fldCharType="end"/>
        </w:r>
      </w:hyperlink>
    </w:p>
    <w:p w14:paraId="36CC36F2" w14:textId="7F077B69" w:rsidR="00183CC8" w:rsidRDefault="003373BF">
      <w:pPr>
        <w:pStyle w:val="TOC3"/>
        <w:tabs>
          <w:tab w:val="left" w:pos="1320"/>
        </w:tabs>
        <w:rPr>
          <w:rFonts w:eastAsiaTheme="minorEastAsia" w:cstheme="minorBidi"/>
          <w:noProof/>
          <w:szCs w:val="24"/>
          <w:lang w:eastAsia="en-GB"/>
        </w:rPr>
      </w:pPr>
      <w:hyperlink w:anchor="_Toc90216883" w:history="1">
        <w:r w:rsidR="00183CC8" w:rsidRPr="00BA3362">
          <w:rPr>
            <w:rStyle w:val="Hyperlink"/>
            <w:noProof/>
          </w:rPr>
          <w:t>4.2.2</w:t>
        </w:r>
        <w:r w:rsidR="00183CC8">
          <w:rPr>
            <w:rFonts w:eastAsiaTheme="minorEastAsia" w:cstheme="minorBidi"/>
            <w:noProof/>
            <w:szCs w:val="24"/>
            <w:lang w:eastAsia="en-GB"/>
          </w:rPr>
          <w:tab/>
        </w:r>
        <w:r w:rsidR="00183CC8" w:rsidRPr="00BA3362">
          <w:rPr>
            <w:rStyle w:val="Hyperlink"/>
            <w:noProof/>
          </w:rPr>
          <w:t>The bacterial envelope of SH1000 analysed by freeze-substitution TEM.</w:t>
        </w:r>
        <w:r w:rsidR="00183CC8">
          <w:rPr>
            <w:noProof/>
            <w:webHidden/>
          </w:rPr>
          <w:tab/>
        </w:r>
        <w:r w:rsidR="00183CC8">
          <w:rPr>
            <w:noProof/>
            <w:webHidden/>
          </w:rPr>
          <w:fldChar w:fldCharType="begin"/>
        </w:r>
        <w:r w:rsidR="00183CC8">
          <w:rPr>
            <w:noProof/>
            <w:webHidden/>
          </w:rPr>
          <w:instrText xml:space="preserve"> PAGEREF _Toc90216883 \h </w:instrText>
        </w:r>
        <w:r w:rsidR="00183CC8">
          <w:rPr>
            <w:noProof/>
            <w:webHidden/>
          </w:rPr>
        </w:r>
        <w:r w:rsidR="00183CC8">
          <w:rPr>
            <w:noProof/>
            <w:webHidden/>
          </w:rPr>
          <w:fldChar w:fldCharType="separate"/>
        </w:r>
        <w:r w:rsidR="00183CC8">
          <w:rPr>
            <w:noProof/>
            <w:webHidden/>
          </w:rPr>
          <w:t>125</w:t>
        </w:r>
        <w:r w:rsidR="00183CC8">
          <w:rPr>
            <w:noProof/>
            <w:webHidden/>
          </w:rPr>
          <w:fldChar w:fldCharType="end"/>
        </w:r>
      </w:hyperlink>
    </w:p>
    <w:p w14:paraId="5364A3C6" w14:textId="5778CCE8" w:rsidR="00183CC8" w:rsidRDefault="003373BF">
      <w:pPr>
        <w:pStyle w:val="TOC3"/>
        <w:tabs>
          <w:tab w:val="left" w:pos="1320"/>
        </w:tabs>
        <w:rPr>
          <w:rFonts w:eastAsiaTheme="minorEastAsia" w:cstheme="minorBidi"/>
          <w:noProof/>
          <w:szCs w:val="24"/>
          <w:lang w:eastAsia="en-GB"/>
        </w:rPr>
      </w:pPr>
      <w:hyperlink w:anchor="_Toc90216884" w:history="1">
        <w:r w:rsidR="00183CC8" w:rsidRPr="00BA3362">
          <w:rPr>
            <w:rStyle w:val="Hyperlink"/>
            <w:noProof/>
          </w:rPr>
          <w:t>4.2.3</w:t>
        </w:r>
        <w:r w:rsidR="00183CC8">
          <w:rPr>
            <w:rFonts w:eastAsiaTheme="minorEastAsia" w:cstheme="minorBidi"/>
            <w:noProof/>
            <w:szCs w:val="24"/>
            <w:lang w:eastAsia="en-GB"/>
          </w:rPr>
          <w:tab/>
        </w:r>
        <w:r w:rsidR="00183CC8" w:rsidRPr="00BA3362">
          <w:rPr>
            <w:rStyle w:val="Hyperlink"/>
            <w:noProof/>
          </w:rPr>
          <w:t>The bacterial envelope of SH1000 analysed by CEMOVIS.</w:t>
        </w:r>
        <w:r w:rsidR="00183CC8">
          <w:rPr>
            <w:noProof/>
            <w:webHidden/>
          </w:rPr>
          <w:tab/>
        </w:r>
        <w:r w:rsidR="00183CC8">
          <w:rPr>
            <w:noProof/>
            <w:webHidden/>
          </w:rPr>
          <w:fldChar w:fldCharType="begin"/>
        </w:r>
        <w:r w:rsidR="00183CC8">
          <w:rPr>
            <w:noProof/>
            <w:webHidden/>
          </w:rPr>
          <w:instrText xml:space="preserve"> PAGEREF _Toc90216884 \h </w:instrText>
        </w:r>
        <w:r w:rsidR="00183CC8">
          <w:rPr>
            <w:noProof/>
            <w:webHidden/>
          </w:rPr>
        </w:r>
        <w:r w:rsidR="00183CC8">
          <w:rPr>
            <w:noProof/>
            <w:webHidden/>
          </w:rPr>
          <w:fldChar w:fldCharType="separate"/>
        </w:r>
        <w:r w:rsidR="00183CC8">
          <w:rPr>
            <w:noProof/>
            <w:webHidden/>
          </w:rPr>
          <w:t>129</w:t>
        </w:r>
        <w:r w:rsidR="00183CC8">
          <w:rPr>
            <w:noProof/>
            <w:webHidden/>
          </w:rPr>
          <w:fldChar w:fldCharType="end"/>
        </w:r>
      </w:hyperlink>
    </w:p>
    <w:p w14:paraId="56EBD62B" w14:textId="0F488669" w:rsidR="00183CC8" w:rsidRDefault="003373BF">
      <w:pPr>
        <w:pStyle w:val="TOC2"/>
        <w:tabs>
          <w:tab w:val="left" w:pos="958"/>
        </w:tabs>
        <w:rPr>
          <w:rFonts w:eastAsiaTheme="minorEastAsia" w:cstheme="minorBidi"/>
          <w:szCs w:val="24"/>
          <w:lang w:eastAsia="en-GB"/>
        </w:rPr>
      </w:pPr>
      <w:hyperlink w:anchor="_Toc90216885" w:history="1">
        <w:r w:rsidR="00183CC8" w:rsidRPr="00BA3362">
          <w:rPr>
            <w:rStyle w:val="Hyperlink"/>
          </w:rPr>
          <w:t>4.3</w:t>
        </w:r>
        <w:r w:rsidR="00183CC8">
          <w:rPr>
            <w:rFonts w:eastAsiaTheme="minorEastAsia" w:cstheme="minorBidi"/>
            <w:szCs w:val="24"/>
            <w:lang w:eastAsia="en-GB"/>
          </w:rPr>
          <w:tab/>
        </w:r>
        <w:r w:rsidR="00183CC8" w:rsidRPr="00BA3362">
          <w:rPr>
            <w:rStyle w:val="Hyperlink"/>
          </w:rPr>
          <w:t>The exoplasm and the lack of teichoic acids.</w:t>
        </w:r>
        <w:r w:rsidR="00183CC8">
          <w:rPr>
            <w:webHidden/>
          </w:rPr>
          <w:tab/>
        </w:r>
        <w:r w:rsidR="00183CC8">
          <w:rPr>
            <w:webHidden/>
          </w:rPr>
          <w:fldChar w:fldCharType="begin"/>
        </w:r>
        <w:r w:rsidR="00183CC8">
          <w:rPr>
            <w:webHidden/>
          </w:rPr>
          <w:instrText xml:space="preserve"> PAGEREF _Toc90216885 \h </w:instrText>
        </w:r>
        <w:r w:rsidR="00183CC8">
          <w:rPr>
            <w:webHidden/>
          </w:rPr>
        </w:r>
        <w:r w:rsidR="00183CC8">
          <w:rPr>
            <w:webHidden/>
          </w:rPr>
          <w:fldChar w:fldCharType="separate"/>
        </w:r>
        <w:r w:rsidR="00183CC8">
          <w:rPr>
            <w:webHidden/>
          </w:rPr>
          <w:t>133</w:t>
        </w:r>
        <w:r w:rsidR="00183CC8">
          <w:rPr>
            <w:webHidden/>
          </w:rPr>
          <w:fldChar w:fldCharType="end"/>
        </w:r>
      </w:hyperlink>
    </w:p>
    <w:p w14:paraId="30841766" w14:textId="3C185B47" w:rsidR="00183CC8" w:rsidRDefault="003373BF">
      <w:pPr>
        <w:pStyle w:val="TOC3"/>
        <w:tabs>
          <w:tab w:val="left" w:pos="1320"/>
        </w:tabs>
        <w:rPr>
          <w:rFonts w:eastAsiaTheme="minorEastAsia" w:cstheme="minorBidi"/>
          <w:noProof/>
          <w:szCs w:val="24"/>
          <w:lang w:eastAsia="en-GB"/>
        </w:rPr>
      </w:pPr>
      <w:hyperlink w:anchor="_Toc90216886" w:history="1">
        <w:r w:rsidR="00183CC8" w:rsidRPr="00BA3362">
          <w:rPr>
            <w:rStyle w:val="Hyperlink"/>
            <w:iCs/>
            <w:noProof/>
          </w:rPr>
          <w:t>4.3.1</w:t>
        </w:r>
        <w:r w:rsidR="00183CC8">
          <w:rPr>
            <w:rFonts w:eastAsiaTheme="minorEastAsia" w:cstheme="minorBidi"/>
            <w:noProof/>
            <w:szCs w:val="24"/>
            <w:lang w:eastAsia="en-GB"/>
          </w:rPr>
          <w:tab/>
        </w:r>
        <w:r w:rsidR="00183CC8" w:rsidRPr="00BA3362">
          <w:rPr>
            <w:rStyle w:val="Hyperlink"/>
            <w:noProof/>
          </w:rPr>
          <w:t>Lack of WTA: survival and morphological effects.</w:t>
        </w:r>
        <w:r w:rsidR="00183CC8">
          <w:rPr>
            <w:noProof/>
            <w:webHidden/>
          </w:rPr>
          <w:tab/>
        </w:r>
        <w:r w:rsidR="00183CC8">
          <w:rPr>
            <w:noProof/>
            <w:webHidden/>
          </w:rPr>
          <w:fldChar w:fldCharType="begin"/>
        </w:r>
        <w:r w:rsidR="00183CC8">
          <w:rPr>
            <w:noProof/>
            <w:webHidden/>
          </w:rPr>
          <w:instrText xml:space="preserve"> PAGEREF _Toc90216886 \h </w:instrText>
        </w:r>
        <w:r w:rsidR="00183CC8">
          <w:rPr>
            <w:noProof/>
            <w:webHidden/>
          </w:rPr>
        </w:r>
        <w:r w:rsidR="00183CC8">
          <w:rPr>
            <w:noProof/>
            <w:webHidden/>
          </w:rPr>
          <w:fldChar w:fldCharType="separate"/>
        </w:r>
        <w:r w:rsidR="00183CC8">
          <w:rPr>
            <w:noProof/>
            <w:webHidden/>
          </w:rPr>
          <w:t>133</w:t>
        </w:r>
        <w:r w:rsidR="00183CC8">
          <w:rPr>
            <w:noProof/>
            <w:webHidden/>
          </w:rPr>
          <w:fldChar w:fldCharType="end"/>
        </w:r>
      </w:hyperlink>
    </w:p>
    <w:p w14:paraId="56826D7C" w14:textId="0F2C825C" w:rsidR="00183CC8" w:rsidRDefault="003373BF">
      <w:pPr>
        <w:pStyle w:val="TOC3"/>
        <w:tabs>
          <w:tab w:val="left" w:pos="1320"/>
        </w:tabs>
        <w:rPr>
          <w:rFonts w:eastAsiaTheme="minorEastAsia" w:cstheme="minorBidi"/>
          <w:noProof/>
          <w:szCs w:val="24"/>
          <w:lang w:eastAsia="en-GB"/>
        </w:rPr>
      </w:pPr>
      <w:hyperlink w:anchor="_Toc90216887" w:history="1">
        <w:r w:rsidR="00183CC8" w:rsidRPr="00BA3362">
          <w:rPr>
            <w:rStyle w:val="Hyperlink"/>
            <w:iCs/>
            <w:noProof/>
          </w:rPr>
          <w:t>4.3.2</w:t>
        </w:r>
        <w:r w:rsidR="00183CC8">
          <w:rPr>
            <w:rFonts w:eastAsiaTheme="minorEastAsia" w:cstheme="minorBidi"/>
            <w:noProof/>
            <w:szCs w:val="24"/>
            <w:lang w:eastAsia="en-GB"/>
          </w:rPr>
          <w:tab/>
        </w:r>
        <w:r w:rsidR="00183CC8" w:rsidRPr="00BA3362">
          <w:rPr>
            <w:rStyle w:val="Hyperlink"/>
            <w:noProof/>
          </w:rPr>
          <w:t>Lack of LTA: survival and morphological effects.</w:t>
        </w:r>
        <w:r w:rsidR="00183CC8">
          <w:rPr>
            <w:noProof/>
            <w:webHidden/>
          </w:rPr>
          <w:tab/>
        </w:r>
        <w:r w:rsidR="00183CC8">
          <w:rPr>
            <w:noProof/>
            <w:webHidden/>
          </w:rPr>
          <w:fldChar w:fldCharType="begin"/>
        </w:r>
        <w:r w:rsidR="00183CC8">
          <w:rPr>
            <w:noProof/>
            <w:webHidden/>
          </w:rPr>
          <w:instrText xml:space="preserve"> PAGEREF _Toc90216887 \h </w:instrText>
        </w:r>
        <w:r w:rsidR="00183CC8">
          <w:rPr>
            <w:noProof/>
            <w:webHidden/>
          </w:rPr>
        </w:r>
        <w:r w:rsidR="00183CC8">
          <w:rPr>
            <w:noProof/>
            <w:webHidden/>
          </w:rPr>
          <w:fldChar w:fldCharType="separate"/>
        </w:r>
        <w:r w:rsidR="00183CC8">
          <w:rPr>
            <w:noProof/>
            <w:webHidden/>
          </w:rPr>
          <w:t>139</w:t>
        </w:r>
        <w:r w:rsidR="00183CC8">
          <w:rPr>
            <w:noProof/>
            <w:webHidden/>
          </w:rPr>
          <w:fldChar w:fldCharType="end"/>
        </w:r>
      </w:hyperlink>
    </w:p>
    <w:p w14:paraId="64AF082F" w14:textId="4713D47B" w:rsidR="00183CC8" w:rsidRDefault="003373BF">
      <w:pPr>
        <w:pStyle w:val="TOC4"/>
        <w:rPr>
          <w:rFonts w:eastAsiaTheme="minorEastAsia" w:cstheme="minorBidi"/>
          <w:noProof/>
          <w:szCs w:val="24"/>
          <w:lang w:eastAsia="en-GB"/>
        </w:rPr>
      </w:pPr>
      <w:hyperlink w:anchor="_Toc90216888" w:history="1">
        <w:r w:rsidR="00183CC8" w:rsidRPr="00BA3362">
          <w:rPr>
            <w:rStyle w:val="Hyperlink"/>
            <w:noProof/>
          </w:rPr>
          <w:t>4.3.2.1</w:t>
        </w:r>
        <w:r w:rsidR="00183CC8">
          <w:rPr>
            <w:rFonts w:eastAsiaTheme="minorEastAsia" w:cstheme="minorBidi"/>
            <w:noProof/>
            <w:szCs w:val="24"/>
            <w:lang w:eastAsia="en-GB"/>
          </w:rPr>
          <w:tab/>
        </w:r>
        <w:r w:rsidR="00183CC8" w:rsidRPr="00BA3362">
          <w:rPr>
            <w:rStyle w:val="Hyperlink"/>
            <w:noProof/>
          </w:rPr>
          <w:t xml:space="preserve">Transduction of LTA mutations into the </w:t>
        </w:r>
        <w:r w:rsidR="00183CC8" w:rsidRPr="00BA3362">
          <w:rPr>
            <w:rStyle w:val="Hyperlink"/>
            <w:i/>
            <w:noProof/>
          </w:rPr>
          <w:t>S. aureus</w:t>
        </w:r>
        <w:r w:rsidR="00183CC8" w:rsidRPr="00BA3362">
          <w:rPr>
            <w:rStyle w:val="Hyperlink"/>
            <w:noProof/>
          </w:rPr>
          <w:t xml:space="preserve"> SH1000 background.</w:t>
        </w:r>
        <w:r w:rsidR="00183CC8">
          <w:rPr>
            <w:noProof/>
            <w:webHidden/>
          </w:rPr>
          <w:tab/>
        </w:r>
        <w:r w:rsidR="00183CC8">
          <w:rPr>
            <w:noProof/>
            <w:webHidden/>
          </w:rPr>
          <w:fldChar w:fldCharType="begin"/>
        </w:r>
        <w:r w:rsidR="00183CC8">
          <w:rPr>
            <w:noProof/>
            <w:webHidden/>
          </w:rPr>
          <w:instrText xml:space="preserve"> PAGEREF _Toc90216888 \h </w:instrText>
        </w:r>
        <w:r w:rsidR="00183CC8">
          <w:rPr>
            <w:noProof/>
            <w:webHidden/>
          </w:rPr>
        </w:r>
        <w:r w:rsidR="00183CC8">
          <w:rPr>
            <w:noProof/>
            <w:webHidden/>
          </w:rPr>
          <w:fldChar w:fldCharType="separate"/>
        </w:r>
        <w:r w:rsidR="00183CC8">
          <w:rPr>
            <w:noProof/>
            <w:webHidden/>
          </w:rPr>
          <w:t>139</w:t>
        </w:r>
        <w:r w:rsidR="00183CC8">
          <w:rPr>
            <w:noProof/>
            <w:webHidden/>
          </w:rPr>
          <w:fldChar w:fldCharType="end"/>
        </w:r>
      </w:hyperlink>
    </w:p>
    <w:p w14:paraId="29D9E09F" w14:textId="0501031E" w:rsidR="00183CC8" w:rsidRDefault="003373BF">
      <w:pPr>
        <w:pStyle w:val="TOC4"/>
        <w:rPr>
          <w:rFonts w:eastAsiaTheme="minorEastAsia" w:cstheme="minorBidi"/>
          <w:noProof/>
          <w:szCs w:val="24"/>
          <w:lang w:eastAsia="en-GB"/>
        </w:rPr>
      </w:pPr>
      <w:hyperlink w:anchor="_Toc90216889" w:history="1">
        <w:r w:rsidR="00183CC8" w:rsidRPr="00BA3362">
          <w:rPr>
            <w:rStyle w:val="Hyperlink"/>
            <w:noProof/>
          </w:rPr>
          <w:t>4.3.2.2</w:t>
        </w:r>
        <w:r w:rsidR="00183CC8">
          <w:rPr>
            <w:rFonts w:eastAsiaTheme="minorEastAsia" w:cstheme="minorBidi"/>
            <w:noProof/>
            <w:szCs w:val="24"/>
            <w:lang w:eastAsia="en-GB"/>
          </w:rPr>
          <w:tab/>
        </w:r>
        <w:r w:rsidR="00183CC8" w:rsidRPr="00BA3362">
          <w:rPr>
            <w:rStyle w:val="Hyperlink"/>
            <w:noProof/>
          </w:rPr>
          <w:t xml:space="preserve">Effect of the loss of LTA on </w:t>
        </w:r>
        <w:r w:rsidR="00183CC8" w:rsidRPr="00BA3362">
          <w:rPr>
            <w:rStyle w:val="Hyperlink"/>
            <w:i/>
            <w:noProof/>
          </w:rPr>
          <w:t>S. aureus</w:t>
        </w:r>
        <w:r w:rsidR="00183CC8" w:rsidRPr="00BA3362">
          <w:rPr>
            <w:rStyle w:val="Hyperlink"/>
            <w:noProof/>
          </w:rPr>
          <w:t xml:space="preserve"> SH1000.</w:t>
        </w:r>
        <w:r w:rsidR="00183CC8">
          <w:rPr>
            <w:noProof/>
            <w:webHidden/>
          </w:rPr>
          <w:tab/>
        </w:r>
        <w:r w:rsidR="00183CC8">
          <w:rPr>
            <w:noProof/>
            <w:webHidden/>
          </w:rPr>
          <w:fldChar w:fldCharType="begin"/>
        </w:r>
        <w:r w:rsidR="00183CC8">
          <w:rPr>
            <w:noProof/>
            <w:webHidden/>
          </w:rPr>
          <w:instrText xml:space="preserve"> PAGEREF _Toc90216889 \h </w:instrText>
        </w:r>
        <w:r w:rsidR="00183CC8">
          <w:rPr>
            <w:noProof/>
            <w:webHidden/>
          </w:rPr>
        </w:r>
        <w:r w:rsidR="00183CC8">
          <w:rPr>
            <w:noProof/>
            <w:webHidden/>
          </w:rPr>
          <w:fldChar w:fldCharType="separate"/>
        </w:r>
        <w:r w:rsidR="00183CC8">
          <w:rPr>
            <w:noProof/>
            <w:webHidden/>
          </w:rPr>
          <w:t>142</w:t>
        </w:r>
        <w:r w:rsidR="00183CC8">
          <w:rPr>
            <w:noProof/>
            <w:webHidden/>
          </w:rPr>
          <w:fldChar w:fldCharType="end"/>
        </w:r>
      </w:hyperlink>
    </w:p>
    <w:p w14:paraId="268AFCAB" w14:textId="16455735" w:rsidR="00183CC8" w:rsidRDefault="003373BF">
      <w:pPr>
        <w:pStyle w:val="TOC4"/>
        <w:rPr>
          <w:rFonts w:eastAsiaTheme="minorEastAsia" w:cstheme="minorBidi"/>
          <w:noProof/>
          <w:szCs w:val="24"/>
          <w:lang w:eastAsia="en-GB"/>
        </w:rPr>
      </w:pPr>
      <w:hyperlink w:anchor="_Toc90216890" w:history="1">
        <w:r w:rsidR="00183CC8" w:rsidRPr="00BA3362">
          <w:rPr>
            <w:rStyle w:val="Hyperlink"/>
            <w:noProof/>
          </w:rPr>
          <w:t>4.3.2.3</w:t>
        </w:r>
        <w:r w:rsidR="00183CC8">
          <w:rPr>
            <w:rFonts w:eastAsiaTheme="minorEastAsia" w:cstheme="minorBidi"/>
            <w:noProof/>
            <w:szCs w:val="24"/>
            <w:lang w:eastAsia="en-GB"/>
          </w:rPr>
          <w:tab/>
        </w:r>
        <w:r w:rsidR="00183CC8" w:rsidRPr="00BA3362">
          <w:rPr>
            <w:rStyle w:val="Hyperlink"/>
            <w:noProof/>
          </w:rPr>
          <w:t xml:space="preserve">Analysis of </w:t>
        </w:r>
        <w:r w:rsidR="00183CC8" w:rsidRPr="00BA3362">
          <w:rPr>
            <w:rStyle w:val="Hyperlink"/>
            <w:i/>
            <w:noProof/>
          </w:rPr>
          <w:t xml:space="preserve">S. aureus </w:t>
        </w:r>
        <w:r w:rsidR="00183CC8" w:rsidRPr="00BA3362">
          <w:rPr>
            <w:rStyle w:val="Hyperlink"/>
            <w:noProof/>
          </w:rPr>
          <w:t xml:space="preserve">SH1000 </w:t>
        </w:r>
        <w:r w:rsidR="00183CC8" w:rsidRPr="00BA3362">
          <w:rPr>
            <w:rStyle w:val="Hyperlink"/>
            <w:i/>
            <w:noProof/>
          </w:rPr>
          <w:t>ltaS</w:t>
        </w:r>
        <w:r w:rsidR="00183CC8" w:rsidRPr="00BA3362">
          <w:rPr>
            <w:rStyle w:val="Hyperlink"/>
            <w:noProof/>
          </w:rPr>
          <w:t xml:space="preserve"> </w:t>
        </w:r>
        <w:r w:rsidR="00183CC8" w:rsidRPr="00BA3362">
          <w:rPr>
            <w:rStyle w:val="Hyperlink"/>
            <w:i/>
            <w:noProof/>
          </w:rPr>
          <w:t>gdpP::kan</w:t>
        </w:r>
        <w:r w:rsidR="00183CC8" w:rsidRPr="00BA3362">
          <w:rPr>
            <w:rStyle w:val="Hyperlink"/>
            <w:noProof/>
          </w:rPr>
          <w:t>.</w:t>
        </w:r>
        <w:r w:rsidR="00183CC8">
          <w:rPr>
            <w:noProof/>
            <w:webHidden/>
          </w:rPr>
          <w:tab/>
        </w:r>
        <w:r w:rsidR="00183CC8">
          <w:rPr>
            <w:noProof/>
            <w:webHidden/>
          </w:rPr>
          <w:fldChar w:fldCharType="begin"/>
        </w:r>
        <w:r w:rsidR="00183CC8">
          <w:rPr>
            <w:noProof/>
            <w:webHidden/>
          </w:rPr>
          <w:instrText xml:space="preserve"> PAGEREF _Toc90216890 \h </w:instrText>
        </w:r>
        <w:r w:rsidR="00183CC8">
          <w:rPr>
            <w:noProof/>
            <w:webHidden/>
          </w:rPr>
        </w:r>
        <w:r w:rsidR="00183CC8">
          <w:rPr>
            <w:noProof/>
            <w:webHidden/>
          </w:rPr>
          <w:fldChar w:fldCharType="separate"/>
        </w:r>
        <w:r w:rsidR="00183CC8">
          <w:rPr>
            <w:noProof/>
            <w:webHidden/>
          </w:rPr>
          <w:t>146</w:t>
        </w:r>
        <w:r w:rsidR="00183CC8">
          <w:rPr>
            <w:noProof/>
            <w:webHidden/>
          </w:rPr>
          <w:fldChar w:fldCharType="end"/>
        </w:r>
      </w:hyperlink>
    </w:p>
    <w:p w14:paraId="3D0BFBD8" w14:textId="6F9CDD18" w:rsidR="00183CC8" w:rsidRDefault="003373BF">
      <w:pPr>
        <w:pStyle w:val="TOC3"/>
        <w:tabs>
          <w:tab w:val="left" w:pos="1320"/>
        </w:tabs>
        <w:rPr>
          <w:rFonts w:eastAsiaTheme="minorEastAsia" w:cstheme="minorBidi"/>
          <w:noProof/>
          <w:szCs w:val="24"/>
          <w:lang w:eastAsia="en-GB"/>
        </w:rPr>
      </w:pPr>
      <w:hyperlink w:anchor="_Toc90216891" w:history="1">
        <w:r w:rsidR="00183CC8" w:rsidRPr="00BA3362">
          <w:rPr>
            <w:rStyle w:val="Hyperlink"/>
            <w:noProof/>
          </w:rPr>
          <w:t>4.3.3</w:t>
        </w:r>
        <w:r w:rsidR="00183CC8">
          <w:rPr>
            <w:rFonts w:eastAsiaTheme="minorEastAsia" w:cstheme="minorBidi"/>
            <w:noProof/>
            <w:szCs w:val="24"/>
            <w:lang w:eastAsia="en-GB"/>
          </w:rPr>
          <w:tab/>
        </w:r>
        <w:r w:rsidR="00183CC8" w:rsidRPr="00BA3362">
          <w:rPr>
            <w:rStyle w:val="Hyperlink"/>
            <w:noProof/>
          </w:rPr>
          <w:t>Effect of the lack of LTA on the bacterial envelope and exoplasmic space.</w:t>
        </w:r>
        <w:r w:rsidR="00183CC8">
          <w:rPr>
            <w:noProof/>
            <w:webHidden/>
          </w:rPr>
          <w:tab/>
        </w:r>
        <w:r w:rsidR="00183CC8">
          <w:rPr>
            <w:noProof/>
            <w:webHidden/>
          </w:rPr>
          <w:fldChar w:fldCharType="begin"/>
        </w:r>
        <w:r w:rsidR="00183CC8">
          <w:rPr>
            <w:noProof/>
            <w:webHidden/>
          </w:rPr>
          <w:instrText xml:space="preserve"> PAGEREF _Toc90216891 \h </w:instrText>
        </w:r>
        <w:r w:rsidR="00183CC8">
          <w:rPr>
            <w:noProof/>
            <w:webHidden/>
          </w:rPr>
        </w:r>
        <w:r w:rsidR="00183CC8">
          <w:rPr>
            <w:noProof/>
            <w:webHidden/>
          </w:rPr>
          <w:fldChar w:fldCharType="separate"/>
        </w:r>
        <w:r w:rsidR="00183CC8">
          <w:rPr>
            <w:noProof/>
            <w:webHidden/>
          </w:rPr>
          <w:t>151</w:t>
        </w:r>
        <w:r w:rsidR="00183CC8">
          <w:rPr>
            <w:noProof/>
            <w:webHidden/>
          </w:rPr>
          <w:fldChar w:fldCharType="end"/>
        </w:r>
      </w:hyperlink>
    </w:p>
    <w:p w14:paraId="0FC97180" w14:textId="3910A81C" w:rsidR="00183CC8" w:rsidRDefault="003373BF">
      <w:pPr>
        <w:pStyle w:val="TOC3"/>
        <w:tabs>
          <w:tab w:val="left" w:pos="1320"/>
        </w:tabs>
        <w:rPr>
          <w:rFonts w:eastAsiaTheme="minorEastAsia" w:cstheme="minorBidi"/>
          <w:noProof/>
          <w:szCs w:val="24"/>
          <w:lang w:eastAsia="en-GB"/>
        </w:rPr>
      </w:pPr>
      <w:hyperlink w:anchor="_Toc90216892" w:history="1">
        <w:r w:rsidR="00183CC8" w:rsidRPr="00BA3362">
          <w:rPr>
            <w:rStyle w:val="Hyperlink"/>
            <w:noProof/>
          </w:rPr>
          <w:t>4.3.4</w:t>
        </w:r>
        <w:r w:rsidR="00183CC8">
          <w:rPr>
            <w:rFonts w:eastAsiaTheme="minorEastAsia" w:cstheme="minorBidi"/>
            <w:noProof/>
            <w:szCs w:val="24"/>
            <w:lang w:eastAsia="en-GB"/>
          </w:rPr>
          <w:tab/>
        </w:r>
        <w:r w:rsidR="00183CC8" w:rsidRPr="00BA3362">
          <w:rPr>
            <w:rStyle w:val="Hyperlink"/>
            <w:noProof/>
          </w:rPr>
          <w:t>Analysis of the lack of WTA and LTA: survival and morphological effects.</w:t>
        </w:r>
        <w:r w:rsidR="00183CC8">
          <w:rPr>
            <w:noProof/>
            <w:webHidden/>
          </w:rPr>
          <w:tab/>
        </w:r>
        <w:r w:rsidR="00183CC8">
          <w:rPr>
            <w:noProof/>
            <w:webHidden/>
          </w:rPr>
          <w:fldChar w:fldCharType="begin"/>
        </w:r>
        <w:r w:rsidR="00183CC8">
          <w:rPr>
            <w:noProof/>
            <w:webHidden/>
          </w:rPr>
          <w:instrText xml:space="preserve"> PAGEREF _Toc90216892 \h </w:instrText>
        </w:r>
        <w:r w:rsidR="00183CC8">
          <w:rPr>
            <w:noProof/>
            <w:webHidden/>
          </w:rPr>
        </w:r>
        <w:r w:rsidR="00183CC8">
          <w:rPr>
            <w:noProof/>
            <w:webHidden/>
          </w:rPr>
          <w:fldChar w:fldCharType="separate"/>
        </w:r>
        <w:r w:rsidR="00183CC8">
          <w:rPr>
            <w:noProof/>
            <w:webHidden/>
          </w:rPr>
          <w:t>155</w:t>
        </w:r>
        <w:r w:rsidR="00183CC8">
          <w:rPr>
            <w:noProof/>
            <w:webHidden/>
          </w:rPr>
          <w:fldChar w:fldCharType="end"/>
        </w:r>
      </w:hyperlink>
    </w:p>
    <w:p w14:paraId="3E1401C8" w14:textId="2E82585A" w:rsidR="00183CC8" w:rsidRDefault="003373BF">
      <w:pPr>
        <w:pStyle w:val="TOC2"/>
        <w:tabs>
          <w:tab w:val="left" w:pos="958"/>
        </w:tabs>
        <w:rPr>
          <w:rFonts w:eastAsiaTheme="minorEastAsia" w:cstheme="minorBidi"/>
          <w:szCs w:val="24"/>
          <w:lang w:eastAsia="en-GB"/>
        </w:rPr>
      </w:pPr>
      <w:hyperlink w:anchor="_Toc90216893" w:history="1">
        <w:r w:rsidR="00183CC8" w:rsidRPr="00BA3362">
          <w:rPr>
            <w:rStyle w:val="Hyperlink"/>
          </w:rPr>
          <w:t>4.4</w:t>
        </w:r>
        <w:r w:rsidR="00183CC8">
          <w:rPr>
            <w:rFonts w:eastAsiaTheme="minorEastAsia" w:cstheme="minorBidi"/>
            <w:szCs w:val="24"/>
            <w:lang w:eastAsia="en-GB"/>
          </w:rPr>
          <w:tab/>
        </w:r>
        <w:r w:rsidR="00183CC8" w:rsidRPr="00BA3362">
          <w:rPr>
            <w:rStyle w:val="Hyperlink"/>
          </w:rPr>
          <w:t>Discussion.</w:t>
        </w:r>
        <w:r w:rsidR="00183CC8">
          <w:rPr>
            <w:webHidden/>
          </w:rPr>
          <w:tab/>
        </w:r>
        <w:r w:rsidR="00183CC8">
          <w:rPr>
            <w:webHidden/>
          </w:rPr>
          <w:fldChar w:fldCharType="begin"/>
        </w:r>
        <w:r w:rsidR="00183CC8">
          <w:rPr>
            <w:webHidden/>
          </w:rPr>
          <w:instrText xml:space="preserve"> PAGEREF _Toc90216893 \h </w:instrText>
        </w:r>
        <w:r w:rsidR="00183CC8">
          <w:rPr>
            <w:webHidden/>
          </w:rPr>
        </w:r>
        <w:r w:rsidR="00183CC8">
          <w:rPr>
            <w:webHidden/>
          </w:rPr>
          <w:fldChar w:fldCharType="separate"/>
        </w:r>
        <w:r w:rsidR="00183CC8">
          <w:rPr>
            <w:webHidden/>
          </w:rPr>
          <w:t>160</w:t>
        </w:r>
        <w:r w:rsidR="00183CC8">
          <w:rPr>
            <w:webHidden/>
          </w:rPr>
          <w:fldChar w:fldCharType="end"/>
        </w:r>
      </w:hyperlink>
    </w:p>
    <w:p w14:paraId="20953E09" w14:textId="33DAE48A" w:rsidR="00183CC8" w:rsidRDefault="003373BF">
      <w:pPr>
        <w:pStyle w:val="TOC3"/>
        <w:tabs>
          <w:tab w:val="left" w:pos="1320"/>
        </w:tabs>
        <w:rPr>
          <w:rFonts w:eastAsiaTheme="minorEastAsia" w:cstheme="minorBidi"/>
          <w:noProof/>
          <w:szCs w:val="24"/>
          <w:lang w:eastAsia="en-GB"/>
        </w:rPr>
      </w:pPr>
      <w:hyperlink w:anchor="_Toc90216894" w:history="1">
        <w:r w:rsidR="00183CC8" w:rsidRPr="00BA3362">
          <w:rPr>
            <w:rStyle w:val="Hyperlink"/>
            <w:noProof/>
          </w:rPr>
          <w:t>4.4.1</w:t>
        </w:r>
        <w:r w:rsidR="00183CC8">
          <w:rPr>
            <w:rFonts w:eastAsiaTheme="minorEastAsia" w:cstheme="minorBidi"/>
            <w:noProof/>
            <w:szCs w:val="24"/>
            <w:lang w:eastAsia="en-GB"/>
          </w:rPr>
          <w:tab/>
        </w:r>
        <w:r w:rsidR="00183CC8" w:rsidRPr="00BA3362">
          <w:rPr>
            <w:rStyle w:val="Hyperlink"/>
            <w:noProof/>
          </w:rPr>
          <w:t>Analysis of the bacterial envelope and the exoplasm by freeze substitution.</w:t>
        </w:r>
        <w:r w:rsidR="00183CC8">
          <w:rPr>
            <w:noProof/>
            <w:webHidden/>
          </w:rPr>
          <w:tab/>
        </w:r>
        <w:r w:rsidR="00183CC8">
          <w:rPr>
            <w:noProof/>
            <w:webHidden/>
          </w:rPr>
          <w:fldChar w:fldCharType="begin"/>
        </w:r>
        <w:r w:rsidR="00183CC8">
          <w:rPr>
            <w:noProof/>
            <w:webHidden/>
          </w:rPr>
          <w:instrText xml:space="preserve"> PAGEREF _Toc90216894 \h </w:instrText>
        </w:r>
        <w:r w:rsidR="00183CC8">
          <w:rPr>
            <w:noProof/>
            <w:webHidden/>
          </w:rPr>
        </w:r>
        <w:r w:rsidR="00183CC8">
          <w:rPr>
            <w:noProof/>
            <w:webHidden/>
          </w:rPr>
          <w:fldChar w:fldCharType="separate"/>
        </w:r>
        <w:r w:rsidR="00183CC8">
          <w:rPr>
            <w:noProof/>
            <w:webHidden/>
          </w:rPr>
          <w:t>160</w:t>
        </w:r>
        <w:r w:rsidR="00183CC8">
          <w:rPr>
            <w:noProof/>
            <w:webHidden/>
          </w:rPr>
          <w:fldChar w:fldCharType="end"/>
        </w:r>
      </w:hyperlink>
    </w:p>
    <w:p w14:paraId="187993B9" w14:textId="291A9463" w:rsidR="00183CC8" w:rsidRDefault="003373BF">
      <w:pPr>
        <w:pStyle w:val="TOC3"/>
        <w:tabs>
          <w:tab w:val="left" w:pos="1320"/>
        </w:tabs>
        <w:rPr>
          <w:rFonts w:eastAsiaTheme="minorEastAsia" w:cstheme="minorBidi"/>
          <w:noProof/>
          <w:szCs w:val="24"/>
          <w:lang w:eastAsia="en-GB"/>
        </w:rPr>
      </w:pPr>
      <w:hyperlink w:anchor="_Toc90216895" w:history="1">
        <w:r w:rsidR="00183CC8" w:rsidRPr="00BA3362">
          <w:rPr>
            <w:rStyle w:val="Hyperlink"/>
            <w:noProof/>
          </w:rPr>
          <w:t>4.4.2</w:t>
        </w:r>
        <w:r w:rsidR="00183CC8">
          <w:rPr>
            <w:rFonts w:eastAsiaTheme="minorEastAsia" w:cstheme="minorBidi"/>
            <w:noProof/>
            <w:szCs w:val="24"/>
            <w:lang w:eastAsia="en-GB"/>
          </w:rPr>
          <w:tab/>
        </w:r>
        <w:r w:rsidR="00183CC8" w:rsidRPr="00BA3362">
          <w:rPr>
            <w:rStyle w:val="Hyperlink"/>
            <w:noProof/>
          </w:rPr>
          <w:t>Effects of the lack of WTA on the bacterial envelope and exoplasm.</w:t>
        </w:r>
        <w:r w:rsidR="00183CC8">
          <w:rPr>
            <w:noProof/>
            <w:webHidden/>
          </w:rPr>
          <w:tab/>
        </w:r>
        <w:r w:rsidR="00183CC8">
          <w:rPr>
            <w:noProof/>
            <w:webHidden/>
          </w:rPr>
          <w:fldChar w:fldCharType="begin"/>
        </w:r>
        <w:r w:rsidR="00183CC8">
          <w:rPr>
            <w:noProof/>
            <w:webHidden/>
          </w:rPr>
          <w:instrText xml:space="preserve"> PAGEREF _Toc90216895 \h </w:instrText>
        </w:r>
        <w:r w:rsidR="00183CC8">
          <w:rPr>
            <w:noProof/>
            <w:webHidden/>
          </w:rPr>
        </w:r>
        <w:r w:rsidR="00183CC8">
          <w:rPr>
            <w:noProof/>
            <w:webHidden/>
          </w:rPr>
          <w:fldChar w:fldCharType="separate"/>
        </w:r>
        <w:r w:rsidR="00183CC8">
          <w:rPr>
            <w:noProof/>
            <w:webHidden/>
          </w:rPr>
          <w:t>161</w:t>
        </w:r>
        <w:r w:rsidR="00183CC8">
          <w:rPr>
            <w:noProof/>
            <w:webHidden/>
          </w:rPr>
          <w:fldChar w:fldCharType="end"/>
        </w:r>
      </w:hyperlink>
    </w:p>
    <w:p w14:paraId="0B24D962" w14:textId="54744D1D" w:rsidR="00183CC8" w:rsidRDefault="003373BF">
      <w:pPr>
        <w:pStyle w:val="TOC3"/>
        <w:tabs>
          <w:tab w:val="left" w:pos="1320"/>
        </w:tabs>
        <w:rPr>
          <w:rFonts w:eastAsiaTheme="minorEastAsia" w:cstheme="minorBidi"/>
          <w:noProof/>
          <w:szCs w:val="24"/>
          <w:lang w:eastAsia="en-GB"/>
        </w:rPr>
      </w:pPr>
      <w:hyperlink w:anchor="_Toc90216896" w:history="1">
        <w:r w:rsidR="00183CC8" w:rsidRPr="00BA3362">
          <w:rPr>
            <w:rStyle w:val="Hyperlink"/>
            <w:noProof/>
          </w:rPr>
          <w:t>4.4.3</w:t>
        </w:r>
        <w:r w:rsidR="00183CC8">
          <w:rPr>
            <w:rFonts w:eastAsiaTheme="minorEastAsia" w:cstheme="minorBidi"/>
            <w:noProof/>
            <w:szCs w:val="24"/>
            <w:lang w:eastAsia="en-GB"/>
          </w:rPr>
          <w:tab/>
        </w:r>
        <w:r w:rsidR="00183CC8" w:rsidRPr="00BA3362">
          <w:rPr>
            <w:rStyle w:val="Hyperlink"/>
            <w:noProof/>
          </w:rPr>
          <w:t>Effects of the lack of LTA on the bacterial envelope and exoplasm.</w:t>
        </w:r>
        <w:r w:rsidR="00183CC8">
          <w:rPr>
            <w:noProof/>
            <w:webHidden/>
          </w:rPr>
          <w:tab/>
        </w:r>
        <w:r w:rsidR="00183CC8">
          <w:rPr>
            <w:noProof/>
            <w:webHidden/>
          </w:rPr>
          <w:fldChar w:fldCharType="begin"/>
        </w:r>
        <w:r w:rsidR="00183CC8">
          <w:rPr>
            <w:noProof/>
            <w:webHidden/>
          </w:rPr>
          <w:instrText xml:space="preserve"> PAGEREF _Toc90216896 \h </w:instrText>
        </w:r>
        <w:r w:rsidR="00183CC8">
          <w:rPr>
            <w:noProof/>
            <w:webHidden/>
          </w:rPr>
        </w:r>
        <w:r w:rsidR="00183CC8">
          <w:rPr>
            <w:noProof/>
            <w:webHidden/>
          </w:rPr>
          <w:fldChar w:fldCharType="separate"/>
        </w:r>
        <w:r w:rsidR="00183CC8">
          <w:rPr>
            <w:noProof/>
            <w:webHidden/>
          </w:rPr>
          <w:t>162</w:t>
        </w:r>
        <w:r w:rsidR="00183CC8">
          <w:rPr>
            <w:noProof/>
            <w:webHidden/>
          </w:rPr>
          <w:fldChar w:fldCharType="end"/>
        </w:r>
      </w:hyperlink>
    </w:p>
    <w:p w14:paraId="1FB4286B" w14:textId="4BD44C99" w:rsidR="00183CC8" w:rsidRDefault="003373BF">
      <w:pPr>
        <w:pStyle w:val="TOC3"/>
        <w:tabs>
          <w:tab w:val="left" w:pos="1320"/>
        </w:tabs>
        <w:rPr>
          <w:rFonts w:eastAsiaTheme="minorEastAsia" w:cstheme="minorBidi"/>
          <w:noProof/>
          <w:szCs w:val="24"/>
          <w:lang w:eastAsia="en-GB"/>
        </w:rPr>
      </w:pPr>
      <w:hyperlink w:anchor="_Toc90216897" w:history="1">
        <w:r w:rsidR="00183CC8" w:rsidRPr="00BA3362">
          <w:rPr>
            <w:rStyle w:val="Hyperlink"/>
            <w:noProof/>
          </w:rPr>
          <w:t>4.4.4</w:t>
        </w:r>
        <w:r w:rsidR="00183CC8">
          <w:rPr>
            <w:rFonts w:eastAsiaTheme="minorEastAsia" w:cstheme="minorBidi"/>
            <w:noProof/>
            <w:szCs w:val="24"/>
            <w:lang w:eastAsia="en-GB"/>
          </w:rPr>
          <w:tab/>
        </w:r>
        <w:r w:rsidR="00183CC8" w:rsidRPr="00BA3362">
          <w:rPr>
            <w:rStyle w:val="Hyperlink"/>
            <w:noProof/>
          </w:rPr>
          <w:t>Effects of a simultaneous reduction in WTA and LTA biosynthesis.</w:t>
        </w:r>
        <w:r w:rsidR="00183CC8">
          <w:rPr>
            <w:noProof/>
            <w:webHidden/>
          </w:rPr>
          <w:tab/>
        </w:r>
        <w:r w:rsidR="00183CC8">
          <w:rPr>
            <w:noProof/>
            <w:webHidden/>
          </w:rPr>
          <w:fldChar w:fldCharType="begin"/>
        </w:r>
        <w:r w:rsidR="00183CC8">
          <w:rPr>
            <w:noProof/>
            <w:webHidden/>
          </w:rPr>
          <w:instrText xml:space="preserve"> PAGEREF _Toc90216897 \h </w:instrText>
        </w:r>
        <w:r w:rsidR="00183CC8">
          <w:rPr>
            <w:noProof/>
            <w:webHidden/>
          </w:rPr>
        </w:r>
        <w:r w:rsidR="00183CC8">
          <w:rPr>
            <w:noProof/>
            <w:webHidden/>
          </w:rPr>
          <w:fldChar w:fldCharType="separate"/>
        </w:r>
        <w:r w:rsidR="00183CC8">
          <w:rPr>
            <w:noProof/>
            <w:webHidden/>
          </w:rPr>
          <w:t>163</w:t>
        </w:r>
        <w:r w:rsidR="00183CC8">
          <w:rPr>
            <w:noProof/>
            <w:webHidden/>
          </w:rPr>
          <w:fldChar w:fldCharType="end"/>
        </w:r>
      </w:hyperlink>
    </w:p>
    <w:p w14:paraId="5D7F63F7" w14:textId="5076AD8D" w:rsidR="00183CC8" w:rsidRDefault="003373BF">
      <w:pPr>
        <w:pStyle w:val="TOC1"/>
        <w:rPr>
          <w:rFonts w:eastAsiaTheme="minorEastAsia" w:cstheme="minorBidi"/>
          <w:b w:val="0"/>
          <w:szCs w:val="24"/>
          <w:lang w:eastAsia="en-GB"/>
        </w:rPr>
      </w:pPr>
      <w:hyperlink w:anchor="_Toc90216898" w:history="1">
        <w:r w:rsidR="00183CC8">
          <w:rPr>
            <w:rFonts w:eastAsiaTheme="minorEastAsia" w:cstheme="minorBidi"/>
            <w:b w:val="0"/>
            <w:szCs w:val="24"/>
            <w:lang w:eastAsia="en-GB"/>
          </w:rPr>
          <w:tab/>
        </w:r>
        <w:r w:rsidR="00183CC8" w:rsidRPr="00BA3362">
          <w:rPr>
            <w:rStyle w:val="Hyperlink"/>
          </w:rPr>
          <w:t>Chapter 5</w:t>
        </w:r>
        <w:r w:rsidR="00183CC8">
          <w:rPr>
            <w:webHidden/>
          </w:rPr>
          <w:tab/>
        </w:r>
        <w:r w:rsidR="00183CC8">
          <w:rPr>
            <w:webHidden/>
          </w:rPr>
          <w:fldChar w:fldCharType="begin"/>
        </w:r>
        <w:r w:rsidR="00183CC8">
          <w:rPr>
            <w:webHidden/>
          </w:rPr>
          <w:instrText xml:space="preserve"> PAGEREF _Toc90216898 \h </w:instrText>
        </w:r>
        <w:r w:rsidR="00183CC8">
          <w:rPr>
            <w:webHidden/>
          </w:rPr>
        </w:r>
        <w:r w:rsidR="00183CC8">
          <w:rPr>
            <w:webHidden/>
          </w:rPr>
          <w:fldChar w:fldCharType="separate"/>
        </w:r>
        <w:r w:rsidR="00183CC8">
          <w:rPr>
            <w:webHidden/>
          </w:rPr>
          <w:t>164</w:t>
        </w:r>
        <w:r w:rsidR="00183CC8">
          <w:rPr>
            <w:webHidden/>
          </w:rPr>
          <w:fldChar w:fldCharType="end"/>
        </w:r>
      </w:hyperlink>
    </w:p>
    <w:p w14:paraId="7B2AE56D" w14:textId="76F496EC" w:rsidR="00183CC8" w:rsidRDefault="003373BF">
      <w:pPr>
        <w:pStyle w:val="TOC1"/>
        <w:rPr>
          <w:rFonts w:eastAsiaTheme="minorEastAsia" w:cstheme="minorBidi"/>
          <w:b w:val="0"/>
          <w:szCs w:val="24"/>
          <w:lang w:eastAsia="en-GB"/>
        </w:rPr>
      </w:pPr>
      <w:hyperlink w:anchor="_Toc90216899" w:history="1">
        <w:r w:rsidR="00183CC8" w:rsidRPr="00BA3362">
          <w:rPr>
            <w:rStyle w:val="Hyperlink"/>
          </w:rPr>
          <w:t>Use of Electron Microscopy to Investigate Morphological Dynamics During the Bactericidal Action of Cell Wall Antibiotics.</w:t>
        </w:r>
        <w:r w:rsidR="00183CC8">
          <w:rPr>
            <w:webHidden/>
          </w:rPr>
          <w:tab/>
        </w:r>
        <w:r w:rsidR="00183CC8">
          <w:rPr>
            <w:webHidden/>
          </w:rPr>
          <w:fldChar w:fldCharType="begin"/>
        </w:r>
        <w:r w:rsidR="00183CC8">
          <w:rPr>
            <w:webHidden/>
          </w:rPr>
          <w:instrText xml:space="preserve"> PAGEREF _Toc90216899 \h </w:instrText>
        </w:r>
        <w:r w:rsidR="00183CC8">
          <w:rPr>
            <w:webHidden/>
          </w:rPr>
        </w:r>
        <w:r w:rsidR="00183CC8">
          <w:rPr>
            <w:webHidden/>
          </w:rPr>
          <w:fldChar w:fldCharType="separate"/>
        </w:r>
        <w:r w:rsidR="00183CC8">
          <w:rPr>
            <w:webHidden/>
          </w:rPr>
          <w:t>164</w:t>
        </w:r>
        <w:r w:rsidR="00183CC8">
          <w:rPr>
            <w:webHidden/>
          </w:rPr>
          <w:fldChar w:fldCharType="end"/>
        </w:r>
      </w:hyperlink>
    </w:p>
    <w:p w14:paraId="37B0799D" w14:textId="4C03A17E" w:rsidR="00183CC8" w:rsidRDefault="003373BF">
      <w:pPr>
        <w:pStyle w:val="TOC2"/>
        <w:tabs>
          <w:tab w:val="left" w:pos="958"/>
        </w:tabs>
        <w:rPr>
          <w:rFonts w:eastAsiaTheme="minorEastAsia" w:cstheme="minorBidi"/>
          <w:szCs w:val="24"/>
          <w:lang w:eastAsia="en-GB"/>
        </w:rPr>
      </w:pPr>
      <w:hyperlink w:anchor="_Toc90216900" w:history="1">
        <w:r w:rsidR="00183CC8" w:rsidRPr="00BA3362">
          <w:rPr>
            <w:rStyle w:val="Hyperlink"/>
          </w:rPr>
          <w:t>5.1</w:t>
        </w:r>
        <w:r w:rsidR="00183CC8">
          <w:rPr>
            <w:rFonts w:eastAsiaTheme="minorEastAsia" w:cstheme="minorBidi"/>
            <w:szCs w:val="24"/>
            <w:lang w:eastAsia="en-GB"/>
          </w:rPr>
          <w:tab/>
        </w:r>
        <w:r w:rsidR="00183CC8" w:rsidRPr="00BA3362">
          <w:rPr>
            <w:rStyle w:val="Hyperlink"/>
          </w:rPr>
          <w:t>Introduction.</w:t>
        </w:r>
        <w:r w:rsidR="00183CC8">
          <w:rPr>
            <w:webHidden/>
          </w:rPr>
          <w:tab/>
        </w:r>
        <w:r w:rsidR="00183CC8">
          <w:rPr>
            <w:webHidden/>
          </w:rPr>
          <w:fldChar w:fldCharType="begin"/>
        </w:r>
        <w:r w:rsidR="00183CC8">
          <w:rPr>
            <w:webHidden/>
          </w:rPr>
          <w:instrText xml:space="preserve"> PAGEREF _Toc90216900 \h </w:instrText>
        </w:r>
        <w:r w:rsidR="00183CC8">
          <w:rPr>
            <w:webHidden/>
          </w:rPr>
        </w:r>
        <w:r w:rsidR="00183CC8">
          <w:rPr>
            <w:webHidden/>
          </w:rPr>
          <w:fldChar w:fldCharType="separate"/>
        </w:r>
        <w:r w:rsidR="00183CC8">
          <w:rPr>
            <w:webHidden/>
          </w:rPr>
          <w:t>164</w:t>
        </w:r>
        <w:r w:rsidR="00183CC8">
          <w:rPr>
            <w:webHidden/>
          </w:rPr>
          <w:fldChar w:fldCharType="end"/>
        </w:r>
      </w:hyperlink>
    </w:p>
    <w:p w14:paraId="08364EFC" w14:textId="0573EF71" w:rsidR="00183CC8" w:rsidRDefault="003373BF">
      <w:pPr>
        <w:pStyle w:val="TOC3"/>
        <w:tabs>
          <w:tab w:val="left" w:pos="1320"/>
        </w:tabs>
        <w:rPr>
          <w:rFonts w:eastAsiaTheme="minorEastAsia" w:cstheme="minorBidi"/>
          <w:noProof/>
          <w:szCs w:val="24"/>
          <w:lang w:eastAsia="en-GB"/>
        </w:rPr>
      </w:pPr>
      <w:hyperlink w:anchor="_Toc90216901" w:history="1">
        <w:r w:rsidR="00183CC8" w:rsidRPr="00BA3362">
          <w:rPr>
            <w:rStyle w:val="Hyperlink"/>
            <w:noProof/>
          </w:rPr>
          <w:t>5.1.1</w:t>
        </w:r>
        <w:r w:rsidR="00183CC8">
          <w:rPr>
            <w:rFonts w:eastAsiaTheme="minorEastAsia" w:cstheme="minorBidi"/>
            <w:noProof/>
            <w:szCs w:val="24"/>
            <w:lang w:eastAsia="en-GB"/>
          </w:rPr>
          <w:tab/>
        </w:r>
        <w:r w:rsidR="00183CC8" w:rsidRPr="00BA3362">
          <w:rPr>
            <w:rStyle w:val="Hyperlink"/>
            <w:noProof/>
          </w:rPr>
          <w:t>Aims of this chapter.</w:t>
        </w:r>
        <w:r w:rsidR="00183CC8">
          <w:rPr>
            <w:noProof/>
            <w:webHidden/>
          </w:rPr>
          <w:tab/>
        </w:r>
        <w:r w:rsidR="00183CC8">
          <w:rPr>
            <w:noProof/>
            <w:webHidden/>
          </w:rPr>
          <w:fldChar w:fldCharType="begin"/>
        </w:r>
        <w:r w:rsidR="00183CC8">
          <w:rPr>
            <w:noProof/>
            <w:webHidden/>
          </w:rPr>
          <w:instrText xml:space="preserve"> PAGEREF _Toc90216901 \h </w:instrText>
        </w:r>
        <w:r w:rsidR="00183CC8">
          <w:rPr>
            <w:noProof/>
            <w:webHidden/>
          </w:rPr>
        </w:r>
        <w:r w:rsidR="00183CC8">
          <w:rPr>
            <w:noProof/>
            <w:webHidden/>
          </w:rPr>
          <w:fldChar w:fldCharType="separate"/>
        </w:r>
        <w:r w:rsidR="00183CC8">
          <w:rPr>
            <w:noProof/>
            <w:webHidden/>
          </w:rPr>
          <w:t>171</w:t>
        </w:r>
        <w:r w:rsidR="00183CC8">
          <w:rPr>
            <w:noProof/>
            <w:webHidden/>
          </w:rPr>
          <w:fldChar w:fldCharType="end"/>
        </w:r>
      </w:hyperlink>
    </w:p>
    <w:p w14:paraId="2680CFF2" w14:textId="0FC1CB81" w:rsidR="00183CC8" w:rsidRDefault="003373BF">
      <w:pPr>
        <w:pStyle w:val="TOC2"/>
        <w:tabs>
          <w:tab w:val="left" w:pos="958"/>
        </w:tabs>
        <w:rPr>
          <w:rFonts w:eastAsiaTheme="minorEastAsia" w:cstheme="minorBidi"/>
          <w:szCs w:val="24"/>
          <w:lang w:eastAsia="en-GB"/>
        </w:rPr>
      </w:pPr>
      <w:hyperlink w:anchor="_Toc90216902" w:history="1">
        <w:r w:rsidR="00183CC8" w:rsidRPr="00BA3362">
          <w:rPr>
            <w:rStyle w:val="Hyperlink"/>
          </w:rPr>
          <w:t>5.2</w:t>
        </w:r>
        <w:r w:rsidR="00183CC8">
          <w:rPr>
            <w:rFonts w:eastAsiaTheme="minorEastAsia" w:cstheme="minorBidi"/>
            <w:szCs w:val="24"/>
            <w:lang w:eastAsia="en-GB"/>
          </w:rPr>
          <w:tab/>
        </w:r>
        <w:r w:rsidR="00183CC8" w:rsidRPr="00BA3362">
          <w:rPr>
            <w:rStyle w:val="Hyperlink"/>
          </w:rPr>
          <w:t>Antibiotic effect on cell morphology as seen by TEM.</w:t>
        </w:r>
        <w:r w:rsidR="00183CC8">
          <w:rPr>
            <w:webHidden/>
          </w:rPr>
          <w:tab/>
        </w:r>
        <w:r w:rsidR="00183CC8">
          <w:rPr>
            <w:webHidden/>
          </w:rPr>
          <w:fldChar w:fldCharType="begin"/>
        </w:r>
        <w:r w:rsidR="00183CC8">
          <w:rPr>
            <w:webHidden/>
          </w:rPr>
          <w:instrText xml:space="preserve"> PAGEREF _Toc90216902 \h </w:instrText>
        </w:r>
        <w:r w:rsidR="00183CC8">
          <w:rPr>
            <w:webHidden/>
          </w:rPr>
        </w:r>
        <w:r w:rsidR="00183CC8">
          <w:rPr>
            <w:webHidden/>
          </w:rPr>
          <w:fldChar w:fldCharType="separate"/>
        </w:r>
        <w:r w:rsidR="00183CC8">
          <w:rPr>
            <w:webHidden/>
          </w:rPr>
          <w:t>172</w:t>
        </w:r>
        <w:r w:rsidR="00183CC8">
          <w:rPr>
            <w:webHidden/>
          </w:rPr>
          <w:fldChar w:fldCharType="end"/>
        </w:r>
      </w:hyperlink>
    </w:p>
    <w:p w14:paraId="36B64BCF" w14:textId="5B715EFC" w:rsidR="00183CC8" w:rsidRDefault="003373BF">
      <w:pPr>
        <w:pStyle w:val="TOC2"/>
        <w:tabs>
          <w:tab w:val="left" w:pos="958"/>
        </w:tabs>
        <w:rPr>
          <w:rFonts w:eastAsiaTheme="minorEastAsia" w:cstheme="minorBidi"/>
          <w:szCs w:val="24"/>
          <w:lang w:eastAsia="en-GB"/>
        </w:rPr>
      </w:pPr>
      <w:hyperlink w:anchor="_Toc90216903" w:history="1">
        <w:r w:rsidR="00183CC8" w:rsidRPr="00BA3362">
          <w:rPr>
            <w:rStyle w:val="Hyperlink"/>
          </w:rPr>
          <w:t>5.3</w:t>
        </w:r>
        <w:r w:rsidR="00183CC8">
          <w:rPr>
            <w:rFonts w:eastAsiaTheme="minorEastAsia" w:cstheme="minorBidi"/>
            <w:szCs w:val="24"/>
            <w:lang w:eastAsia="en-GB"/>
          </w:rPr>
          <w:tab/>
        </w:r>
        <w:r w:rsidR="00183CC8" w:rsidRPr="00BA3362">
          <w:rPr>
            <w:rStyle w:val="Hyperlink"/>
          </w:rPr>
          <w:t>Observation of a methicillin-specific morphological phenotype.</w:t>
        </w:r>
        <w:r w:rsidR="00183CC8">
          <w:rPr>
            <w:webHidden/>
          </w:rPr>
          <w:tab/>
        </w:r>
        <w:r w:rsidR="00183CC8">
          <w:rPr>
            <w:webHidden/>
          </w:rPr>
          <w:fldChar w:fldCharType="begin"/>
        </w:r>
        <w:r w:rsidR="00183CC8">
          <w:rPr>
            <w:webHidden/>
          </w:rPr>
          <w:instrText xml:space="preserve"> PAGEREF _Toc90216903 \h </w:instrText>
        </w:r>
        <w:r w:rsidR="00183CC8">
          <w:rPr>
            <w:webHidden/>
          </w:rPr>
        </w:r>
        <w:r w:rsidR="00183CC8">
          <w:rPr>
            <w:webHidden/>
          </w:rPr>
          <w:fldChar w:fldCharType="separate"/>
        </w:r>
        <w:r w:rsidR="00183CC8">
          <w:rPr>
            <w:webHidden/>
          </w:rPr>
          <w:t>182</w:t>
        </w:r>
        <w:r w:rsidR="00183CC8">
          <w:rPr>
            <w:webHidden/>
          </w:rPr>
          <w:fldChar w:fldCharType="end"/>
        </w:r>
      </w:hyperlink>
    </w:p>
    <w:p w14:paraId="0A871653" w14:textId="1828B948" w:rsidR="00183CC8" w:rsidRDefault="003373BF">
      <w:pPr>
        <w:pStyle w:val="TOC2"/>
        <w:tabs>
          <w:tab w:val="left" w:pos="958"/>
        </w:tabs>
        <w:rPr>
          <w:rFonts w:eastAsiaTheme="minorEastAsia" w:cstheme="minorBidi"/>
          <w:szCs w:val="24"/>
          <w:lang w:eastAsia="en-GB"/>
        </w:rPr>
      </w:pPr>
      <w:hyperlink w:anchor="_Toc90216904" w:history="1">
        <w:r w:rsidR="00183CC8" w:rsidRPr="00BA3362">
          <w:rPr>
            <w:rStyle w:val="Hyperlink"/>
          </w:rPr>
          <w:t>5.4</w:t>
        </w:r>
        <w:r w:rsidR="00183CC8">
          <w:rPr>
            <w:rFonts w:eastAsiaTheme="minorEastAsia" w:cstheme="minorBidi"/>
            <w:szCs w:val="24"/>
            <w:lang w:eastAsia="en-GB"/>
          </w:rPr>
          <w:tab/>
        </w:r>
        <w:r w:rsidR="00183CC8" w:rsidRPr="00BA3362">
          <w:rPr>
            <w:rStyle w:val="Hyperlink"/>
          </w:rPr>
          <w:t>Morphological effects of oxacillin treatment.</w:t>
        </w:r>
        <w:r w:rsidR="00183CC8">
          <w:rPr>
            <w:webHidden/>
          </w:rPr>
          <w:tab/>
        </w:r>
        <w:r w:rsidR="00183CC8">
          <w:rPr>
            <w:webHidden/>
          </w:rPr>
          <w:fldChar w:fldCharType="begin"/>
        </w:r>
        <w:r w:rsidR="00183CC8">
          <w:rPr>
            <w:webHidden/>
          </w:rPr>
          <w:instrText xml:space="preserve"> PAGEREF _Toc90216904 \h </w:instrText>
        </w:r>
        <w:r w:rsidR="00183CC8">
          <w:rPr>
            <w:webHidden/>
          </w:rPr>
        </w:r>
        <w:r w:rsidR="00183CC8">
          <w:rPr>
            <w:webHidden/>
          </w:rPr>
          <w:fldChar w:fldCharType="separate"/>
        </w:r>
        <w:r w:rsidR="00183CC8">
          <w:rPr>
            <w:webHidden/>
          </w:rPr>
          <w:t>193</w:t>
        </w:r>
        <w:r w:rsidR="00183CC8">
          <w:rPr>
            <w:webHidden/>
          </w:rPr>
          <w:fldChar w:fldCharType="end"/>
        </w:r>
      </w:hyperlink>
    </w:p>
    <w:p w14:paraId="7B70249F" w14:textId="38EC3ED2" w:rsidR="00183CC8" w:rsidRDefault="003373BF">
      <w:pPr>
        <w:pStyle w:val="TOC2"/>
        <w:tabs>
          <w:tab w:val="left" w:pos="958"/>
        </w:tabs>
        <w:rPr>
          <w:rFonts w:eastAsiaTheme="minorEastAsia" w:cstheme="minorBidi"/>
          <w:szCs w:val="24"/>
          <w:lang w:eastAsia="en-GB"/>
        </w:rPr>
      </w:pPr>
      <w:hyperlink w:anchor="_Toc90216905" w:history="1">
        <w:r w:rsidR="00183CC8" w:rsidRPr="00BA3362">
          <w:rPr>
            <w:rStyle w:val="Hyperlink"/>
          </w:rPr>
          <w:t>5.5</w:t>
        </w:r>
        <w:r w:rsidR="00183CC8">
          <w:rPr>
            <w:rFonts w:eastAsiaTheme="minorEastAsia" w:cstheme="minorBidi"/>
            <w:szCs w:val="24"/>
            <w:lang w:eastAsia="en-GB"/>
          </w:rPr>
          <w:tab/>
        </w:r>
        <w:r w:rsidR="00183CC8" w:rsidRPr="00BA3362">
          <w:rPr>
            <w:rStyle w:val="Hyperlink"/>
          </w:rPr>
          <w:t xml:space="preserve">Effect of cell wall antibiotics on the morphology of </w:t>
        </w:r>
        <w:r w:rsidR="00183CC8" w:rsidRPr="00BA3362">
          <w:rPr>
            <w:rStyle w:val="Hyperlink"/>
            <w:i/>
            <w:iCs/>
          </w:rPr>
          <w:t>S. aureus</w:t>
        </w:r>
        <w:r w:rsidR="00183CC8" w:rsidRPr="00BA3362">
          <w:rPr>
            <w:rStyle w:val="Hyperlink"/>
          </w:rPr>
          <w:t xml:space="preserve"> NewHG and COL.</w:t>
        </w:r>
        <w:r w:rsidR="00183CC8">
          <w:rPr>
            <w:webHidden/>
          </w:rPr>
          <w:tab/>
        </w:r>
        <w:r w:rsidR="00183CC8">
          <w:rPr>
            <w:webHidden/>
          </w:rPr>
          <w:fldChar w:fldCharType="begin"/>
        </w:r>
        <w:r w:rsidR="00183CC8">
          <w:rPr>
            <w:webHidden/>
          </w:rPr>
          <w:instrText xml:space="preserve"> PAGEREF _Toc90216905 \h </w:instrText>
        </w:r>
        <w:r w:rsidR="00183CC8">
          <w:rPr>
            <w:webHidden/>
          </w:rPr>
        </w:r>
        <w:r w:rsidR="00183CC8">
          <w:rPr>
            <w:webHidden/>
          </w:rPr>
          <w:fldChar w:fldCharType="separate"/>
        </w:r>
        <w:r w:rsidR="00183CC8">
          <w:rPr>
            <w:webHidden/>
          </w:rPr>
          <w:t>198</w:t>
        </w:r>
        <w:r w:rsidR="00183CC8">
          <w:rPr>
            <w:webHidden/>
          </w:rPr>
          <w:fldChar w:fldCharType="end"/>
        </w:r>
      </w:hyperlink>
    </w:p>
    <w:p w14:paraId="1839E9FD" w14:textId="074DDF46" w:rsidR="00183CC8" w:rsidRDefault="003373BF">
      <w:pPr>
        <w:pStyle w:val="TOC2"/>
        <w:tabs>
          <w:tab w:val="left" w:pos="958"/>
        </w:tabs>
        <w:rPr>
          <w:rFonts w:eastAsiaTheme="minorEastAsia" w:cstheme="minorBidi"/>
          <w:szCs w:val="24"/>
          <w:lang w:eastAsia="en-GB"/>
        </w:rPr>
      </w:pPr>
      <w:hyperlink w:anchor="_Toc90216906" w:history="1">
        <w:r w:rsidR="00183CC8" w:rsidRPr="00BA3362">
          <w:rPr>
            <w:rStyle w:val="Hyperlink"/>
          </w:rPr>
          <w:t>5.6</w:t>
        </w:r>
        <w:r w:rsidR="00183CC8">
          <w:rPr>
            <w:rFonts w:eastAsiaTheme="minorEastAsia" w:cstheme="minorBidi"/>
            <w:szCs w:val="24"/>
            <w:lang w:eastAsia="en-GB"/>
          </w:rPr>
          <w:tab/>
        </w:r>
        <w:r w:rsidR="00183CC8" w:rsidRPr="00BA3362">
          <w:rPr>
            <w:rStyle w:val="Hyperlink"/>
          </w:rPr>
          <w:t>What is causing the expansion of the exoplasm?</w:t>
        </w:r>
        <w:r w:rsidR="00183CC8">
          <w:rPr>
            <w:webHidden/>
          </w:rPr>
          <w:tab/>
        </w:r>
        <w:r w:rsidR="00183CC8">
          <w:rPr>
            <w:webHidden/>
          </w:rPr>
          <w:fldChar w:fldCharType="begin"/>
        </w:r>
        <w:r w:rsidR="00183CC8">
          <w:rPr>
            <w:webHidden/>
          </w:rPr>
          <w:instrText xml:space="preserve"> PAGEREF _Toc90216906 \h </w:instrText>
        </w:r>
        <w:r w:rsidR="00183CC8">
          <w:rPr>
            <w:webHidden/>
          </w:rPr>
        </w:r>
        <w:r w:rsidR="00183CC8">
          <w:rPr>
            <w:webHidden/>
          </w:rPr>
          <w:fldChar w:fldCharType="separate"/>
        </w:r>
        <w:r w:rsidR="00183CC8">
          <w:rPr>
            <w:webHidden/>
          </w:rPr>
          <w:t>203</w:t>
        </w:r>
        <w:r w:rsidR="00183CC8">
          <w:rPr>
            <w:webHidden/>
          </w:rPr>
          <w:fldChar w:fldCharType="end"/>
        </w:r>
      </w:hyperlink>
    </w:p>
    <w:p w14:paraId="00D25D11" w14:textId="4F064B69" w:rsidR="00183CC8" w:rsidRDefault="003373BF">
      <w:pPr>
        <w:pStyle w:val="TOC3"/>
        <w:tabs>
          <w:tab w:val="left" w:pos="1320"/>
        </w:tabs>
        <w:rPr>
          <w:rFonts w:eastAsiaTheme="minorEastAsia" w:cstheme="minorBidi"/>
          <w:noProof/>
          <w:szCs w:val="24"/>
          <w:lang w:eastAsia="en-GB"/>
        </w:rPr>
      </w:pPr>
      <w:hyperlink w:anchor="_Toc90216907" w:history="1">
        <w:r w:rsidR="00183CC8" w:rsidRPr="00BA3362">
          <w:rPr>
            <w:rStyle w:val="Hyperlink"/>
            <w:noProof/>
          </w:rPr>
          <w:t>5.6.1</w:t>
        </w:r>
        <w:r w:rsidR="00183CC8">
          <w:rPr>
            <w:rFonts w:eastAsiaTheme="minorEastAsia" w:cstheme="minorBidi"/>
            <w:noProof/>
            <w:szCs w:val="24"/>
            <w:lang w:eastAsia="en-GB"/>
          </w:rPr>
          <w:tab/>
        </w:r>
        <w:r w:rsidR="00183CC8" w:rsidRPr="00BA3362">
          <w:rPr>
            <w:rStyle w:val="Hyperlink"/>
            <w:noProof/>
          </w:rPr>
          <w:t>Are uncrosslinked PG or lipid precursors causing this phenotype?</w:t>
        </w:r>
        <w:r w:rsidR="00183CC8">
          <w:rPr>
            <w:noProof/>
            <w:webHidden/>
          </w:rPr>
          <w:tab/>
        </w:r>
        <w:r w:rsidR="00183CC8">
          <w:rPr>
            <w:noProof/>
            <w:webHidden/>
          </w:rPr>
          <w:fldChar w:fldCharType="begin"/>
        </w:r>
        <w:r w:rsidR="00183CC8">
          <w:rPr>
            <w:noProof/>
            <w:webHidden/>
          </w:rPr>
          <w:instrText xml:space="preserve"> PAGEREF _Toc90216907 \h </w:instrText>
        </w:r>
        <w:r w:rsidR="00183CC8">
          <w:rPr>
            <w:noProof/>
            <w:webHidden/>
          </w:rPr>
        </w:r>
        <w:r w:rsidR="00183CC8">
          <w:rPr>
            <w:noProof/>
            <w:webHidden/>
          </w:rPr>
          <w:fldChar w:fldCharType="separate"/>
        </w:r>
        <w:r w:rsidR="00183CC8">
          <w:rPr>
            <w:noProof/>
            <w:webHidden/>
          </w:rPr>
          <w:t>203</w:t>
        </w:r>
        <w:r w:rsidR="00183CC8">
          <w:rPr>
            <w:noProof/>
            <w:webHidden/>
          </w:rPr>
          <w:fldChar w:fldCharType="end"/>
        </w:r>
      </w:hyperlink>
    </w:p>
    <w:p w14:paraId="2148F399" w14:textId="56EC134D" w:rsidR="00183CC8" w:rsidRDefault="003373BF">
      <w:pPr>
        <w:pStyle w:val="TOC3"/>
        <w:tabs>
          <w:tab w:val="left" w:pos="1320"/>
        </w:tabs>
        <w:rPr>
          <w:rFonts w:eastAsiaTheme="minorEastAsia" w:cstheme="minorBidi"/>
          <w:noProof/>
          <w:szCs w:val="24"/>
          <w:lang w:eastAsia="en-GB"/>
        </w:rPr>
      </w:pPr>
      <w:hyperlink w:anchor="_Toc90216908" w:history="1">
        <w:r w:rsidR="00183CC8" w:rsidRPr="00BA3362">
          <w:rPr>
            <w:rStyle w:val="Hyperlink"/>
            <w:noProof/>
          </w:rPr>
          <w:t>5.6.2</w:t>
        </w:r>
        <w:r w:rsidR="00183CC8">
          <w:rPr>
            <w:rFonts w:eastAsiaTheme="minorEastAsia" w:cstheme="minorBidi"/>
            <w:noProof/>
            <w:szCs w:val="24"/>
            <w:lang w:eastAsia="en-GB"/>
          </w:rPr>
          <w:tab/>
        </w:r>
        <w:r w:rsidR="00183CC8" w:rsidRPr="00BA3362">
          <w:rPr>
            <w:rStyle w:val="Hyperlink"/>
            <w:noProof/>
          </w:rPr>
          <w:t>Are teichoic acids precursors causing the expansion of the exoplasm?</w:t>
        </w:r>
        <w:r w:rsidR="00183CC8">
          <w:rPr>
            <w:noProof/>
            <w:webHidden/>
          </w:rPr>
          <w:tab/>
        </w:r>
        <w:r w:rsidR="00183CC8">
          <w:rPr>
            <w:noProof/>
            <w:webHidden/>
          </w:rPr>
          <w:fldChar w:fldCharType="begin"/>
        </w:r>
        <w:r w:rsidR="00183CC8">
          <w:rPr>
            <w:noProof/>
            <w:webHidden/>
          </w:rPr>
          <w:instrText xml:space="preserve"> PAGEREF _Toc90216908 \h </w:instrText>
        </w:r>
        <w:r w:rsidR="00183CC8">
          <w:rPr>
            <w:noProof/>
            <w:webHidden/>
          </w:rPr>
        </w:r>
        <w:r w:rsidR="00183CC8">
          <w:rPr>
            <w:noProof/>
            <w:webHidden/>
          </w:rPr>
          <w:fldChar w:fldCharType="separate"/>
        </w:r>
        <w:r w:rsidR="00183CC8">
          <w:rPr>
            <w:noProof/>
            <w:webHidden/>
          </w:rPr>
          <w:t>208</w:t>
        </w:r>
        <w:r w:rsidR="00183CC8">
          <w:rPr>
            <w:noProof/>
            <w:webHidden/>
          </w:rPr>
          <w:fldChar w:fldCharType="end"/>
        </w:r>
      </w:hyperlink>
    </w:p>
    <w:p w14:paraId="06B604AF" w14:textId="1134A912" w:rsidR="00183CC8" w:rsidRDefault="003373BF">
      <w:pPr>
        <w:pStyle w:val="TOC3"/>
        <w:tabs>
          <w:tab w:val="left" w:pos="1320"/>
        </w:tabs>
        <w:rPr>
          <w:rFonts w:eastAsiaTheme="minorEastAsia" w:cstheme="minorBidi"/>
          <w:noProof/>
          <w:szCs w:val="24"/>
          <w:lang w:eastAsia="en-GB"/>
        </w:rPr>
      </w:pPr>
      <w:hyperlink w:anchor="_Toc90216909" w:history="1">
        <w:r w:rsidR="00183CC8" w:rsidRPr="00BA3362">
          <w:rPr>
            <w:rStyle w:val="Hyperlink"/>
            <w:noProof/>
          </w:rPr>
          <w:t>5.6.3</w:t>
        </w:r>
        <w:r w:rsidR="00183CC8">
          <w:rPr>
            <w:rFonts w:eastAsiaTheme="minorEastAsia" w:cstheme="minorBidi"/>
            <w:noProof/>
            <w:szCs w:val="24"/>
            <w:lang w:eastAsia="en-GB"/>
          </w:rPr>
          <w:tab/>
        </w:r>
        <w:r w:rsidR="00183CC8" w:rsidRPr="00BA3362">
          <w:rPr>
            <w:rStyle w:val="Hyperlink"/>
            <w:noProof/>
          </w:rPr>
          <w:t>Methicillin treatment leads to plasmolysis.</w:t>
        </w:r>
        <w:r w:rsidR="00183CC8">
          <w:rPr>
            <w:noProof/>
            <w:webHidden/>
          </w:rPr>
          <w:tab/>
        </w:r>
        <w:r w:rsidR="00183CC8">
          <w:rPr>
            <w:noProof/>
            <w:webHidden/>
          </w:rPr>
          <w:fldChar w:fldCharType="begin"/>
        </w:r>
        <w:r w:rsidR="00183CC8">
          <w:rPr>
            <w:noProof/>
            <w:webHidden/>
          </w:rPr>
          <w:instrText xml:space="preserve"> PAGEREF _Toc90216909 \h </w:instrText>
        </w:r>
        <w:r w:rsidR="00183CC8">
          <w:rPr>
            <w:noProof/>
            <w:webHidden/>
          </w:rPr>
        </w:r>
        <w:r w:rsidR="00183CC8">
          <w:rPr>
            <w:noProof/>
            <w:webHidden/>
          </w:rPr>
          <w:fldChar w:fldCharType="separate"/>
        </w:r>
        <w:r w:rsidR="00183CC8">
          <w:rPr>
            <w:noProof/>
            <w:webHidden/>
          </w:rPr>
          <w:t>217</w:t>
        </w:r>
        <w:r w:rsidR="00183CC8">
          <w:rPr>
            <w:noProof/>
            <w:webHidden/>
          </w:rPr>
          <w:fldChar w:fldCharType="end"/>
        </w:r>
      </w:hyperlink>
    </w:p>
    <w:p w14:paraId="0FDE7339" w14:textId="4B98B16F" w:rsidR="00183CC8" w:rsidRDefault="003373BF">
      <w:pPr>
        <w:pStyle w:val="TOC2"/>
        <w:tabs>
          <w:tab w:val="left" w:pos="958"/>
        </w:tabs>
        <w:rPr>
          <w:rFonts w:eastAsiaTheme="minorEastAsia" w:cstheme="minorBidi"/>
          <w:szCs w:val="24"/>
          <w:lang w:eastAsia="en-GB"/>
        </w:rPr>
      </w:pPr>
      <w:hyperlink w:anchor="_Toc90216910" w:history="1">
        <w:r w:rsidR="00183CC8" w:rsidRPr="00BA3362">
          <w:rPr>
            <w:rStyle w:val="Hyperlink"/>
          </w:rPr>
          <w:t>5.7</w:t>
        </w:r>
        <w:r w:rsidR="00183CC8">
          <w:rPr>
            <w:rFonts w:eastAsiaTheme="minorEastAsia" w:cstheme="minorBidi"/>
            <w:szCs w:val="24"/>
            <w:lang w:eastAsia="en-GB"/>
          </w:rPr>
          <w:tab/>
        </w:r>
        <w:r w:rsidR="00183CC8" w:rsidRPr="00BA3362">
          <w:rPr>
            <w:rStyle w:val="Hyperlink"/>
          </w:rPr>
          <w:t>Are PGH responsible for the bactericidal activity of cell wall antibiotics?</w:t>
        </w:r>
        <w:r w:rsidR="00183CC8">
          <w:rPr>
            <w:webHidden/>
          </w:rPr>
          <w:tab/>
        </w:r>
        <w:r w:rsidR="00183CC8">
          <w:rPr>
            <w:webHidden/>
          </w:rPr>
          <w:fldChar w:fldCharType="begin"/>
        </w:r>
        <w:r w:rsidR="00183CC8">
          <w:rPr>
            <w:webHidden/>
          </w:rPr>
          <w:instrText xml:space="preserve"> PAGEREF _Toc90216910 \h </w:instrText>
        </w:r>
        <w:r w:rsidR="00183CC8">
          <w:rPr>
            <w:webHidden/>
          </w:rPr>
        </w:r>
        <w:r w:rsidR="00183CC8">
          <w:rPr>
            <w:webHidden/>
          </w:rPr>
          <w:fldChar w:fldCharType="separate"/>
        </w:r>
        <w:r w:rsidR="00183CC8">
          <w:rPr>
            <w:webHidden/>
          </w:rPr>
          <w:t>221</w:t>
        </w:r>
        <w:r w:rsidR="00183CC8">
          <w:rPr>
            <w:webHidden/>
          </w:rPr>
          <w:fldChar w:fldCharType="end"/>
        </w:r>
      </w:hyperlink>
    </w:p>
    <w:p w14:paraId="63F71208" w14:textId="08F41F78" w:rsidR="00183CC8" w:rsidRDefault="003373BF">
      <w:pPr>
        <w:pStyle w:val="TOC3"/>
        <w:tabs>
          <w:tab w:val="left" w:pos="1320"/>
        </w:tabs>
        <w:rPr>
          <w:rFonts w:eastAsiaTheme="minorEastAsia" w:cstheme="minorBidi"/>
          <w:noProof/>
          <w:szCs w:val="24"/>
          <w:lang w:eastAsia="en-GB"/>
        </w:rPr>
      </w:pPr>
      <w:hyperlink w:anchor="_Toc90216911" w:history="1">
        <w:r w:rsidR="00183CC8" w:rsidRPr="00BA3362">
          <w:rPr>
            <w:rStyle w:val="Hyperlink"/>
            <w:noProof/>
          </w:rPr>
          <w:t>5.7.1</w:t>
        </w:r>
        <w:r w:rsidR="00183CC8">
          <w:rPr>
            <w:rFonts w:eastAsiaTheme="minorEastAsia" w:cstheme="minorBidi"/>
            <w:noProof/>
            <w:szCs w:val="24"/>
            <w:lang w:eastAsia="en-GB"/>
          </w:rPr>
          <w:tab/>
        </w:r>
        <w:r w:rsidR="00183CC8" w:rsidRPr="00BA3362">
          <w:rPr>
            <w:rStyle w:val="Hyperlink"/>
            <w:noProof/>
          </w:rPr>
          <w:t>The role of SagB in the bactericidal activity of cell wall antibiotics.</w:t>
        </w:r>
        <w:r w:rsidR="00183CC8">
          <w:rPr>
            <w:noProof/>
            <w:webHidden/>
          </w:rPr>
          <w:tab/>
        </w:r>
        <w:r w:rsidR="00183CC8">
          <w:rPr>
            <w:noProof/>
            <w:webHidden/>
          </w:rPr>
          <w:fldChar w:fldCharType="begin"/>
        </w:r>
        <w:r w:rsidR="00183CC8">
          <w:rPr>
            <w:noProof/>
            <w:webHidden/>
          </w:rPr>
          <w:instrText xml:space="preserve"> PAGEREF _Toc90216911 \h </w:instrText>
        </w:r>
        <w:r w:rsidR="00183CC8">
          <w:rPr>
            <w:noProof/>
            <w:webHidden/>
          </w:rPr>
        </w:r>
        <w:r w:rsidR="00183CC8">
          <w:rPr>
            <w:noProof/>
            <w:webHidden/>
          </w:rPr>
          <w:fldChar w:fldCharType="separate"/>
        </w:r>
        <w:r w:rsidR="00183CC8">
          <w:rPr>
            <w:noProof/>
            <w:webHidden/>
          </w:rPr>
          <w:t>221</w:t>
        </w:r>
        <w:r w:rsidR="00183CC8">
          <w:rPr>
            <w:noProof/>
            <w:webHidden/>
          </w:rPr>
          <w:fldChar w:fldCharType="end"/>
        </w:r>
      </w:hyperlink>
    </w:p>
    <w:p w14:paraId="187BA792" w14:textId="146DBBBA" w:rsidR="00183CC8" w:rsidRDefault="003373BF">
      <w:pPr>
        <w:pStyle w:val="TOC3"/>
        <w:tabs>
          <w:tab w:val="left" w:pos="1320"/>
        </w:tabs>
        <w:rPr>
          <w:rFonts w:eastAsiaTheme="minorEastAsia" w:cstheme="minorBidi"/>
          <w:noProof/>
          <w:szCs w:val="24"/>
          <w:lang w:eastAsia="en-GB"/>
        </w:rPr>
      </w:pPr>
      <w:hyperlink w:anchor="_Toc90216912" w:history="1">
        <w:r w:rsidR="00183CC8" w:rsidRPr="00BA3362">
          <w:rPr>
            <w:rStyle w:val="Hyperlink"/>
            <w:noProof/>
          </w:rPr>
          <w:t>5.7.2</w:t>
        </w:r>
        <w:r w:rsidR="00183CC8">
          <w:rPr>
            <w:rFonts w:eastAsiaTheme="minorEastAsia" w:cstheme="minorBidi"/>
            <w:noProof/>
            <w:szCs w:val="24"/>
            <w:lang w:eastAsia="en-GB"/>
          </w:rPr>
          <w:tab/>
        </w:r>
        <w:r w:rsidR="00183CC8" w:rsidRPr="00BA3362">
          <w:rPr>
            <w:rStyle w:val="Hyperlink"/>
            <w:noProof/>
          </w:rPr>
          <w:t>The role of Atl in the bactericidal effect of antibiotics.</w:t>
        </w:r>
        <w:r w:rsidR="00183CC8">
          <w:rPr>
            <w:noProof/>
            <w:webHidden/>
          </w:rPr>
          <w:tab/>
        </w:r>
        <w:r w:rsidR="00183CC8">
          <w:rPr>
            <w:noProof/>
            <w:webHidden/>
          </w:rPr>
          <w:fldChar w:fldCharType="begin"/>
        </w:r>
        <w:r w:rsidR="00183CC8">
          <w:rPr>
            <w:noProof/>
            <w:webHidden/>
          </w:rPr>
          <w:instrText xml:space="preserve"> PAGEREF _Toc90216912 \h </w:instrText>
        </w:r>
        <w:r w:rsidR="00183CC8">
          <w:rPr>
            <w:noProof/>
            <w:webHidden/>
          </w:rPr>
        </w:r>
        <w:r w:rsidR="00183CC8">
          <w:rPr>
            <w:noProof/>
            <w:webHidden/>
          </w:rPr>
          <w:fldChar w:fldCharType="separate"/>
        </w:r>
        <w:r w:rsidR="00183CC8">
          <w:rPr>
            <w:noProof/>
            <w:webHidden/>
          </w:rPr>
          <w:t>226</w:t>
        </w:r>
        <w:r w:rsidR="00183CC8">
          <w:rPr>
            <w:noProof/>
            <w:webHidden/>
          </w:rPr>
          <w:fldChar w:fldCharType="end"/>
        </w:r>
      </w:hyperlink>
    </w:p>
    <w:p w14:paraId="5AD841FC" w14:textId="32EA94C7" w:rsidR="00183CC8" w:rsidRDefault="003373BF">
      <w:pPr>
        <w:pStyle w:val="TOC2"/>
        <w:tabs>
          <w:tab w:val="left" w:pos="958"/>
        </w:tabs>
        <w:rPr>
          <w:rFonts w:eastAsiaTheme="minorEastAsia" w:cstheme="minorBidi"/>
          <w:szCs w:val="24"/>
          <w:lang w:eastAsia="en-GB"/>
        </w:rPr>
      </w:pPr>
      <w:hyperlink w:anchor="_Toc90216913" w:history="1">
        <w:r w:rsidR="00183CC8" w:rsidRPr="00BA3362">
          <w:rPr>
            <w:rStyle w:val="Hyperlink"/>
          </w:rPr>
          <w:t>5.8</w:t>
        </w:r>
        <w:r w:rsidR="00183CC8">
          <w:rPr>
            <w:rFonts w:eastAsiaTheme="minorEastAsia" w:cstheme="minorBidi"/>
            <w:szCs w:val="24"/>
            <w:lang w:eastAsia="en-GB"/>
          </w:rPr>
          <w:tab/>
        </w:r>
        <w:r w:rsidR="00183CC8" w:rsidRPr="00BA3362">
          <w:rPr>
            <w:rStyle w:val="Hyperlink"/>
          </w:rPr>
          <w:t>The role of cell wall homeostasis in life and death.</w:t>
        </w:r>
        <w:r w:rsidR="00183CC8">
          <w:rPr>
            <w:webHidden/>
          </w:rPr>
          <w:tab/>
        </w:r>
        <w:r w:rsidR="00183CC8">
          <w:rPr>
            <w:webHidden/>
          </w:rPr>
          <w:fldChar w:fldCharType="begin"/>
        </w:r>
        <w:r w:rsidR="00183CC8">
          <w:rPr>
            <w:webHidden/>
          </w:rPr>
          <w:instrText xml:space="preserve"> PAGEREF _Toc90216913 \h </w:instrText>
        </w:r>
        <w:r w:rsidR="00183CC8">
          <w:rPr>
            <w:webHidden/>
          </w:rPr>
        </w:r>
        <w:r w:rsidR="00183CC8">
          <w:rPr>
            <w:webHidden/>
          </w:rPr>
          <w:fldChar w:fldCharType="separate"/>
        </w:r>
        <w:r w:rsidR="00183CC8">
          <w:rPr>
            <w:webHidden/>
          </w:rPr>
          <w:t>231</w:t>
        </w:r>
        <w:r w:rsidR="00183CC8">
          <w:rPr>
            <w:webHidden/>
          </w:rPr>
          <w:fldChar w:fldCharType="end"/>
        </w:r>
      </w:hyperlink>
    </w:p>
    <w:p w14:paraId="3568585C" w14:textId="4AA8AD01" w:rsidR="00183CC8" w:rsidRDefault="003373BF">
      <w:pPr>
        <w:pStyle w:val="TOC2"/>
        <w:tabs>
          <w:tab w:val="left" w:pos="958"/>
        </w:tabs>
        <w:rPr>
          <w:rFonts w:eastAsiaTheme="minorEastAsia" w:cstheme="minorBidi"/>
          <w:szCs w:val="24"/>
          <w:lang w:eastAsia="en-GB"/>
        </w:rPr>
      </w:pPr>
      <w:hyperlink w:anchor="_Toc90216914" w:history="1">
        <w:r w:rsidR="00183CC8" w:rsidRPr="00BA3362">
          <w:rPr>
            <w:rStyle w:val="Hyperlink"/>
          </w:rPr>
          <w:t>5.9</w:t>
        </w:r>
        <w:r w:rsidR="00183CC8">
          <w:rPr>
            <w:rFonts w:eastAsiaTheme="minorEastAsia" w:cstheme="minorBidi"/>
            <w:szCs w:val="24"/>
            <w:lang w:eastAsia="en-GB"/>
          </w:rPr>
          <w:tab/>
        </w:r>
        <w:r w:rsidR="00183CC8" w:rsidRPr="00BA3362">
          <w:rPr>
            <w:rStyle w:val="Hyperlink"/>
          </w:rPr>
          <w:t>Discussion.</w:t>
        </w:r>
        <w:r w:rsidR="00183CC8">
          <w:rPr>
            <w:webHidden/>
          </w:rPr>
          <w:tab/>
        </w:r>
        <w:r w:rsidR="00183CC8">
          <w:rPr>
            <w:webHidden/>
          </w:rPr>
          <w:fldChar w:fldCharType="begin"/>
        </w:r>
        <w:r w:rsidR="00183CC8">
          <w:rPr>
            <w:webHidden/>
          </w:rPr>
          <w:instrText xml:space="preserve"> PAGEREF _Toc90216914 \h </w:instrText>
        </w:r>
        <w:r w:rsidR="00183CC8">
          <w:rPr>
            <w:webHidden/>
          </w:rPr>
        </w:r>
        <w:r w:rsidR="00183CC8">
          <w:rPr>
            <w:webHidden/>
          </w:rPr>
          <w:fldChar w:fldCharType="separate"/>
        </w:r>
        <w:r w:rsidR="00183CC8">
          <w:rPr>
            <w:webHidden/>
          </w:rPr>
          <w:t>237</w:t>
        </w:r>
        <w:r w:rsidR="00183CC8">
          <w:rPr>
            <w:webHidden/>
          </w:rPr>
          <w:fldChar w:fldCharType="end"/>
        </w:r>
      </w:hyperlink>
    </w:p>
    <w:p w14:paraId="7F1285E7" w14:textId="74AB39A3" w:rsidR="00183CC8" w:rsidRDefault="003373BF">
      <w:pPr>
        <w:pStyle w:val="TOC1"/>
        <w:rPr>
          <w:rFonts w:eastAsiaTheme="minorEastAsia" w:cstheme="minorBidi"/>
          <w:b w:val="0"/>
          <w:szCs w:val="24"/>
          <w:lang w:eastAsia="en-GB"/>
        </w:rPr>
      </w:pPr>
      <w:hyperlink w:anchor="_Toc90216915" w:history="1">
        <w:r w:rsidR="00183CC8">
          <w:rPr>
            <w:rFonts w:eastAsiaTheme="minorEastAsia" w:cstheme="minorBidi"/>
            <w:b w:val="0"/>
            <w:szCs w:val="24"/>
            <w:lang w:eastAsia="en-GB"/>
          </w:rPr>
          <w:tab/>
        </w:r>
        <w:r w:rsidR="00183CC8" w:rsidRPr="00BA3362">
          <w:rPr>
            <w:rStyle w:val="Hyperlink"/>
          </w:rPr>
          <w:t>Chapter 6</w:t>
        </w:r>
        <w:r w:rsidR="00183CC8">
          <w:rPr>
            <w:webHidden/>
          </w:rPr>
          <w:tab/>
        </w:r>
        <w:r w:rsidR="00183CC8">
          <w:rPr>
            <w:webHidden/>
          </w:rPr>
          <w:fldChar w:fldCharType="begin"/>
        </w:r>
        <w:r w:rsidR="00183CC8">
          <w:rPr>
            <w:webHidden/>
          </w:rPr>
          <w:instrText xml:space="preserve"> PAGEREF _Toc90216915 \h </w:instrText>
        </w:r>
        <w:r w:rsidR="00183CC8">
          <w:rPr>
            <w:webHidden/>
          </w:rPr>
        </w:r>
        <w:r w:rsidR="00183CC8">
          <w:rPr>
            <w:webHidden/>
          </w:rPr>
          <w:fldChar w:fldCharType="separate"/>
        </w:r>
        <w:r w:rsidR="00183CC8">
          <w:rPr>
            <w:webHidden/>
          </w:rPr>
          <w:t>246</w:t>
        </w:r>
        <w:r w:rsidR="00183CC8">
          <w:rPr>
            <w:webHidden/>
          </w:rPr>
          <w:fldChar w:fldCharType="end"/>
        </w:r>
      </w:hyperlink>
    </w:p>
    <w:p w14:paraId="04A7EFE0" w14:textId="3685FEE8" w:rsidR="00183CC8" w:rsidRDefault="003373BF">
      <w:pPr>
        <w:pStyle w:val="TOC1"/>
        <w:rPr>
          <w:rFonts w:eastAsiaTheme="minorEastAsia" w:cstheme="minorBidi"/>
          <w:b w:val="0"/>
          <w:szCs w:val="24"/>
          <w:lang w:eastAsia="en-GB"/>
        </w:rPr>
      </w:pPr>
      <w:hyperlink w:anchor="_Toc90216916" w:history="1">
        <w:r w:rsidR="00183CC8" w:rsidRPr="00BA3362">
          <w:rPr>
            <w:rStyle w:val="Hyperlink"/>
          </w:rPr>
          <w:t>General Discussion</w:t>
        </w:r>
        <w:r w:rsidR="00183CC8">
          <w:rPr>
            <w:webHidden/>
          </w:rPr>
          <w:tab/>
        </w:r>
        <w:r w:rsidR="00183CC8">
          <w:rPr>
            <w:webHidden/>
          </w:rPr>
          <w:fldChar w:fldCharType="begin"/>
        </w:r>
        <w:r w:rsidR="00183CC8">
          <w:rPr>
            <w:webHidden/>
          </w:rPr>
          <w:instrText xml:space="preserve"> PAGEREF _Toc90216916 \h </w:instrText>
        </w:r>
        <w:r w:rsidR="00183CC8">
          <w:rPr>
            <w:webHidden/>
          </w:rPr>
        </w:r>
        <w:r w:rsidR="00183CC8">
          <w:rPr>
            <w:webHidden/>
          </w:rPr>
          <w:fldChar w:fldCharType="separate"/>
        </w:r>
        <w:r w:rsidR="00183CC8">
          <w:rPr>
            <w:webHidden/>
          </w:rPr>
          <w:t>246</w:t>
        </w:r>
        <w:r w:rsidR="00183CC8">
          <w:rPr>
            <w:webHidden/>
          </w:rPr>
          <w:fldChar w:fldCharType="end"/>
        </w:r>
      </w:hyperlink>
    </w:p>
    <w:p w14:paraId="39AA08B7" w14:textId="22CDDC9C" w:rsidR="00183CC8" w:rsidRDefault="003373BF">
      <w:pPr>
        <w:pStyle w:val="TOC2"/>
        <w:tabs>
          <w:tab w:val="left" w:pos="958"/>
        </w:tabs>
        <w:rPr>
          <w:rFonts w:eastAsiaTheme="minorEastAsia" w:cstheme="minorBidi"/>
          <w:szCs w:val="24"/>
          <w:lang w:eastAsia="en-GB"/>
        </w:rPr>
      </w:pPr>
      <w:hyperlink w:anchor="_Toc90216917" w:history="1">
        <w:r w:rsidR="00183CC8" w:rsidRPr="00BA3362">
          <w:rPr>
            <w:rStyle w:val="Hyperlink"/>
          </w:rPr>
          <w:t>6.1</w:t>
        </w:r>
        <w:r w:rsidR="00183CC8">
          <w:rPr>
            <w:rFonts w:eastAsiaTheme="minorEastAsia" w:cstheme="minorBidi"/>
            <w:szCs w:val="24"/>
            <w:lang w:eastAsia="en-GB"/>
          </w:rPr>
          <w:tab/>
        </w:r>
        <w:r w:rsidR="00183CC8" w:rsidRPr="00BA3362">
          <w:rPr>
            <w:rStyle w:val="Hyperlink"/>
          </w:rPr>
          <w:t>Study of the architecture of the bacterial envelope.</w:t>
        </w:r>
        <w:r w:rsidR="00183CC8">
          <w:rPr>
            <w:webHidden/>
          </w:rPr>
          <w:tab/>
        </w:r>
        <w:r w:rsidR="00183CC8">
          <w:rPr>
            <w:webHidden/>
          </w:rPr>
          <w:fldChar w:fldCharType="begin"/>
        </w:r>
        <w:r w:rsidR="00183CC8">
          <w:rPr>
            <w:webHidden/>
          </w:rPr>
          <w:instrText xml:space="preserve"> PAGEREF _Toc90216917 \h </w:instrText>
        </w:r>
        <w:r w:rsidR="00183CC8">
          <w:rPr>
            <w:webHidden/>
          </w:rPr>
        </w:r>
        <w:r w:rsidR="00183CC8">
          <w:rPr>
            <w:webHidden/>
          </w:rPr>
          <w:fldChar w:fldCharType="separate"/>
        </w:r>
        <w:r w:rsidR="00183CC8">
          <w:rPr>
            <w:webHidden/>
          </w:rPr>
          <w:t>246</w:t>
        </w:r>
        <w:r w:rsidR="00183CC8">
          <w:rPr>
            <w:webHidden/>
          </w:rPr>
          <w:fldChar w:fldCharType="end"/>
        </w:r>
      </w:hyperlink>
    </w:p>
    <w:p w14:paraId="4B1D31FE" w14:textId="00AE7B65" w:rsidR="00183CC8" w:rsidRDefault="003373BF">
      <w:pPr>
        <w:pStyle w:val="TOC3"/>
        <w:tabs>
          <w:tab w:val="left" w:pos="1320"/>
        </w:tabs>
        <w:rPr>
          <w:rFonts w:eastAsiaTheme="minorEastAsia" w:cstheme="minorBidi"/>
          <w:noProof/>
          <w:szCs w:val="24"/>
          <w:lang w:eastAsia="en-GB"/>
        </w:rPr>
      </w:pPr>
      <w:hyperlink w:anchor="_Toc90216918" w:history="1">
        <w:r w:rsidR="00183CC8" w:rsidRPr="00BA3362">
          <w:rPr>
            <w:rStyle w:val="Hyperlink"/>
            <w:noProof/>
          </w:rPr>
          <w:t>6.1.1</w:t>
        </w:r>
        <w:r w:rsidR="00183CC8">
          <w:rPr>
            <w:rFonts w:eastAsiaTheme="minorEastAsia" w:cstheme="minorBidi"/>
            <w:noProof/>
            <w:szCs w:val="24"/>
            <w:lang w:eastAsia="en-GB"/>
          </w:rPr>
          <w:tab/>
        </w:r>
        <w:r w:rsidR="00183CC8" w:rsidRPr="00BA3362">
          <w:rPr>
            <w:rStyle w:val="Hyperlink"/>
            <w:noProof/>
          </w:rPr>
          <w:t>CEMOVIS for hydrated analysis of the exoplasm.</w:t>
        </w:r>
        <w:r w:rsidR="00183CC8">
          <w:rPr>
            <w:noProof/>
            <w:webHidden/>
          </w:rPr>
          <w:tab/>
        </w:r>
        <w:r w:rsidR="00183CC8">
          <w:rPr>
            <w:noProof/>
            <w:webHidden/>
          </w:rPr>
          <w:fldChar w:fldCharType="begin"/>
        </w:r>
        <w:r w:rsidR="00183CC8">
          <w:rPr>
            <w:noProof/>
            <w:webHidden/>
          </w:rPr>
          <w:instrText xml:space="preserve"> PAGEREF _Toc90216918 \h </w:instrText>
        </w:r>
        <w:r w:rsidR="00183CC8">
          <w:rPr>
            <w:noProof/>
            <w:webHidden/>
          </w:rPr>
        </w:r>
        <w:r w:rsidR="00183CC8">
          <w:rPr>
            <w:noProof/>
            <w:webHidden/>
          </w:rPr>
          <w:fldChar w:fldCharType="separate"/>
        </w:r>
        <w:r w:rsidR="00183CC8">
          <w:rPr>
            <w:noProof/>
            <w:webHidden/>
          </w:rPr>
          <w:t>246</w:t>
        </w:r>
        <w:r w:rsidR="00183CC8">
          <w:rPr>
            <w:noProof/>
            <w:webHidden/>
          </w:rPr>
          <w:fldChar w:fldCharType="end"/>
        </w:r>
      </w:hyperlink>
    </w:p>
    <w:p w14:paraId="3A13AB20" w14:textId="46B14018" w:rsidR="00183CC8" w:rsidRDefault="003373BF">
      <w:pPr>
        <w:pStyle w:val="TOC3"/>
        <w:tabs>
          <w:tab w:val="left" w:pos="1320"/>
        </w:tabs>
        <w:rPr>
          <w:rFonts w:eastAsiaTheme="minorEastAsia" w:cstheme="minorBidi"/>
          <w:noProof/>
          <w:szCs w:val="24"/>
          <w:lang w:eastAsia="en-GB"/>
        </w:rPr>
      </w:pPr>
      <w:hyperlink w:anchor="_Toc90216919" w:history="1">
        <w:r w:rsidR="00183CC8" w:rsidRPr="00BA3362">
          <w:rPr>
            <w:rStyle w:val="Hyperlink"/>
            <w:noProof/>
          </w:rPr>
          <w:t>6.1.2</w:t>
        </w:r>
        <w:r w:rsidR="00183CC8">
          <w:rPr>
            <w:rFonts w:eastAsiaTheme="minorEastAsia" w:cstheme="minorBidi"/>
            <w:noProof/>
            <w:szCs w:val="24"/>
            <w:lang w:eastAsia="en-GB"/>
          </w:rPr>
          <w:tab/>
        </w:r>
        <w:r w:rsidR="00183CC8" w:rsidRPr="00BA3362">
          <w:rPr>
            <w:rStyle w:val="Hyperlink"/>
            <w:noProof/>
          </w:rPr>
          <w:t>Discovery of previously unidentified layers in the bacterial envelope: where are WTA and LTA?</w:t>
        </w:r>
        <w:r w:rsidR="00183CC8">
          <w:rPr>
            <w:noProof/>
            <w:webHidden/>
          </w:rPr>
          <w:tab/>
        </w:r>
        <w:r w:rsidR="00183CC8">
          <w:rPr>
            <w:noProof/>
            <w:webHidden/>
          </w:rPr>
          <w:fldChar w:fldCharType="begin"/>
        </w:r>
        <w:r w:rsidR="00183CC8">
          <w:rPr>
            <w:noProof/>
            <w:webHidden/>
          </w:rPr>
          <w:instrText xml:space="preserve"> PAGEREF _Toc90216919 \h </w:instrText>
        </w:r>
        <w:r w:rsidR="00183CC8">
          <w:rPr>
            <w:noProof/>
            <w:webHidden/>
          </w:rPr>
        </w:r>
        <w:r w:rsidR="00183CC8">
          <w:rPr>
            <w:noProof/>
            <w:webHidden/>
          </w:rPr>
          <w:fldChar w:fldCharType="separate"/>
        </w:r>
        <w:r w:rsidR="00183CC8">
          <w:rPr>
            <w:noProof/>
            <w:webHidden/>
          </w:rPr>
          <w:t>247</w:t>
        </w:r>
        <w:r w:rsidR="00183CC8">
          <w:rPr>
            <w:noProof/>
            <w:webHidden/>
          </w:rPr>
          <w:fldChar w:fldCharType="end"/>
        </w:r>
      </w:hyperlink>
    </w:p>
    <w:p w14:paraId="1F98B9E7" w14:textId="3A6A8DC7" w:rsidR="00183CC8" w:rsidRDefault="003373BF">
      <w:pPr>
        <w:pStyle w:val="TOC2"/>
        <w:tabs>
          <w:tab w:val="left" w:pos="958"/>
        </w:tabs>
        <w:rPr>
          <w:rFonts w:eastAsiaTheme="minorEastAsia" w:cstheme="minorBidi"/>
          <w:szCs w:val="24"/>
          <w:lang w:eastAsia="en-GB"/>
        </w:rPr>
      </w:pPr>
      <w:hyperlink w:anchor="_Toc90216920" w:history="1">
        <w:r w:rsidR="00183CC8" w:rsidRPr="00BA3362">
          <w:rPr>
            <w:rStyle w:val="Hyperlink"/>
          </w:rPr>
          <w:t>6.2</w:t>
        </w:r>
        <w:r w:rsidR="00183CC8">
          <w:rPr>
            <w:rFonts w:eastAsiaTheme="minorEastAsia" w:cstheme="minorBidi"/>
            <w:szCs w:val="24"/>
            <w:lang w:eastAsia="en-GB"/>
          </w:rPr>
          <w:tab/>
        </w:r>
        <w:r w:rsidR="00183CC8" w:rsidRPr="00BA3362">
          <w:rPr>
            <w:rStyle w:val="Hyperlink"/>
          </w:rPr>
          <w:t>Dynamics of the bacterial envelope.</w:t>
        </w:r>
        <w:r w:rsidR="00183CC8">
          <w:rPr>
            <w:webHidden/>
          </w:rPr>
          <w:tab/>
        </w:r>
        <w:r w:rsidR="00183CC8">
          <w:rPr>
            <w:webHidden/>
          </w:rPr>
          <w:fldChar w:fldCharType="begin"/>
        </w:r>
        <w:r w:rsidR="00183CC8">
          <w:rPr>
            <w:webHidden/>
          </w:rPr>
          <w:instrText xml:space="preserve"> PAGEREF _Toc90216920 \h </w:instrText>
        </w:r>
        <w:r w:rsidR="00183CC8">
          <w:rPr>
            <w:webHidden/>
          </w:rPr>
        </w:r>
        <w:r w:rsidR="00183CC8">
          <w:rPr>
            <w:webHidden/>
          </w:rPr>
          <w:fldChar w:fldCharType="separate"/>
        </w:r>
        <w:r w:rsidR="00183CC8">
          <w:rPr>
            <w:webHidden/>
          </w:rPr>
          <w:t>251</w:t>
        </w:r>
        <w:r w:rsidR="00183CC8">
          <w:rPr>
            <w:webHidden/>
          </w:rPr>
          <w:fldChar w:fldCharType="end"/>
        </w:r>
      </w:hyperlink>
    </w:p>
    <w:p w14:paraId="41208D23" w14:textId="45A8D49F" w:rsidR="00183CC8" w:rsidRDefault="003373BF">
      <w:pPr>
        <w:pStyle w:val="TOC3"/>
        <w:tabs>
          <w:tab w:val="left" w:pos="1320"/>
        </w:tabs>
        <w:rPr>
          <w:rFonts w:eastAsiaTheme="minorEastAsia" w:cstheme="minorBidi"/>
          <w:noProof/>
          <w:szCs w:val="24"/>
          <w:lang w:eastAsia="en-GB"/>
        </w:rPr>
      </w:pPr>
      <w:hyperlink w:anchor="_Toc90216921" w:history="1">
        <w:r w:rsidR="00183CC8" w:rsidRPr="00BA3362">
          <w:rPr>
            <w:rStyle w:val="Hyperlink"/>
            <w:noProof/>
          </w:rPr>
          <w:t>6.2.1</w:t>
        </w:r>
        <w:r w:rsidR="00183CC8">
          <w:rPr>
            <w:rFonts w:eastAsiaTheme="minorEastAsia" w:cstheme="minorBidi"/>
            <w:noProof/>
            <w:szCs w:val="24"/>
            <w:lang w:eastAsia="en-GB"/>
          </w:rPr>
          <w:tab/>
        </w:r>
        <w:r w:rsidR="00183CC8" w:rsidRPr="00BA3362">
          <w:rPr>
            <w:rStyle w:val="Hyperlink"/>
            <w:noProof/>
          </w:rPr>
          <w:t>How is the exoplasmic space maintained?</w:t>
        </w:r>
        <w:r w:rsidR="00183CC8">
          <w:rPr>
            <w:noProof/>
            <w:webHidden/>
          </w:rPr>
          <w:tab/>
        </w:r>
        <w:r w:rsidR="00183CC8">
          <w:rPr>
            <w:noProof/>
            <w:webHidden/>
          </w:rPr>
          <w:fldChar w:fldCharType="begin"/>
        </w:r>
        <w:r w:rsidR="00183CC8">
          <w:rPr>
            <w:noProof/>
            <w:webHidden/>
          </w:rPr>
          <w:instrText xml:space="preserve"> PAGEREF _Toc90216921 \h </w:instrText>
        </w:r>
        <w:r w:rsidR="00183CC8">
          <w:rPr>
            <w:noProof/>
            <w:webHidden/>
          </w:rPr>
        </w:r>
        <w:r w:rsidR="00183CC8">
          <w:rPr>
            <w:noProof/>
            <w:webHidden/>
          </w:rPr>
          <w:fldChar w:fldCharType="separate"/>
        </w:r>
        <w:r w:rsidR="00183CC8">
          <w:rPr>
            <w:noProof/>
            <w:webHidden/>
          </w:rPr>
          <w:t>251</w:t>
        </w:r>
        <w:r w:rsidR="00183CC8">
          <w:rPr>
            <w:noProof/>
            <w:webHidden/>
          </w:rPr>
          <w:fldChar w:fldCharType="end"/>
        </w:r>
      </w:hyperlink>
    </w:p>
    <w:p w14:paraId="18D356BA" w14:textId="0EF7DEB3" w:rsidR="00183CC8" w:rsidRDefault="003373BF">
      <w:pPr>
        <w:pStyle w:val="TOC3"/>
        <w:tabs>
          <w:tab w:val="left" w:pos="1320"/>
        </w:tabs>
        <w:rPr>
          <w:rFonts w:eastAsiaTheme="minorEastAsia" w:cstheme="minorBidi"/>
          <w:noProof/>
          <w:szCs w:val="24"/>
          <w:lang w:eastAsia="en-GB"/>
        </w:rPr>
      </w:pPr>
      <w:hyperlink w:anchor="_Toc90216922" w:history="1">
        <w:r w:rsidR="00183CC8" w:rsidRPr="00BA3362">
          <w:rPr>
            <w:rStyle w:val="Hyperlink"/>
            <w:noProof/>
          </w:rPr>
          <w:t>6.2.2</w:t>
        </w:r>
        <w:r w:rsidR="00183CC8">
          <w:rPr>
            <w:rFonts w:eastAsiaTheme="minorEastAsia" w:cstheme="minorBidi"/>
            <w:noProof/>
            <w:szCs w:val="24"/>
            <w:lang w:eastAsia="en-GB"/>
          </w:rPr>
          <w:tab/>
        </w:r>
        <w:r w:rsidR="00183CC8" w:rsidRPr="00BA3362">
          <w:rPr>
            <w:rStyle w:val="Hyperlink"/>
            <w:noProof/>
          </w:rPr>
          <w:t>The balance between bacterial life and death.</w:t>
        </w:r>
        <w:r w:rsidR="00183CC8">
          <w:rPr>
            <w:noProof/>
            <w:webHidden/>
          </w:rPr>
          <w:tab/>
        </w:r>
        <w:r w:rsidR="00183CC8">
          <w:rPr>
            <w:noProof/>
            <w:webHidden/>
          </w:rPr>
          <w:fldChar w:fldCharType="begin"/>
        </w:r>
        <w:r w:rsidR="00183CC8">
          <w:rPr>
            <w:noProof/>
            <w:webHidden/>
          </w:rPr>
          <w:instrText xml:space="preserve"> PAGEREF _Toc90216922 \h </w:instrText>
        </w:r>
        <w:r w:rsidR="00183CC8">
          <w:rPr>
            <w:noProof/>
            <w:webHidden/>
          </w:rPr>
        </w:r>
        <w:r w:rsidR="00183CC8">
          <w:rPr>
            <w:noProof/>
            <w:webHidden/>
          </w:rPr>
          <w:fldChar w:fldCharType="separate"/>
        </w:r>
        <w:r w:rsidR="00183CC8">
          <w:rPr>
            <w:noProof/>
            <w:webHidden/>
          </w:rPr>
          <w:t>255</w:t>
        </w:r>
        <w:r w:rsidR="00183CC8">
          <w:rPr>
            <w:noProof/>
            <w:webHidden/>
          </w:rPr>
          <w:fldChar w:fldCharType="end"/>
        </w:r>
      </w:hyperlink>
    </w:p>
    <w:p w14:paraId="7EB2DD55" w14:textId="2E37A2F3" w:rsidR="00183CC8" w:rsidRDefault="003373BF">
      <w:pPr>
        <w:pStyle w:val="TOC2"/>
        <w:tabs>
          <w:tab w:val="left" w:pos="958"/>
        </w:tabs>
        <w:rPr>
          <w:rFonts w:eastAsiaTheme="minorEastAsia" w:cstheme="minorBidi"/>
          <w:szCs w:val="24"/>
          <w:lang w:eastAsia="en-GB"/>
        </w:rPr>
      </w:pPr>
      <w:hyperlink w:anchor="_Toc90216923" w:history="1">
        <w:r w:rsidR="00183CC8" w:rsidRPr="00BA3362">
          <w:rPr>
            <w:rStyle w:val="Hyperlink"/>
          </w:rPr>
          <w:t>6.3</w:t>
        </w:r>
        <w:r w:rsidR="00183CC8">
          <w:rPr>
            <w:rFonts w:eastAsiaTheme="minorEastAsia" w:cstheme="minorBidi"/>
            <w:szCs w:val="24"/>
            <w:lang w:eastAsia="en-GB"/>
          </w:rPr>
          <w:tab/>
        </w:r>
        <w:r w:rsidR="00183CC8" w:rsidRPr="00BA3362">
          <w:rPr>
            <w:rStyle w:val="Hyperlink"/>
          </w:rPr>
          <w:t xml:space="preserve">Intervention for treatment of antibiotic-resistant </w:t>
        </w:r>
        <w:r w:rsidR="00183CC8" w:rsidRPr="00BA3362">
          <w:rPr>
            <w:rStyle w:val="Hyperlink"/>
            <w:i/>
            <w:iCs/>
          </w:rPr>
          <w:t>S. aureus.</w:t>
        </w:r>
        <w:r w:rsidR="00183CC8">
          <w:rPr>
            <w:webHidden/>
          </w:rPr>
          <w:tab/>
        </w:r>
        <w:r w:rsidR="00183CC8">
          <w:rPr>
            <w:webHidden/>
          </w:rPr>
          <w:fldChar w:fldCharType="begin"/>
        </w:r>
        <w:r w:rsidR="00183CC8">
          <w:rPr>
            <w:webHidden/>
          </w:rPr>
          <w:instrText xml:space="preserve"> PAGEREF _Toc90216923 \h </w:instrText>
        </w:r>
        <w:r w:rsidR="00183CC8">
          <w:rPr>
            <w:webHidden/>
          </w:rPr>
        </w:r>
        <w:r w:rsidR="00183CC8">
          <w:rPr>
            <w:webHidden/>
          </w:rPr>
          <w:fldChar w:fldCharType="separate"/>
        </w:r>
        <w:r w:rsidR="00183CC8">
          <w:rPr>
            <w:webHidden/>
          </w:rPr>
          <w:t>255</w:t>
        </w:r>
        <w:r w:rsidR="00183CC8">
          <w:rPr>
            <w:webHidden/>
          </w:rPr>
          <w:fldChar w:fldCharType="end"/>
        </w:r>
      </w:hyperlink>
    </w:p>
    <w:p w14:paraId="2EE1F5D3" w14:textId="0D15998C" w:rsidR="00183CC8" w:rsidRDefault="003373BF">
      <w:pPr>
        <w:pStyle w:val="TOC1"/>
        <w:rPr>
          <w:rFonts w:eastAsiaTheme="minorEastAsia" w:cstheme="minorBidi"/>
          <w:b w:val="0"/>
          <w:szCs w:val="24"/>
          <w:lang w:eastAsia="en-GB"/>
        </w:rPr>
      </w:pPr>
      <w:hyperlink w:anchor="_Toc90216924" w:history="1">
        <w:r w:rsidR="00183CC8" w:rsidRPr="00BA3362">
          <w:rPr>
            <w:rStyle w:val="Hyperlink"/>
          </w:rPr>
          <w:t>References</w:t>
        </w:r>
        <w:r w:rsidR="00183CC8">
          <w:rPr>
            <w:webHidden/>
          </w:rPr>
          <w:tab/>
        </w:r>
        <w:r w:rsidR="00183CC8">
          <w:rPr>
            <w:webHidden/>
          </w:rPr>
          <w:fldChar w:fldCharType="begin"/>
        </w:r>
        <w:r w:rsidR="00183CC8">
          <w:rPr>
            <w:webHidden/>
          </w:rPr>
          <w:instrText xml:space="preserve"> PAGEREF _Toc90216924 \h </w:instrText>
        </w:r>
        <w:r w:rsidR="00183CC8">
          <w:rPr>
            <w:webHidden/>
          </w:rPr>
        </w:r>
        <w:r w:rsidR="00183CC8">
          <w:rPr>
            <w:webHidden/>
          </w:rPr>
          <w:fldChar w:fldCharType="separate"/>
        </w:r>
        <w:r w:rsidR="00183CC8">
          <w:rPr>
            <w:webHidden/>
          </w:rPr>
          <w:t>257</w:t>
        </w:r>
        <w:r w:rsidR="00183CC8">
          <w:rPr>
            <w:webHidden/>
          </w:rPr>
          <w:fldChar w:fldCharType="end"/>
        </w:r>
      </w:hyperlink>
    </w:p>
    <w:p w14:paraId="2DA06184" w14:textId="40DF9861" w:rsidR="00183CC8" w:rsidRDefault="003373BF">
      <w:pPr>
        <w:pStyle w:val="TOC1"/>
        <w:rPr>
          <w:rFonts w:eastAsiaTheme="minorEastAsia" w:cstheme="minorBidi"/>
          <w:b w:val="0"/>
          <w:szCs w:val="24"/>
          <w:lang w:eastAsia="en-GB"/>
        </w:rPr>
      </w:pPr>
      <w:hyperlink w:anchor="_Toc90216925" w:history="1">
        <w:r w:rsidR="00183CC8" w:rsidRPr="00BA3362">
          <w:rPr>
            <w:rStyle w:val="Hyperlink"/>
          </w:rPr>
          <w:t>Appendix: Supplementary Figures</w:t>
        </w:r>
        <w:r w:rsidR="00183CC8">
          <w:rPr>
            <w:webHidden/>
          </w:rPr>
          <w:tab/>
        </w:r>
        <w:r w:rsidR="00183CC8">
          <w:rPr>
            <w:webHidden/>
          </w:rPr>
          <w:fldChar w:fldCharType="begin"/>
        </w:r>
        <w:r w:rsidR="00183CC8">
          <w:rPr>
            <w:webHidden/>
          </w:rPr>
          <w:instrText xml:space="preserve"> PAGEREF _Toc90216925 \h </w:instrText>
        </w:r>
        <w:r w:rsidR="00183CC8">
          <w:rPr>
            <w:webHidden/>
          </w:rPr>
        </w:r>
        <w:r w:rsidR="00183CC8">
          <w:rPr>
            <w:webHidden/>
          </w:rPr>
          <w:fldChar w:fldCharType="separate"/>
        </w:r>
        <w:r w:rsidR="00183CC8">
          <w:rPr>
            <w:webHidden/>
          </w:rPr>
          <w:t>281</w:t>
        </w:r>
        <w:r w:rsidR="00183CC8">
          <w:rPr>
            <w:webHidden/>
          </w:rPr>
          <w:fldChar w:fldCharType="end"/>
        </w:r>
      </w:hyperlink>
    </w:p>
    <w:p w14:paraId="0226CAD4" w14:textId="7CC9D1D3" w:rsidR="00182281" w:rsidRDefault="001F369C" w:rsidP="00E036E5">
      <w:pPr>
        <w:spacing w:before="0" w:after="0" w:line="276" w:lineRule="auto"/>
        <w:sectPr w:rsidR="00182281" w:rsidSect="004D0E05">
          <w:pgSz w:w="11906" w:h="16838"/>
          <w:pgMar w:top="1191" w:right="1247" w:bottom="1191" w:left="1247" w:header="709" w:footer="709" w:gutter="0"/>
          <w:pgNumType w:fmt="upperRoman"/>
          <w:cols w:space="708"/>
          <w:titlePg/>
          <w:docGrid w:linePitch="360"/>
        </w:sectPr>
      </w:pPr>
      <w:r>
        <w:rPr>
          <w:b/>
          <w:noProof/>
        </w:rPr>
        <w:fldChar w:fldCharType="end"/>
      </w:r>
    </w:p>
    <w:p w14:paraId="7BB0ADBE" w14:textId="72E72236" w:rsidR="00EA29B4" w:rsidRPr="00FA48D6" w:rsidRDefault="00EA29B4" w:rsidP="00FA48D6">
      <w:pPr>
        <w:pStyle w:val="ChaptertitleThesis"/>
      </w:pPr>
      <w:bookmarkStart w:id="18" w:name="_Toc64276269"/>
      <w:bookmarkStart w:id="19" w:name="_Toc64276573"/>
      <w:bookmarkStart w:id="20" w:name="_Toc64276785"/>
      <w:bookmarkStart w:id="21" w:name="_Toc90216719"/>
      <w:r w:rsidRPr="00FA48D6">
        <w:lastRenderedPageBreak/>
        <w:t>Table of Figures</w:t>
      </w:r>
      <w:bookmarkEnd w:id="18"/>
      <w:bookmarkEnd w:id="19"/>
      <w:bookmarkEnd w:id="20"/>
      <w:bookmarkEnd w:id="21"/>
    </w:p>
    <w:p w14:paraId="1F2E407F" w14:textId="5D138709" w:rsidR="00183CC8" w:rsidRDefault="00CD0E28">
      <w:pPr>
        <w:pStyle w:val="TableofFigures"/>
        <w:tabs>
          <w:tab w:val="right" w:leader="dot" w:pos="9402"/>
        </w:tabs>
        <w:rPr>
          <w:rFonts w:eastAsiaTheme="minorEastAsia" w:cstheme="minorBidi"/>
          <w:noProof/>
          <w:szCs w:val="24"/>
          <w:lang w:eastAsia="en-GB"/>
        </w:rPr>
      </w:pPr>
      <w:r>
        <w:fldChar w:fldCharType="begin"/>
      </w:r>
      <w:r>
        <w:instrText xml:space="preserve"> TOC \h \z \c "Figure" </w:instrText>
      </w:r>
      <w:r>
        <w:fldChar w:fldCharType="separate"/>
      </w:r>
      <w:hyperlink w:anchor="_Toc90216926" w:history="1">
        <w:r w:rsidR="00183CC8" w:rsidRPr="001D0CAE">
          <w:rPr>
            <w:rStyle w:val="Hyperlink"/>
            <w:noProof/>
          </w:rPr>
          <w:t>Figure 1.1 Cell envelope structure of Gram-negative and Gram-positive bacteria.</w:t>
        </w:r>
        <w:r w:rsidR="00183CC8">
          <w:rPr>
            <w:noProof/>
            <w:webHidden/>
          </w:rPr>
          <w:tab/>
        </w:r>
        <w:r w:rsidR="00183CC8">
          <w:rPr>
            <w:noProof/>
            <w:webHidden/>
          </w:rPr>
          <w:fldChar w:fldCharType="begin"/>
        </w:r>
        <w:r w:rsidR="00183CC8">
          <w:rPr>
            <w:noProof/>
            <w:webHidden/>
          </w:rPr>
          <w:instrText xml:space="preserve"> PAGEREF _Toc90216926 \h </w:instrText>
        </w:r>
        <w:r w:rsidR="00183CC8">
          <w:rPr>
            <w:noProof/>
            <w:webHidden/>
          </w:rPr>
        </w:r>
        <w:r w:rsidR="00183CC8">
          <w:rPr>
            <w:noProof/>
            <w:webHidden/>
          </w:rPr>
          <w:fldChar w:fldCharType="separate"/>
        </w:r>
        <w:r w:rsidR="00183CC8">
          <w:rPr>
            <w:noProof/>
            <w:webHidden/>
          </w:rPr>
          <w:t>3</w:t>
        </w:r>
        <w:r w:rsidR="00183CC8">
          <w:rPr>
            <w:noProof/>
            <w:webHidden/>
          </w:rPr>
          <w:fldChar w:fldCharType="end"/>
        </w:r>
      </w:hyperlink>
    </w:p>
    <w:p w14:paraId="4C6D08F3" w14:textId="4F47891C" w:rsidR="00183CC8" w:rsidRDefault="003373BF">
      <w:pPr>
        <w:pStyle w:val="TableofFigures"/>
        <w:tabs>
          <w:tab w:val="right" w:leader="dot" w:pos="9402"/>
        </w:tabs>
        <w:rPr>
          <w:rFonts w:eastAsiaTheme="minorEastAsia" w:cstheme="minorBidi"/>
          <w:noProof/>
          <w:szCs w:val="24"/>
          <w:lang w:eastAsia="en-GB"/>
        </w:rPr>
      </w:pPr>
      <w:hyperlink w:anchor="_Toc90216927" w:history="1">
        <w:r w:rsidR="00183CC8" w:rsidRPr="001D0CAE">
          <w:rPr>
            <w:rStyle w:val="Hyperlink"/>
            <w:noProof/>
          </w:rPr>
          <w:t xml:space="preserve">Figure 1.2 Peptidoglycan structure of </w:t>
        </w:r>
        <w:r w:rsidR="00183CC8" w:rsidRPr="001D0CAE">
          <w:rPr>
            <w:rStyle w:val="Hyperlink"/>
            <w:i/>
            <w:noProof/>
          </w:rPr>
          <w:t>S. aureus</w:t>
        </w:r>
        <w:r w:rsidR="00183CC8" w:rsidRPr="001D0CAE">
          <w:rPr>
            <w:rStyle w:val="Hyperlink"/>
            <w:noProof/>
          </w:rPr>
          <w:t>.</w:t>
        </w:r>
        <w:r w:rsidR="00183CC8">
          <w:rPr>
            <w:noProof/>
            <w:webHidden/>
          </w:rPr>
          <w:tab/>
        </w:r>
        <w:r w:rsidR="00183CC8">
          <w:rPr>
            <w:noProof/>
            <w:webHidden/>
          </w:rPr>
          <w:fldChar w:fldCharType="begin"/>
        </w:r>
        <w:r w:rsidR="00183CC8">
          <w:rPr>
            <w:noProof/>
            <w:webHidden/>
          </w:rPr>
          <w:instrText xml:space="preserve"> PAGEREF _Toc90216927 \h </w:instrText>
        </w:r>
        <w:r w:rsidR="00183CC8">
          <w:rPr>
            <w:noProof/>
            <w:webHidden/>
          </w:rPr>
        </w:r>
        <w:r w:rsidR="00183CC8">
          <w:rPr>
            <w:noProof/>
            <w:webHidden/>
          </w:rPr>
          <w:fldChar w:fldCharType="separate"/>
        </w:r>
        <w:r w:rsidR="00183CC8">
          <w:rPr>
            <w:noProof/>
            <w:webHidden/>
          </w:rPr>
          <w:t>4</w:t>
        </w:r>
        <w:r w:rsidR="00183CC8">
          <w:rPr>
            <w:noProof/>
            <w:webHidden/>
          </w:rPr>
          <w:fldChar w:fldCharType="end"/>
        </w:r>
      </w:hyperlink>
    </w:p>
    <w:p w14:paraId="0DFD30B1" w14:textId="2461B57B" w:rsidR="00183CC8" w:rsidRDefault="003373BF">
      <w:pPr>
        <w:pStyle w:val="TableofFigures"/>
        <w:tabs>
          <w:tab w:val="right" w:leader="dot" w:pos="9402"/>
        </w:tabs>
        <w:rPr>
          <w:rFonts w:eastAsiaTheme="minorEastAsia" w:cstheme="minorBidi"/>
          <w:noProof/>
          <w:szCs w:val="24"/>
          <w:lang w:eastAsia="en-GB"/>
        </w:rPr>
      </w:pPr>
      <w:hyperlink w:anchor="_Toc90216928" w:history="1">
        <w:r w:rsidR="00183CC8" w:rsidRPr="001D0CAE">
          <w:rPr>
            <w:rStyle w:val="Hyperlink"/>
            <w:noProof/>
          </w:rPr>
          <w:t xml:space="preserve">Figure 1.3 Peptidoglycan biosynthesis pathway in </w:t>
        </w:r>
        <w:r w:rsidR="00183CC8" w:rsidRPr="001D0CAE">
          <w:rPr>
            <w:rStyle w:val="Hyperlink"/>
            <w:i/>
            <w:noProof/>
          </w:rPr>
          <w:t>S. aureu</w:t>
        </w:r>
        <w:r w:rsidR="00183CC8" w:rsidRPr="001D0CAE">
          <w:rPr>
            <w:rStyle w:val="Hyperlink"/>
            <w:noProof/>
          </w:rPr>
          <w:t>s.</w:t>
        </w:r>
        <w:r w:rsidR="00183CC8">
          <w:rPr>
            <w:noProof/>
            <w:webHidden/>
          </w:rPr>
          <w:tab/>
        </w:r>
        <w:r w:rsidR="00183CC8">
          <w:rPr>
            <w:noProof/>
            <w:webHidden/>
          </w:rPr>
          <w:fldChar w:fldCharType="begin"/>
        </w:r>
        <w:r w:rsidR="00183CC8">
          <w:rPr>
            <w:noProof/>
            <w:webHidden/>
          </w:rPr>
          <w:instrText xml:space="preserve"> PAGEREF _Toc90216928 \h </w:instrText>
        </w:r>
        <w:r w:rsidR="00183CC8">
          <w:rPr>
            <w:noProof/>
            <w:webHidden/>
          </w:rPr>
        </w:r>
        <w:r w:rsidR="00183CC8">
          <w:rPr>
            <w:noProof/>
            <w:webHidden/>
          </w:rPr>
          <w:fldChar w:fldCharType="separate"/>
        </w:r>
        <w:r w:rsidR="00183CC8">
          <w:rPr>
            <w:noProof/>
            <w:webHidden/>
          </w:rPr>
          <w:t>6</w:t>
        </w:r>
        <w:r w:rsidR="00183CC8">
          <w:rPr>
            <w:noProof/>
            <w:webHidden/>
          </w:rPr>
          <w:fldChar w:fldCharType="end"/>
        </w:r>
      </w:hyperlink>
    </w:p>
    <w:p w14:paraId="4541A4AE" w14:textId="65608873" w:rsidR="00183CC8" w:rsidRDefault="003373BF">
      <w:pPr>
        <w:pStyle w:val="TableofFigures"/>
        <w:tabs>
          <w:tab w:val="right" w:leader="dot" w:pos="9402"/>
        </w:tabs>
        <w:rPr>
          <w:rFonts w:eastAsiaTheme="minorEastAsia" w:cstheme="minorBidi"/>
          <w:noProof/>
          <w:szCs w:val="24"/>
          <w:lang w:eastAsia="en-GB"/>
        </w:rPr>
      </w:pPr>
      <w:hyperlink w:anchor="_Toc90216929" w:history="1">
        <w:r w:rsidR="00183CC8" w:rsidRPr="001D0CAE">
          <w:rPr>
            <w:rStyle w:val="Hyperlink"/>
            <w:noProof/>
          </w:rPr>
          <w:t>Figure 1.4 Cleavage sites for peptidoglycan hydrolases (PGH).</w:t>
        </w:r>
        <w:r w:rsidR="00183CC8">
          <w:rPr>
            <w:noProof/>
            <w:webHidden/>
          </w:rPr>
          <w:tab/>
        </w:r>
        <w:r w:rsidR="00183CC8">
          <w:rPr>
            <w:noProof/>
            <w:webHidden/>
          </w:rPr>
          <w:fldChar w:fldCharType="begin"/>
        </w:r>
        <w:r w:rsidR="00183CC8">
          <w:rPr>
            <w:noProof/>
            <w:webHidden/>
          </w:rPr>
          <w:instrText xml:space="preserve"> PAGEREF _Toc90216929 \h </w:instrText>
        </w:r>
        <w:r w:rsidR="00183CC8">
          <w:rPr>
            <w:noProof/>
            <w:webHidden/>
          </w:rPr>
        </w:r>
        <w:r w:rsidR="00183CC8">
          <w:rPr>
            <w:noProof/>
            <w:webHidden/>
          </w:rPr>
          <w:fldChar w:fldCharType="separate"/>
        </w:r>
        <w:r w:rsidR="00183CC8">
          <w:rPr>
            <w:noProof/>
            <w:webHidden/>
          </w:rPr>
          <w:t>10</w:t>
        </w:r>
        <w:r w:rsidR="00183CC8">
          <w:rPr>
            <w:noProof/>
            <w:webHidden/>
          </w:rPr>
          <w:fldChar w:fldCharType="end"/>
        </w:r>
      </w:hyperlink>
    </w:p>
    <w:p w14:paraId="025791C3" w14:textId="4395CDA5" w:rsidR="00183CC8" w:rsidRDefault="003373BF">
      <w:pPr>
        <w:pStyle w:val="TableofFigures"/>
        <w:tabs>
          <w:tab w:val="right" w:leader="dot" w:pos="9402"/>
        </w:tabs>
        <w:rPr>
          <w:rFonts w:eastAsiaTheme="minorEastAsia" w:cstheme="minorBidi"/>
          <w:noProof/>
          <w:szCs w:val="24"/>
          <w:lang w:eastAsia="en-GB"/>
        </w:rPr>
      </w:pPr>
      <w:hyperlink w:anchor="_Toc90216930" w:history="1">
        <w:r w:rsidR="00183CC8" w:rsidRPr="001D0CAE">
          <w:rPr>
            <w:rStyle w:val="Hyperlink"/>
            <w:noProof/>
          </w:rPr>
          <w:t xml:space="preserve">Figure 1.5 Localisation and structure of teichoic acids in </w:t>
        </w:r>
        <w:r w:rsidR="00183CC8" w:rsidRPr="001D0CAE">
          <w:rPr>
            <w:rStyle w:val="Hyperlink"/>
            <w:i/>
            <w:noProof/>
          </w:rPr>
          <w:t>S. aureus.</w:t>
        </w:r>
        <w:r w:rsidR="00183CC8">
          <w:rPr>
            <w:noProof/>
            <w:webHidden/>
          </w:rPr>
          <w:tab/>
        </w:r>
        <w:r w:rsidR="00183CC8">
          <w:rPr>
            <w:noProof/>
            <w:webHidden/>
          </w:rPr>
          <w:fldChar w:fldCharType="begin"/>
        </w:r>
        <w:r w:rsidR="00183CC8">
          <w:rPr>
            <w:noProof/>
            <w:webHidden/>
          </w:rPr>
          <w:instrText xml:space="preserve"> PAGEREF _Toc90216930 \h </w:instrText>
        </w:r>
        <w:r w:rsidR="00183CC8">
          <w:rPr>
            <w:noProof/>
            <w:webHidden/>
          </w:rPr>
        </w:r>
        <w:r w:rsidR="00183CC8">
          <w:rPr>
            <w:noProof/>
            <w:webHidden/>
          </w:rPr>
          <w:fldChar w:fldCharType="separate"/>
        </w:r>
        <w:r w:rsidR="00183CC8">
          <w:rPr>
            <w:noProof/>
            <w:webHidden/>
          </w:rPr>
          <w:t>13</w:t>
        </w:r>
        <w:r w:rsidR="00183CC8">
          <w:rPr>
            <w:noProof/>
            <w:webHidden/>
          </w:rPr>
          <w:fldChar w:fldCharType="end"/>
        </w:r>
      </w:hyperlink>
    </w:p>
    <w:p w14:paraId="747FA48D" w14:textId="12999882" w:rsidR="00183CC8" w:rsidRDefault="003373BF">
      <w:pPr>
        <w:pStyle w:val="TableofFigures"/>
        <w:tabs>
          <w:tab w:val="right" w:leader="dot" w:pos="9402"/>
        </w:tabs>
        <w:rPr>
          <w:rFonts w:eastAsiaTheme="minorEastAsia" w:cstheme="minorBidi"/>
          <w:noProof/>
          <w:szCs w:val="24"/>
          <w:lang w:eastAsia="en-GB"/>
        </w:rPr>
      </w:pPr>
      <w:hyperlink w:anchor="_Toc90216931" w:history="1">
        <w:r w:rsidR="00183CC8" w:rsidRPr="001D0CAE">
          <w:rPr>
            <w:rStyle w:val="Hyperlink"/>
            <w:noProof/>
          </w:rPr>
          <w:t>Figure 1.6 Classification of teichoic acids.</w:t>
        </w:r>
        <w:r w:rsidR="00183CC8">
          <w:rPr>
            <w:noProof/>
            <w:webHidden/>
          </w:rPr>
          <w:tab/>
        </w:r>
        <w:r w:rsidR="00183CC8">
          <w:rPr>
            <w:noProof/>
            <w:webHidden/>
          </w:rPr>
          <w:fldChar w:fldCharType="begin"/>
        </w:r>
        <w:r w:rsidR="00183CC8">
          <w:rPr>
            <w:noProof/>
            <w:webHidden/>
          </w:rPr>
          <w:instrText xml:space="preserve"> PAGEREF _Toc90216931 \h </w:instrText>
        </w:r>
        <w:r w:rsidR="00183CC8">
          <w:rPr>
            <w:noProof/>
            <w:webHidden/>
          </w:rPr>
        </w:r>
        <w:r w:rsidR="00183CC8">
          <w:rPr>
            <w:noProof/>
            <w:webHidden/>
          </w:rPr>
          <w:fldChar w:fldCharType="separate"/>
        </w:r>
        <w:r w:rsidR="00183CC8">
          <w:rPr>
            <w:noProof/>
            <w:webHidden/>
          </w:rPr>
          <w:t>14</w:t>
        </w:r>
        <w:r w:rsidR="00183CC8">
          <w:rPr>
            <w:noProof/>
            <w:webHidden/>
          </w:rPr>
          <w:fldChar w:fldCharType="end"/>
        </w:r>
      </w:hyperlink>
    </w:p>
    <w:p w14:paraId="5FD8B6B3" w14:textId="13B8E1EA" w:rsidR="00183CC8" w:rsidRDefault="003373BF">
      <w:pPr>
        <w:pStyle w:val="TableofFigures"/>
        <w:tabs>
          <w:tab w:val="right" w:leader="dot" w:pos="9402"/>
        </w:tabs>
        <w:rPr>
          <w:rFonts w:eastAsiaTheme="minorEastAsia" w:cstheme="minorBidi"/>
          <w:noProof/>
          <w:szCs w:val="24"/>
          <w:lang w:eastAsia="en-GB"/>
        </w:rPr>
      </w:pPr>
      <w:hyperlink w:anchor="_Toc90216932" w:history="1">
        <w:r w:rsidR="00183CC8" w:rsidRPr="001D0CAE">
          <w:rPr>
            <w:rStyle w:val="Hyperlink"/>
            <w:noProof/>
          </w:rPr>
          <w:t xml:space="preserve">Figure 1.7 Biosynthesis pathways of teichoic acids in </w:t>
        </w:r>
        <w:r w:rsidR="00183CC8" w:rsidRPr="001D0CAE">
          <w:rPr>
            <w:rStyle w:val="Hyperlink"/>
            <w:i/>
            <w:noProof/>
          </w:rPr>
          <w:t>S. aureus</w:t>
        </w:r>
        <w:r w:rsidR="00183CC8">
          <w:rPr>
            <w:noProof/>
            <w:webHidden/>
          </w:rPr>
          <w:tab/>
        </w:r>
        <w:r w:rsidR="00183CC8">
          <w:rPr>
            <w:noProof/>
            <w:webHidden/>
          </w:rPr>
          <w:fldChar w:fldCharType="begin"/>
        </w:r>
        <w:r w:rsidR="00183CC8">
          <w:rPr>
            <w:noProof/>
            <w:webHidden/>
          </w:rPr>
          <w:instrText xml:space="preserve"> PAGEREF _Toc90216932 \h </w:instrText>
        </w:r>
        <w:r w:rsidR="00183CC8">
          <w:rPr>
            <w:noProof/>
            <w:webHidden/>
          </w:rPr>
        </w:r>
        <w:r w:rsidR="00183CC8">
          <w:rPr>
            <w:noProof/>
            <w:webHidden/>
          </w:rPr>
          <w:fldChar w:fldCharType="separate"/>
        </w:r>
        <w:r w:rsidR="00183CC8">
          <w:rPr>
            <w:noProof/>
            <w:webHidden/>
          </w:rPr>
          <w:t>19</w:t>
        </w:r>
        <w:r w:rsidR="00183CC8">
          <w:rPr>
            <w:noProof/>
            <w:webHidden/>
          </w:rPr>
          <w:fldChar w:fldCharType="end"/>
        </w:r>
      </w:hyperlink>
    </w:p>
    <w:p w14:paraId="17E5DD27" w14:textId="7F8C1652" w:rsidR="00183CC8" w:rsidRDefault="003373BF">
      <w:pPr>
        <w:pStyle w:val="TableofFigures"/>
        <w:tabs>
          <w:tab w:val="right" w:leader="dot" w:pos="9402"/>
        </w:tabs>
        <w:rPr>
          <w:rFonts w:eastAsiaTheme="minorEastAsia" w:cstheme="minorBidi"/>
          <w:noProof/>
          <w:szCs w:val="24"/>
          <w:lang w:eastAsia="en-GB"/>
        </w:rPr>
      </w:pPr>
      <w:hyperlink w:anchor="_Toc90216933" w:history="1">
        <w:r w:rsidR="00183CC8" w:rsidRPr="001D0CAE">
          <w:rPr>
            <w:rStyle w:val="Hyperlink"/>
            <w:noProof/>
          </w:rPr>
          <w:t>Figure 1.8 GdpP involvement in c-di-AMP degradation and LTA-depletion compensation.</w:t>
        </w:r>
        <w:r w:rsidR="00183CC8">
          <w:rPr>
            <w:noProof/>
            <w:webHidden/>
          </w:rPr>
          <w:tab/>
        </w:r>
        <w:r w:rsidR="00183CC8">
          <w:rPr>
            <w:noProof/>
            <w:webHidden/>
          </w:rPr>
          <w:fldChar w:fldCharType="begin"/>
        </w:r>
        <w:r w:rsidR="00183CC8">
          <w:rPr>
            <w:noProof/>
            <w:webHidden/>
          </w:rPr>
          <w:instrText xml:space="preserve"> PAGEREF _Toc90216933 \h </w:instrText>
        </w:r>
        <w:r w:rsidR="00183CC8">
          <w:rPr>
            <w:noProof/>
            <w:webHidden/>
          </w:rPr>
        </w:r>
        <w:r w:rsidR="00183CC8">
          <w:rPr>
            <w:noProof/>
            <w:webHidden/>
          </w:rPr>
          <w:fldChar w:fldCharType="separate"/>
        </w:r>
        <w:r w:rsidR="00183CC8">
          <w:rPr>
            <w:noProof/>
            <w:webHidden/>
          </w:rPr>
          <w:t>22</w:t>
        </w:r>
        <w:r w:rsidR="00183CC8">
          <w:rPr>
            <w:noProof/>
            <w:webHidden/>
          </w:rPr>
          <w:fldChar w:fldCharType="end"/>
        </w:r>
      </w:hyperlink>
    </w:p>
    <w:p w14:paraId="6861D8C3" w14:textId="1AE7249E" w:rsidR="00183CC8" w:rsidRDefault="003373BF">
      <w:pPr>
        <w:pStyle w:val="TableofFigures"/>
        <w:tabs>
          <w:tab w:val="right" w:leader="dot" w:pos="9402"/>
        </w:tabs>
        <w:rPr>
          <w:rFonts w:eastAsiaTheme="minorEastAsia" w:cstheme="minorBidi"/>
          <w:noProof/>
          <w:szCs w:val="24"/>
          <w:lang w:eastAsia="en-GB"/>
        </w:rPr>
      </w:pPr>
      <w:hyperlink w:anchor="_Toc90216934" w:history="1">
        <w:r w:rsidR="00183CC8" w:rsidRPr="001D0CAE">
          <w:rPr>
            <w:rStyle w:val="Hyperlink"/>
            <w:noProof/>
          </w:rPr>
          <w:t>Figure 1.9  Structure and targets of CW antibiotics.</w:t>
        </w:r>
        <w:r w:rsidR="00183CC8">
          <w:rPr>
            <w:noProof/>
            <w:webHidden/>
          </w:rPr>
          <w:tab/>
        </w:r>
        <w:r w:rsidR="00183CC8">
          <w:rPr>
            <w:noProof/>
            <w:webHidden/>
          </w:rPr>
          <w:fldChar w:fldCharType="begin"/>
        </w:r>
        <w:r w:rsidR="00183CC8">
          <w:rPr>
            <w:noProof/>
            <w:webHidden/>
          </w:rPr>
          <w:instrText xml:space="preserve"> PAGEREF _Toc90216934 \h </w:instrText>
        </w:r>
        <w:r w:rsidR="00183CC8">
          <w:rPr>
            <w:noProof/>
            <w:webHidden/>
          </w:rPr>
        </w:r>
        <w:r w:rsidR="00183CC8">
          <w:rPr>
            <w:noProof/>
            <w:webHidden/>
          </w:rPr>
          <w:fldChar w:fldCharType="separate"/>
        </w:r>
        <w:r w:rsidR="00183CC8">
          <w:rPr>
            <w:noProof/>
            <w:webHidden/>
          </w:rPr>
          <w:t>25</w:t>
        </w:r>
        <w:r w:rsidR="00183CC8">
          <w:rPr>
            <w:noProof/>
            <w:webHidden/>
          </w:rPr>
          <w:fldChar w:fldCharType="end"/>
        </w:r>
      </w:hyperlink>
    </w:p>
    <w:p w14:paraId="0CC5A881" w14:textId="393426F4" w:rsidR="00183CC8" w:rsidRDefault="003373BF">
      <w:pPr>
        <w:pStyle w:val="TableofFigures"/>
        <w:tabs>
          <w:tab w:val="right" w:leader="dot" w:pos="9402"/>
        </w:tabs>
        <w:rPr>
          <w:rFonts w:eastAsiaTheme="minorEastAsia" w:cstheme="minorBidi"/>
          <w:noProof/>
          <w:szCs w:val="24"/>
          <w:lang w:eastAsia="en-GB"/>
        </w:rPr>
      </w:pPr>
      <w:hyperlink w:anchor="_Toc90216935" w:history="1">
        <w:r w:rsidR="00183CC8" w:rsidRPr="001D0CAE">
          <w:rPr>
            <w:rStyle w:val="Hyperlink"/>
            <w:noProof/>
          </w:rPr>
          <w:t>Figure 2.1 Standard morphological quantification criteria.</w:t>
        </w:r>
        <w:r w:rsidR="00183CC8">
          <w:rPr>
            <w:noProof/>
            <w:webHidden/>
          </w:rPr>
          <w:tab/>
        </w:r>
        <w:r w:rsidR="00183CC8">
          <w:rPr>
            <w:noProof/>
            <w:webHidden/>
          </w:rPr>
          <w:fldChar w:fldCharType="begin"/>
        </w:r>
        <w:r w:rsidR="00183CC8">
          <w:rPr>
            <w:noProof/>
            <w:webHidden/>
          </w:rPr>
          <w:instrText xml:space="preserve"> PAGEREF _Toc90216935 \h </w:instrText>
        </w:r>
        <w:r w:rsidR="00183CC8">
          <w:rPr>
            <w:noProof/>
            <w:webHidden/>
          </w:rPr>
        </w:r>
        <w:r w:rsidR="00183CC8">
          <w:rPr>
            <w:noProof/>
            <w:webHidden/>
          </w:rPr>
          <w:fldChar w:fldCharType="separate"/>
        </w:r>
        <w:r w:rsidR="00183CC8">
          <w:rPr>
            <w:noProof/>
            <w:webHidden/>
          </w:rPr>
          <w:t>58</w:t>
        </w:r>
        <w:r w:rsidR="00183CC8">
          <w:rPr>
            <w:noProof/>
            <w:webHidden/>
          </w:rPr>
          <w:fldChar w:fldCharType="end"/>
        </w:r>
      </w:hyperlink>
    </w:p>
    <w:p w14:paraId="15DE136A" w14:textId="37A9E6E2" w:rsidR="00183CC8" w:rsidRDefault="003373BF">
      <w:pPr>
        <w:pStyle w:val="TableofFigures"/>
        <w:tabs>
          <w:tab w:val="right" w:leader="dot" w:pos="9402"/>
        </w:tabs>
        <w:rPr>
          <w:rFonts w:eastAsiaTheme="minorEastAsia" w:cstheme="minorBidi"/>
          <w:noProof/>
          <w:szCs w:val="24"/>
          <w:lang w:eastAsia="en-GB"/>
        </w:rPr>
      </w:pPr>
      <w:hyperlink w:anchor="_Toc90216936" w:history="1">
        <w:r w:rsidR="00183CC8" w:rsidRPr="001D0CAE">
          <w:rPr>
            <w:rStyle w:val="Hyperlink"/>
            <w:noProof/>
          </w:rPr>
          <w:t>Figure 3.1 Popular TEM methods for imaging bacterial samples.</w:t>
        </w:r>
        <w:r w:rsidR="00183CC8">
          <w:rPr>
            <w:noProof/>
            <w:webHidden/>
          </w:rPr>
          <w:tab/>
        </w:r>
        <w:r w:rsidR="00183CC8">
          <w:rPr>
            <w:noProof/>
            <w:webHidden/>
          </w:rPr>
          <w:fldChar w:fldCharType="begin"/>
        </w:r>
        <w:r w:rsidR="00183CC8">
          <w:rPr>
            <w:noProof/>
            <w:webHidden/>
          </w:rPr>
          <w:instrText xml:space="preserve"> PAGEREF _Toc90216936 \h </w:instrText>
        </w:r>
        <w:r w:rsidR="00183CC8">
          <w:rPr>
            <w:noProof/>
            <w:webHidden/>
          </w:rPr>
        </w:r>
        <w:r w:rsidR="00183CC8">
          <w:rPr>
            <w:noProof/>
            <w:webHidden/>
          </w:rPr>
          <w:fldChar w:fldCharType="separate"/>
        </w:r>
        <w:r w:rsidR="00183CC8">
          <w:rPr>
            <w:noProof/>
            <w:webHidden/>
          </w:rPr>
          <w:t>64</w:t>
        </w:r>
        <w:r w:rsidR="00183CC8">
          <w:rPr>
            <w:noProof/>
            <w:webHidden/>
          </w:rPr>
          <w:fldChar w:fldCharType="end"/>
        </w:r>
      </w:hyperlink>
    </w:p>
    <w:p w14:paraId="039B85FB" w14:textId="7C230E6F" w:rsidR="00183CC8" w:rsidRDefault="003373BF">
      <w:pPr>
        <w:pStyle w:val="TableofFigures"/>
        <w:tabs>
          <w:tab w:val="right" w:leader="dot" w:pos="9402"/>
        </w:tabs>
        <w:rPr>
          <w:rFonts w:eastAsiaTheme="minorEastAsia" w:cstheme="minorBidi"/>
          <w:noProof/>
          <w:szCs w:val="24"/>
          <w:lang w:eastAsia="en-GB"/>
        </w:rPr>
      </w:pPr>
      <w:hyperlink w:anchor="_Toc90216937" w:history="1">
        <w:r w:rsidR="00183CC8" w:rsidRPr="001D0CAE">
          <w:rPr>
            <w:rStyle w:val="Hyperlink"/>
            <w:noProof/>
          </w:rPr>
          <w:t>Figure 3.2 Common artefacts of thin-sectioning process.</w:t>
        </w:r>
        <w:r w:rsidR="00183CC8">
          <w:rPr>
            <w:noProof/>
            <w:webHidden/>
          </w:rPr>
          <w:tab/>
        </w:r>
        <w:r w:rsidR="00183CC8">
          <w:rPr>
            <w:noProof/>
            <w:webHidden/>
          </w:rPr>
          <w:fldChar w:fldCharType="begin"/>
        </w:r>
        <w:r w:rsidR="00183CC8">
          <w:rPr>
            <w:noProof/>
            <w:webHidden/>
          </w:rPr>
          <w:instrText xml:space="preserve"> PAGEREF _Toc90216937 \h </w:instrText>
        </w:r>
        <w:r w:rsidR="00183CC8">
          <w:rPr>
            <w:noProof/>
            <w:webHidden/>
          </w:rPr>
        </w:r>
        <w:r w:rsidR="00183CC8">
          <w:rPr>
            <w:noProof/>
            <w:webHidden/>
          </w:rPr>
          <w:fldChar w:fldCharType="separate"/>
        </w:r>
        <w:r w:rsidR="00183CC8">
          <w:rPr>
            <w:noProof/>
            <w:webHidden/>
          </w:rPr>
          <w:t>70</w:t>
        </w:r>
        <w:r w:rsidR="00183CC8">
          <w:rPr>
            <w:noProof/>
            <w:webHidden/>
          </w:rPr>
          <w:fldChar w:fldCharType="end"/>
        </w:r>
      </w:hyperlink>
    </w:p>
    <w:p w14:paraId="006F91B4" w14:textId="397419B3" w:rsidR="00183CC8" w:rsidRDefault="003373BF">
      <w:pPr>
        <w:pStyle w:val="TableofFigures"/>
        <w:tabs>
          <w:tab w:val="right" w:leader="dot" w:pos="9402"/>
        </w:tabs>
        <w:rPr>
          <w:rFonts w:eastAsiaTheme="minorEastAsia" w:cstheme="minorBidi"/>
          <w:noProof/>
          <w:szCs w:val="24"/>
          <w:lang w:eastAsia="en-GB"/>
        </w:rPr>
      </w:pPr>
      <w:hyperlink w:anchor="_Toc90216938" w:history="1">
        <w:r w:rsidR="00183CC8" w:rsidRPr="001D0CAE">
          <w:rPr>
            <w:rStyle w:val="Hyperlink"/>
            <w:noProof/>
          </w:rPr>
          <w:t>Figure 3.3 Phenotype analysis comparison between SIM, SEM and TEM.</w:t>
        </w:r>
        <w:r w:rsidR="00183CC8">
          <w:rPr>
            <w:noProof/>
            <w:webHidden/>
          </w:rPr>
          <w:tab/>
        </w:r>
        <w:r w:rsidR="00183CC8">
          <w:rPr>
            <w:noProof/>
            <w:webHidden/>
          </w:rPr>
          <w:fldChar w:fldCharType="begin"/>
        </w:r>
        <w:r w:rsidR="00183CC8">
          <w:rPr>
            <w:noProof/>
            <w:webHidden/>
          </w:rPr>
          <w:instrText xml:space="preserve"> PAGEREF _Toc90216938 \h </w:instrText>
        </w:r>
        <w:r w:rsidR="00183CC8">
          <w:rPr>
            <w:noProof/>
            <w:webHidden/>
          </w:rPr>
        </w:r>
        <w:r w:rsidR="00183CC8">
          <w:rPr>
            <w:noProof/>
            <w:webHidden/>
          </w:rPr>
          <w:fldChar w:fldCharType="separate"/>
        </w:r>
        <w:r w:rsidR="00183CC8">
          <w:rPr>
            <w:noProof/>
            <w:webHidden/>
          </w:rPr>
          <w:t>73</w:t>
        </w:r>
        <w:r w:rsidR="00183CC8">
          <w:rPr>
            <w:noProof/>
            <w:webHidden/>
          </w:rPr>
          <w:fldChar w:fldCharType="end"/>
        </w:r>
      </w:hyperlink>
    </w:p>
    <w:p w14:paraId="53355D9D" w14:textId="3D7137B6" w:rsidR="00183CC8" w:rsidRDefault="003373BF">
      <w:pPr>
        <w:pStyle w:val="TableofFigures"/>
        <w:tabs>
          <w:tab w:val="right" w:leader="dot" w:pos="9402"/>
        </w:tabs>
        <w:rPr>
          <w:rFonts w:eastAsiaTheme="minorEastAsia" w:cstheme="minorBidi"/>
          <w:noProof/>
          <w:szCs w:val="24"/>
          <w:lang w:eastAsia="en-GB"/>
        </w:rPr>
      </w:pPr>
      <w:hyperlink w:anchor="_Toc90216939" w:history="1">
        <w:r w:rsidR="00183CC8" w:rsidRPr="001D0CAE">
          <w:rPr>
            <w:rStyle w:val="Hyperlink"/>
            <w:noProof/>
          </w:rPr>
          <w:t xml:space="preserve">Figure 3.4 TEM micrographs of chemically fixed thin-sections of </w:t>
        </w:r>
        <w:r w:rsidR="00183CC8" w:rsidRPr="001D0CAE">
          <w:rPr>
            <w:rStyle w:val="Hyperlink"/>
            <w:i/>
            <w:noProof/>
          </w:rPr>
          <w:t xml:space="preserve">S. aureus </w:t>
        </w:r>
        <w:r w:rsidR="00183CC8" w:rsidRPr="001D0CAE">
          <w:rPr>
            <w:rStyle w:val="Hyperlink"/>
            <w:noProof/>
          </w:rPr>
          <w:t xml:space="preserve">and </w:t>
        </w:r>
        <w:r w:rsidR="00183CC8" w:rsidRPr="001D0CAE">
          <w:rPr>
            <w:rStyle w:val="Hyperlink"/>
            <w:i/>
            <w:noProof/>
          </w:rPr>
          <w:t>B. subtilis.</w:t>
        </w:r>
        <w:r w:rsidR="00183CC8">
          <w:rPr>
            <w:noProof/>
            <w:webHidden/>
          </w:rPr>
          <w:tab/>
        </w:r>
        <w:r w:rsidR="00183CC8">
          <w:rPr>
            <w:noProof/>
            <w:webHidden/>
          </w:rPr>
          <w:fldChar w:fldCharType="begin"/>
        </w:r>
        <w:r w:rsidR="00183CC8">
          <w:rPr>
            <w:noProof/>
            <w:webHidden/>
          </w:rPr>
          <w:instrText xml:space="preserve"> PAGEREF _Toc90216939 \h </w:instrText>
        </w:r>
        <w:r w:rsidR="00183CC8">
          <w:rPr>
            <w:noProof/>
            <w:webHidden/>
          </w:rPr>
        </w:r>
        <w:r w:rsidR="00183CC8">
          <w:rPr>
            <w:noProof/>
            <w:webHidden/>
          </w:rPr>
          <w:fldChar w:fldCharType="separate"/>
        </w:r>
        <w:r w:rsidR="00183CC8">
          <w:rPr>
            <w:noProof/>
            <w:webHidden/>
          </w:rPr>
          <w:t>75</w:t>
        </w:r>
        <w:r w:rsidR="00183CC8">
          <w:rPr>
            <w:noProof/>
            <w:webHidden/>
          </w:rPr>
          <w:fldChar w:fldCharType="end"/>
        </w:r>
      </w:hyperlink>
    </w:p>
    <w:p w14:paraId="415524DB" w14:textId="2F9E9139" w:rsidR="00183CC8" w:rsidRDefault="003373BF">
      <w:pPr>
        <w:pStyle w:val="TableofFigures"/>
        <w:tabs>
          <w:tab w:val="right" w:leader="dot" w:pos="9402"/>
        </w:tabs>
        <w:rPr>
          <w:rFonts w:eastAsiaTheme="minorEastAsia" w:cstheme="minorBidi"/>
          <w:noProof/>
          <w:szCs w:val="24"/>
          <w:lang w:eastAsia="en-GB"/>
        </w:rPr>
      </w:pPr>
      <w:hyperlink w:anchor="_Toc90216940" w:history="1">
        <w:r w:rsidR="00183CC8" w:rsidRPr="001D0CAE">
          <w:rPr>
            <w:rStyle w:val="Hyperlink"/>
            <w:noProof/>
          </w:rPr>
          <w:t xml:space="preserve">Figure 3.5 TEM micrographs of the cell envelope of chemically fixed </w:t>
        </w:r>
        <w:r w:rsidR="00183CC8" w:rsidRPr="001D0CAE">
          <w:rPr>
            <w:rStyle w:val="Hyperlink"/>
            <w:i/>
            <w:noProof/>
          </w:rPr>
          <w:t>S. aureus</w:t>
        </w:r>
        <w:r w:rsidR="00183CC8" w:rsidRPr="001D0CAE">
          <w:rPr>
            <w:rStyle w:val="Hyperlink"/>
            <w:noProof/>
          </w:rPr>
          <w:t>.</w:t>
        </w:r>
        <w:r w:rsidR="00183CC8">
          <w:rPr>
            <w:noProof/>
            <w:webHidden/>
          </w:rPr>
          <w:tab/>
        </w:r>
        <w:r w:rsidR="00183CC8">
          <w:rPr>
            <w:noProof/>
            <w:webHidden/>
          </w:rPr>
          <w:fldChar w:fldCharType="begin"/>
        </w:r>
        <w:r w:rsidR="00183CC8">
          <w:rPr>
            <w:noProof/>
            <w:webHidden/>
          </w:rPr>
          <w:instrText xml:space="preserve"> PAGEREF _Toc90216940 \h </w:instrText>
        </w:r>
        <w:r w:rsidR="00183CC8">
          <w:rPr>
            <w:noProof/>
            <w:webHidden/>
          </w:rPr>
        </w:r>
        <w:r w:rsidR="00183CC8">
          <w:rPr>
            <w:noProof/>
            <w:webHidden/>
          </w:rPr>
          <w:fldChar w:fldCharType="separate"/>
        </w:r>
        <w:r w:rsidR="00183CC8">
          <w:rPr>
            <w:noProof/>
            <w:webHidden/>
          </w:rPr>
          <w:t>76</w:t>
        </w:r>
        <w:r w:rsidR="00183CC8">
          <w:rPr>
            <w:noProof/>
            <w:webHidden/>
          </w:rPr>
          <w:fldChar w:fldCharType="end"/>
        </w:r>
      </w:hyperlink>
    </w:p>
    <w:p w14:paraId="7A73BC2C" w14:textId="22DDF581" w:rsidR="00183CC8" w:rsidRDefault="003373BF">
      <w:pPr>
        <w:pStyle w:val="TableofFigures"/>
        <w:tabs>
          <w:tab w:val="right" w:leader="dot" w:pos="9402"/>
        </w:tabs>
        <w:rPr>
          <w:rFonts w:eastAsiaTheme="minorEastAsia" w:cstheme="minorBidi"/>
          <w:noProof/>
          <w:szCs w:val="24"/>
          <w:lang w:eastAsia="en-GB"/>
        </w:rPr>
      </w:pPr>
      <w:hyperlink w:anchor="_Toc90216941" w:history="1">
        <w:r w:rsidR="00183CC8" w:rsidRPr="001D0CAE">
          <w:rPr>
            <w:rStyle w:val="Hyperlink"/>
            <w:noProof/>
          </w:rPr>
          <w:t xml:space="preserve">Figure 3.6 The use of an additional PFA step in standard chemical fixation TEM with </w:t>
        </w:r>
        <w:r w:rsidR="00183CC8" w:rsidRPr="001D0CAE">
          <w:rPr>
            <w:rStyle w:val="Hyperlink"/>
            <w:i/>
            <w:noProof/>
          </w:rPr>
          <w:t>S. aureus</w:t>
        </w:r>
        <w:r w:rsidR="00183CC8" w:rsidRPr="001D0CAE">
          <w:rPr>
            <w:rStyle w:val="Hyperlink"/>
            <w:noProof/>
          </w:rPr>
          <w:t>.</w:t>
        </w:r>
        <w:r w:rsidR="00183CC8">
          <w:rPr>
            <w:noProof/>
            <w:webHidden/>
          </w:rPr>
          <w:tab/>
        </w:r>
        <w:r w:rsidR="00183CC8">
          <w:rPr>
            <w:noProof/>
            <w:webHidden/>
          </w:rPr>
          <w:fldChar w:fldCharType="begin"/>
        </w:r>
        <w:r w:rsidR="00183CC8">
          <w:rPr>
            <w:noProof/>
            <w:webHidden/>
          </w:rPr>
          <w:instrText xml:space="preserve"> PAGEREF _Toc90216941 \h </w:instrText>
        </w:r>
        <w:r w:rsidR="00183CC8">
          <w:rPr>
            <w:noProof/>
            <w:webHidden/>
          </w:rPr>
        </w:r>
        <w:r w:rsidR="00183CC8">
          <w:rPr>
            <w:noProof/>
            <w:webHidden/>
          </w:rPr>
          <w:fldChar w:fldCharType="separate"/>
        </w:r>
        <w:r w:rsidR="00183CC8">
          <w:rPr>
            <w:noProof/>
            <w:webHidden/>
          </w:rPr>
          <w:t>78</w:t>
        </w:r>
        <w:r w:rsidR="00183CC8">
          <w:rPr>
            <w:noProof/>
            <w:webHidden/>
          </w:rPr>
          <w:fldChar w:fldCharType="end"/>
        </w:r>
      </w:hyperlink>
    </w:p>
    <w:p w14:paraId="4506E34A" w14:textId="7FC56221" w:rsidR="00183CC8" w:rsidRDefault="003373BF">
      <w:pPr>
        <w:pStyle w:val="TableofFigures"/>
        <w:tabs>
          <w:tab w:val="right" w:leader="dot" w:pos="9402"/>
        </w:tabs>
        <w:rPr>
          <w:rFonts w:eastAsiaTheme="minorEastAsia" w:cstheme="minorBidi"/>
          <w:noProof/>
          <w:szCs w:val="24"/>
          <w:lang w:eastAsia="en-GB"/>
        </w:rPr>
      </w:pPr>
      <w:hyperlink w:anchor="_Toc90216942" w:history="1">
        <w:r w:rsidR="00183CC8" w:rsidRPr="001D0CAE">
          <w:rPr>
            <w:rStyle w:val="Hyperlink"/>
            <w:noProof/>
          </w:rPr>
          <w:t xml:space="preserve">Figure 3.7 Methodology for loading the flat specimen carrier for HPF of </w:t>
        </w:r>
        <w:r w:rsidR="00183CC8" w:rsidRPr="001D0CAE">
          <w:rPr>
            <w:rStyle w:val="Hyperlink"/>
            <w:i/>
            <w:noProof/>
          </w:rPr>
          <w:t>S. aureus</w:t>
        </w:r>
        <w:r w:rsidR="00183CC8" w:rsidRPr="001D0CAE">
          <w:rPr>
            <w:rStyle w:val="Hyperlink"/>
            <w:noProof/>
          </w:rPr>
          <w:t>.</w:t>
        </w:r>
        <w:r w:rsidR="00183CC8">
          <w:rPr>
            <w:noProof/>
            <w:webHidden/>
          </w:rPr>
          <w:tab/>
        </w:r>
        <w:r w:rsidR="00183CC8">
          <w:rPr>
            <w:noProof/>
            <w:webHidden/>
          </w:rPr>
          <w:fldChar w:fldCharType="begin"/>
        </w:r>
        <w:r w:rsidR="00183CC8">
          <w:rPr>
            <w:noProof/>
            <w:webHidden/>
          </w:rPr>
          <w:instrText xml:space="preserve"> PAGEREF _Toc90216942 \h </w:instrText>
        </w:r>
        <w:r w:rsidR="00183CC8">
          <w:rPr>
            <w:noProof/>
            <w:webHidden/>
          </w:rPr>
        </w:r>
        <w:r w:rsidR="00183CC8">
          <w:rPr>
            <w:noProof/>
            <w:webHidden/>
          </w:rPr>
          <w:fldChar w:fldCharType="separate"/>
        </w:r>
        <w:r w:rsidR="00183CC8">
          <w:rPr>
            <w:noProof/>
            <w:webHidden/>
          </w:rPr>
          <w:t>81</w:t>
        </w:r>
        <w:r w:rsidR="00183CC8">
          <w:rPr>
            <w:noProof/>
            <w:webHidden/>
          </w:rPr>
          <w:fldChar w:fldCharType="end"/>
        </w:r>
      </w:hyperlink>
    </w:p>
    <w:p w14:paraId="344A58BD" w14:textId="72D374E6" w:rsidR="00183CC8" w:rsidRDefault="003373BF">
      <w:pPr>
        <w:pStyle w:val="TableofFigures"/>
        <w:tabs>
          <w:tab w:val="right" w:leader="dot" w:pos="9402"/>
        </w:tabs>
        <w:rPr>
          <w:rFonts w:eastAsiaTheme="minorEastAsia" w:cstheme="minorBidi"/>
          <w:noProof/>
          <w:szCs w:val="24"/>
          <w:lang w:eastAsia="en-GB"/>
        </w:rPr>
      </w:pPr>
      <w:hyperlink w:anchor="_Toc90216943" w:history="1">
        <w:r w:rsidR="00183CC8" w:rsidRPr="001D0CAE">
          <w:rPr>
            <w:rStyle w:val="Hyperlink"/>
            <w:noProof/>
          </w:rPr>
          <w:t xml:space="preserve">Figure 3.8 Effect of different cryo-protectants and fillers for HPF of </w:t>
        </w:r>
        <w:r w:rsidR="00183CC8" w:rsidRPr="001D0CAE">
          <w:rPr>
            <w:rStyle w:val="Hyperlink"/>
            <w:i/>
            <w:noProof/>
          </w:rPr>
          <w:t>S. aureus</w:t>
        </w:r>
        <w:r w:rsidR="00183CC8" w:rsidRPr="001D0CAE">
          <w:rPr>
            <w:rStyle w:val="Hyperlink"/>
            <w:noProof/>
          </w:rPr>
          <w:t>.</w:t>
        </w:r>
        <w:r w:rsidR="00183CC8">
          <w:rPr>
            <w:noProof/>
            <w:webHidden/>
          </w:rPr>
          <w:tab/>
        </w:r>
        <w:r w:rsidR="00183CC8">
          <w:rPr>
            <w:noProof/>
            <w:webHidden/>
          </w:rPr>
          <w:fldChar w:fldCharType="begin"/>
        </w:r>
        <w:r w:rsidR="00183CC8">
          <w:rPr>
            <w:noProof/>
            <w:webHidden/>
          </w:rPr>
          <w:instrText xml:space="preserve"> PAGEREF _Toc90216943 \h </w:instrText>
        </w:r>
        <w:r w:rsidR="00183CC8">
          <w:rPr>
            <w:noProof/>
            <w:webHidden/>
          </w:rPr>
        </w:r>
        <w:r w:rsidR="00183CC8">
          <w:rPr>
            <w:noProof/>
            <w:webHidden/>
          </w:rPr>
          <w:fldChar w:fldCharType="separate"/>
        </w:r>
        <w:r w:rsidR="00183CC8">
          <w:rPr>
            <w:noProof/>
            <w:webHidden/>
          </w:rPr>
          <w:t>83</w:t>
        </w:r>
        <w:r w:rsidR="00183CC8">
          <w:rPr>
            <w:noProof/>
            <w:webHidden/>
          </w:rPr>
          <w:fldChar w:fldCharType="end"/>
        </w:r>
      </w:hyperlink>
    </w:p>
    <w:p w14:paraId="233B0FBF" w14:textId="574D2E89" w:rsidR="00183CC8" w:rsidRDefault="003373BF">
      <w:pPr>
        <w:pStyle w:val="TableofFigures"/>
        <w:tabs>
          <w:tab w:val="right" w:leader="dot" w:pos="9402"/>
        </w:tabs>
        <w:rPr>
          <w:rFonts w:eastAsiaTheme="minorEastAsia" w:cstheme="minorBidi"/>
          <w:noProof/>
          <w:szCs w:val="24"/>
          <w:lang w:eastAsia="en-GB"/>
        </w:rPr>
      </w:pPr>
      <w:hyperlink w:anchor="_Toc90216944" w:history="1">
        <w:r w:rsidR="00183CC8" w:rsidRPr="001D0CAE">
          <w:rPr>
            <w:rStyle w:val="Hyperlink"/>
            <w:noProof/>
          </w:rPr>
          <w:t xml:space="preserve">Figure 3.9 Representative outputs for an optimal pressure </w:t>
        </w:r>
        <w:r w:rsidR="00183CC8" w:rsidRPr="001D0CAE">
          <w:rPr>
            <w:rStyle w:val="Hyperlink"/>
            <w:i/>
            <w:noProof/>
          </w:rPr>
          <w:t>vs.</w:t>
        </w:r>
        <w:r w:rsidR="00183CC8" w:rsidRPr="001D0CAE">
          <w:rPr>
            <w:rStyle w:val="Hyperlink"/>
            <w:noProof/>
          </w:rPr>
          <w:t xml:space="preserve"> failed pressure during HPF.</w:t>
        </w:r>
        <w:r w:rsidR="00183CC8">
          <w:rPr>
            <w:noProof/>
            <w:webHidden/>
          </w:rPr>
          <w:tab/>
        </w:r>
        <w:r w:rsidR="00183CC8">
          <w:rPr>
            <w:noProof/>
            <w:webHidden/>
          </w:rPr>
          <w:fldChar w:fldCharType="begin"/>
        </w:r>
        <w:r w:rsidR="00183CC8">
          <w:rPr>
            <w:noProof/>
            <w:webHidden/>
          </w:rPr>
          <w:instrText xml:space="preserve"> PAGEREF _Toc90216944 \h </w:instrText>
        </w:r>
        <w:r w:rsidR="00183CC8">
          <w:rPr>
            <w:noProof/>
            <w:webHidden/>
          </w:rPr>
        </w:r>
        <w:r w:rsidR="00183CC8">
          <w:rPr>
            <w:noProof/>
            <w:webHidden/>
          </w:rPr>
          <w:fldChar w:fldCharType="separate"/>
        </w:r>
        <w:r w:rsidR="00183CC8">
          <w:rPr>
            <w:noProof/>
            <w:webHidden/>
          </w:rPr>
          <w:t>85</w:t>
        </w:r>
        <w:r w:rsidR="00183CC8">
          <w:rPr>
            <w:noProof/>
            <w:webHidden/>
          </w:rPr>
          <w:fldChar w:fldCharType="end"/>
        </w:r>
      </w:hyperlink>
    </w:p>
    <w:p w14:paraId="2BD7D7FF" w14:textId="2DBB3D62" w:rsidR="00183CC8" w:rsidRDefault="003373BF">
      <w:pPr>
        <w:pStyle w:val="TableofFigures"/>
        <w:tabs>
          <w:tab w:val="right" w:leader="dot" w:pos="9402"/>
        </w:tabs>
        <w:rPr>
          <w:rFonts w:eastAsiaTheme="minorEastAsia" w:cstheme="minorBidi"/>
          <w:noProof/>
          <w:szCs w:val="24"/>
          <w:lang w:eastAsia="en-GB"/>
        </w:rPr>
      </w:pPr>
      <w:hyperlink w:anchor="_Toc90216945" w:history="1">
        <w:r w:rsidR="00183CC8" w:rsidRPr="001D0CAE">
          <w:rPr>
            <w:rStyle w:val="Hyperlink"/>
            <w:noProof/>
          </w:rPr>
          <w:t>Figure 3.10 Osmium tetroxide reacting with the FS medium.</w:t>
        </w:r>
        <w:r w:rsidR="00183CC8">
          <w:rPr>
            <w:noProof/>
            <w:webHidden/>
          </w:rPr>
          <w:tab/>
        </w:r>
        <w:r w:rsidR="00183CC8">
          <w:rPr>
            <w:noProof/>
            <w:webHidden/>
          </w:rPr>
          <w:fldChar w:fldCharType="begin"/>
        </w:r>
        <w:r w:rsidR="00183CC8">
          <w:rPr>
            <w:noProof/>
            <w:webHidden/>
          </w:rPr>
          <w:instrText xml:space="preserve"> PAGEREF _Toc90216945 \h </w:instrText>
        </w:r>
        <w:r w:rsidR="00183CC8">
          <w:rPr>
            <w:noProof/>
            <w:webHidden/>
          </w:rPr>
        </w:r>
        <w:r w:rsidR="00183CC8">
          <w:rPr>
            <w:noProof/>
            <w:webHidden/>
          </w:rPr>
          <w:fldChar w:fldCharType="separate"/>
        </w:r>
        <w:r w:rsidR="00183CC8">
          <w:rPr>
            <w:noProof/>
            <w:webHidden/>
          </w:rPr>
          <w:t>88</w:t>
        </w:r>
        <w:r w:rsidR="00183CC8">
          <w:rPr>
            <w:noProof/>
            <w:webHidden/>
          </w:rPr>
          <w:fldChar w:fldCharType="end"/>
        </w:r>
      </w:hyperlink>
    </w:p>
    <w:p w14:paraId="128621AA" w14:textId="3B208153" w:rsidR="00183CC8" w:rsidRDefault="003373BF">
      <w:pPr>
        <w:pStyle w:val="TableofFigures"/>
        <w:tabs>
          <w:tab w:val="right" w:leader="dot" w:pos="9402"/>
        </w:tabs>
        <w:rPr>
          <w:rFonts w:eastAsiaTheme="minorEastAsia" w:cstheme="minorBidi"/>
          <w:noProof/>
          <w:szCs w:val="24"/>
          <w:lang w:eastAsia="en-GB"/>
        </w:rPr>
      </w:pPr>
      <w:hyperlink w:anchor="_Toc90216946" w:history="1">
        <w:r w:rsidR="00183CC8" w:rsidRPr="001D0CAE">
          <w:rPr>
            <w:rStyle w:val="Hyperlink"/>
            <w:noProof/>
          </w:rPr>
          <w:t xml:space="preserve">Figure 3.11 Optimising freeze-substitution media for </w:t>
        </w:r>
        <w:r w:rsidR="00183CC8" w:rsidRPr="001D0CAE">
          <w:rPr>
            <w:rStyle w:val="Hyperlink"/>
            <w:i/>
            <w:noProof/>
          </w:rPr>
          <w:t>S. aureus.</w:t>
        </w:r>
        <w:r w:rsidR="00183CC8">
          <w:rPr>
            <w:noProof/>
            <w:webHidden/>
          </w:rPr>
          <w:tab/>
        </w:r>
        <w:r w:rsidR="00183CC8">
          <w:rPr>
            <w:noProof/>
            <w:webHidden/>
          </w:rPr>
          <w:fldChar w:fldCharType="begin"/>
        </w:r>
        <w:r w:rsidR="00183CC8">
          <w:rPr>
            <w:noProof/>
            <w:webHidden/>
          </w:rPr>
          <w:instrText xml:space="preserve"> PAGEREF _Toc90216946 \h </w:instrText>
        </w:r>
        <w:r w:rsidR="00183CC8">
          <w:rPr>
            <w:noProof/>
            <w:webHidden/>
          </w:rPr>
        </w:r>
        <w:r w:rsidR="00183CC8">
          <w:rPr>
            <w:noProof/>
            <w:webHidden/>
          </w:rPr>
          <w:fldChar w:fldCharType="separate"/>
        </w:r>
        <w:r w:rsidR="00183CC8">
          <w:rPr>
            <w:noProof/>
            <w:webHidden/>
          </w:rPr>
          <w:t>89</w:t>
        </w:r>
        <w:r w:rsidR="00183CC8">
          <w:rPr>
            <w:noProof/>
            <w:webHidden/>
          </w:rPr>
          <w:fldChar w:fldCharType="end"/>
        </w:r>
      </w:hyperlink>
    </w:p>
    <w:p w14:paraId="3EC629EF" w14:textId="325166D6" w:rsidR="00183CC8" w:rsidRDefault="003373BF">
      <w:pPr>
        <w:pStyle w:val="TableofFigures"/>
        <w:tabs>
          <w:tab w:val="right" w:leader="dot" w:pos="9402"/>
        </w:tabs>
        <w:rPr>
          <w:rFonts w:eastAsiaTheme="minorEastAsia" w:cstheme="minorBidi"/>
          <w:noProof/>
          <w:szCs w:val="24"/>
          <w:lang w:eastAsia="en-GB"/>
        </w:rPr>
      </w:pPr>
      <w:hyperlink w:anchor="_Toc90216947" w:history="1">
        <w:r w:rsidR="00183CC8" w:rsidRPr="001D0CAE">
          <w:rPr>
            <w:rStyle w:val="Hyperlink"/>
            <w:noProof/>
          </w:rPr>
          <w:t xml:space="preserve">Figure 3.12 Epon </w:t>
        </w:r>
        <w:r w:rsidR="00183CC8" w:rsidRPr="001D0CAE">
          <w:rPr>
            <w:rStyle w:val="Hyperlink"/>
            <w:i/>
            <w:noProof/>
          </w:rPr>
          <w:t>vs.</w:t>
        </w:r>
        <w:r w:rsidR="00183CC8" w:rsidRPr="001D0CAE">
          <w:rPr>
            <w:rStyle w:val="Hyperlink"/>
            <w:noProof/>
          </w:rPr>
          <w:t xml:space="preserve"> Spurr, and the best technique for preparing resin blocks.</w:t>
        </w:r>
        <w:r w:rsidR="00183CC8">
          <w:rPr>
            <w:noProof/>
            <w:webHidden/>
          </w:rPr>
          <w:tab/>
        </w:r>
        <w:r w:rsidR="00183CC8">
          <w:rPr>
            <w:noProof/>
            <w:webHidden/>
          </w:rPr>
          <w:fldChar w:fldCharType="begin"/>
        </w:r>
        <w:r w:rsidR="00183CC8">
          <w:rPr>
            <w:noProof/>
            <w:webHidden/>
          </w:rPr>
          <w:instrText xml:space="preserve"> PAGEREF _Toc90216947 \h </w:instrText>
        </w:r>
        <w:r w:rsidR="00183CC8">
          <w:rPr>
            <w:noProof/>
            <w:webHidden/>
          </w:rPr>
        </w:r>
        <w:r w:rsidR="00183CC8">
          <w:rPr>
            <w:noProof/>
            <w:webHidden/>
          </w:rPr>
          <w:fldChar w:fldCharType="separate"/>
        </w:r>
        <w:r w:rsidR="00183CC8">
          <w:rPr>
            <w:noProof/>
            <w:webHidden/>
          </w:rPr>
          <w:t>92</w:t>
        </w:r>
        <w:r w:rsidR="00183CC8">
          <w:rPr>
            <w:noProof/>
            <w:webHidden/>
          </w:rPr>
          <w:fldChar w:fldCharType="end"/>
        </w:r>
      </w:hyperlink>
    </w:p>
    <w:p w14:paraId="534391FC" w14:textId="7DA48AB1" w:rsidR="00183CC8" w:rsidRDefault="003373BF">
      <w:pPr>
        <w:pStyle w:val="TableofFigures"/>
        <w:tabs>
          <w:tab w:val="right" w:leader="dot" w:pos="9402"/>
        </w:tabs>
        <w:rPr>
          <w:rFonts w:eastAsiaTheme="minorEastAsia" w:cstheme="minorBidi"/>
          <w:noProof/>
          <w:szCs w:val="24"/>
          <w:lang w:eastAsia="en-GB"/>
        </w:rPr>
      </w:pPr>
      <w:hyperlink w:anchor="_Toc90216948" w:history="1">
        <w:r w:rsidR="00183CC8" w:rsidRPr="001D0CAE">
          <w:rPr>
            <w:rStyle w:val="Hyperlink"/>
            <w:noProof/>
          </w:rPr>
          <w:t>Figure 3.13 TEM micrographs showing different infiltration and embedding protocols for FS.</w:t>
        </w:r>
        <w:r w:rsidR="00183CC8">
          <w:rPr>
            <w:noProof/>
            <w:webHidden/>
          </w:rPr>
          <w:tab/>
        </w:r>
        <w:r w:rsidR="00183CC8">
          <w:rPr>
            <w:noProof/>
            <w:webHidden/>
          </w:rPr>
          <w:fldChar w:fldCharType="begin"/>
        </w:r>
        <w:r w:rsidR="00183CC8">
          <w:rPr>
            <w:noProof/>
            <w:webHidden/>
          </w:rPr>
          <w:instrText xml:space="preserve"> PAGEREF _Toc90216948 \h </w:instrText>
        </w:r>
        <w:r w:rsidR="00183CC8">
          <w:rPr>
            <w:noProof/>
            <w:webHidden/>
          </w:rPr>
        </w:r>
        <w:r w:rsidR="00183CC8">
          <w:rPr>
            <w:noProof/>
            <w:webHidden/>
          </w:rPr>
          <w:fldChar w:fldCharType="separate"/>
        </w:r>
        <w:r w:rsidR="00183CC8">
          <w:rPr>
            <w:noProof/>
            <w:webHidden/>
          </w:rPr>
          <w:t>93</w:t>
        </w:r>
        <w:r w:rsidR="00183CC8">
          <w:rPr>
            <w:noProof/>
            <w:webHidden/>
          </w:rPr>
          <w:fldChar w:fldCharType="end"/>
        </w:r>
      </w:hyperlink>
    </w:p>
    <w:p w14:paraId="62445A6B" w14:textId="50FA218C" w:rsidR="00183CC8" w:rsidRDefault="003373BF">
      <w:pPr>
        <w:pStyle w:val="TableofFigures"/>
        <w:tabs>
          <w:tab w:val="right" w:leader="dot" w:pos="9402"/>
        </w:tabs>
        <w:rPr>
          <w:rFonts w:eastAsiaTheme="minorEastAsia" w:cstheme="minorBidi"/>
          <w:noProof/>
          <w:szCs w:val="24"/>
          <w:lang w:eastAsia="en-GB"/>
        </w:rPr>
      </w:pPr>
      <w:hyperlink w:anchor="_Toc90216949" w:history="1">
        <w:r w:rsidR="00183CC8" w:rsidRPr="001D0CAE">
          <w:rPr>
            <w:rStyle w:val="Hyperlink"/>
            <w:noProof/>
          </w:rPr>
          <w:t>Figure 3.14 Post-stain selection.</w:t>
        </w:r>
        <w:r w:rsidR="00183CC8">
          <w:rPr>
            <w:noProof/>
            <w:webHidden/>
          </w:rPr>
          <w:tab/>
        </w:r>
        <w:r w:rsidR="00183CC8">
          <w:rPr>
            <w:noProof/>
            <w:webHidden/>
          </w:rPr>
          <w:fldChar w:fldCharType="begin"/>
        </w:r>
        <w:r w:rsidR="00183CC8">
          <w:rPr>
            <w:noProof/>
            <w:webHidden/>
          </w:rPr>
          <w:instrText xml:space="preserve"> PAGEREF _Toc90216949 \h </w:instrText>
        </w:r>
        <w:r w:rsidR="00183CC8">
          <w:rPr>
            <w:noProof/>
            <w:webHidden/>
          </w:rPr>
        </w:r>
        <w:r w:rsidR="00183CC8">
          <w:rPr>
            <w:noProof/>
            <w:webHidden/>
          </w:rPr>
          <w:fldChar w:fldCharType="separate"/>
        </w:r>
        <w:r w:rsidR="00183CC8">
          <w:rPr>
            <w:noProof/>
            <w:webHidden/>
          </w:rPr>
          <w:t>95</w:t>
        </w:r>
        <w:r w:rsidR="00183CC8">
          <w:rPr>
            <w:noProof/>
            <w:webHidden/>
          </w:rPr>
          <w:fldChar w:fldCharType="end"/>
        </w:r>
      </w:hyperlink>
    </w:p>
    <w:p w14:paraId="734DADF5" w14:textId="0AC0DCD4" w:rsidR="00183CC8" w:rsidRDefault="003373BF">
      <w:pPr>
        <w:pStyle w:val="TableofFigures"/>
        <w:tabs>
          <w:tab w:val="right" w:leader="dot" w:pos="9402"/>
        </w:tabs>
        <w:rPr>
          <w:rFonts w:eastAsiaTheme="minorEastAsia" w:cstheme="minorBidi"/>
          <w:noProof/>
          <w:szCs w:val="24"/>
          <w:lang w:eastAsia="en-GB"/>
        </w:rPr>
      </w:pPr>
      <w:hyperlink w:anchor="_Toc90216950" w:history="1">
        <w:r w:rsidR="00183CC8" w:rsidRPr="001D0CAE">
          <w:rPr>
            <w:rStyle w:val="Hyperlink"/>
            <w:noProof/>
          </w:rPr>
          <w:t>Figure 3.15 Post staining of TEM grids.</w:t>
        </w:r>
        <w:r w:rsidR="00183CC8">
          <w:rPr>
            <w:noProof/>
            <w:webHidden/>
          </w:rPr>
          <w:tab/>
        </w:r>
        <w:r w:rsidR="00183CC8">
          <w:rPr>
            <w:noProof/>
            <w:webHidden/>
          </w:rPr>
          <w:fldChar w:fldCharType="begin"/>
        </w:r>
        <w:r w:rsidR="00183CC8">
          <w:rPr>
            <w:noProof/>
            <w:webHidden/>
          </w:rPr>
          <w:instrText xml:space="preserve"> PAGEREF _Toc90216950 \h </w:instrText>
        </w:r>
        <w:r w:rsidR="00183CC8">
          <w:rPr>
            <w:noProof/>
            <w:webHidden/>
          </w:rPr>
        </w:r>
        <w:r w:rsidR="00183CC8">
          <w:rPr>
            <w:noProof/>
            <w:webHidden/>
          </w:rPr>
          <w:fldChar w:fldCharType="separate"/>
        </w:r>
        <w:r w:rsidR="00183CC8">
          <w:rPr>
            <w:noProof/>
            <w:webHidden/>
          </w:rPr>
          <w:t>96</w:t>
        </w:r>
        <w:r w:rsidR="00183CC8">
          <w:rPr>
            <w:noProof/>
            <w:webHidden/>
          </w:rPr>
          <w:fldChar w:fldCharType="end"/>
        </w:r>
      </w:hyperlink>
    </w:p>
    <w:p w14:paraId="06179036" w14:textId="4D0730F2" w:rsidR="00183CC8" w:rsidRDefault="003373BF">
      <w:pPr>
        <w:pStyle w:val="TableofFigures"/>
        <w:tabs>
          <w:tab w:val="right" w:leader="dot" w:pos="9402"/>
        </w:tabs>
        <w:rPr>
          <w:rFonts w:eastAsiaTheme="minorEastAsia" w:cstheme="minorBidi"/>
          <w:noProof/>
          <w:szCs w:val="24"/>
          <w:lang w:eastAsia="en-GB"/>
        </w:rPr>
      </w:pPr>
      <w:hyperlink w:anchor="_Toc90216951" w:history="1">
        <w:r w:rsidR="00183CC8" w:rsidRPr="001D0CAE">
          <w:rPr>
            <w:rStyle w:val="Hyperlink"/>
            <w:noProof/>
          </w:rPr>
          <w:t>Figure 3.16 Leica AFS 2 programmes.</w:t>
        </w:r>
        <w:r w:rsidR="00183CC8">
          <w:rPr>
            <w:noProof/>
            <w:webHidden/>
          </w:rPr>
          <w:tab/>
        </w:r>
        <w:r w:rsidR="00183CC8">
          <w:rPr>
            <w:noProof/>
            <w:webHidden/>
          </w:rPr>
          <w:fldChar w:fldCharType="begin"/>
        </w:r>
        <w:r w:rsidR="00183CC8">
          <w:rPr>
            <w:noProof/>
            <w:webHidden/>
          </w:rPr>
          <w:instrText xml:space="preserve"> PAGEREF _Toc90216951 \h </w:instrText>
        </w:r>
        <w:r w:rsidR="00183CC8">
          <w:rPr>
            <w:noProof/>
            <w:webHidden/>
          </w:rPr>
        </w:r>
        <w:r w:rsidR="00183CC8">
          <w:rPr>
            <w:noProof/>
            <w:webHidden/>
          </w:rPr>
          <w:fldChar w:fldCharType="separate"/>
        </w:r>
        <w:r w:rsidR="00183CC8">
          <w:rPr>
            <w:noProof/>
            <w:webHidden/>
          </w:rPr>
          <w:t>99</w:t>
        </w:r>
        <w:r w:rsidR="00183CC8">
          <w:rPr>
            <w:noProof/>
            <w:webHidden/>
          </w:rPr>
          <w:fldChar w:fldCharType="end"/>
        </w:r>
      </w:hyperlink>
    </w:p>
    <w:p w14:paraId="51041300" w14:textId="0CF28C9D" w:rsidR="00183CC8" w:rsidRDefault="003373BF">
      <w:pPr>
        <w:pStyle w:val="TableofFigures"/>
        <w:tabs>
          <w:tab w:val="right" w:leader="dot" w:pos="9402"/>
        </w:tabs>
        <w:rPr>
          <w:rFonts w:eastAsiaTheme="minorEastAsia" w:cstheme="minorBidi"/>
          <w:noProof/>
          <w:szCs w:val="24"/>
          <w:lang w:eastAsia="en-GB"/>
        </w:rPr>
      </w:pPr>
      <w:hyperlink w:anchor="_Toc90216952" w:history="1">
        <w:r w:rsidR="00183CC8" w:rsidRPr="001D0CAE">
          <w:rPr>
            <w:rStyle w:val="Hyperlink"/>
            <w:noProof/>
          </w:rPr>
          <w:t>Figure 3.17 Super quick freeze-substitution setup and test runs.</w:t>
        </w:r>
        <w:r w:rsidR="00183CC8">
          <w:rPr>
            <w:noProof/>
            <w:webHidden/>
          </w:rPr>
          <w:tab/>
        </w:r>
        <w:r w:rsidR="00183CC8">
          <w:rPr>
            <w:noProof/>
            <w:webHidden/>
          </w:rPr>
          <w:fldChar w:fldCharType="begin"/>
        </w:r>
        <w:r w:rsidR="00183CC8">
          <w:rPr>
            <w:noProof/>
            <w:webHidden/>
          </w:rPr>
          <w:instrText xml:space="preserve"> PAGEREF _Toc90216952 \h </w:instrText>
        </w:r>
        <w:r w:rsidR="00183CC8">
          <w:rPr>
            <w:noProof/>
            <w:webHidden/>
          </w:rPr>
        </w:r>
        <w:r w:rsidR="00183CC8">
          <w:rPr>
            <w:noProof/>
            <w:webHidden/>
          </w:rPr>
          <w:fldChar w:fldCharType="separate"/>
        </w:r>
        <w:r w:rsidR="00183CC8">
          <w:rPr>
            <w:noProof/>
            <w:webHidden/>
          </w:rPr>
          <w:t>100</w:t>
        </w:r>
        <w:r w:rsidR="00183CC8">
          <w:rPr>
            <w:noProof/>
            <w:webHidden/>
          </w:rPr>
          <w:fldChar w:fldCharType="end"/>
        </w:r>
      </w:hyperlink>
    </w:p>
    <w:p w14:paraId="2459C75C" w14:textId="613B0B29" w:rsidR="00183CC8" w:rsidRDefault="003373BF">
      <w:pPr>
        <w:pStyle w:val="TableofFigures"/>
        <w:tabs>
          <w:tab w:val="right" w:leader="dot" w:pos="9402"/>
        </w:tabs>
        <w:rPr>
          <w:rFonts w:eastAsiaTheme="minorEastAsia" w:cstheme="minorBidi"/>
          <w:noProof/>
          <w:szCs w:val="24"/>
          <w:lang w:eastAsia="en-GB"/>
        </w:rPr>
      </w:pPr>
      <w:hyperlink w:anchor="_Toc90216953" w:history="1">
        <w:r w:rsidR="00183CC8" w:rsidRPr="001D0CAE">
          <w:rPr>
            <w:rStyle w:val="Hyperlink"/>
            <w:noProof/>
          </w:rPr>
          <w:t xml:space="preserve">Figure 3.18 Freeze-substitution for better structural preservation of </w:t>
        </w:r>
        <w:r w:rsidR="00183CC8" w:rsidRPr="001D0CAE">
          <w:rPr>
            <w:rStyle w:val="Hyperlink"/>
            <w:i/>
            <w:noProof/>
          </w:rPr>
          <w:t>S. aureus</w:t>
        </w:r>
        <w:r w:rsidR="00183CC8" w:rsidRPr="001D0CAE">
          <w:rPr>
            <w:rStyle w:val="Hyperlink"/>
            <w:noProof/>
          </w:rPr>
          <w:t>.</w:t>
        </w:r>
        <w:r w:rsidR="00183CC8">
          <w:rPr>
            <w:noProof/>
            <w:webHidden/>
          </w:rPr>
          <w:tab/>
        </w:r>
        <w:r w:rsidR="00183CC8">
          <w:rPr>
            <w:noProof/>
            <w:webHidden/>
          </w:rPr>
          <w:fldChar w:fldCharType="begin"/>
        </w:r>
        <w:r w:rsidR="00183CC8">
          <w:rPr>
            <w:noProof/>
            <w:webHidden/>
          </w:rPr>
          <w:instrText xml:space="preserve"> PAGEREF _Toc90216953 \h </w:instrText>
        </w:r>
        <w:r w:rsidR="00183CC8">
          <w:rPr>
            <w:noProof/>
            <w:webHidden/>
          </w:rPr>
        </w:r>
        <w:r w:rsidR="00183CC8">
          <w:rPr>
            <w:noProof/>
            <w:webHidden/>
          </w:rPr>
          <w:fldChar w:fldCharType="separate"/>
        </w:r>
        <w:r w:rsidR="00183CC8">
          <w:rPr>
            <w:noProof/>
            <w:webHidden/>
          </w:rPr>
          <w:t>102</w:t>
        </w:r>
        <w:r w:rsidR="00183CC8">
          <w:rPr>
            <w:noProof/>
            <w:webHidden/>
          </w:rPr>
          <w:fldChar w:fldCharType="end"/>
        </w:r>
      </w:hyperlink>
    </w:p>
    <w:p w14:paraId="2341DE87" w14:textId="740DBBB4" w:rsidR="00183CC8" w:rsidRDefault="003373BF">
      <w:pPr>
        <w:pStyle w:val="TableofFigures"/>
        <w:tabs>
          <w:tab w:val="right" w:leader="dot" w:pos="9402"/>
        </w:tabs>
        <w:rPr>
          <w:rFonts w:eastAsiaTheme="minorEastAsia" w:cstheme="minorBidi"/>
          <w:noProof/>
          <w:szCs w:val="24"/>
          <w:lang w:eastAsia="en-GB"/>
        </w:rPr>
      </w:pPr>
      <w:hyperlink w:anchor="_Toc90216954" w:history="1">
        <w:r w:rsidR="00183CC8" w:rsidRPr="001D0CAE">
          <w:rPr>
            <w:rStyle w:val="Hyperlink"/>
            <w:noProof/>
          </w:rPr>
          <w:t xml:space="preserve">Figure 3.19 HPF-FS structural preservation in </w:t>
        </w:r>
        <w:r w:rsidR="00183CC8" w:rsidRPr="001D0CAE">
          <w:rPr>
            <w:rStyle w:val="Hyperlink"/>
            <w:i/>
            <w:noProof/>
          </w:rPr>
          <w:t>Clostridium sporogenes.</w:t>
        </w:r>
        <w:r w:rsidR="00183CC8">
          <w:rPr>
            <w:noProof/>
            <w:webHidden/>
          </w:rPr>
          <w:tab/>
        </w:r>
        <w:r w:rsidR="00183CC8">
          <w:rPr>
            <w:noProof/>
            <w:webHidden/>
          </w:rPr>
          <w:fldChar w:fldCharType="begin"/>
        </w:r>
        <w:r w:rsidR="00183CC8">
          <w:rPr>
            <w:noProof/>
            <w:webHidden/>
          </w:rPr>
          <w:instrText xml:space="preserve"> PAGEREF _Toc90216954 \h </w:instrText>
        </w:r>
        <w:r w:rsidR="00183CC8">
          <w:rPr>
            <w:noProof/>
            <w:webHidden/>
          </w:rPr>
        </w:r>
        <w:r w:rsidR="00183CC8">
          <w:rPr>
            <w:noProof/>
            <w:webHidden/>
          </w:rPr>
          <w:fldChar w:fldCharType="separate"/>
        </w:r>
        <w:r w:rsidR="00183CC8">
          <w:rPr>
            <w:noProof/>
            <w:webHidden/>
          </w:rPr>
          <w:t>103</w:t>
        </w:r>
        <w:r w:rsidR="00183CC8">
          <w:rPr>
            <w:noProof/>
            <w:webHidden/>
          </w:rPr>
          <w:fldChar w:fldCharType="end"/>
        </w:r>
      </w:hyperlink>
    </w:p>
    <w:p w14:paraId="3102AD2C" w14:textId="77DECF37" w:rsidR="00183CC8" w:rsidRDefault="003373BF">
      <w:pPr>
        <w:pStyle w:val="TableofFigures"/>
        <w:tabs>
          <w:tab w:val="right" w:leader="dot" w:pos="9402"/>
        </w:tabs>
        <w:rPr>
          <w:rFonts w:eastAsiaTheme="minorEastAsia" w:cstheme="minorBidi"/>
          <w:noProof/>
          <w:szCs w:val="24"/>
          <w:lang w:eastAsia="en-GB"/>
        </w:rPr>
      </w:pPr>
      <w:hyperlink w:anchor="_Toc90216955" w:history="1">
        <w:r w:rsidR="00183CC8" w:rsidRPr="001D0CAE">
          <w:rPr>
            <w:rStyle w:val="Hyperlink"/>
            <w:noProof/>
          </w:rPr>
          <w:t>Figure 3.20 Cryo-microtome setup for cryo-sectioning of frozen-hydrated samples.</w:t>
        </w:r>
        <w:r w:rsidR="00183CC8">
          <w:rPr>
            <w:noProof/>
            <w:webHidden/>
          </w:rPr>
          <w:tab/>
        </w:r>
        <w:r w:rsidR="00183CC8">
          <w:rPr>
            <w:noProof/>
            <w:webHidden/>
          </w:rPr>
          <w:fldChar w:fldCharType="begin"/>
        </w:r>
        <w:r w:rsidR="00183CC8">
          <w:rPr>
            <w:noProof/>
            <w:webHidden/>
          </w:rPr>
          <w:instrText xml:space="preserve"> PAGEREF _Toc90216955 \h </w:instrText>
        </w:r>
        <w:r w:rsidR="00183CC8">
          <w:rPr>
            <w:noProof/>
            <w:webHidden/>
          </w:rPr>
        </w:r>
        <w:r w:rsidR="00183CC8">
          <w:rPr>
            <w:noProof/>
            <w:webHidden/>
          </w:rPr>
          <w:fldChar w:fldCharType="separate"/>
        </w:r>
        <w:r w:rsidR="00183CC8">
          <w:rPr>
            <w:noProof/>
            <w:webHidden/>
          </w:rPr>
          <w:t>107</w:t>
        </w:r>
        <w:r w:rsidR="00183CC8">
          <w:rPr>
            <w:noProof/>
            <w:webHidden/>
          </w:rPr>
          <w:fldChar w:fldCharType="end"/>
        </w:r>
      </w:hyperlink>
    </w:p>
    <w:p w14:paraId="4EBA3971" w14:textId="5A890C54" w:rsidR="00183CC8" w:rsidRDefault="003373BF">
      <w:pPr>
        <w:pStyle w:val="TableofFigures"/>
        <w:tabs>
          <w:tab w:val="right" w:leader="dot" w:pos="9402"/>
        </w:tabs>
        <w:rPr>
          <w:rFonts w:eastAsiaTheme="minorEastAsia" w:cstheme="minorBidi"/>
          <w:noProof/>
          <w:szCs w:val="24"/>
          <w:lang w:eastAsia="en-GB"/>
        </w:rPr>
      </w:pPr>
      <w:hyperlink w:anchor="_Toc90216956" w:history="1">
        <w:r w:rsidR="00183CC8" w:rsidRPr="001D0CAE">
          <w:rPr>
            <w:rStyle w:val="Hyperlink"/>
            <w:noProof/>
          </w:rPr>
          <w:t>Figure 3.21 Tools for aiding serial cryo-sectioning.</w:t>
        </w:r>
        <w:r w:rsidR="00183CC8">
          <w:rPr>
            <w:noProof/>
            <w:webHidden/>
          </w:rPr>
          <w:tab/>
        </w:r>
        <w:r w:rsidR="00183CC8">
          <w:rPr>
            <w:noProof/>
            <w:webHidden/>
          </w:rPr>
          <w:fldChar w:fldCharType="begin"/>
        </w:r>
        <w:r w:rsidR="00183CC8">
          <w:rPr>
            <w:noProof/>
            <w:webHidden/>
          </w:rPr>
          <w:instrText xml:space="preserve"> PAGEREF _Toc90216956 \h </w:instrText>
        </w:r>
        <w:r w:rsidR="00183CC8">
          <w:rPr>
            <w:noProof/>
            <w:webHidden/>
          </w:rPr>
        </w:r>
        <w:r w:rsidR="00183CC8">
          <w:rPr>
            <w:noProof/>
            <w:webHidden/>
          </w:rPr>
          <w:fldChar w:fldCharType="separate"/>
        </w:r>
        <w:r w:rsidR="00183CC8">
          <w:rPr>
            <w:noProof/>
            <w:webHidden/>
          </w:rPr>
          <w:t>109</w:t>
        </w:r>
        <w:r w:rsidR="00183CC8">
          <w:rPr>
            <w:noProof/>
            <w:webHidden/>
          </w:rPr>
          <w:fldChar w:fldCharType="end"/>
        </w:r>
      </w:hyperlink>
    </w:p>
    <w:p w14:paraId="593A7054" w14:textId="3B11AF18" w:rsidR="00183CC8" w:rsidRDefault="003373BF">
      <w:pPr>
        <w:pStyle w:val="TableofFigures"/>
        <w:tabs>
          <w:tab w:val="right" w:leader="dot" w:pos="9402"/>
        </w:tabs>
        <w:rPr>
          <w:rFonts w:eastAsiaTheme="minorEastAsia" w:cstheme="minorBidi"/>
          <w:noProof/>
          <w:szCs w:val="24"/>
          <w:lang w:eastAsia="en-GB"/>
        </w:rPr>
      </w:pPr>
      <w:hyperlink w:anchor="_Toc90216957" w:history="1">
        <w:r w:rsidR="00183CC8" w:rsidRPr="001D0CAE">
          <w:rPr>
            <w:rStyle w:val="Hyperlink"/>
            <w:noProof/>
          </w:rPr>
          <w:t xml:space="preserve">Figure 3.22 CEMOVIS of </w:t>
        </w:r>
        <w:r w:rsidR="00183CC8" w:rsidRPr="001D0CAE">
          <w:rPr>
            <w:rStyle w:val="Hyperlink"/>
            <w:i/>
            <w:noProof/>
          </w:rPr>
          <w:t>S. aureus.</w:t>
        </w:r>
        <w:r w:rsidR="00183CC8">
          <w:rPr>
            <w:noProof/>
            <w:webHidden/>
          </w:rPr>
          <w:tab/>
        </w:r>
        <w:r w:rsidR="00183CC8">
          <w:rPr>
            <w:noProof/>
            <w:webHidden/>
          </w:rPr>
          <w:fldChar w:fldCharType="begin"/>
        </w:r>
        <w:r w:rsidR="00183CC8">
          <w:rPr>
            <w:noProof/>
            <w:webHidden/>
          </w:rPr>
          <w:instrText xml:space="preserve"> PAGEREF _Toc90216957 \h </w:instrText>
        </w:r>
        <w:r w:rsidR="00183CC8">
          <w:rPr>
            <w:noProof/>
            <w:webHidden/>
          </w:rPr>
        </w:r>
        <w:r w:rsidR="00183CC8">
          <w:rPr>
            <w:noProof/>
            <w:webHidden/>
          </w:rPr>
          <w:fldChar w:fldCharType="separate"/>
        </w:r>
        <w:r w:rsidR="00183CC8">
          <w:rPr>
            <w:noProof/>
            <w:webHidden/>
          </w:rPr>
          <w:t>111</w:t>
        </w:r>
        <w:r w:rsidR="00183CC8">
          <w:rPr>
            <w:noProof/>
            <w:webHidden/>
          </w:rPr>
          <w:fldChar w:fldCharType="end"/>
        </w:r>
      </w:hyperlink>
    </w:p>
    <w:p w14:paraId="31F41CE9" w14:textId="5A46A1C3" w:rsidR="00183CC8" w:rsidRDefault="003373BF">
      <w:pPr>
        <w:pStyle w:val="TableofFigures"/>
        <w:tabs>
          <w:tab w:val="right" w:leader="dot" w:pos="9402"/>
        </w:tabs>
        <w:rPr>
          <w:rFonts w:eastAsiaTheme="minorEastAsia" w:cstheme="minorBidi"/>
          <w:noProof/>
          <w:szCs w:val="24"/>
          <w:lang w:eastAsia="en-GB"/>
        </w:rPr>
      </w:pPr>
      <w:hyperlink w:anchor="_Toc90216958" w:history="1">
        <w:r w:rsidR="00183CC8" w:rsidRPr="001D0CAE">
          <w:rPr>
            <w:rStyle w:val="Hyperlink"/>
            <w:noProof/>
          </w:rPr>
          <w:t>Figure 3.23 TEM selection criteria of individual cells for morphological analysis.</w:t>
        </w:r>
        <w:r w:rsidR="00183CC8">
          <w:rPr>
            <w:noProof/>
            <w:webHidden/>
          </w:rPr>
          <w:tab/>
        </w:r>
        <w:r w:rsidR="00183CC8">
          <w:rPr>
            <w:noProof/>
            <w:webHidden/>
          </w:rPr>
          <w:fldChar w:fldCharType="begin"/>
        </w:r>
        <w:r w:rsidR="00183CC8">
          <w:rPr>
            <w:noProof/>
            <w:webHidden/>
          </w:rPr>
          <w:instrText xml:space="preserve"> PAGEREF _Toc90216958 \h </w:instrText>
        </w:r>
        <w:r w:rsidR="00183CC8">
          <w:rPr>
            <w:noProof/>
            <w:webHidden/>
          </w:rPr>
        </w:r>
        <w:r w:rsidR="00183CC8">
          <w:rPr>
            <w:noProof/>
            <w:webHidden/>
          </w:rPr>
          <w:fldChar w:fldCharType="separate"/>
        </w:r>
        <w:r w:rsidR="00183CC8">
          <w:rPr>
            <w:noProof/>
            <w:webHidden/>
          </w:rPr>
          <w:t>113</w:t>
        </w:r>
        <w:r w:rsidR="00183CC8">
          <w:rPr>
            <w:noProof/>
            <w:webHidden/>
          </w:rPr>
          <w:fldChar w:fldCharType="end"/>
        </w:r>
      </w:hyperlink>
    </w:p>
    <w:p w14:paraId="7D05DAAD" w14:textId="5419C6E0" w:rsidR="00183CC8" w:rsidRDefault="003373BF">
      <w:pPr>
        <w:pStyle w:val="TableofFigures"/>
        <w:tabs>
          <w:tab w:val="right" w:leader="dot" w:pos="9402"/>
        </w:tabs>
        <w:rPr>
          <w:rFonts w:eastAsiaTheme="minorEastAsia" w:cstheme="minorBidi"/>
          <w:noProof/>
          <w:szCs w:val="24"/>
          <w:lang w:eastAsia="en-GB"/>
        </w:rPr>
      </w:pPr>
      <w:hyperlink w:anchor="_Toc90216959" w:history="1">
        <w:r w:rsidR="00183CC8" w:rsidRPr="001D0CAE">
          <w:rPr>
            <w:rStyle w:val="Hyperlink"/>
            <w:noProof/>
          </w:rPr>
          <w:t>Figure 3.24 Comparison between different cross-sectioning imaging EM techniques.</w:t>
        </w:r>
        <w:r w:rsidR="00183CC8">
          <w:rPr>
            <w:noProof/>
            <w:webHidden/>
          </w:rPr>
          <w:tab/>
        </w:r>
        <w:r w:rsidR="00183CC8">
          <w:rPr>
            <w:noProof/>
            <w:webHidden/>
          </w:rPr>
          <w:fldChar w:fldCharType="begin"/>
        </w:r>
        <w:r w:rsidR="00183CC8">
          <w:rPr>
            <w:noProof/>
            <w:webHidden/>
          </w:rPr>
          <w:instrText xml:space="preserve"> PAGEREF _Toc90216959 \h </w:instrText>
        </w:r>
        <w:r w:rsidR="00183CC8">
          <w:rPr>
            <w:noProof/>
            <w:webHidden/>
          </w:rPr>
        </w:r>
        <w:r w:rsidR="00183CC8">
          <w:rPr>
            <w:noProof/>
            <w:webHidden/>
          </w:rPr>
          <w:fldChar w:fldCharType="separate"/>
        </w:r>
        <w:r w:rsidR="00183CC8">
          <w:rPr>
            <w:noProof/>
            <w:webHidden/>
          </w:rPr>
          <w:t>117</w:t>
        </w:r>
        <w:r w:rsidR="00183CC8">
          <w:rPr>
            <w:noProof/>
            <w:webHidden/>
          </w:rPr>
          <w:fldChar w:fldCharType="end"/>
        </w:r>
      </w:hyperlink>
    </w:p>
    <w:p w14:paraId="64A31C5A" w14:textId="036577D9" w:rsidR="00183CC8" w:rsidRDefault="003373BF">
      <w:pPr>
        <w:pStyle w:val="TableofFigures"/>
        <w:tabs>
          <w:tab w:val="right" w:leader="dot" w:pos="9402"/>
        </w:tabs>
        <w:rPr>
          <w:rFonts w:eastAsiaTheme="minorEastAsia" w:cstheme="minorBidi"/>
          <w:noProof/>
          <w:szCs w:val="24"/>
          <w:lang w:eastAsia="en-GB"/>
        </w:rPr>
      </w:pPr>
      <w:hyperlink w:anchor="_Toc90216960" w:history="1">
        <w:r w:rsidR="00183CC8" w:rsidRPr="001D0CAE">
          <w:rPr>
            <w:rStyle w:val="Hyperlink"/>
            <w:noProof/>
          </w:rPr>
          <w:t>Figure 4.1 Gram-positive cell envelope.</w:t>
        </w:r>
        <w:r w:rsidR="00183CC8">
          <w:rPr>
            <w:noProof/>
            <w:webHidden/>
          </w:rPr>
          <w:tab/>
        </w:r>
        <w:r w:rsidR="00183CC8">
          <w:rPr>
            <w:noProof/>
            <w:webHidden/>
          </w:rPr>
          <w:fldChar w:fldCharType="begin"/>
        </w:r>
        <w:r w:rsidR="00183CC8">
          <w:rPr>
            <w:noProof/>
            <w:webHidden/>
          </w:rPr>
          <w:instrText xml:space="preserve"> PAGEREF _Toc90216960 \h </w:instrText>
        </w:r>
        <w:r w:rsidR="00183CC8">
          <w:rPr>
            <w:noProof/>
            <w:webHidden/>
          </w:rPr>
        </w:r>
        <w:r w:rsidR="00183CC8">
          <w:rPr>
            <w:noProof/>
            <w:webHidden/>
          </w:rPr>
          <w:fldChar w:fldCharType="separate"/>
        </w:r>
        <w:r w:rsidR="00183CC8">
          <w:rPr>
            <w:noProof/>
            <w:webHidden/>
          </w:rPr>
          <w:t>119</w:t>
        </w:r>
        <w:r w:rsidR="00183CC8">
          <w:rPr>
            <w:noProof/>
            <w:webHidden/>
          </w:rPr>
          <w:fldChar w:fldCharType="end"/>
        </w:r>
      </w:hyperlink>
    </w:p>
    <w:p w14:paraId="60838C20" w14:textId="3E7E6028" w:rsidR="00183CC8" w:rsidRDefault="003373BF">
      <w:pPr>
        <w:pStyle w:val="TableofFigures"/>
        <w:tabs>
          <w:tab w:val="right" w:leader="dot" w:pos="9402"/>
        </w:tabs>
        <w:rPr>
          <w:rFonts w:eastAsiaTheme="minorEastAsia" w:cstheme="minorBidi"/>
          <w:noProof/>
          <w:szCs w:val="24"/>
          <w:lang w:eastAsia="en-GB"/>
        </w:rPr>
      </w:pPr>
      <w:hyperlink w:anchor="_Toc90216961" w:history="1">
        <w:r w:rsidR="00183CC8" w:rsidRPr="001D0CAE">
          <w:rPr>
            <w:rStyle w:val="Hyperlink"/>
            <w:noProof/>
          </w:rPr>
          <w:t xml:space="preserve">Figure 4.2 Cell envelope of chemically fixed </w:t>
        </w:r>
        <w:r w:rsidR="00183CC8" w:rsidRPr="001D0CAE">
          <w:rPr>
            <w:rStyle w:val="Hyperlink"/>
            <w:i/>
            <w:noProof/>
          </w:rPr>
          <w:t>S. aureus</w:t>
        </w:r>
        <w:r w:rsidR="00183CC8" w:rsidRPr="001D0CAE">
          <w:rPr>
            <w:rStyle w:val="Hyperlink"/>
            <w:noProof/>
          </w:rPr>
          <w:t xml:space="preserve"> cells.</w:t>
        </w:r>
        <w:r w:rsidR="00183CC8">
          <w:rPr>
            <w:noProof/>
            <w:webHidden/>
          </w:rPr>
          <w:tab/>
        </w:r>
        <w:r w:rsidR="00183CC8">
          <w:rPr>
            <w:noProof/>
            <w:webHidden/>
          </w:rPr>
          <w:fldChar w:fldCharType="begin"/>
        </w:r>
        <w:r w:rsidR="00183CC8">
          <w:rPr>
            <w:noProof/>
            <w:webHidden/>
          </w:rPr>
          <w:instrText xml:space="preserve"> PAGEREF _Toc90216961 \h </w:instrText>
        </w:r>
        <w:r w:rsidR="00183CC8">
          <w:rPr>
            <w:noProof/>
            <w:webHidden/>
          </w:rPr>
        </w:r>
        <w:r w:rsidR="00183CC8">
          <w:rPr>
            <w:noProof/>
            <w:webHidden/>
          </w:rPr>
          <w:fldChar w:fldCharType="separate"/>
        </w:r>
        <w:r w:rsidR="00183CC8">
          <w:rPr>
            <w:noProof/>
            <w:webHidden/>
          </w:rPr>
          <w:t>124</w:t>
        </w:r>
        <w:r w:rsidR="00183CC8">
          <w:rPr>
            <w:noProof/>
            <w:webHidden/>
          </w:rPr>
          <w:fldChar w:fldCharType="end"/>
        </w:r>
      </w:hyperlink>
    </w:p>
    <w:p w14:paraId="31A382E4" w14:textId="07CB7FAB" w:rsidR="00183CC8" w:rsidRDefault="003373BF">
      <w:pPr>
        <w:pStyle w:val="TableofFigures"/>
        <w:tabs>
          <w:tab w:val="right" w:leader="dot" w:pos="9402"/>
        </w:tabs>
        <w:rPr>
          <w:rFonts w:eastAsiaTheme="minorEastAsia" w:cstheme="minorBidi"/>
          <w:noProof/>
          <w:szCs w:val="24"/>
          <w:lang w:eastAsia="en-GB"/>
        </w:rPr>
      </w:pPr>
      <w:hyperlink w:anchor="_Toc90216962" w:history="1">
        <w:r w:rsidR="00183CC8" w:rsidRPr="001D0CAE">
          <w:rPr>
            <w:rStyle w:val="Hyperlink"/>
            <w:noProof/>
          </w:rPr>
          <w:t xml:space="preserve">Figure 4.3 TEM micrograph of freeze-substituted </w:t>
        </w:r>
        <w:r w:rsidR="00183CC8" w:rsidRPr="001D0CAE">
          <w:rPr>
            <w:rStyle w:val="Hyperlink"/>
            <w:i/>
            <w:noProof/>
          </w:rPr>
          <w:t>S. aureus</w:t>
        </w:r>
        <w:r w:rsidR="00183CC8" w:rsidRPr="001D0CAE">
          <w:rPr>
            <w:rStyle w:val="Hyperlink"/>
            <w:noProof/>
          </w:rPr>
          <w:t xml:space="preserve"> cells.</w:t>
        </w:r>
        <w:r w:rsidR="00183CC8">
          <w:rPr>
            <w:noProof/>
            <w:webHidden/>
          </w:rPr>
          <w:tab/>
        </w:r>
        <w:r w:rsidR="00183CC8">
          <w:rPr>
            <w:noProof/>
            <w:webHidden/>
          </w:rPr>
          <w:fldChar w:fldCharType="begin"/>
        </w:r>
        <w:r w:rsidR="00183CC8">
          <w:rPr>
            <w:noProof/>
            <w:webHidden/>
          </w:rPr>
          <w:instrText xml:space="preserve"> PAGEREF _Toc90216962 \h </w:instrText>
        </w:r>
        <w:r w:rsidR="00183CC8">
          <w:rPr>
            <w:noProof/>
            <w:webHidden/>
          </w:rPr>
        </w:r>
        <w:r w:rsidR="00183CC8">
          <w:rPr>
            <w:noProof/>
            <w:webHidden/>
          </w:rPr>
          <w:fldChar w:fldCharType="separate"/>
        </w:r>
        <w:r w:rsidR="00183CC8">
          <w:rPr>
            <w:noProof/>
            <w:webHidden/>
          </w:rPr>
          <w:t>126</w:t>
        </w:r>
        <w:r w:rsidR="00183CC8">
          <w:rPr>
            <w:noProof/>
            <w:webHidden/>
          </w:rPr>
          <w:fldChar w:fldCharType="end"/>
        </w:r>
      </w:hyperlink>
    </w:p>
    <w:p w14:paraId="68E12171" w14:textId="75505B9A" w:rsidR="00183CC8" w:rsidRDefault="003373BF">
      <w:pPr>
        <w:pStyle w:val="TableofFigures"/>
        <w:tabs>
          <w:tab w:val="right" w:leader="dot" w:pos="9402"/>
        </w:tabs>
        <w:rPr>
          <w:rFonts w:eastAsiaTheme="minorEastAsia" w:cstheme="minorBidi"/>
          <w:noProof/>
          <w:szCs w:val="24"/>
          <w:lang w:eastAsia="en-GB"/>
        </w:rPr>
      </w:pPr>
      <w:hyperlink w:anchor="_Toc90216963" w:history="1">
        <w:r w:rsidR="00183CC8" w:rsidRPr="001D0CAE">
          <w:rPr>
            <w:rStyle w:val="Hyperlink"/>
            <w:noProof/>
          </w:rPr>
          <w:t xml:space="preserve">Figure 4.4 Cell envelope of freeze-substituted </w:t>
        </w:r>
        <w:r w:rsidR="00183CC8" w:rsidRPr="001D0CAE">
          <w:rPr>
            <w:rStyle w:val="Hyperlink"/>
            <w:i/>
            <w:noProof/>
          </w:rPr>
          <w:t>S. aureus</w:t>
        </w:r>
        <w:r w:rsidR="00183CC8" w:rsidRPr="001D0CAE">
          <w:rPr>
            <w:rStyle w:val="Hyperlink"/>
            <w:noProof/>
          </w:rPr>
          <w:t xml:space="preserve"> cells.</w:t>
        </w:r>
        <w:r w:rsidR="00183CC8">
          <w:rPr>
            <w:noProof/>
            <w:webHidden/>
          </w:rPr>
          <w:tab/>
        </w:r>
        <w:r w:rsidR="00183CC8">
          <w:rPr>
            <w:noProof/>
            <w:webHidden/>
          </w:rPr>
          <w:fldChar w:fldCharType="begin"/>
        </w:r>
        <w:r w:rsidR="00183CC8">
          <w:rPr>
            <w:noProof/>
            <w:webHidden/>
          </w:rPr>
          <w:instrText xml:space="preserve"> PAGEREF _Toc90216963 \h </w:instrText>
        </w:r>
        <w:r w:rsidR="00183CC8">
          <w:rPr>
            <w:noProof/>
            <w:webHidden/>
          </w:rPr>
        </w:r>
        <w:r w:rsidR="00183CC8">
          <w:rPr>
            <w:noProof/>
            <w:webHidden/>
          </w:rPr>
          <w:fldChar w:fldCharType="separate"/>
        </w:r>
        <w:r w:rsidR="00183CC8">
          <w:rPr>
            <w:noProof/>
            <w:webHidden/>
          </w:rPr>
          <w:t>127</w:t>
        </w:r>
        <w:r w:rsidR="00183CC8">
          <w:rPr>
            <w:noProof/>
            <w:webHidden/>
          </w:rPr>
          <w:fldChar w:fldCharType="end"/>
        </w:r>
      </w:hyperlink>
    </w:p>
    <w:p w14:paraId="1FCCEA3B" w14:textId="1B86CDBA" w:rsidR="00183CC8" w:rsidRDefault="003373BF">
      <w:pPr>
        <w:pStyle w:val="TableofFigures"/>
        <w:tabs>
          <w:tab w:val="right" w:leader="dot" w:pos="9402"/>
        </w:tabs>
        <w:rPr>
          <w:rFonts w:eastAsiaTheme="minorEastAsia" w:cstheme="minorBidi"/>
          <w:noProof/>
          <w:szCs w:val="24"/>
          <w:lang w:eastAsia="en-GB"/>
        </w:rPr>
      </w:pPr>
      <w:hyperlink w:anchor="_Toc90216964" w:history="1">
        <w:r w:rsidR="00183CC8" w:rsidRPr="001D0CAE">
          <w:rPr>
            <w:rStyle w:val="Hyperlink"/>
            <w:noProof/>
          </w:rPr>
          <w:t xml:space="preserve">Figure 4.5 Preservation of the cell envelope structure of freeze-substituted </w:t>
        </w:r>
        <w:r w:rsidR="00183CC8" w:rsidRPr="001D0CAE">
          <w:rPr>
            <w:rStyle w:val="Hyperlink"/>
            <w:i/>
            <w:noProof/>
          </w:rPr>
          <w:t xml:space="preserve">S. aureus </w:t>
        </w:r>
        <w:r w:rsidR="00183CC8" w:rsidRPr="001D0CAE">
          <w:rPr>
            <w:rStyle w:val="Hyperlink"/>
            <w:noProof/>
          </w:rPr>
          <w:t>cells.</w:t>
        </w:r>
        <w:r w:rsidR="00183CC8">
          <w:rPr>
            <w:noProof/>
            <w:webHidden/>
          </w:rPr>
          <w:tab/>
        </w:r>
        <w:r w:rsidR="00183CC8">
          <w:rPr>
            <w:noProof/>
            <w:webHidden/>
          </w:rPr>
          <w:fldChar w:fldCharType="begin"/>
        </w:r>
        <w:r w:rsidR="00183CC8">
          <w:rPr>
            <w:noProof/>
            <w:webHidden/>
          </w:rPr>
          <w:instrText xml:space="preserve"> PAGEREF _Toc90216964 \h </w:instrText>
        </w:r>
        <w:r w:rsidR="00183CC8">
          <w:rPr>
            <w:noProof/>
            <w:webHidden/>
          </w:rPr>
        </w:r>
        <w:r w:rsidR="00183CC8">
          <w:rPr>
            <w:noProof/>
            <w:webHidden/>
          </w:rPr>
          <w:fldChar w:fldCharType="separate"/>
        </w:r>
        <w:r w:rsidR="00183CC8">
          <w:rPr>
            <w:noProof/>
            <w:webHidden/>
          </w:rPr>
          <w:t>128</w:t>
        </w:r>
        <w:r w:rsidR="00183CC8">
          <w:rPr>
            <w:noProof/>
            <w:webHidden/>
          </w:rPr>
          <w:fldChar w:fldCharType="end"/>
        </w:r>
      </w:hyperlink>
    </w:p>
    <w:p w14:paraId="1342AEC8" w14:textId="168A295A" w:rsidR="00183CC8" w:rsidRDefault="003373BF">
      <w:pPr>
        <w:pStyle w:val="TableofFigures"/>
        <w:tabs>
          <w:tab w:val="right" w:leader="dot" w:pos="9402"/>
        </w:tabs>
        <w:rPr>
          <w:rFonts w:eastAsiaTheme="minorEastAsia" w:cstheme="minorBidi"/>
          <w:noProof/>
          <w:szCs w:val="24"/>
          <w:lang w:eastAsia="en-GB"/>
        </w:rPr>
      </w:pPr>
      <w:hyperlink w:anchor="_Toc90216965" w:history="1">
        <w:r w:rsidR="00183CC8" w:rsidRPr="001D0CAE">
          <w:rPr>
            <w:rStyle w:val="Hyperlink"/>
            <w:noProof/>
          </w:rPr>
          <w:t xml:space="preserve">Figure 4.6 Representative cryo-TEM micrographs of frozen-hydrated </w:t>
        </w:r>
        <w:r w:rsidR="00183CC8" w:rsidRPr="001D0CAE">
          <w:rPr>
            <w:rStyle w:val="Hyperlink"/>
            <w:i/>
            <w:noProof/>
          </w:rPr>
          <w:t>S. aureus</w:t>
        </w:r>
        <w:r w:rsidR="00183CC8" w:rsidRPr="001D0CAE">
          <w:rPr>
            <w:rStyle w:val="Hyperlink"/>
            <w:noProof/>
          </w:rPr>
          <w:t>.</w:t>
        </w:r>
        <w:r w:rsidR="00183CC8">
          <w:rPr>
            <w:noProof/>
            <w:webHidden/>
          </w:rPr>
          <w:tab/>
        </w:r>
        <w:r w:rsidR="00183CC8">
          <w:rPr>
            <w:noProof/>
            <w:webHidden/>
          </w:rPr>
          <w:fldChar w:fldCharType="begin"/>
        </w:r>
        <w:r w:rsidR="00183CC8">
          <w:rPr>
            <w:noProof/>
            <w:webHidden/>
          </w:rPr>
          <w:instrText xml:space="preserve"> PAGEREF _Toc90216965 \h </w:instrText>
        </w:r>
        <w:r w:rsidR="00183CC8">
          <w:rPr>
            <w:noProof/>
            <w:webHidden/>
          </w:rPr>
        </w:r>
        <w:r w:rsidR="00183CC8">
          <w:rPr>
            <w:noProof/>
            <w:webHidden/>
          </w:rPr>
          <w:fldChar w:fldCharType="separate"/>
        </w:r>
        <w:r w:rsidR="00183CC8">
          <w:rPr>
            <w:noProof/>
            <w:webHidden/>
          </w:rPr>
          <w:t>130</w:t>
        </w:r>
        <w:r w:rsidR="00183CC8">
          <w:rPr>
            <w:noProof/>
            <w:webHidden/>
          </w:rPr>
          <w:fldChar w:fldCharType="end"/>
        </w:r>
      </w:hyperlink>
    </w:p>
    <w:p w14:paraId="0037DDDE" w14:textId="28DE5951" w:rsidR="00183CC8" w:rsidRDefault="003373BF">
      <w:pPr>
        <w:pStyle w:val="TableofFigures"/>
        <w:tabs>
          <w:tab w:val="right" w:leader="dot" w:pos="9402"/>
        </w:tabs>
        <w:rPr>
          <w:rFonts w:eastAsiaTheme="minorEastAsia" w:cstheme="minorBidi"/>
          <w:noProof/>
          <w:szCs w:val="24"/>
          <w:lang w:eastAsia="en-GB"/>
        </w:rPr>
      </w:pPr>
      <w:hyperlink w:anchor="_Toc90216966" w:history="1">
        <w:r w:rsidR="00183CC8" w:rsidRPr="001D0CAE">
          <w:rPr>
            <w:rStyle w:val="Hyperlink"/>
            <w:noProof/>
          </w:rPr>
          <w:t xml:space="preserve">Figure 4.7 Density tracings for the cell envelope and septa of </w:t>
        </w:r>
        <w:r w:rsidR="00183CC8" w:rsidRPr="001D0CAE">
          <w:rPr>
            <w:rStyle w:val="Hyperlink"/>
            <w:i/>
            <w:noProof/>
          </w:rPr>
          <w:t>S. aureus</w:t>
        </w:r>
        <w:r w:rsidR="00183CC8" w:rsidRPr="001D0CAE">
          <w:rPr>
            <w:rStyle w:val="Hyperlink"/>
            <w:noProof/>
          </w:rPr>
          <w:t>.</w:t>
        </w:r>
        <w:r w:rsidR="00183CC8">
          <w:rPr>
            <w:noProof/>
            <w:webHidden/>
          </w:rPr>
          <w:tab/>
        </w:r>
        <w:r w:rsidR="00183CC8">
          <w:rPr>
            <w:noProof/>
            <w:webHidden/>
          </w:rPr>
          <w:fldChar w:fldCharType="begin"/>
        </w:r>
        <w:r w:rsidR="00183CC8">
          <w:rPr>
            <w:noProof/>
            <w:webHidden/>
          </w:rPr>
          <w:instrText xml:space="preserve"> PAGEREF _Toc90216966 \h </w:instrText>
        </w:r>
        <w:r w:rsidR="00183CC8">
          <w:rPr>
            <w:noProof/>
            <w:webHidden/>
          </w:rPr>
        </w:r>
        <w:r w:rsidR="00183CC8">
          <w:rPr>
            <w:noProof/>
            <w:webHidden/>
          </w:rPr>
          <w:fldChar w:fldCharType="separate"/>
        </w:r>
        <w:r w:rsidR="00183CC8">
          <w:rPr>
            <w:noProof/>
            <w:webHidden/>
          </w:rPr>
          <w:t>131</w:t>
        </w:r>
        <w:r w:rsidR="00183CC8">
          <w:rPr>
            <w:noProof/>
            <w:webHidden/>
          </w:rPr>
          <w:fldChar w:fldCharType="end"/>
        </w:r>
      </w:hyperlink>
    </w:p>
    <w:p w14:paraId="7A472B64" w14:textId="68F4EB9B" w:rsidR="00183CC8" w:rsidRDefault="003373BF">
      <w:pPr>
        <w:pStyle w:val="TableofFigures"/>
        <w:tabs>
          <w:tab w:val="right" w:leader="dot" w:pos="9402"/>
        </w:tabs>
        <w:rPr>
          <w:rFonts w:eastAsiaTheme="minorEastAsia" w:cstheme="minorBidi"/>
          <w:noProof/>
          <w:szCs w:val="24"/>
          <w:lang w:eastAsia="en-GB"/>
        </w:rPr>
      </w:pPr>
      <w:hyperlink w:anchor="_Toc90216967" w:history="1">
        <w:r w:rsidR="00183CC8" w:rsidRPr="001D0CAE">
          <w:rPr>
            <w:rStyle w:val="Hyperlink"/>
            <w:noProof/>
          </w:rPr>
          <w:t xml:space="preserve">Figure 4.8 Measurements of the components of </w:t>
        </w:r>
        <w:r w:rsidR="00183CC8" w:rsidRPr="001D0CAE">
          <w:rPr>
            <w:rStyle w:val="Hyperlink"/>
            <w:i/>
            <w:noProof/>
          </w:rPr>
          <w:t>S. aureus</w:t>
        </w:r>
        <w:r w:rsidR="00183CC8" w:rsidRPr="001D0CAE">
          <w:rPr>
            <w:rStyle w:val="Hyperlink"/>
            <w:noProof/>
          </w:rPr>
          <w:t xml:space="preserve"> cell envelope.</w:t>
        </w:r>
        <w:r w:rsidR="00183CC8">
          <w:rPr>
            <w:noProof/>
            <w:webHidden/>
          </w:rPr>
          <w:tab/>
        </w:r>
        <w:r w:rsidR="00183CC8">
          <w:rPr>
            <w:noProof/>
            <w:webHidden/>
          </w:rPr>
          <w:fldChar w:fldCharType="begin"/>
        </w:r>
        <w:r w:rsidR="00183CC8">
          <w:rPr>
            <w:noProof/>
            <w:webHidden/>
          </w:rPr>
          <w:instrText xml:space="preserve"> PAGEREF _Toc90216967 \h </w:instrText>
        </w:r>
        <w:r w:rsidR="00183CC8">
          <w:rPr>
            <w:noProof/>
            <w:webHidden/>
          </w:rPr>
        </w:r>
        <w:r w:rsidR="00183CC8">
          <w:rPr>
            <w:noProof/>
            <w:webHidden/>
          </w:rPr>
          <w:fldChar w:fldCharType="separate"/>
        </w:r>
        <w:r w:rsidR="00183CC8">
          <w:rPr>
            <w:noProof/>
            <w:webHidden/>
          </w:rPr>
          <w:t>132</w:t>
        </w:r>
        <w:r w:rsidR="00183CC8">
          <w:rPr>
            <w:noProof/>
            <w:webHidden/>
          </w:rPr>
          <w:fldChar w:fldCharType="end"/>
        </w:r>
      </w:hyperlink>
    </w:p>
    <w:p w14:paraId="17589FCE" w14:textId="559E8BFF" w:rsidR="00183CC8" w:rsidRDefault="003373BF">
      <w:pPr>
        <w:pStyle w:val="TableofFigures"/>
        <w:tabs>
          <w:tab w:val="right" w:leader="dot" w:pos="9402"/>
        </w:tabs>
        <w:rPr>
          <w:rFonts w:eastAsiaTheme="minorEastAsia" w:cstheme="minorBidi"/>
          <w:noProof/>
          <w:szCs w:val="24"/>
          <w:lang w:eastAsia="en-GB"/>
        </w:rPr>
      </w:pPr>
      <w:hyperlink w:anchor="_Toc90216968" w:history="1">
        <w:r w:rsidR="00183CC8" w:rsidRPr="001D0CAE">
          <w:rPr>
            <w:rStyle w:val="Hyperlink"/>
            <w:noProof/>
          </w:rPr>
          <w:t xml:space="preserve">Figure 4.9 Analysis of the lack of WTA on </w:t>
        </w:r>
        <w:r w:rsidR="00183CC8" w:rsidRPr="001D0CAE">
          <w:rPr>
            <w:rStyle w:val="Hyperlink"/>
            <w:i/>
            <w:noProof/>
          </w:rPr>
          <w:t>S. aureus</w:t>
        </w:r>
        <w:r w:rsidR="00183CC8" w:rsidRPr="001D0CAE">
          <w:rPr>
            <w:rStyle w:val="Hyperlink"/>
            <w:noProof/>
          </w:rPr>
          <w:t xml:space="preserve"> growth.</w:t>
        </w:r>
        <w:r w:rsidR="00183CC8">
          <w:rPr>
            <w:noProof/>
            <w:webHidden/>
          </w:rPr>
          <w:tab/>
        </w:r>
        <w:r w:rsidR="00183CC8">
          <w:rPr>
            <w:noProof/>
            <w:webHidden/>
          </w:rPr>
          <w:fldChar w:fldCharType="begin"/>
        </w:r>
        <w:r w:rsidR="00183CC8">
          <w:rPr>
            <w:noProof/>
            <w:webHidden/>
          </w:rPr>
          <w:instrText xml:space="preserve"> PAGEREF _Toc90216968 \h </w:instrText>
        </w:r>
        <w:r w:rsidR="00183CC8">
          <w:rPr>
            <w:noProof/>
            <w:webHidden/>
          </w:rPr>
        </w:r>
        <w:r w:rsidR="00183CC8">
          <w:rPr>
            <w:noProof/>
            <w:webHidden/>
          </w:rPr>
          <w:fldChar w:fldCharType="separate"/>
        </w:r>
        <w:r w:rsidR="00183CC8">
          <w:rPr>
            <w:noProof/>
            <w:webHidden/>
          </w:rPr>
          <w:t>135</w:t>
        </w:r>
        <w:r w:rsidR="00183CC8">
          <w:rPr>
            <w:noProof/>
            <w:webHidden/>
          </w:rPr>
          <w:fldChar w:fldCharType="end"/>
        </w:r>
      </w:hyperlink>
    </w:p>
    <w:p w14:paraId="3DF76918" w14:textId="1F0F6C1E" w:rsidR="00183CC8" w:rsidRDefault="003373BF">
      <w:pPr>
        <w:pStyle w:val="TableofFigures"/>
        <w:tabs>
          <w:tab w:val="right" w:leader="dot" w:pos="9402"/>
        </w:tabs>
        <w:rPr>
          <w:rFonts w:eastAsiaTheme="minorEastAsia" w:cstheme="minorBidi"/>
          <w:noProof/>
          <w:szCs w:val="24"/>
          <w:lang w:eastAsia="en-GB"/>
        </w:rPr>
      </w:pPr>
      <w:hyperlink w:anchor="_Toc90216969" w:history="1">
        <w:r w:rsidR="00183CC8" w:rsidRPr="001D0CAE">
          <w:rPr>
            <w:rStyle w:val="Hyperlink"/>
            <w:noProof/>
          </w:rPr>
          <w:t xml:space="preserve">Figure 4.10 Analysis of the lack of WTA on </w:t>
        </w:r>
        <w:r w:rsidR="00183CC8" w:rsidRPr="001D0CAE">
          <w:rPr>
            <w:rStyle w:val="Hyperlink"/>
            <w:i/>
            <w:noProof/>
          </w:rPr>
          <w:t xml:space="preserve">S. aureus </w:t>
        </w:r>
        <w:r w:rsidR="00183CC8" w:rsidRPr="001D0CAE">
          <w:rPr>
            <w:rStyle w:val="Hyperlink"/>
            <w:noProof/>
          </w:rPr>
          <w:t>division.</w:t>
        </w:r>
        <w:r w:rsidR="00183CC8">
          <w:rPr>
            <w:noProof/>
            <w:webHidden/>
          </w:rPr>
          <w:tab/>
        </w:r>
        <w:r w:rsidR="00183CC8">
          <w:rPr>
            <w:noProof/>
            <w:webHidden/>
          </w:rPr>
          <w:fldChar w:fldCharType="begin"/>
        </w:r>
        <w:r w:rsidR="00183CC8">
          <w:rPr>
            <w:noProof/>
            <w:webHidden/>
          </w:rPr>
          <w:instrText xml:space="preserve"> PAGEREF _Toc90216969 \h </w:instrText>
        </w:r>
        <w:r w:rsidR="00183CC8">
          <w:rPr>
            <w:noProof/>
            <w:webHidden/>
          </w:rPr>
        </w:r>
        <w:r w:rsidR="00183CC8">
          <w:rPr>
            <w:noProof/>
            <w:webHidden/>
          </w:rPr>
          <w:fldChar w:fldCharType="separate"/>
        </w:r>
        <w:r w:rsidR="00183CC8">
          <w:rPr>
            <w:noProof/>
            <w:webHidden/>
          </w:rPr>
          <w:t>136</w:t>
        </w:r>
        <w:r w:rsidR="00183CC8">
          <w:rPr>
            <w:noProof/>
            <w:webHidden/>
          </w:rPr>
          <w:fldChar w:fldCharType="end"/>
        </w:r>
      </w:hyperlink>
    </w:p>
    <w:p w14:paraId="57878D97" w14:textId="41030467" w:rsidR="00183CC8" w:rsidRDefault="003373BF">
      <w:pPr>
        <w:pStyle w:val="TableofFigures"/>
        <w:tabs>
          <w:tab w:val="right" w:leader="dot" w:pos="9402"/>
        </w:tabs>
        <w:rPr>
          <w:rFonts w:eastAsiaTheme="minorEastAsia" w:cstheme="minorBidi"/>
          <w:noProof/>
          <w:szCs w:val="24"/>
          <w:lang w:eastAsia="en-GB"/>
        </w:rPr>
      </w:pPr>
      <w:hyperlink w:anchor="_Toc90216970" w:history="1">
        <w:r w:rsidR="00183CC8" w:rsidRPr="001D0CAE">
          <w:rPr>
            <w:rStyle w:val="Hyperlink"/>
            <w:noProof/>
          </w:rPr>
          <w:t>Figure 4.11 Role of WTA in cell volume and CW thickness.</w:t>
        </w:r>
        <w:r w:rsidR="00183CC8">
          <w:rPr>
            <w:noProof/>
            <w:webHidden/>
          </w:rPr>
          <w:tab/>
        </w:r>
        <w:r w:rsidR="00183CC8">
          <w:rPr>
            <w:noProof/>
            <w:webHidden/>
          </w:rPr>
          <w:fldChar w:fldCharType="begin"/>
        </w:r>
        <w:r w:rsidR="00183CC8">
          <w:rPr>
            <w:noProof/>
            <w:webHidden/>
          </w:rPr>
          <w:instrText xml:space="preserve"> PAGEREF _Toc90216970 \h </w:instrText>
        </w:r>
        <w:r w:rsidR="00183CC8">
          <w:rPr>
            <w:noProof/>
            <w:webHidden/>
          </w:rPr>
        </w:r>
        <w:r w:rsidR="00183CC8">
          <w:rPr>
            <w:noProof/>
            <w:webHidden/>
          </w:rPr>
          <w:fldChar w:fldCharType="separate"/>
        </w:r>
        <w:r w:rsidR="00183CC8">
          <w:rPr>
            <w:noProof/>
            <w:webHidden/>
          </w:rPr>
          <w:t>137</w:t>
        </w:r>
        <w:r w:rsidR="00183CC8">
          <w:rPr>
            <w:noProof/>
            <w:webHidden/>
          </w:rPr>
          <w:fldChar w:fldCharType="end"/>
        </w:r>
      </w:hyperlink>
    </w:p>
    <w:p w14:paraId="064FCBD3" w14:textId="2F8047CC" w:rsidR="00183CC8" w:rsidRDefault="003373BF">
      <w:pPr>
        <w:pStyle w:val="TableofFigures"/>
        <w:tabs>
          <w:tab w:val="right" w:leader="dot" w:pos="9402"/>
        </w:tabs>
        <w:rPr>
          <w:rFonts w:eastAsiaTheme="minorEastAsia" w:cstheme="minorBidi"/>
          <w:noProof/>
          <w:szCs w:val="24"/>
          <w:lang w:eastAsia="en-GB"/>
        </w:rPr>
      </w:pPr>
      <w:hyperlink w:anchor="_Toc90216971" w:history="1">
        <w:r w:rsidR="00183CC8" w:rsidRPr="001D0CAE">
          <w:rPr>
            <w:rStyle w:val="Hyperlink"/>
            <w:noProof/>
          </w:rPr>
          <w:t xml:space="preserve">Figure 4.12 TEM micrographs of </w:t>
        </w:r>
        <w:r w:rsidR="00183CC8" w:rsidRPr="001D0CAE">
          <w:rPr>
            <w:rStyle w:val="Hyperlink"/>
            <w:i/>
            <w:noProof/>
          </w:rPr>
          <w:t>S. aureus tarO</w:t>
        </w:r>
        <w:r w:rsidR="00183CC8" w:rsidRPr="001D0CAE">
          <w:rPr>
            <w:rStyle w:val="Hyperlink"/>
            <w:noProof/>
          </w:rPr>
          <w:t xml:space="preserve"> and septa comparison with SH1000.</w:t>
        </w:r>
        <w:r w:rsidR="00183CC8">
          <w:rPr>
            <w:noProof/>
            <w:webHidden/>
          </w:rPr>
          <w:tab/>
        </w:r>
        <w:r w:rsidR="00183CC8">
          <w:rPr>
            <w:noProof/>
            <w:webHidden/>
          </w:rPr>
          <w:fldChar w:fldCharType="begin"/>
        </w:r>
        <w:r w:rsidR="00183CC8">
          <w:rPr>
            <w:noProof/>
            <w:webHidden/>
          </w:rPr>
          <w:instrText xml:space="preserve"> PAGEREF _Toc90216971 \h </w:instrText>
        </w:r>
        <w:r w:rsidR="00183CC8">
          <w:rPr>
            <w:noProof/>
            <w:webHidden/>
          </w:rPr>
        </w:r>
        <w:r w:rsidR="00183CC8">
          <w:rPr>
            <w:noProof/>
            <w:webHidden/>
          </w:rPr>
          <w:fldChar w:fldCharType="separate"/>
        </w:r>
        <w:r w:rsidR="00183CC8">
          <w:rPr>
            <w:noProof/>
            <w:webHidden/>
          </w:rPr>
          <w:t>138</w:t>
        </w:r>
        <w:r w:rsidR="00183CC8">
          <w:rPr>
            <w:noProof/>
            <w:webHidden/>
          </w:rPr>
          <w:fldChar w:fldCharType="end"/>
        </w:r>
      </w:hyperlink>
    </w:p>
    <w:p w14:paraId="3E4B1BB2" w14:textId="6F7981E9" w:rsidR="00183CC8" w:rsidRDefault="003373BF">
      <w:pPr>
        <w:pStyle w:val="TableofFigures"/>
        <w:tabs>
          <w:tab w:val="right" w:leader="dot" w:pos="9402"/>
        </w:tabs>
        <w:rPr>
          <w:rFonts w:eastAsiaTheme="minorEastAsia" w:cstheme="minorBidi"/>
          <w:noProof/>
          <w:szCs w:val="24"/>
          <w:lang w:eastAsia="en-GB"/>
        </w:rPr>
      </w:pPr>
      <w:hyperlink w:anchor="_Toc90216972" w:history="1">
        <w:r w:rsidR="00183CC8" w:rsidRPr="001D0CAE">
          <w:rPr>
            <w:rStyle w:val="Hyperlink"/>
            <w:noProof/>
          </w:rPr>
          <w:t xml:space="preserve">Figure 4.13 PCR verification of SH1000 </w:t>
        </w:r>
        <w:r w:rsidR="00183CC8" w:rsidRPr="001D0CAE">
          <w:rPr>
            <w:rStyle w:val="Hyperlink"/>
            <w:i/>
            <w:noProof/>
          </w:rPr>
          <w:t>gdpP::kan</w:t>
        </w:r>
        <w:r w:rsidR="00183CC8" w:rsidRPr="001D0CAE">
          <w:rPr>
            <w:rStyle w:val="Hyperlink"/>
            <w:noProof/>
          </w:rPr>
          <w:t xml:space="preserve"> (SJF 5158) and SH1000 </w:t>
        </w:r>
        <w:r w:rsidR="00183CC8" w:rsidRPr="001D0CAE">
          <w:rPr>
            <w:rStyle w:val="Hyperlink"/>
            <w:i/>
            <w:noProof/>
          </w:rPr>
          <w:t>ltaS gdpP::kan</w:t>
        </w:r>
        <w:r w:rsidR="00183CC8" w:rsidRPr="001D0CAE">
          <w:rPr>
            <w:rStyle w:val="Hyperlink"/>
            <w:noProof/>
          </w:rPr>
          <w:t xml:space="preserve"> (SJF 5159).</w:t>
        </w:r>
        <w:r w:rsidR="00183CC8">
          <w:rPr>
            <w:noProof/>
            <w:webHidden/>
          </w:rPr>
          <w:tab/>
        </w:r>
        <w:r w:rsidR="00183CC8">
          <w:rPr>
            <w:noProof/>
            <w:webHidden/>
          </w:rPr>
          <w:fldChar w:fldCharType="begin"/>
        </w:r>
        <w:r w:rsidR="00183CC8">
          <w:rPr>
            <w:noProof/>
            <w:webHidden/>
          </w:rPr>
          <w:instrText xml:space="preserve"> PAGEREF _Toc90216972 \h </w:instrText>
        </w:r>
        <w:r w:rsidR="00183CC8">
          <w:rPr>
            <w:noProof/>
            <w:webHidden/>
          </w:rPr>
        </w:r>
        <w:r w:rsidR="00183CC8">
          <w:rPr>
            <w:noProof/>
            <w:webHidden/>
          </w:rPr>
          <w:fldChar w:fldCharType="separate"/>
        </w:r>
        <w:r w:rsidR="00183CC8">
          <w:rPr>
            <w:noProof/>
            <w:webHidden/>
          </w:rPr>
          <w:t>141</w:t>
        </w:r>
        <w:r w:rsidR="00183CC8">
          <w:rPr>
            <w:noProof/>
            <w:webHidden/>
          </w:rPr>
          <w:fldChar w:fldCharType="end"/>
        </w:r>
      </w:hyperlink>
    </w:p>
    <w:p w14:paraId="62723E6C" w14:textId="75F54DE8" w:rsidR="00183CC8" w:rsidRDefault="003373BF">
      <w:pPr>
        <w:pStyle w:val="TableofFigures"/>
        <w:tabs>
          <w:tab w:val="right" w:leader="dot" w:pos="9402"/>
        </w:tabs>
        <w:rPr>
          <w:rFonts w:eastAsiaTheme="minorEastAsia" w:cstheme="minorBidi"/>
          <w:noProof/>
          <w:szCs w:val="24"/>
          <w:lang w:eastAsia="en-GB"/>
        </w:rPr>
      </w:pPr>
      <w:hyperlink w:anchor="_Toc90216973" w:history="1">
        <w:r w:rsidR="00183CC8" w:rsidRPr="001D0CAE">
          <w:rPr>
            <w:rStyle w:val="Hyperlink"/>
            <w:noProof/>
          </w:rPr>
          <w:t xml:space="preserve">Figure 4.14 Lack of LTA effect on bacterial growth and cell size of </w:t>
        </w:r>
        <w:r w:rsidR="00183CC8" w:rsidRPr="001D0CAE">
          <w:rPr>
            <w:rStyle w:val="Hyperlink"/>
            <w:i/>
            <w:noProof/>
          </w:rPr>
          <w:t>S. aureus</w:t>
        </w:r>
        <w:r w:rsidR="00183CC8" w:rsidRPr="001D0CAE">
          <w:rPr>
            <w:rStyle w:val="Hyperlink"/>
            <w:noProof/>
          </w:rPr>
          <w:t xml:space="preserve"> SH1000.</w:t>
        </w:r>
        <w:r w:rsidR="00183CC8">
          <w:rPr>
            <w:noProof/>
            <w:webHidden/>
          </w:rPr>
          <w:tab/>
        </w:r>
        <w:r w:rsidR="00183CC8">
          <w:rPr>
            <w:noProof/>
            <w:webHidden/>
          </w:rPr>
          <w:fldChar w:fldCharType="begin"/>
        </w:r>
        <w:r w:rsidR="00183CC8">
          <w:rPr>
            <w:noProof/>
            <w:webHidden/>
          </w:rPr>
          <w:instrText xml:space="preserve"> PAGEREF _Toc90216973 \h </w:instrText>
        </w:r>
        <w:r w:rsidR="00183CC8">
          <w:rPr>
            <w:noProof/>
            <w:webHidden/>
          </w:rPr>
        </w:r>
        <w:r w:rsidR="00183CC8">
          <w:rPr>
            <w:noProof/>
            <w:webHidden/>
          </w:rPr>
          <w:fldChar w:fldCharType="separate"/>
        </w:r>
        <w:r w:rsidR="00183CC8">
          <w:rPr>
            <w:noProof/>
            <w:webHidden/>
          </w:rPr>
          <w:t>143</w:t>
        </w:r>
        <w:r w:rsidR="00183CC8">
          <w:rPr>
            <w:noProof/>
            <w:webHidden/>
          </w:rPr>
          <w:fldChar w:fldCharType="end"/>
        </w:r>
      </w:hyperlink>
    </w:p>
    <w:p w14:paraId="53D1AF5E" w14:textId="7297812D" w:rsidR="00183CC8" w:rsidRDefault="003373BF">
      <w:pPr>
        <w:pStyle w:val="TableofFigures"/>
        <w:tabs>
          <w:tab w:val="right" w:leader="dot" w:pos="9402"/>
        </w:tabs>
        <w:rPr>
          <w:rFonts w:eastAsiaTheme="minorEastAsia" w:cstheme="minorBidi"/>
          <w:noProof/>
          <w:szCs w:val="24"/>
          <w:lang w:eastAsia="en-GB"/>
        </w:rPr>
      </w:pPr>
      <w:hyperlink w:anchor="_Toc90216974" w:history="1">
        <w:r w:rsidR="00183CC8" w:rsidRPr="001D0CAE">
          <w:rPr>
            <w:rStyle w:val="Hyperlink"/>
            <w:noProof/>
          </w:rPr>
          <w:t xml:space="preserve">Figure 4.15  Division stages and morphology quantification of LTA-depleted </w:t>
        </w:r>
        <w:r w:rsidR="00183CC8" w:rsidRPr="001D0CAE">
          <w:rPr>
            <w:rStyle w:val="Hyperlink"/>
            <w:i/>
            <w:noProof/>
          </w:rPr>
          <w:t>S. aureus.</w:t>
        </w:r>
        <w:r w:rsidR="00183CC8">
          <w:rPr>
            <w:noProof/>
            <w:webHidden/>
          </w:rPr>
          <w:tab/>
        </w:r>
        <w:r w:rsidR="00183CC8">
          <w:rPr>
            <w:noProof/>
            <w:webHidden/>
          </w:rPr>
          <w:fldChar w:fldCharType="begin"/>
        </w:r>
        <w:r w:rsidR="00183CC8">
          <w:rPr>
            <w:noProof/>
            <w:webHidden/>
          </w:rPr>
          <w:instrText xml:space="preserve"> PAGEREF _Toc90216974 \h </w:instrText>
        </w:r>
        <w:r w:rsidR="00183CC8">
          <w:rPr>
            <w:noProof/>
            <w:webHidden/>
          </w:rPr>
        </w:r>
        <w:r w:rsidR="00183CC8">
          <w:rPr>
            <w:noProof/>
            <w:webHidden/>
          </w:rPr>
          <w:fldChar w:fldCharType="separate"/>
        </w:r>
        <w:r w:rsidR="00183CC8">
          <w:rPr>
            <w:noProof/>
            <w:webHidden/>
          </w:rPr>
          <w:t>144</w:t>
        </w:r>
        <w:r w:rsidR="00183CC8">
          <w:rPr>
            <w:noProof/>
            <w:webHidden/>
          </w:rPr>
          <w:fldChar w:fldCharType="end"/>
        </w:r>
      </w:hyperlink>
    </w:p>
    <w:p w14:paraId="2E4185D6" w14:textId="7A8B605E" w:rsidR="00183CC8" w:rsidRDefault="003373BF">
      <w:pPr>
        <w:pStyle w:val="TableofFigures"/>
        <w:tabs>
          <w:tab w:val="right" w:leader="dot" w:pos="9402"/>
        </w:tabs>
        <w:rPr>
          <w:rFonts w:eastAsiaTheme="minorEastAsia" w:cstheme="minorBidi"/>
          <w:noProof/>
          <w:szCs w:val="24"/>
          <w:lang w:eastAsia="en-GB"/>
        </w:rPr>
      </w:pPr>
      <w:hyperlink w:anchor="_Toc90216975" w:history="1">
        <w:r w:rsidR="00183CC8" w:rsidRPr="001D0CAE">
          <w:rPr>
            <w:rStyle w:val="Hyperlink"/>
            <w:noProof/>
          </w:rPr>
          <w:t xml:space="preserve">Figure 4.16  TEM of </w:t>
        </w:r>
        <w:r w:rsidR="00183CC8" w:rsidRPr="001D0CAE">
          <w:rPr>
            <w:rStyle w:val="Hyperlink"/>
            <w:i/>
            <w:noProof/>
          </w:rPr>
          <w:t>S. aureus</w:t>
        </w:r>
        <w:r w:rsidR="00183CC8" w:rsidRPr="001D0CAE">
          <w:rPr>
            <w:rStyle w:val="Hyperlink"/>
            <w:noProof/>
          </w:rPr>
          <w:t xml:space="preserve"> </w:t>
        </w:r>
        <w:r w:rsidR="00183CC8" w:rsidRPr="001D0CAE">
          <w:rPr>
            <w:rStyle w:val="Hyperlink"/>
            <w:i/>
            <w:noProof/>
          </w:rPr>
          <w:t>iltaS</w:t>
        </w:r>
        <w:r w:rsidR="00183CC8" w:rsidRPr="001D0CAE">
          <w:rPr>
            <w:rStyle w:val="Hyperlink"/>
            <w:noProof/>
          </w:rPr>
          <w:t>.</w:t>
        </w:r>
        <w:r w:rsidR="00183CC8">
          <w:rPr>
            <w:noProof/>
            <w:webHidden/>
          </w:rPr>
          <w:tab/>
        </w:r>
        <w:r w:rsidR="00183CC8">
          <w:rPr>
            <w:noProof/>
            <w:webHidden/>
          </w:rPr>
          <w:fldChar w:fldCharType="begin"/>
        </w:r>
        <w:r w:rsidR="00183CC8">
          <w:rPr>
            <w:noProof/>
            <w:webHidden/>
          </w:rPr>
          <w:instrText xml:space="preserve"> PAGEREF _Toc90216975 \h </w:instrText>
        </w:r>
        <w:r w:rsidR="00183CC8">
          <w:rPr>
            <w:noProof/>
            <w:webHidden/>
          </w:rPr>
        </w:r>
        <w:r w:rsidR="00183CC8">
          <w:rPr>
            <w:noProof/>
            <w:webHidden/>
          </w:rPr>
          <w:fldChar w:fldCharType="separate"/>
        </w:r>
        <w:r w:rsidR="00183CC8">
          <w:rPr>
            <w:noProof/>
            <w:webHidden/>
          </w:rPr>
          <w:t>145</w:t>
        </w:r>
        <w:r w:rsidR="00183CC8">
          <w:rPr>
            <w:noProof/>
            <w:webHidden/>
          </w:rPr>
          <w:fldChar w:fldCharType="end"/>
        </w:r>
      </w:hyperlink>
    </w:p>
    <w:p w14:paraId="22B830AB" w14:textId="7D4FBB9D" w:rsidR="00183CC8" w:rsidRDefault="003373BF">
      <w:pPr>
        <w:pStyle w:val="TableofFigures"/>
        <w:tabs>
          <w:tab w:val="right" w:leader="dot" w:pos="9402"/>
        </w:tabs>
        <w:rPr>
          <w:rFonts w:eastAsiaTheme="minorEastAsia" w:cstheme="minorBidi"/>
          <w:noProof/>
          <w:szCs w:val="24"/>
          <w:lang w:eastAsia="en-GB"/>
        </w:rPr>
      </w:pPr>
      <w:hyperlink w:anchor="_Toc90216976" w:history="1">
        <w:r w:rsidR="00183CC8" w:rsidRPr="001D0CAE">
          <w:rPr>
            <w:rStyle w:val="Hyperlink"/>
            <w:noProof/>
          </w:rPr>
          <w:t xml:space="preserve">Figure 4.17 Bacterial growth and cell volume of </w:t>
        </w:r>
        <w:r w:rsidR="00183CC8" w:rsidRPr="001D0CAE">
          <w:rPr>
            <w:rStyle w:val="Hyperlink"/>
            <w:i/>
            <w:noProof/>
          </w:rPr>
          <w:t xml:space="preserve">S. aureus </w:t>
        </w:r>
        <w:r w:rsidR="00183CC8" w:rsidRPr="001D0CAE">
          <w:rPr>
            <w:rStyle w:val="Hyperlink"/>
            <w:noProof/>
          </w:rPr>
          <w:t xml:space="preserve">SH1000 </w:t>
        </w:r>
        <w:r w:rsidR="00183CC8" w:rsidRPr="001D0CAE">
          <w:rPr>
            <w:rStyle w:val="Hyperlink"/>
            <w:i/>
            <w:noProof/>
          </w:rPr>
          <w:t>ltaS gdpP::kan</w:t>
        </w:r>
        <w:r w:rsidR="00183CC8" w:rsidRPr="001D0CAE">
          <w:rPr>
            <w:rStyle w:val="Hyperlink"/>
            <w:noProof/>
          </w:rPr>
          <w:t>.</w:t>
        </w:r>
        <w:r w:rsidR="00183CC8">
          <w:rPr>
            <w:noProof/>
            <w:webHidden/>
          </w:rPr>
          <w:tab/>
        </w:r>
        <w:r w:rsidR="00183CC8">
          <w:rPr>
            <w:noProof/>
            <w:webHidden/>
          </w:rPr>
          <w:fldChar w:fldCharType="begin"/>
        </w:r>
        <w:r w:rsidR="00183CC8">
          <w:rPr>
            <w:noProof/>
            <w:webHidden/>
          </w:rPr>
          <w:instrText xml:space="preserve"> PAGEREF _Toc90216976 \h </w:instrText>
        </w:r>
        <w:r w:rsidR="00183CC8">
          <w:rPr>
            <w:noProof/>
            <w:webHidden/>
          </w:rPr>
        </w:r>
        <w:r w:rsidR="00183CC8">
          <w:rPr>
            <w:noProof/>
            <w:webHidden/>
          </w:rPr>
          <w:fldChar w:fldCharType="separate"/>
        </w:r>
        <w:r w:rsidR="00183CC8">
          <w:rPr>
            <w:noProof/>
            <w:webHidden/>
          </w:rPr>
          <w:t>147</w:t>
        </w:r>
        <w:r w:rsidR="00183CC8">
          <w:rPr>
            <w:noProof/>
            <w:webHidden/>
          </w:rPr>
          <w:fldChar w:fldCharType="end"/>
        </w:r>
      </w:hyperlink>
    </w:p>
    <w:p w14:paraId="0F2FE65E" w14:textId="1DED7048" w:rsidR="00183CC8" w:rsidRDefault="003373BF">
      <w:pPr>
        <w:pStyle w:val="TableofFigures"/>
        <w:tabs>
          <w:tab w:val="right" w:leader="dot" w:pos="9402"/>
        </w:tabs>
        <w:rPr>
          <w:rFonts w:eastAsiaTheme="minorEastAsia" w:cstheme="minorBidi"/>
          <w:noProof/>
          <w:szCs w:val="24"/>
          <w:lang w:eastAsia="en-GB"/>
        </w:rPr>
      </w:pPr>
      <w:hyperlink w:anchor="_Toc90216977" w:history="1">
        <w:r w:rsidR="00183CC8" w:rsidRPr="001D0CAE">
          <w:rPr>
            <w:rStyle w:val="Hyperlink"/>
            <w:noProof/>
          </w:rPr>
          <w:t xml:space="preserve">Figure 4.18 TEM and SEM micrographs of chemically fixed </w:t>
        </w:r>
        <w:r w:rsidR="00183CC8" w:rsidRPr="001D0CAE">
          <w:rPr>
            <w:rStyle w:val="Hyperlink"/>
            <w:i/>
            <w:noProof/>
          </w:rPr>
          <w:t>ltaS gdpP::kan.</w:t>
        </w:r>
        <w:r w:rsidR="00183CC8">
          <w:rPr>
            <w:noProof/>
            <w:webHidden/>
          </w:rPr>
          <w:tab/>
        </w:r>
        <w:r w:rsidR="00183CC8">
          <w:rPr>
            <w:noProof/>
            <w:webHidden/>
          </w:rPr>
          <w:fldChar w:fldCharType="begin"/>
        </w:r>
        <w:r w:rsidR="00183CC8">
          <w:rPr>
            <w:noProof/>
            <w:webHidden/>
          </w:rPr>
          <w:instrText xml:space="preserve"> PAGEREF _Toc90216977 \h </w:instrText>
        </w:r>
        <w:r w:rsidR="00183CC8">
          <w:rPr>
            <w:noProof/>
            <w:webHidden/>
          </w:rPr>
        </w:r>
        <w:r w:rsidR="00183CC8">
          <w:rPr>
            <w:noProof/>
            <w:webHidden/>
          </w:rPr>
          <w:fldChar w:fldCharType="separate"/>
        </w:r>
        <w:r w:rsidR="00183CC8">
          <w:rPr>
            <w:noProof/>
            <w:webHidden/>
          </w:rPr>
          <w:t>148</w:t>
        </w:r>
        <w:r w:rsidR="00183CC8">
          <w:rPr>
            <w:noProof/>
            <w:webHidden/>
          </w:rPr>
          <w:fldChar w:fldCharType="end"/>
        </w:r>
      </w:hyperlink>
    </w:p>
    <w:p w14:paraId="3BA55A3F" w14:textId="067C37ED" w:rsidR="00183CC8" w:rsidRDefault="003373BF">
      <w:pPr>
        <w:pStyle w:val="TableofFigures"/>
        <w:tabs>
          <w:tab w:val="right" w:leader="dot" w:pos="9402"/>
        </w:tabs>
        <w:rPr>
          <w:rFonts w:eastAsiaTheme="minorEastAsia" w:cstheme="minorBidi"/>
          <w:noProof/>
          <w:szCs w:val="24"/>
          <w:lang w:eastAsia="en-GB"/>
        </w:rPr>
      </w:pPr>
      <w:hyperlink w:anchor="_Toc90216978" w:history="1">
        <w:r w:rsidR="00183CC8" w:rsidRPr="001D0CAE">
          <w:rPr>
            <w:rStyle w:val="Hyperlink"/>
            <w:noProof/>
          </w:rPr>
          <w:t xml:space="preserve">Figure 4.19 Morphological quantification of </w:t>
        </w:r>
        <w:r w:rsidR="00183CC8" w:rsidRPr="001D0CAE">
          <w:rPr>
            <w:rStyle w:val="Hyperlink"/>
            <w:i/>
            <w:noProof/>
          </w:rPr>
          <w:t xml:space="preserve">S. aureus </w:t>
        </w:r>
        <w:r w:rsidR="00183CC8" w:rsidRPr="001D0CAE">
          <w:rPr>
            <w:rStyle w:val="Hyperlink"/>
            <w:noProof/>
          </w:rPr>
          <w:t xml:space="preserve">SH1000 </w:t>
        </w:r>
        <w:r w:rsidR="00183CC8" w:rsidRPr="001D0CAE">
          <w:rPr>
            <w:rStyle w:val="Hyperlink"/>
            <w:i/>
            <w:noProof/>
          </w:rPr>
          <w:t>ltaS gdpP::kan.</w:t>
        </w:r>
        <w:r w:rsidR="00183CC8">
          <w:rPr>
            <w:noProof/>
            <w:webHidden/>
          </w:rPr>
          <w:tab/>
        </w:r>
        <w:r w:rsidR="00183CC8">
          <w:rPr>
            <w:noProof/>
            <w:webHidden/>
          </w:rPr>
          <w:fldChar w:fldCharType="begin"/>
        </w:r>
        <w:r w:rsidR="00183CC8">
          <w:rPr>
            <w:noProof/>
            <w:webHidden/>
          </w:rPr>
          <w:instrText xml:space="preserve"> PAGEREF _Toc90216978 \h </w:instrText>
        </w:r>
        <w:r w:rsidR="00183CC8">
          <w:rPr>
            <w:noProof/>
            <w:webHidden/>
          </w:rPr>
        </w:r>
        <w:r w:rsidR="00183CC8">
          <w:rPr>
            <w:noProof/>
            <w:webHidden/>
          </w:rPr>
          <w:fldChar w:fldCharType="separate"/>
        </w:r>
        <w:r w:rsidR="00183CC8">
          <w:rPr>
            <w:noProof/>
            <w:webHidden/>
          </w:rPr>
          <w:t>149</w:t>
        </w:r>
        <w:r w:rsidR="00183CC8">
          <w:rPr>
            <w:noProof/>
            <w:webHidden/>
          </w:rPr>
          <w:fldChar w:fldCharType="end"/>
        </w:r>
      </w:hyperlink>
    </w:p>
    <w:p w14:paraId="51840245" w14:textId="11306A01" w:rsidR="00183CC8" w:rsidRDefault="003373BF">
      <w:pPr>
        <w:pStyle w:val="TableofFigures"/>
        <w:tabs>
          <w:tab w:val="right" w:leader="dot" w:pos="9402"/>
        </w:tabs>
        <w:rPr>
          <w:rFonts w:eastAsiaTheme="minorEastAsia" w:cstheme="minorBidi"/>
          <w:noProof/>
          <w:szCs w:val="24"/>
          <w:lang w:eastAsia="en-GB"/>
        </w:rPr>
      </w:pPr>
      <w:hyperlink w:anchor="_Toc90216979" w:history="1">
        <w:r w:rsidR="00183CC8" w:rsidRPr="001D0CAE">
          <w:rPr>
            <w:rStyle w:val="Hyperlink"/>
            <w:noProof/>
          </w:rPr>
          <w:t xml:space="preserve">Figure 4.20 High magnification TEM micrographs of chemically fixed </w:t>
        </w:r>
        <w:r w:rsidR="00183CC8" w:rsidRPr="001D0CAE">
          <w:rPr>
            <w:rStyle w:val="Hyperlink"/>
            <w:i/>
            <w:noProof/>
          </w:rPr>
          <w:t>S. aureus ltaS gdpP::kan.</w:t>
        </w:r>
        <w:r w:rsidR="00183CC8">
          <w:rPr>
            <w:noProof/>
            <w:webHidden/>
          </w:rPr>
          <w:tab/>
        </w:r>
        <w:r w:rsidR="00183CC8">
          <w:rPr>
            <w:noProof/>
            <w:webHidden/>
          </w:rPr>
          <w:fldChar w:fldCharType="begin"/>
        </w:r>
        <w:r w:rsidR="00183CC8">
          <w:rPr>
            <w:noProof/>
            <w:webHidden/>
          </w:rPr>
          <w:instrText xml:space="preserve"> PAGEREF _Toc90216979 \h </w:instrText>
        </w:r>
        <w:r w:rsidR="00183CC8">
          <w:rPr>
            <w:noProof/>
            <w:webHidden/>
          </w:rPr>
        </w:r>
        <w:r w:rsidR="00183CC8">
          <w:rPr>
            <w:noProof/>
            <w:webHidden/>
          </w:rPr>
          <w:fldChar w:fldCharType="separate"/>
        </w:r>
        <w:r w:rsidR="00183CC8">
          <w:rPr>
            <w:noProof/>
            <w:webHidden/>
          </w:rPr>
          <w:t>150</w:t>
        </w:r>
        <w:r w:rsidR="00183CC8">
          <w:rPr>
            <w:noProof/>
            <w:webHidden/>
          </w:rPr>
          <w:fldChar w:fldCharType="end"/>
        </w:r>
      </w:hyperlink>
    </w:p>
    <w:p w14:paraId="5057F3AC" w14:textId="064A53D5" w:rsidR="00183CC8" w:rsidRDefault="003373BF">
      <w:pPr>
        <w:pStyle w:val="TableofFigures"/>
        <w:tabs>
          <w:tab w:val="right" w:leader="dot" w:pos="9402"/>
        </w:tabs>
        <w:rPr>
          <w:rFonts w:eastAsiaTheme="minorEastAsia" w:cstheme="minorBidi"/>
          <w:noProof/>
          <w:szCs w:val="24"/>
          <w:lang w:eastAsia="en-GB"/>
        </w:rPr>
      </w:pPr>
      <w:hyperlink w:anchor="_Toc90216980" w:history="1">
        <w:r w:rsidR="00183CC8" w:rsidRPr="001D0CAE">
          <w:rPr>
            <w:rStyle w:val="Hyperlink"/>
            <w:noProof/>
          </w:rPr>
          <w:t xml:space="preserve">Figure 4.21 Low and mid-magnification TEM micrographs of freeze-substituted </w:t>
        </w:r>
        <w:r w:rsidR="00183CC8" w:rsidRPr="001D0CAE">
          <w:rPr>
            <w:rStyle w:val="Hyperlink"/>
            <w:i/>
            <w:noProof/>
          </w:rPr>
          <w:t>S. aureus ltaS gdpP::kan</w:t>
        </w:r>
        <w:r w:rsidR="00183CC8">
          <w:rPr>
            <w:noProof/>
            <w:webHidden/>
          </w:rPr>
          <w:tab/>
        </w:r>
        <w:r w:rsidR="00183CC8">
          <w:rPr>
            <w:noProof/>
            <w:webHidden/>
          </w:rPr>
          <w:fldChar w:fldCharType="begin"/>
        </w:r>
        <w:r w:rsidR="00183CC8">
          <w:rPr>
            <w:noProof/>
            <w:webHidden/>
          </w:rPr>
          <w:instrText xml:space="preserve"> PAGEREF _Toc90216980 \h </w:instrText>
        </w:r>
        <w:r w:rsidR="00183CC8">
          <w:rPr>
            <w:noProof/>
            <w:webHidden/>
          </w:rPr>
        </w:r>
        <w:r w:rsidR="00183CC8">
          <w:rPr>
            <w:noProof/>
            <w:webHidden/>
          </w:rPr>
          <w:fldChar w:fldCharType="separate"/>
        </w:r>
        <w:r w:rsidR="00183CC8">
          <w:rPr>
            <w:noProof/>
            <w:webHidden/>
          </w:rPr>
          <w:t>152</w:t>
        </w:r>
        <w:r w:rsidR="00183CC8">
          <w:rPr>
            <w:noProof/>
            <w:webHidden/>
          </w:rPr>
          <w:fldChar w:fldCharType="end"/>
        </w:r>
      </w:hyperlink>
    </w:p>
    <w:p w14:paraId="592BE8D2" w14:textId="35684085" w:rsidR="00183CC8" w:rsidRDefault="003373BF">
      <w:pPr>
        <w:pStyle w:val="TableofFigures"/>
        <w:tabs>
          <w:tab w:val="right" w:leader="dot" w:pos="9402"/>
        </w:tabs>
        <w:rPr>
          <w:rFonts w:eastAsiaTheme="minorEastAsia" w:cstheme="minorBidi"/>
          <w:noProof/>
          <w:szCs w:val="24"/>
          <w:lang w:eastAsia="en-GB"/>
        </w:rPr>
      </w:pPr>
      <w:hyperlink w:anchor="_Toc90216981" w:history="1">
        <w:r w:rsidR="00183CC8" w:rsidRPr="001D0CAE">
          <w:rPr>
            <w:rStyle w:val="Hyperlink"/>
            <w:noProof/>
          </w:rPr>
          <w:t xml:space="preserve">Figure 4.22 High magnification TEM micrographs of freeze-substituted </w:t>
        </w:r>
        <w:r w:rsidR="00183CC8" w:rsidRPr="001D0CAE">
          <w:rPr>
            <w:rStyle w:val="Hyperlink"/>
            <w:i/>
            <w:noProof/>
          </w:rPr>
          <w:t>S. aureus ltaS gdpP::kan.</w:t>
        </w:r>
        <w:r w:rsidR="00183CC8">
          <w:rPr>
            <w:noProof/>
            <w:webHidden/>
          </w:rPr>
          <w:tab/>
        </w:r>
        <w:r w:rsidR="00183CC8">
          <w:rPr>
            <w:noProof/>
            <w:webHidden/>
          </w:rPr>
          <w:fldChar w:fldCharType="begin"/>
        </w:r>
        <w:r w:rsidR="00183CC8">
          <w:rPr>
            <w:noProof/>
            <w:webHidden/>
          </w:rPr>
          <w:instrText xml:space="preserve"> PAGEREF _Toc90216981 \h </w:instrText>
        </w:r>
        <w:r w:rsidR="00183CC8">
          <w:rPr>
            <w:noProof/>
            <w:webHidden/>
          </w:rPr>
        </w:r>
        <w:r w:rsidR="00183CC8">
          <w:rPr>
            <w:noProof/>
            <w:webHidden/>
          </w:rPr>
          <w:fldChar w:fldCharType="separate"/>
        </w:r>
        <w:r w:rsidR="00183CC8">
          <w:rPr>
            <w:noProof/>
            <w:webHidden/>
          </w:rPr>
          <w:t>153</w:t>
        </w:r>
        <w:r w:rsidR="00183CC8">
          <w:rPr>
            <w:noProof/>
            <w:webHidden/>
          </w:rPr>
          <w:fldChar w:fldCharType="end"/>
        </w:r>
      </w:hyperlink>
    </w:p>
    <w:p w14:paraId="048FAA3E" w14:textId="11F28481" w:rsidR="00183CC8" w:rsidRDefault="003373BF">
      <w:pPr>
        <w:pStyle w:val="TableofFigures"/>
        <w:tabs>
          <w:tab w:val="right" w:leader="dot" w:pos="9402"/>
        </w:tabs>
        <w:rPr>
          <w:rFonts w:eastAsiaTheme="minorEastAsia" w:cstheme="minorBidi"/>
          <w:noProof/>
          <w:szCs w:val="24"/>
          <w:lang w:eastAsia="en-GB"/>
        </w:rPr>
      </w:pPr>
      <w:hyperlink w:anchor="_Toc90216982" w:history="1">
        <w:r w:rsidR="00183CC8" w:rsidRPr="001D0CAE">
          <w:rPr>
            <w:rStyle w:val="Hyperlink"/>
            <w:noProof/>
          </w:rPr>
          <w:t>Figure 4.23 Cell envelope comparison of freeze-substituted SH1000 and LTA-depleted strains</w:t>
        </w:r>
        <w:r w:rsidR="00183CC8" w:rsidRPr="001D0CAE">
          <w:rPr>
            <w:rStyle w:val="Hyperlink"/>
            <w:i/>
            <w:noProof/>
          </w:rPr>
          <w:t>.</w:t>
        </w:r>
        <w:r w:rsidR="00183CC8">
          <w:rPr>
            <w:noProof/>
            <w:webHidden/>
          </w:rPr>
          <w:tab/>
        </w:r>
        <w:r w:rsidR="00183CC8">
          <w:rPr>
            <w:noProof/>
            <w:webHidden/>
          </w:rPr>
          <w:fldChar w:fldCharType="begin"/>
        </w:r>
        <w:r w:rsidR="00183CC8">
          <w:rPr>
            <w:noProof/>
            <w:webHidden/>
          </w:rPr>
          <w:instrText xml:space="preserve"> PAGEREF _Toc90216982 \h </w:instrText>
        </w:r>
        <w:r w:rsidR="00183CC8">
          <w:rPr>
            <w:noProof/>
            <w:webHidden/>
          </w:rPr>
        </w:r>
        <w:r w:rsidR="00183CC8">
          <w:rPr>
            <w:noProof/>
            <w:webHidden/>
          </w:rPr>
          <w:fldChar w:fldCharType="separate"/>
        </w:r>
        <w:r w:rsidR="00183CC8">
          <w:rPr>
            <w:noProof/>
            <w:webHidden/>
          </w:rPr>
          <w:t>154</w:t>
        </w:r>
        <w:r w:rsidR="00183CC8">
          <w:rPr>
            <w:noProof/>
            <w:webHidden/>
          </w:rPr>
          <w:fldChar w:fldCharType="end"/>
        </w:r>
      </w:hyperlink>
    </w:p>
    <w:p w14:paraId="1682B9DC" w14:textId="39B5EA06" w:rsidR="00183CC8" w:rsidRDefault="003373BF">
      <w:pPr>
        <w:pStyle w:val="TableofFigures"/>
        <w:tabs>
          <w:tab w:val="right" w:leader="dot" w:pos="9402"/>
        </w:tabs>
        <w:rPr>
          <w:rFonts w:eastAsiaTheme="minorEastAsia" w:cstheme="minorBidi"/>
          <w:noProof/>
          <w:szCs w:val="24"/>
          <w:lang w:eastAsia="en-GB"/>
        </w:rPr>
      </w:pPr>
      <w:hyperlink w:anchor="_Toc90216983" w:history="1">
        <w:r w:rsidR="00183CC8" w:rsidRPr="001D0CAE">
          <w:rPr>
            <w:rStyle w:val="Hyperlink"/>
            <w:noProof/>
          </w:rPr>
          <w:t>Figure 4.24 Effects of tarocin and Congo red on bacterial growth and its comparison to WTA and LTA mutants.</w:t>
        </w:r>
        <w:r w:rsidR="00183CC8">
          <w:rPr>
            <w:noProof/>
            <w:webHidden/>
          </w:rPr>
          <w:tab/>
        </w:r>
        <w:r w:rsidR="00183CC8">
          <w:rPr>
            <w:noProof/>
            <w:webHidden/>
          </w:rPr>
          <w:fldChar w:fldCharType="begin"/>
        </w:r>
        <w:r w:rsidR="00183CC8">
          <w:rPr>
            <w:noProof/>
            <w:webHidden/>
          </w:rPr>
          <w:instrText xml:space="preserve"> PAGEREF _Toc90216983 \h </w:instrText>
        </w:r>
        <w:r w:rsidR="00183CC8">
          <w:rPr>
            <w:noProof/>
            <w:webHidden/>
          </w:rPr>
        </w:r>
        <w:r w:rsidR="00183CC8">
          <w:rPr>
            <w:noProof/>
            <w:webHidden/>
          </w:rPr>
          <w:fldChar w:fldCharType="separate"/>
        </w:r>
        <w:r w:rsidR="00183CC8">
          <w:rPr>
            <w:noProof/>
            <w:webHidden/>
          </w:rPr>
          <w:t>157</w:t>
        </w:r>
        <w:r w:rsidR="00183CC8">
          <w:rPr>
            <w:noProof/>
            <w:webHidden/>
          </w:rPr>
          <w:fldChar w:fldCharType="end"/>
        </w:r>
      </w:hyperlink>
    </w:p>
    <w:p w14:paraId="3020DC47" w14:textId="433E7E35" w:rsidR="00183CC8" w:rsidRDefault="003373BF">
      <w:pPr>
        <w:pStyle w:val="TableofFigures"/>
        <w:tabs>
          <w:tab w:val="right" w:leader="dot" w:pos="9402"/>
        </w:tabs>
        <w:rPr>
          <w:rFonts w:eastAsiaTheme="minorEastAsia" w:cstheme="minorBidi"/>
          <w:noProof/>
          <w:szCs w:val="24"/>
          <w:lang w:eastAsia="en-GB"/>
        </w:rPr>
      </w:pPr>
      <w:hyperlink w:anchor="_Toc90216984" w:history="1">
        <w:r w:rsidR="00183CC8" w:rsidRPr="001D0CAE">
          <w:rPr>
            <w:rStyle w:val="Hyperlink"/>
            <w:noProof/>
          </w:rPr>
          <w:t>Figure 4.25 Effect of the chemical interruption of WTA and LTA biosynthesis on SH1000 growth.</w:t>
        </w:r>
        <w:r w:rsidR="00183CC8">
          <w:rPr>
            <w:noProof/>
            <w:webHidden/>
          </w:rPr>
          <w:tab/>
        </w:r>
        <w:r w:rsidR="00183CC8">
          <w:rPr>
            <w:noProof/>
            <w:webHidden/>
          </w:rPr>
          <w:fldChar w:fldCharType="begin"/>
        </w:r>
        <w:r w:rsidR="00183CC8">
          <w:rPr>
            <w:noProof/>
            <w:webHidden/>
          </w:rPr>
          <w:instrText xml:space="preserve"> PAGEREF _Toc90216984 \h </w:instrText>
        </w:r>
        <w:r w:rsidR="00183CC8">
          <w:rPr>
            <w:noProof/>
            <w:webHidden/>
          </w:rPr>
        </w:r>
        <w:r w:rsidR="00183CC8">
          <w:rPr>
            <w:noProof/>
            <w:webHidden/>
          </w:rPr>
          <w:fldChar w:fldCharType="separate"/>
        </w:r>
        <w:r w:rsidR="00183CC8">
          <w:rPr>
            <w:noProof/>
            <w:webHidden/>
          </w:rPr>
          <w:t>158</w:t>
        </w:r>
        <w:r w:rsidR="00183CC8">
          <w:rPr>
            <w:noProof/>
            <w:webHidden/>
          </w:rPr>
          <w:fldChar w:fldCharType="end"/>
        </w:r>
      </w:hyperlink>
    </w:p>
    <w:p w14:paraId="77AF61D6" w14:textId="344C21DE" w:rsidR="00183CC8" w:rsidRDefault="003373BF">
      <w:pPr>
        <w:pStyle w:val="TableofFigures"/>
        <w:tabs>
          <w:tab w:val="right" w:leader="dot" w:pos="9402"/>
        </w:tabs>
        <w:rPr>
          <w:rFonts w:eastAsiaTheme="minorEastAsia" w:cstheme="minorBidi"/>
          <w:noProof/>
          <w:szCs w:val="24"/>
          <w:lang w:eastAsia="en-GB"/>
        </w:rPr>
      </w:pPr>
      <w:hyperlink w:anchor="_Toc90216985" w:history="1">
        <w:r w:rsidR="00183CC8" w:rsidRPr="001D0CAE">
          <w:rPr>
            <w:rStyle w:val="Hyperlink"/>
            <w:noProof/>
          </w:rPr>
          <w:t>Figure 4.26 Survival analysis of SH1000 lacking WTA and LTA.</w:t>
        </w:r>
        <w:r w:rsidR="00183CC8">
          <w:rPr>
            <w:noProof/>
            <w:webHidden/>
          </w:rPr>
          <w:tab/>
        </w:r>
        <w:r w:rsidR="00183CC8">
          <w:rPr>
            <w:noProof/>
            <w:webHidden/>
          </w:rPr>
          <w:fldChar w:fldCharType="begin"/>
        </w:r>
        <w:r w:rsidR="00183CC8">
          <w:rPr>
            <w:noProof/>
            <w:webHidden/>
          </w:rPr>
          <w:instrText xml:space="preserve"> PAGEREF _Toc90216985 \h </w:instrText>
        </w:r>
        <w:r w:rsidR="00183CC8">
          <w:rPr>
            <w:noProof/>
            <w:webHidden/>
          </w:rPr>
        </w:r>
        <w:r w:rsidR="00183CC8">
          <w:rPr>
            <w:noProof/>
            <w:webHidden/>
          </w:rPr>
          <w:fldChar w:fldCharType="separate"/>
        </w:r>
        <w:r w:rsidR="00183CC8">
          <w:rPr>
            <w:noProof/>
            <w:webHidden/>
          </w:rPr>
          <w:t>159</w:t>
        </w:r>
        <w:r w:rsidR="00183CC8">
          <w:rPr>
            <w:noProof/>
            <w:webHidden/>
          </w:rPr>
          <w:fldChar w:fldCharType="end"/>
        </w:r>
      </w:hyperlink>
    </w:p>
    <w:p w14:paraId="1E494AFA" w14:textId="4ED11E72" w:rsidR="00183CC8" w:rsidRDefault="003373BF">
      <w:pPr>
        <w:pStyle w:val="TableofFigures"/>
        <w:tabs>
          <w:tab w:val="right" w:leader="dot" w:pos="9402"/>
        </w:tabs>
        <w:rPr>
          <w:rFonts w:eastAsiaTheme="minorEastAsia" w:cstheme="minorBidi"/>
          <w:noProof/>
          <w:szCs w:val="24"/>
          <w:lang w:eastAsia="en-GB"/>
        </w:rPr>
      </w:pPr>
      <w:hyperlink w:anchor="_Toc90216986" w:history="1">
        <w:r w:rsidR="00183CC8" w:rsidRPr="001D0CAE">
          <w:rPr>
            <w:rStyle w:val="Hyperlink"/>
            <w:noProof/>
          </w:rPr>
          <w:t>Figure 5.1 Predictive model of bacterial life and death based on cell wall peptidoglycan homeostasis.</w:t>
        </w:r>
        <w:r w:rsidR="00183CC8">
          <w:rPr>
            <w:noProof/>
            <w:webHidden/>
          </w:rPr>
          <w:tab/>
        </w:r>
        <w:r w:rsidR="00183CC8">
          <w:rPr>
            <w:noProof/>
            <w:webHidden/>
          </w:rPr>
          <w:fldChar w:fldCharType="begin"/>
        </w:r>
        <w:r w:rsidR="00183CC8">
          <w:rPr>
            <w:noProof/>
            <w:webHidden/>
          </w:rPr>
          <w:instrText xml:space="preserve"> PAGEREF _Toc90216986 \h </w:instrText>
        </w:r>
        <w:r w:rsidR="00183CC8">
          <w:rPr>
            <w:noProof/>
            <w:webHidden/>
          </w:rPr>
        </w:r>
        <w:r w:rsidR="00183CC8">
          <w:rPr>
            <w:noProof/>
            <w:webHidden/>
          </w:rPr>
          <w:fldChar w:fldCharType="separate"/>
        </w:r>
        <w:r w:rsidR="00183CC8">
          <w:rPr>
            <w:noProof/>
            <w:webHidden/>
          </w:rPr>
          <w:t>165</w:t>
        </w:r>
        <w:r w:rsidR="00183CC8">
          <w:rPr>
            <w:noProof/>
            <w:webHidden/>
          </w:rPr>
          <w:fldChar w:fldCharType="end"/>
        </w:r>
      </w:hyperlink>
    </w:p>
    <w:p w14:paraId="7CCE1296" w14:textId="04C0C59A" w:rsidR="00183CC8" w:rsidRDefault="003373BF">
      <w:pPr>
        <w:pStyle w:val="TableofFigures"/>
        <w:tabs>
          <w:tab w:val="right" w:leader="dot" w:pos="9402"/>
        </w:tabs>
        <w:rPr>
          <w:rFonts w:eastAsiaTheme="minorEastAsia" w:cstheme="minorBidi"/>
          <w:noProof/>
          <w:szCs w:val="24"/>
          <w:lang w:eastAsia="en-GB"/>
        </w:rPr>
      </w:pPr>
      <w:hyperlink w:anchor="_Toc90216987" w:history="1">
        <w:r w:rsidR="00183CC8" w:rsidRPr="001D0CAE">
          <w:rPr>
            <w:rStyle w:val="Hyperlink"/>
            <w:noProof/>
          </w:rPr>
          <w:t xml:space="preserve">Figure 5.2 Giesbrecht’s penicillin-induced phenotype of </w:t>
        </w:r>
        <w:r w:rsidR="00183CC8" w:rsidRPr="001D0CAE">
          <w:rPr>
            <w:rStyle w:val="Hyperlink"/>
            <w:i/>
            <w:noProof/>
          </w:rPr>
          <w:t>S. aureus.</w:t>
        </w:r>
        <w:r w:rsidR="00183CC8">
          <w:rPr>
            <w:noProof/>
            <w:webHidden/>
          </w:rPr>
          <w:tab/>
        </w:r>
        <w:r w:rsidR="00183CC8">
          <w:rPr>
            <w:noProof/>
            <w:webHidden/>
          </w:rPr>
          <w:fldChar w:fldCharType="begin"/>
        </w:r>
        <w:r w:rsidR="00183CC8">
          <w:rPr>
            <w:noProof/>
            <w:webHidden/>
          </w:rPr>
          <w:instrText xml:space="preserve"> PAGEREF _Toc90216987 \h </w:instrText>
        </w:r>
        <w:r w:rsidR="00183CC8">
          <w:rPr>
            <w:noProof/>
            <w:webHidden/>
          </w:rPr>
        </w:r>
        <w:r w:rsidR="00183CC8">
          <w:rPr>
            <w:noProof/>
            <w:webHidden/>
          </w:rPr>
          <w:fldChar w:fldCharType="separate"/>
        </w:r>
        <w:r w:rsidR="00183CC8">
          <w:rPr>
            <w:noProof/>
            <w:webHidden/>
          </w:rPr>
          <w:t>169</w:t>
        </w:r>
        <w:r w:rsidR="00183CC8">
          <w:rPr>
            <w:noProof/>
            <w:webHidden/>
          </w:rPr>
          <w:fldChar w:fldCharType="end"/>
        </w:r>
      </w:hyperlink>
    </w:p>
    <w:p w14:paraId="08AC066C" w14:textId="62CA2760" w:rsidR="00183CC8" w:rsidRDefault="003373BF">
      <w:pPr>
        <w:pStyle w:val="TableofFigures"/>
        <w:tabs>
          <w:tab w:val="right" w:leader="dot" w:pos="9402"/>
        </w:tabs>
        <w:rPr>
          <w:rFonts w:eastAsiaTheme="minorEastAsia" w:cstheme="minorBidi"/>
          <w:noProof/>
          <w:szCs w:val="24"/>
          <w:lang w:eastAsia="en-GB"/>
        </w:rPr>
      </w:pPr>
      <w:hyperlink w:anchor="_Toc90216988" w:history="1">
        <w:r w:rsidR="00183CC8" w:rsidRPr="001D0CAE">
          <w:rPr>
            <w:rStyle w:val="Hyperlink"/>
            <w:noProof/>
          </w:rPr>
          <w:t>Figure 5.3 Giesbrecht’s proposed model for penicillin induced death.</w:t>
        </w:r>
        <w:r w:rsidR="00183CC8">
          <w:rPr>
            <w:noProof/>
            <w:webHidden/>
          </w:rPr>
          <w:tab/>
        </w:r>
        <w:r w:rsidR="00183CC8">
          <w:rPr>
            <w:noProof/>
            <w:webHidden/>
          </w:rPr>
          <w:fldChar w:fldCharType="begin"/>
        </w:r>
        <w:r w:rsidR="00183CC8">
          <w:rPr>
            <w:noProof/>
            <w:webHidden/>
          </w:rPr>
          <w:instrText xml:space="preserve"> PAGEREF _Toc90216988 \h </w:instrText>
        </w:r>
        <w:r w:rsidR="00183CC8">
          <w:rPr>
            <w:noProof/>
            <w:webHidden/>
          </w:rPr>
        </w:r>
        <w:r w:rsidR="00183CC8">
          <w:rPr>
            <w:noProof/>
            <w:webHidden/>
          </w:rPr>
          <w:fldChar w:fldCharType="separate"/>
        </w:r>
        <w:r w:rsidR="00183CC8">
          <w:rPr>
            <w:noProof/>
            <w:webHidden/>
          </w:rPr>
          <w:t>170</w:t>
        </w:r>
        <w:r w:rsidR="00183CC8">
          <w:rPr>
            <w:noProof/>
            <w:webHidden/>
          </w:rPr>
          <w:fldChar w:fldCharType="end"/>
        </w:r>
      </w:hyperlink>
    </w:p>
    <w:p w14:paraId="4A7F0F83" w14:textId="46D2F171" w:rsidR="00183CC8" w:rsidRDefault="003373BF">
      <w:pPr>
        <w:pStyle w:val="TableofFigures"/>
        <w:tabs>
          <w:tab w:val="right" w:leader="dot" w:pos="9402"/>
        </w:tabs>
        <w:rPr>
          <w:rFonts w:eastAsiaTheme="minorEastAsia" w:cstheme="minorBidi"/>
          <w:noProof/>
          <w:szCs w:val="24"/>
          <w:lang w:eastAsia="en-GB"/>
        </w:rPr>
      </w:pPr>
      <w:hyperlink w:anchor="_Toc90216989" w:history="1">
        <w:r w:rsidR="00183CC8" w:rsidRPr="001D0CAE">
          <w:rPr>
            <w:rStyle w:val="Hyperlink"/>
            <w:noProof/>
          </w:rPr>
          <w:t xml:space="preserve">Figure 5.4 Effect of methicillin and/or vancomycin on </w:t>
        </w:r>
        <w:r w:rsidR="00183CC8" w:rsidRPr="001D0CAE">
          <w:rPr>
            <w:rStyle w:val="Hyperlink"/>
            <w:i/>
            <w:noProof/>
          </w:rPr>
          <w:t>S. aureus</w:t>
        </w:r>
        <w:r w:rsidR="00183CC8" w:rsidRPr="001D0CAE">
          <w:rPr>
            <w:rStyle w:val="Hyperlink"/>
            <w:noProof/>
          </w:rPr>
          <w:t xml:space="preserve"> survival.</w:t>
        </w:r>
        <w:r w:rsidR="00183CC8">
          <w:rPr>
            <w:noProof/>
            <w:webHidden/>
          </w:rPr>
          <w:tab/>
        </w:r>
        <w:r w:rsidR="00183CC8">
          <w:rPr>
            <w:noProof/>
            <w:webHidden/>
          </w:rPr>
          <w:fldChar w:fldCharType="begin"/>
        </w:r>
        <w:r w:rsidR="00183CC8">
          <w:rPr>
            <w:noProof/>
            <w:webHidden/>
          </w:rPr>
          <w:instrText xml:space="preserve"> PAGEREF _Toc90216989 \h </w:instrText>
        </w:r>
        <w:r w:rsidR="00183CC8">
          <w:rPr>
            <w:noProof/>
            <w:webHidden/>
          </w:rPr>
        </w:r>
        <w:r w:rsidR="00183CC8">
          <w:rPr>
            <w:noProof/>
            <w:webHidden/>
          </w:rPr>
          <w:fldChar w:fldCharType="separate"/>
        </w:r>
        <w:r w:rsidR="00183CC8">
          <w:rPr>
            <w:noProof/>
            <w:webHidden/>
          </w:rPr>
          <w:t>174</w:t>
        </w:r>
        <w:r w:rsidR="00183CC8">
          <w:rPr>
            <w:noProof/>
            <w:webHidden/>
          </w:rPr>
          <w:fldChar w:fldCharType="end"/>
        </w:r>
      </w:hyperlink>
    </w:p>
    <w:p w14:paraId="0782E9DD" w14:textId="789F7D8D" w:rsidR="00183CC8" w:rsidRDefault="003373BF">
      <w:pPr>
        <w:pStyle w:val="TableofFigures"/>
        <w:tabs>
          <w:tab w:val="right" w:leader="dot" w:pos="9402"/>
        </w:tabs>
        <w:rPr>
          <w:rFonts w:eastAsiaTheme="minorEastAsia" w:cstheme="minorBidi"/>
          <w:noProof/>
          <w:szCs w:val="24"/>
          <w:lang w:eastAsia="en-GB"/>
        </w:rPr>
      </w:pPr>
      <w:hyperlink w:anchor="_Toc90216990" w:history="1">
        <w:r w:rsidR="00183CC8" w:rsidRPr="001D0CAE">
          <w:rPr>
            <w:rStyle w:val="Hyperlink"/>
            <w:noProof/>
          </w:rPr>
          <w:t xml:space="preserve">Figure 5.5 Effect of methicillin and/or vancomycin on </w:t>
        </w:r>
        <w:r w:rsidR="00183CC8" w:rsidRPr="001D0CAE">
          <w:rPr>
            <w:rStyle w:val="Hyperlink"/>
            <w:i/>
            <w:noProof/>
          </w:rPr>
          <w:t>S. aureus</w:t>
        </w:r>
        <w:r w:rsidR="00183CC8" w:rsidRPr="001D0CAE">
          <w:rPr>
            <w:rStyle w:val="Hyperlink"/>
            <w:noProof/>
          </w:rPr>
          <w:t xml:space="preserve"> division.</w:t>
        </w:r>
        <w:r w:rsidR="00183CC8">
          <w:rPr>
            <w:noProof/>
            <w:webHidden/>
          </w:rPr>
          <w:tab/>
        </w:r>
        <w:r w:rsidR="00183CC8">
          <w:rPr>
            <w:noProof/>
            <w:webHidden/>
          </w:rPr>
          <w:fldChar w:fldCharType="begin"/>
        </w:r>
        <w:r w:rsidR="00183CC8">
          <w:rPr>
            <w:noProof/>
            <w:webHidden/>
          </w:rPr>
          <w:instrText xml:space="preserve"> PAGEREF _Toc90216990 \h </w:instrText>
        </w:r>
        <w:r w:rsidR="00183CC8">
          <w:rPr>
            <w:noProof/>
            <w:webHidden/>
          </w:rPr>
        </w:r>
        <w:r w:rsidR="00183CC8">
          <w:rPr>
            <w:noProof/>
            <w:webHidden/>
          </w:rPr>
          <w:fldChar w:fldCharType="separate"/>
        </w:r>
        <w:r w:rsidR="00183CC8">
          <w:rPr>
            <w:noProof/>
            <w:webHidden/>
          </w:rPr>
          <w:t>175</w:t>
        </w:r>
        <w:r w:rsidR="00183CC8">
          <w:rPr>
            <w:noProof/>
            <w:webHidden/>
          </w:rPr>
          <w:fldChar w:fldCharType="end"/>
        </w:r>
      </w:hyperlink>
    </w:p>
    <w:p w14:paraId="44526B86" w14:textId="31A51D1F" w:rsidR="00183CC8" w:rsidRDefault="003373BF">
      <w:pPr>
        <w:pStyle w:val="TableofFigures"/>
        <w:tabs>
          <w:tab w:val="right" w:leader="dot" w:pos="9402"/>
        </w:tabs>
        <w:rPr>
          <w:rFonts w:eastAsiaTheme="minorEastAsia" w:cstheme="minorBidi"/>
          <w:noProof/>
          <w:szCs w:val="24"/>
          <w:lang w:eastAsia="en-GB"/>
        </w:rPr>
      </w:pPr>
      <w:hyperlink w:anchor="_Toc90216991" w:history="1">
        <w:r w:rsidR="00183CC8" w:rsidRPr="001D0CAE">
          <w:rPr>
            <w:rStyle w:val="Hyperlink"/>
            <w:noProof/>
          </w:rPr>
          <w:t xml:space="preserve">Figure 5.6 Effect of methicillin or vancomycin on </w:t>
        </w:r>
        <w:r w:rsidR="00183CC8" w:rsidRPr="001D0CAE">
          <w:rPr>
            <w:rStyle w:val="Hyperlink"/>
            <w:i/>
            <w:noProof/>
          </w:rPr>
          <w:t>S. aureus</w:t>
        </w:r>
        <w:r w:rsidR="00183CC8" w:rsidRPr="001D0CAE">
          <w:rPr>
            <w:rStyle w:val="Hyperlink"/>
            <w:noProof/>
          </w:rPr>
          <w:t xml:space="preserve"> cell volume.</w:t>
        </w:r>
        <w:r w:rsidR="00183CC8">
          <w:rPr>
            <w:noProof/>
            <w:webHidden/>
          </w:rPr>
          <w:tab/>
        </w:r>
        <w:r w:rsidR="00183CC8">
          <w:rPr>
            <w:noProof/>
            <w:webHidden/>
          </w:rPr>
          <w:fldChar w:fldCharType="begin"/>
        </w:r>
        <w:r w:rsidR="00183CC8">
          <w:rPr>
            <w:noProof/>
            <w:webHidden/>
          </w:rPr>
          <w:instrText xml:space="preserve"> PAGEREF _Toc90216991 \h </w:instrText>
        </w:r>
        <w:r w:rsidR="00183CC8">
          <w:rPr>
            <w:noProof/>
            <w:webHidden/>
          </w:rPr>
        </w:r>
        <w:r w:rsidR="00183CC8">
          <w:rPr>
            <w:noProof/>
            <w:webHidden/>
          </w:rPr>
          <w:fldChar w:fldCharType="separate"/>
        </w:r>
        <w:r w:rsidR="00183CC8">
          <w:rPr>
            <w:noProof/>
            <w:webHidden/>
          </w:rPr>
          <w:t>176</w:t>
        </w:r>
        <w:r w:rsidR="00183CC8">
          <w:rPr>
            <w:noProof/>
            <w:webHidden/>
          </w:rPr>
          <w:fldChar w:fldCharType="end"/>
        </w:r>
      </w:hyperlink>
    </w:p>
    <w:p w14:paraId="28F3BBEA" w14:textId="56AF3CCA" w:rsidR="00183CC8" w:rsidRDefault="003373BF">
      <w:pPr>
        <w:pStyle w:val="TableofFigures"/>
        <w:tabs>
          <w:tab w:val="right" w:leader="dot" w:pos="9402"/>
        </w:tabs>
        <w:rPr>
          <w:rFonts w:eastAsiaTheme="minorEastAsia" w:cstheme="minorBidi"/>
          <w:noProof/>
          <w:szCs w:val="24"/>
          <w:lang w:eastAsia="en-GB"/>
        </w:rPr>
      </w:pPr>
      <w:hyperlink w:anchor="_Toc90216992" w:history="1">
        <w:r w:rsidR="00183CC8" w:rsidRPr="001D0CAE">
          <w:rPr>
            <w:rStyle w:val="Hyperlink"/>
            <w:noProof/>
          </w:rPr>
          <w:t xml:space="preserve">Figure 5.7 Effect of methicillin and/or vancomycin on </w:t>
        </w:r>
        <w:r w:rsidR="00183CC8" w:rsidRPr="001D0CAE">
          <w:rPr>
            <w:rStyle w:val="Hyperlink"/>
            <w:i/>
            <w:noProof/>
          </w:rPr>
          <w:t>S. aureus</w:t>
        </w:r>
        <w:r w:rsidR="00183CC8" w:rsidRPr="001D0CAE">
          <w:rPr>
            <w:rStyle w:val="Hyperlink"/>
            <w:noProof/>
          </w:rPr>
          <w:t xml:space="preserve"> morphology.</w:t>
        </w:r>
        <w:r w:rsidR="00183CC8">
          <w:rPr>
            <w:noProof/>
            <w:webHidden/>
          </w:rPr>
          <w:tab/>
        </w:r>
        <w:r w:rsidR="00183CC8">
          <w:rPr>
            <w:noProof/>
            <w:webHidden/>
          </w:rPr>
          <w:fldChar w:fldCharType="begin"/>
        </w:r>
        <w:r w:rsidR="00183CC8">
          <w:rPr>
            <w:noProof/>
            <w:webHidden/>
          </w:rPr>
          <w:instrText xml:space="preserve"> PAGEREF _Toc90216992 \h </w:instrText>
        </w:r>
        <w:r w:rsidR="00183CC8">
          <w:rPr>
            <w:noProof/>
            <w:webHidden/>
          </w:rPr>
        </w:r>
        <w:r w:rsidR="00183CC8">
          <w:rPr>
            <w:noProof/>
            <w:webHidden/>
          </w:rPr>
          <w:fldChar w:fldCharType="separate"/>
        </w:r>
        <w:r w:rsidR="00183CC8">
          <w:rPr>
            <w:noProof/>
            <w:webHidden/>
          </w:rPr>
          <w:t>178</w:t>
        </w:r>
        <w:r w:rsidR="00183CC8">
          <w:rPr>
            <w:noProof/>
            <w:webHidden/>
          </w:rPr>
          <w:fldChar w:fldCharType="end"/>
        </w:r>
      </w:hyperlink>
    </w:p>
    <w:p w14:paraId="297CB762" w14:textId="005BB4EB" w:rsidR="00183CC8" w:rsidRDefault="003373BF">
      <w:pPr>
        <w:pStyle w:val="TableofFigures"/>
        <w:tabs>
          <w:tab w:val="right" w:leader="dot" w:pos="9402"/>
        </w:tabs>
        <w:rPr>
          <w:rFonts w:eastAsiaTheme="minorEastAsia" w:cstheme="minorBidi"/>
          <w:noProof/>
          <w:szCs w:val="24"/>
          <w:lang w:eastAsia="en-GB"/>
        </w:rPr>
      </w:pPr>
      <w:hyperlink w:anchor="_Toc90216993" w:history="1">
        <w:r w:rsidR="00183CC8" w:rsidRPr="001D0CAE">
          <w:rPr>
            <w:rStyle w:val="Hyperlink"/>
            <w:noProof/>
          </w:rPr>
          <w:t xml:space="preserve">Figure 5.8 The effect of methicillin and/or vancomycin on </w:t>
        </w:r>
        <w:r w:rsidR="00183CC8" w:rsidRPr="001D0CAE">
          <w:rPr>
            <w:rStyle w:val="Hyperlink"/>
            <w:i/>
            <w:noProof/>
          </w:rPr>
          <w:t>S. aureus</w:t>
        </w:r>
        <w:r w:rsidR="00183CC8" w:rsidRPr="001D0CAE">
          <w:rPr>
            <w:rStyle w:val="Hyperlink"/>
            <w:noProof/>
          </w:rPr>
          <w:t xml:space="preserve"> cell wall morphology analysed by TEM.</w:t>
        </w:r>
        <w:r w:rsidR="00183CC8">
          <w:rPr>
            <w:noProof/>
            <w:webHidden/>
          </w:rPr>
          <w:tab/>
        </w:r>
        <w:r w:rsidR="00183CC8">
          <w:rPr>
            <w:noProof/>
            <w:webHidden/>
          </w:rPr>
          <w:fldChar w:fldCharType="begin"/>
        </w:r>
        <w:r w:rsidR="00183CC8">
          <w:rPr>
            <w:noProof/>
            <w:webHidden/>
          </w:rPr>
          <w:instrText xml:space="preserve"> PAGEREF _Toc90216993 \h </w:instrText>
        </w:r>
        <w:r w:rsidR="00183CC8">
          <w:rPr>
            <w:noProof/>
            <w:webHidden/>
          </w:rPr>
        </w:r>
        <w:r w:rsidR="00183CC8">
          <w:rPr>
            <w:noProof/>
            <w:webHidden/>
          </w:rPr>
          <w:fldChar w:fldCharType="separate"/>
        </w:r>
        <w:r w:rsidR="00183CC8">
          <w:rPr>
            <w:noProof/>
            <w:webHidden/>
          </w:rPr>
          <w:t>179</w:t>
        </w:r>
        <w:r w:rsidR="00183CC8">
          <w:rPr>
            <w:noProof/>
            <w:webHidden/>
          </w:rPr>
          <w:fldChar w:fldCharType="end"/>
        </w:r>
      </w:hyperlink>
    </w:p>
    <w:p w14:paraId="3093E6FF" w14:textId="75D2423C" w:rsidR="00183CC8" w:rsidRDefault="003373BF">
      <w:pPr>
        <w:pStyle w:val="TableofFigures"/>
        <w:tabs>
          <w:tab w:val="right" w:leader="dot" w:pos="9402"/>
        </w:tabs>
        <w:rPr>
          <w:rFonts w:eastAsiaTheme="minorEastAsia" w:cstheme="minorBidi"/>
          <w:noProof/>
          <w:szCs w:val="24"/>
          <w:lang w:eastAsia="en-GB"/>
        </w:rPr>
      </w:pPr>
      <w:hyperlink w:anchor="_Toc90216994" w:history="1">
        <w:r w:rsidR="00183CC8" w:rsidRPr="001D0CAE">
          <w:rPr>
            <w:rStyle w:val="Hyperlink"/>
            <w:noProof/>
          </w:rPr>
          <w:t xml:space="preserve">Figure 5.9 Effect of methicillin or vancomycin on </w:t>
        </w:r>
        <w:r w:rsidR="00183CC8" w:rsidRPr="001D0CAE">
          <w:rPr>
            <w:rStyle w:val="Hyperlink"/>
            <w:i/>
            <w:noProof/>
          </w:rPr>
          <w:t>S. aureus</w:t>
        </w:r>
        <w:r w:rsidR="00183CC8" w:rsidRPr="001D0CAE">
          <w:rPr>
            <w:rStyle w:val="Hyperlink"/>
            <w:noProof/>
          </w:rPr>
          <w:t xml:space="preserve"> cell wall thickness.</w:t>
        </w:r>
        <w:r w:rsidR="00183CC8">
          <w:rPr>
            <w:noProof/>
            <w:webHidden/>
          </w:rPr>
          <w:tab/>
        </w:r>
        <w:r w:rsidR="00183CC8">
          <w:rPr>
            <w:noProof/>
            <w:webHidden/>
          </w:rPr>
          <w:fldChar w:fldCharType="begin"/>
        </w:r>
        <w:r w:rsidR="00183CC8">
          <w:rPr>
            <w:noProof/>
            <w:webHidden/>
          </w:rPr>
          <w:instrText xml:space="preserve"> PAGEREF _Toc90216994 \h </w:instrText>
        </w:r>
        <w:r w:rsidR="00183CC8">
          <w:rPr>
            <w:noProof/>
            <w:webHidden/>
          </w:rPr>
        </w:r>
        <w:r w:rsidR="00183CC8">
          <w:rPr>
            <w:noProof/>
            <w:webHidden/>
          </w:rPr>
          <w:fldChar w:fldCharType="separate"/>
        </w:r>
        <w:r w:rsidR="00183CC8">
          <w:rPr>
            <w:noProof/>
            <w:webHidden/>
          </w:rPr>
          <w:t>180</w:t>
        </w:r>
        <w:r w:rsidR="00183CC8">
          <w:rPr>
            <w:noProof/>
            <w:webHidden/>
          </w:rPr>
          <w:fldChar w:fldCharType="end"/>
        </w:r>
      </w:hyperlink>
    </w:p>
    <w:p w14:paraId="3511878C" w14:textId="7E70B581" w:rsidR="00183CC8" w:rsidRDefault="003373BF">
      <w:pPr>
        <w:pStyle w:val="TableofFigures"/>
        <w:tabs>
          <w:tab w:val="right" w:leader="dot" w:pos="9402"/>
        </w:tabs>
        <w:rPr>
          <w:rFonts w:eastAsiaTheme="minorEastAsia" w:cstheme="minorBidi"/>
          <w:noProof/>
          <w:szCs w:val="24"/>
          <w:lang w:eastAsia="en-GB"/>
        </w:rPr>
      </w:pPr>
      <w:hyperlink w:anchor="_Toc90216995" w:history="1">
        <w:r w:rsidR="00183CC8" w:rsidRPr="001D0CAE">
          <w:rPr>
            <w:rStyle w:val="Hyperlink"/>
            <w:noProof/>
          </w:rPr>
          <w:t xml:space="preserve">Figure 5.10 Effect of methicillin and/or vancomycin on the cell wall of separating cells of </w:t>
        </w:r>
        <w:r w:rsidR="00183CC8" w:rsidRPr="001D0CAE">
          <w:rPr>
            <w:rStyle w:val="Hyperlink"/>
            <w:i/>
            <w:noProof/>
          </w:rPr>
          <w:t>S. aureus</w:t>
        </w:r>
        <w:r w:rsidR="00183CC8" w:rsidRPr="001D0CAE">
          <w:rPr>
            <w:rStyle w:val="Hyperlink"/>
            <w:noProof/>
          </w:rPr>
          <w:t>.</w:t>
        </w:r>
        <w:r w:rsidR="00183CC8">
          <w:rPr>
            <w:noProof/>
            <w:webHidden/>
          </w:rPr>
          <w:tab/>
        </w:r>
        <w:r w:rsidR="00183CC8">
          <w:rPr>
            <w:noProof/>
            <w:webHidden/>
          </w:rPr>
          <w:fldChar w:fldCharType="begin"/>
        </w:r>
        <w:r w:rsidR="00183CC8">
          <w:rPr>
            <w:noProof/>
            <w:webHidden/>
          </w:rPr>
          <w:instrText xml:space="preserve"> PAGEREF _Toc90216995 \h </w:instrText>
        </w:r>
        <w:r w:rsidR="00183CC8">
          <w:rPr>
            <w:noProof/>
            <w:webHidden/>
          </w:rPr>
        </w:r>
        <w:r w:rsidR="00183CC8">
          <w:rPr>
            <w:noProof/>
            <w:webHidden/>
          </w:rPr>
          <w:fldChar w:fldCharType="separate"/>
        </w:r>
        <w:r w:rsidR="00183CC8">
          <w:rPr>
            <w:noProof/>
            <w:webHidden/>
          </w:rPr>
          <w:t>181</w:t>
        </w:r>
        <w:r w:rsidR="00183CC8">
          <w:rPr>
            <w:noProof/>
            <w:webHidden/>
          </w:rPr>
          <w:fldChar w:fldCharType="end"/>
        </w:r>
      </w:hyperlink>
    </w:p>
    <w:p w14:paraId="7C89E790" w14:textId="01A6D742" w:rsidR="00183CC8" w:rsidRDefault="003373BF">
      <w:pPr>
        <w:pStyle w:val="TableofFigures"/>
        <w:tabs>
          <w:tab w:val="right" w:leader="dot" w:pos="9402"/>
        </w:tabs>
        <w:rPr>
          <w:rFonts w:eastAsiaTheme="minorEastAsia" w:cstheme="minorBidi"/>
          <w:noProof/>
          <w:szCs w:val="24"/>
          <w:lang w:eastAsia="en-GB"/>
        </w:rPr>
      </w:pPr>
      <w:hyperlink w:anchor="_Toc90216996" w:history="1">
        <w:r w:rsidR="00183CC8" w:rsidRPr="001D0CAE">
          <w:rPr>
            <w:rStyle w:val="Hyperlink"/>
            <w:noProof/>
          </w:rPr>
          <w:t xml:space="preserve">Figure 5.11 TEM micrographs of methicillin treated </w:t>
        </w:r>
        <w:r w:rsidR="00183CC8" w:rsidRPr="001D0CAE">
          <w:rPr>
            <w:rStyle w:val="Hyperlink"/>
            <w:i/>
            <w:noProof/>
          </w:rPr>
          <w:t>S. aureus</w:t>
        </w:r>
        <w:r w:rsidR="00183CC8" w:rsidRPr="001D0CAE">
          <w:rPr>
            <w:rStyle w:val="Hyperlink"/>
            <w:noProof/>
          </w:rPr>
          <w:t xml:space="preserve"> reveals apparent “plasmolysis”.</w:t>
        </w:r>
        <w:r w:rsidR="00183CC8">
          <w:rPr>
            <w:noProof/>
            <w:webHidden/>
          </w:rPr>
          <w:tab/>
        </w:r>
        <w:r w:rsidR="00183CC8">
          <w:rPr>
            <w:noProof/>
            <w:webHidden/>
          </w:rPr>
          <w:fldChar w:fldCharType="begin"/>
        </w:r>
        <w:r w:rsidR="00183CC8">
          <w:rPr>
            <w:noProof/>
            <w:webHidden/>
          </w:rPr>
          <w:instrText xml:space="preserve"> PAGEREF _Toc90216996 \h </w:instrText>
        </w:r>
        <w:r w:rsidR="00183CC8">
          <w:rPr>
            <w:noProof/>
            <w:webHidden/>
          </w:rPr>
        </w:r>
        <w:r w:rsidR="00183CC8">
          <w:rPr>
            <w:noProof/>
            <w:webHidden/>
          </w:rPr>
          <w:fldChar w:fldCharType="separate"/>
        </w:r>
        <w:r w:rsidR="00183CC8">
          <w:rPr>
            <w:noProof/>
            <w:webHidden/>
          </w:rPr>
          <w:t>183</w:t>
        </w:r>
        <w:r w:rsidR="00183CC8">
          <w:rPr>
            <w:noProof/>
            <w:webHidden/>
          </w:rPr>
          <w:fldChar w:fldCharType="end"/>
        </w:r>
      </w:hyperlink>
    </w:p>
    <w:p w14:paraId="51857A1F" w14:textId="2B15FDD7" w:rsidR="00183CC8" w:rsidRDefault="003373BF">
      <w:pPr>
        <w:pStyle w:val="TableofFigures"/>
        <w:tabs>
          <w:tab w:val="right" w:leader="dot" w:pos="9402"/>
        </w:tabs>
        <w:rPr>
          <w:rFonts w:eastAsiaTheme="minorEastAsia" w:cstheme="minorBidi"/>
          <w:noProof/>
          <w:szCs w:val="24"/>
          <w:lang w:eastAsia="en-GB"/>
        </w:rPr>
      </w:pPr>
      <w:hyperlink w:anchor="_Toc90216997" w:history="1">
        <w:r w:rsidR="00183CC8" w:rsidRPr="001D0CAE">
          <w:rPr>
            <w:rStyle w:val="Hyperlink"/>
            <w:noProof/>
          </w:rPr>
          <w:t xml:space="preserve">Figure 5.12 Effect of methicillin on </w:t>
        </w:r>
        <w:r w:rsidR="00183CC8" w:rsidRPr="001D0CAE">
          <w:rPr>
            <w:rStyle w:val="Hyperlink"/>
            <w:i/>
            <w:noProof/>
          </w:rPr>
          <w:t>S. aureus</w:t>
        </w:r>
        <w:r w:rsidR="00183CC8" w:rsidRPr="001D0CAE">
          <w:rPr>
            <w:rStyle w:val="Hyperlink"/>
            <w:noProof/>
          </w:rPr>
          <w:t xml:space="preserve"> cells with no septum.</w:t>
        </w:r>
        <w:r w:rsidR="00183CC8">
          <w:rPr>
            <w:noProof/>
            <w:webHidden/>
          </w:rPr>
          <w:tab/>
        </w:r>
        <w:r w:rsidR="00183CC8">
          <w:rPr>
            <w:noProof/>
            <w:webHidden/>
          </w:rPr>
          <w:fldChar w:fldCharType="begin"/>
        </w:r>
        <w:r w:rsidR="00183CC8">
          <w:rPr>
            <w:noProof/>
            <w:webHidden/>
          </w:rPr>
          <w:instrText xml:space="preserve"> PAGEREF _Toc90216997 \h </w:instrText>
        </w:r>
        <w:r w:rsidR="00183CC8">
          <w:rPr>
            <w:noProof/>
            <w:webHidden/>
          </w:rPr>
        </w:r>
        <w:r w:rsidR="00183CC8">
          <w:rPr>
            <w:noProof/>
            <w:webHidden/>
          </w:rPr>
          <w:fldChar w:fldCharType="separate"/>
        </w:r>
        <w:r w:rsidR="00183CC8">
          <w:rPr>
            <w:noProof/>
            <w:webHidden/>
          </w:rPr>
          <w:t>184</w:t>
        </w:r>
        <w:r w:rsidR="00183CC8">
          <w:rPr>
            <w:noProof/>
            <w:webHidden/>
          </w:rPr>
          <w:fldChar w:fldCharType="end"/>
        </w:r>
      </w:hyperlink>
    </w:p>
    <w:p w14:paraId="08AAC604" w14:textId="234AE5CA" w:rsidR="00183CC8" w:rsidRDefault="003373BF">
      <w:pPr>
        <w:pStyle w:val="TableofFigures"/>
        <w:tabs>
          <w:tab w:val="right" w:leader="dot" w:pos="9402"/>
        </w:tabs>
        <w:rPr>
          <w:rFonts w:eastAsiaTheme="minorEastAsia" w:cstheme="minorBidi"/>
          <w:noProof/>
          <w:szCs w:val="24"/>
          <w:lang w:eastAsia="en-GB"/>
        </w:rPr>
      </w:pPr>
      <w:hyperlink w:anchor="_Toc90216998" w:history="1">
        <w:r w:rsidR="00183CC8" w:rsidRPr="001D0CAE">
          <w:rPr>
            <w:rStyle w:val="Hyperlink"/>
            <w:noProof/>
          </w:rPr>
          <w:t xml:space="preserve">Figure 5.13  Effect of methicillin on </w:t>
        </w:r>
        <w:r w:rsidR="00183CC8" w:rsidRPr="001D0CAE">
          <w:rPr>
            <w:rStyle w:val="Hyperlink"/>
            <w:i/>
            <w:noProof/>
          </w:rPr>
          <w:t>S. aureus</w:t>
        </w:r>
        <w:r w:rsidR="00183CC8" w:rsidRPr="001D0CAE">
          <w:rPr>
            <w:rStyle w:val="Hyperlink"/>
            <w:noProof/>
          </w:rPr>
          <w:t xml:space="preserve"> cells with incomplete septum.</w:t>
        </w:r>
        <w:r w:rsidR="00183CC8">
          <w:rPr>
            <w:noProof/>
            <w:webHidden/>
          </w:rPr>
          <w:tab/>
        </w:r>
        <w:r w:rsidR="00183CC8">
          <w:rPr>
            <w:noProof/>
            <w:webHidden/>
          </w:rPr>
          <w:fldChar w:fldCharType="begin"/>
        </w:r>
        <w:r w:rsidR="00183CC8">
          <w:rPr>
            <w:noProof/>
            <w:webHidden/>
          </w:rPr>
          <w:instrText xml:space="preserve"> PAGEREF _Toc90216998 \h </w:instrText>
        </w:r>
        <w:r w:rsidR="00183CC8">
          <w:rPr>
            <w:noProof/>
            <w:webHidden/>
          </w:rPr>
        </w:r>
        <w:r w:rsidR="00183CC8">
          <w:rPr>
            <w:noProof/>
            <w:webHidden/>
          </w:rPr>
          <w:fldChar w:fldCharType="separate"/>
        </w:r>
        <w:r w:rsidR="00183CC8">
          <w:rPr>
            <w:noProof/>
            <w:webHidden/>
          </w:rPr>
          <w:t>185</w:t>
        </w:r>
        <w:r w:rsidR="00183CC8">
          <w:rPr>
            <w:noProof/>
            <w:webHidden/>
          </w:rPr>
          <w:fldChar w:fldCharType="end"/>
        </w:r>
      </w:hyperlink>
    </w:p>
    <w:p w14:paraId="1A7B3743" w14:textId="46C7C3DE" w:rsidR="00183CC8" w:rsidRDefault="003373BF">
      <w:pPr>
        <w:pStyle w:val="TableofFigures"/>
        <w:tabs>
          <w:tab w:val="right" w:leader="dot" w:pos="9402"/>
        </w:tabs>
        <w:rPr>
          <w:rFonts w:eastAsiaTheme="minorEastAsia" w:cstheme="minorBidi"/>
          <w:noProof/>
          <w:szCs w:val="24"/>
          <w:lang w:eastAsia="en-GB"/>
        </w:rPr>
      </w:pPr>
      <w:hyperlink w:anchor="_Toc90216999" w:history="1">
        <w:r w:rsidR="00183CC8" w:rsidRPr="001D0CAE">
          <w:rPr>
            <w:rStyle w:val="Hyperlink"/>
            <w:noProof/>
          </w:rPr>
          <w:t xml:space="preserve">Figure 5.14 Effect of methicillin on </w:t>
        </w:r>
        <w:r w:rsidR="00183CC8" w:rsidRPr="001D0CAE">
          <w:rPr>
            <w:rStyle w:val="Hyperlink"/>
            <w:i/>
            <w:noProof/>
          </w:rPr>
          <w:t>S. aureus</w:t>
        </w:r>
        <w:r w:rsidR="00183CC8" w:rsidRPr="001D0CAE">
          <w:rPr>
            <w:rStyle w:val="Hyperlink"/>
            <w:noProof/>
          </w:rPr>
          <w:t xml:space="preserve"> cells with complete septum.</w:t>
        </w:r>
        <w:r w:rsidR="00183CC8">
          <w:rPr>
            <w:noProof/>
            <w:webHidden/>
          </w:rPr>
          <w:tab/>
        </w:r>
        <w:r w:rsidR="00183CC8">
          <w:rPr>
            <w:noProof/>
            <w:webHidden/>
          </w:rPr>
          <w:fldChar w:fldCharType="begin"/>
        </w:r>
        <w:r w:rsidR="00183CC8">
          <w:rPr>
            <w:noProof/>
            <w:webHidden/>
          </w:rPr>
          <w:instrText xml:space="preserve"> PAGEREF _Toc90216999 \h </w:instrText>
        </w:r>
        <w:r w:rsidR="00183CC8">
          <w:rPr>
            <w:noProof/>
            <w:webHidden/>
          </w:rPr>
        </w:r>
        <w:r w:rsidR="00183CC8">
          <w:rPr>
            <w:noProof/>
            <w:webHidden/>
          </w:rPr>
          <w:fldChar w:fldCharType="separate"/>
        </w:r>
        <w:r w:rsidR="00183CC8">
          <w:rPr>
            <w:noProof/>
            <w:webHidden/>
          </w:rPr>
          <w:t>186</w:t>
        </w:r>
        <w:r w:rsidR="00183CC8">
          <w:rPr>
            <w:noProof/>
            <w:webHidden/>
          </w:rPr>
          <w:fldChar w:fldCharType="end"/>
        </w:r>
      </w:hyperlink>
    </w:p>
    <w:p w14:paraId="0403B479" w14:textId="7EC5D00E" w:rsidR="00183CC8" w:rsidRDefault="003373BF">
      <w:pPr>
        <w:pStyle w:val="TableofFigures"/>
        <w:tabs>
          <w:tab w:val="right" w:leader="dot" w:pos="9402"/>
        </w:tabs>
        <w:rPr>
          <w:rFonts w:eastAsiaTheme="minorEastAsia" w:cstheme="minorBidi"/>
          <w:noProof/>
          <w:szCs w:val="24"/>
          <w:lang w:eastAsia="en-GB"/>
        </w:rPr>
      </w:pPr>
      <w:hyperlink w:anchor="_Toc90217000" w:history="1">
        <w:r w:rsidR="00183CC8" w:rsidRPr="001D0CAE">
          <w:rPr>
            <w:rStyle w:val="Hyperlink"/>
            <w:noProof/>
          </w:rPr>
          <w:t xml:space="preserve">Figure 5.15 Morphology of methicillin and vancomycin combined treatment of </w:t>
        </w:r>
        <w:r w:rsidR="00183CC8" w:rsidRPr="001D0CAE">
          <w:rPr>
            <w:rStyle w:val="Hyperlink"/>
            <w:i/>
            <w:noProof/>
          </w:rPr>
          <w:t>S. aureus</w:t>
        </w:r>
        <w:r w:rsidR="00183CC8" w:rsidRPr="001D0CAE">
          <w:rPr>
            <w:rStyle w:val="Hyperlink"/>
            <w:noProof/>
          </w:rPr>
          <w:t>.</w:t>
        </w:r>
        <w:r w:rsidR="00183CC8">
          <w:rPr>
            <w:noProof/>
            <w:webHidden/>
          </w:rPr>
          <w:tab/>
        </w:r>
        <w:r w:rsidR="00183CC8">
          <w:rPr>
            <w:noProof/>
            <w:webHidden/>
          </w:rPr>
          <w:fldChar w:fldCharType="begin"/>
        </w:r>
        <w:r w:rsidR="00183CC8">
          <w:rPr>
            <w:noProof/>
            <w:webHidden/>
          </w:rPr>
          <w:instrText xml:space="preserve"> PAGEREF _Toc90217000 \h </w:instrText>
        </w:r>
        <w:r w:rsidR="00183CC8">
          <w:rPr>
            <w:noProof/>
            <w:webHidden/>
          </w:rPr>
        </w:r>
        <w:r w:rsidR="00183CC8">
          <w:rPr>
            <w:noProof/>
            <w:webHidden/>
          </w:rPr>
          <w:fldChar w:fldCharType="separate"/>
        </w:r>
        <w:r w:rsidR="00183CC8">
          <w:rPr>
            <w:noProof/>
            <w:webHidden/>
          </w:rPr>
          <w:t>187</w:t>
        </w:r>
        <w:r w:rsidR="00183CC8">
          <w:rPr>
            <w:noProof/>
            <w:webHidden/>
          </w:rPr>
          <w:fldChar w:fldCharType="end"/>
        </w:r>
      </w:hyperlink>
    </w:p>
    <w:p w14:paraId="1D2F431A" w14:textId="087B3A77" w:rsidR="00183CC8" w:rsidRDefault="003373BF">
      <w:pPr>
        <w:pStyle w:val="TableofFigures"/>
        <w:tabs>
          <w:tab w:val="right" w:leader="dot" w:pos="9402"/>
        </w:tabs>
        <w:rPr>
          <w:rFonts w:eastAsiaTheme="minorEastAsia" w:cstheme="minorBidi"/>
          <w:noProof/>
          <w:szCs w:val="24"/>
          <w:lang w:eastAsia="en-GB"/>
        </w:rPr>
      </w:pPr>
      <w:hyperlink w:anchor="_Toc90217001" w:history="1">
        <w:r w:rsidR="00183CC8" w:rsidRPr="001D0CAE">
          <w:rPr>
            <w:rStyle w:val="Hyperlink"/>
            <w:noProof/>
          </w:rPr>
          <w:t xml:space="preserve">Figure 5.16 Morphological quantification of the effect of methicillin and/or vancomycin on </w:t>
        </w:r>
        <w:r w:rsidR="00183CC8" w:rsidRPr="001D0CAE">
          <w:rPr>
            <w:rStyle w:val="Hyperlink"/>
            <w:i/>
            <w:noProof/>
          </w:rPr>
          <w:t>S. aureus</w:t>
        </w:r>
        <w:r w:rsidR="00183CC8" w:rsidRPr="001D0CAE">
          <w:rPr>
            <w:rStyle w:val="Hyperlink"/>
            <w:noProof/>
          </w:rPr>
          <w:t>.</w:t>
        </w:r>
        <w:r w:rsidR="00183CC8">
          <w:rPr>
            <w:noProof/>
            <w:webHidden/>
          </w:rPr>
          <w:tab/>
        </w:r>
        <w:r w:rsidR="00183CC8">
          <w:rPr>
            <w:noProof/>
            <w:webHidden/>
          </w:rPr>
          <w:fldChar w:fldCharType="begin"/>
        </w:r>
        <w:r w:rsidR="00183CC8">
          <w:rPr>
            <w:noProof/>
            <w:webHidden/>
          </w:rPr>
          <w:instrText xml:space="preserve"> PAGEREF _Toc90217001 \h </w:instrText>
        </w:r>
        <w:r w:rsidR="00183CC8">
          <w:rPr>
            <w:noProof/>
            <w:webHidden/>
          </w:rPr>
        </w:r>
        <w:r w:rsidR="00183CC8">
          <w:rPr>
            <w:noProof/>
            <w:webHidden/>
          </w:rPr>
          <w:fldChar w:fldCharType="separate"/>
        </w:r>
        <w:r w:rsidR="00183CC8">
          <w:rPr>
            <w:noProof/>
            <w:webHidden/>
          </w:rPr>
          <w:t>188</w:t>
        </w:r>
        <w:r w:rsidR="00183CC8">
          <w:rPr>
            <w:noProof/>
            <w:webHidden/>
          </w:rPr>
          <w:fldChar w:fldCharType="end"/>
        </w:r>
      </w:hyperlink>
    </w:p>
    <w:p w14:paraId="392DF850" w14:textId="266F4794" w:rsidR="00183CC8" w:rsidRDefault="003373BF">
      <w:pPr>
        <w:pStyle w:val="TableofFigures"/>
        <w:tabs>
          <w:tab w:val="right" w:leader="dot" w:pos="9402"/>
        </w:tabs>
        <w:rPr>
          <w:rFonts w:eastAsiaTheme="minorEastAsia" w:cstheme="minorBidi"/>
          <w:noProof/>
          <w:szCs w:val="24"/>
          <w:lang w:eastAsia="en-GB"/>
        </w:rPr>
      </w:pPr>
      <w:hyperlink w:anchor="_Toc90217002" w:history="1">
        <w:r w:rsidR="00183CC8" w:rsidRPr="001D0CAE">
          <w:rPr>
            <w:rStyle w:val="Hyperlink"/>
            <w:noProof/>
          </w:rPr>
          <w:t xml:space="preserve">Figure 5.17 TEM micrographs of </w:t>
        </w:r>
        <w:r w:rsidR="00183CC8" w:rsidRPr="001D0CAE">
          <w:rPr>
            <w:rStyle w:val="Hyperlink"/>
            <w:i/>
            <w:noProof/>
          </w:rPr>
          <w:t>S. aureus</w:t>
        </w:r>
        <w:r w:rsidR="00183CC8" w:rsidRPr="001D0CAE">
          <w:rPr>
            <w:rStyle w:val="Hyperlink"/>
            <w:noProof/>
          </w:rPr>
          <w:t xml:space="preserve"> treated with methicillin and/or vancomycin for 2 and 3 h.</w:t>
        </w:r>
        <w:r w:rsidR="00183CC8">
          <w:rPr>
            <w:noProof/>
            <w:webHidden/>
          </w:rPr>
          <w:tab/>
        </w:r>
        <w:r w:rsidR="00183CC8">
          <w:rPr>
            <w:noProof/>
            <w:webHidden/>
          </w:rPr>
          <w:fldChar w:fldCharType="begin"/>
        </w:r>
        <w:r w:rsidR="00183CC8">
          <w:rPr>
            <w:noProof/>
            <w:webHidden/>
          </w:rPr>
          <w:instrText xml:space="preserve"> PAGEREF _Toc90217002 \h </w:instrText>
        </w:r>
        <w:r w:rsidR="00183CC8">
          <w:rPr>
            <w:noProof/>
            <w:webHidden/>
          </w:rPr>
        </w:r>
        <w:r w:rsidR="00183CC8">
          <w:rPr>
            <w:noProof/>
            <w:webHidden/>
          </w:rPr>
          <w:fldChar w:fldCharType="separate"/>
        </w:r>
        <w:r w:rsidR="00183CC8">
          <w:rPr>
            <w:noProof/>
            <w:webHidden/>
          </w:rPr>
          <w:t>189</w:t>
        </w:r>
        <w:r w:rsidR="00183CC8">
          <w:rPr>
            <w:noProof/>
            <w:webHidden/>
          </w:rPr>
          <w:fldChar w:fldCharType="end"/>
        </w:r>
      </w:hyperlink>
    </w:p>
    <w:p w14:paraId="339BF3EC" w14:textId="4179D920" w:rsidR="00183CC8" w:rsidRDefault="003373BF">
      <w:pPr>
        <w:pStyle w:val="TableofFigures"/>
        <w:tabs>
          <w:tab w:val="right" w:leader="dot" w:pos="9402"/>
        </w:tabs>
        <w:rPr>
          <w:rFonts w:eastAsiaTheme="minorEastAsia" w:cstheme="minorBidi"/>
          <w:noProof/>
          <w:szCs w:val="24"/>
          <w:lang w:eastAsia="en-GB"/>
        </w:rPr>
      </w:pPr>
      <w:hyperlink w:anchor="_Toc90217003" w:history="1">
        <w:r w:rsidR="00183CC8" w:rsidRPr="001D0CAE">
          <w:rPr>
            <w:rStyle w:val="Hyperlink"/>
            <w:noProof/>
          </w:rPr>
          <w:t xml:space="preserve">Figure 5.18 Morphological quantification after 2 and 3 h of methicillin and/or vancomycin treatment on </w:t>
        </w:r>
        <w:r w:rsidR="00183CC8" w:rsidRPr="001D0CAE">
          <w:rPr>
            <w:rStyle w:val="Hyperlink"/>
            <w:i/>
            <w:noProof/>
          </w:rPr>
          <w:t>S. aureus</w:t>
        </w:r>
        <w:r w:rsidR="00183CC8" w:rsidRPr="001D0CAE">
          <w:rPr>
            <w:rStyle w:val="Hyperlink"/>
            <w:noProof/>
          </w:rPr>
          <w:t xml:space="preserve"> SH1000.</w:t>
        </w:r>
        <w:r w:rsidR="00183CC8">
          <w:rPr>
            <w:noProof/>
            <w:webHidden/>
          </w:rPr>
          <w:tab/>
        </w:r>
        <w:r w:rsidR="00183CC8">
          <w:rPr>
            <w:noProof/>
            <w:webHidden/>
          </w:rPr>
          <w:fldChar w:fldCharType="begin"/>
        </w:r>
        <w:r w:rsidR="00183CC8">
          <w:rPr>
            <w:noProof/>
            <w:webHidden/>
          </w:rPr>
          <w:instrText xml:space="preserve"> PAGEREF _Toc90217003 \h </w:instrText>
        </w:r>
        <w:r w:rsidR="00183CC8">
          <w:rPr>
            <w:noProof/>
            <w:webHidden/>
          </w:rPr>
        </w:r>
        <w:r w:rsidR="00183CC8">
          <w:rPr>
            <w:noProof/>
            <w:webHidden/>
          </w:rPr>
          <w:fldChar w:fldCharType="separate"/>
        </w:r>
        <w:r w:rsidR="00183CC8">
          <w:rPr>
            <w:noProof/>
            <w:webHidden/>
          </w:rPr>
          <w:t>190</w:t>
        </w:r>
        <w:r w:rsidR="00183CC8">
          <w:rPr>
            <w:noProof/>
            <w:webHidden/>
          </w:rPr>
          <w:fldChar w:fldCharType="end"/>
        </w:r>
      </w:hyperlink>
    </w:p>
    <w:p w14:paraId="00E97CEE" w14:textId="39AF2A82" w:rsidR="00183CC8" w:rsidRDefault="003373BF">
      <w:pPr>
        <w:pStyle w:val="TableofFigures"/>
        <w:tabs>
          <w:tab w:val="right" w:leader="dot" w:pos="9402"/>
        </w:tabs>
        <w:rPr>
          <w:rFonts w:eastAsiaTheme="minorEastAsia" w:cstheme="minorBidi"/>
          <w:noProof/>
          <w:szCs w:val="24"/>
          <w:lang w:eastAsia="en-GB"/>
        </w:rPr>
      </w:pPr>
      <w:hyperlink w:anchor="_Toc90217004" w:history="1">
        <w:r w:rsidR="00183CC8" w:rsidRPr="001D0CAE">
          <w:rPr>
            <w:rStyle w:val="Hyperlink"/>
            <w:noProof/>
          </w:rPr>
          <w:t xml:space="preserve">Figure 5.19 Cell lysis and sacculi observed during methicillin treatment of </w:t>
        </w:r>
        <w:r w:rsidR="00183CC8" w:rsidRPr="001D0CAE">
          <w:rPr>
            <w:rStyle w:val="Hyperlink"/>
            <w:i/>
            <w:noProof/>
          </w:rPr>
          <w:t>S. aureus</w:t>
        </w:r>
        <w:r w:rsidR="00183CC8" w:rsidRPr="001D0CAE">
          <w:rPr>
            <w:rStyle w:val="Hyperlink"/>
            <w:noProof/>
          </w:rPr>
          <w:t xml:space="preserve"> SH1000.</w:t>
        </w:r>
        <w:r w:rsidR="00183CC8">
          <w:rPr>
            <w:noProof/>
            <w:webHidden/>
          </w:rPr>
          <w:tab/>
        </w:r>
        <w:r w:rsidR="00183CC8">
          <w:rPr>
            <w:noProof/>
            <w:webHidden/>
          </w:rPr>
          <w:fldChar w:fldCharType="begin"/>
        </w:r>
        <w:r w:rsidR="00183CC8">
          <w:rPr>
            <w:noProof/>
            <w:webHidden/>
          </w:rPr>
          <w:instrText xml:space="preserve"> PAGEREF _Toc90217004 \h </w:instrText>
        </w:r>
        <w:r w:rsidR="00183CC8">
          <w:rPr>
            <w:noProof/>
            <w:webHidden/>
          </w:rPr>
        </w:r>
        <w:r w:rsidR="00183CC8">
          <w:rPr>
            <w:noProof/>
            <w:webHidden/>
          </w:rPr>
          <w:fldChar w:fldCharType="separate"/>
        </w:r>
        <w:r w:rsidR="00183CC8">
          <w:rPr>
            <w:noProof/>
            <w:webHidden/>
          </w:rPr>
          <w:t>192</w:t>
        </w:r>
        <w:r w:rsidR="00183CC8">
          <w:rPr>
            <w:noProof/>
            <w:webHidden/>
          </w:rPr>
          <w:fldChar w:fldCharType="end"/>
        </w:r>
      </w:hyperlink>
    </w:p>
    <w:p w14:paraId="186A61EC" w14:textId="5AEAAAB1" w:rsidR="00183CC8" w:rsidRDefault="003373BF">
      <w:pPr>
        <w:pStyle w:val="TableofFigures"/>
        <w:tabs>
          <w:tab w:val="right" w:leader="dot" w:pos="9402"/>
        </w:tabs>
        <w:rPr>
          <w:rFonts w:eastAsiaTheme="minorEastAsia" w:cstheme="minorBidi"/>
          <w:noProof/>
          <w:szCs w:val="24"/>
          <w:lang w:eastAsia="en-GB"/>
        </w:rPr>
      </w:pPr>
      <w:hyperlink w:anchor="_Toc90217005" w:history="1">
        <w:r w:rsidR="00183CC8" w:rsidRPr="001D0CAE">
          <w:rPr>
            <w:rStyle w:val="Hyperlink"/>
            <w:noProof/>
          </w:rPr>
          <w:t xml:space="preserve">Figure 5.20 Effect of 10 x MIC oxacillin on </w:t>
        </w:r>
        <w:r w:rsidR="00183CC8" w:rsidRPr="001D0CAE">
          <w:rPr>
            <w:rStyle w:val="Hyperlink"/>
            <w:i/>
            <w:noProof/>
          </w:rPr>
          <w:t>S. aureus</w:t>
        </w:r>
        <w:r w:rsidR="00183CC8" w:rsidRPr="001D0CAE">
          <w:rPr>
            <w:rStyle w:val="Hyperlink"/>
            <w:noProof/>
          </w:rPr>
          <w:t xml:space="preserve"> morphology, survival and division.</w:t>
        </w:r>
        <w:r w:rsidR="00183CC8">
          <w:rPr>
            <w:noProof/>
            <w:webHidden/>
          </w:rPr>
          <w:tab/>
        </w:r>
        <w:r w:rsidR="00183CC8">
          <w:rPr>
            <w:noProof/>
            <w:webHidden/>
          </w:rPr>
          <w:fldChar w:fldCharType="begin"/>
        </w:r>
        <w:r w:rsidR="00183CC8">
          <w:rPr>
            <w:noProof/>
            <w:webHidden/>
          </w:rPr>
          <w:instrText xml:space="preserve"> PAGEREF _Toc90217005 \h </w:instrText>
        </w:r>
        <w:r w:rsidR="00183CC8">
          <w:rPr>
            <w:noProof/>
            <w:webHidden/>
          </w:rPr>
        </w:r>
        <w:r w:rsidR="00183CC8">
          <w:rPr>
            <w:noProof/>
            <w:webHidden/>
          </w:rPr>
          <w:fldChar w:fldCharType="separate"/>
        </w:r>
        <w:r w:rsidR="00183CC8">
          <w:rPr>
            <w:noProof/>
            <w:webHidden/>
          </w:rPr>
          <w:t>194</w:t>
        </w:r>
        <w:r w:rsidR="00183CC8">
          <w:rPr>
            <w:noProof/>
            <w:webHidden/>
          </w:rPr>
          <w:fldChar w:fldCharType="end"/>
        </w:r>
      </w:hyperlink>
    </w:p>
    <w:p w14:paraId="443B5BB3" w14:textId="1DF06589" w:rsidR="00183CC8" w:rsidRDefault="003373BF">
      <w:pPr>
        <w:pStyle w:val="TableofFigures"/>
        <w:tabs>
          <w:tab w:val="right" w:leader="dot" w:pos="9402"/>
        </w:tabs>
        <w:rPr>
          <w:rFonts w:eastAsiaTheme="minorEastAsia" w:cstheme="minorBidi"/>
          <w:noProof/>
          <w:szCs w:val="24"/>
          <w:lang w:eastAsia="en-GB"/>
        </w:rPr>
      </w:pPr>
      <w:hyperlink w:anchor="_Toc90217006" w:history="1">
        <w:r w:rsidR="00183CC8" w:rsidRPr="001D0CAE">
          <w:rPr>
            <w:rStyle w:val="Hyperlink"/>
            <w:noProof/>
          </w:rPr>
          <w:t xml:space="preserve">Figure 5.21 TEM micrographs of the effect of oxacillin on </w:t>
        </w:r>
        <w:r w:rsidR="00183CC8" w:rsidRPr="001D0CAE">
          <w:rPr>
            <w:rStyle w:val="Hyperlink"/>
            <w:i/>
            <w:noProof/>
          </w:rPr>
          <w:t>S. aureus</w:t>
        </w:r>
        <w:r w:rsidR="00183CC8" w:rsidRPr="001D0CAE">
          <w:rPr>
            <w:rStyle w:val="Hyperlink"/>
            <w:noProof/>
          </w:rPr>
          <w:t xml:space="preserve"> morphology.</w:t>
        </w:r>
        <w:r w:rsidR="00183CC8">
          <w:rPr>
            <w:noProof/>
            <w:webHidden/>
          </w:rPr>
          <w:tab/>
        </w:r>
        <w:r w:rsidR="00183CC8">
          <w:rPr>
            <w:noProof/>
            <w:webHidden/>
          </w:rPr>
          <w:fldChar w:fldCharType="begin"/>
        </w:r>
        <w:r w:rsidR="00183CC8">
          <w:rPr>
            <w:noProof/>
            <w:webHidden/>
          </w:rPr>
          <w:instrText xml:space="preserve"> PAGEREF _Toc90217006 \h </w:instrText>
        </w:r>
        <w:r w:rsidR="00183CC8">
          <w:rPr>
            <w:noProof/>
            <w:webHidden/>
          </w:rPr>
        </w:r>
        <w:r w:rsidR="00183CC8">
          <w:rPr>
            <w:noProof/>
            <w:webHidden/>
          </w:rPr>
          <w:fldChar w:fldCharType="separate"/>
        </w:r>
        <w:r w:rsidR="00183CC8">
          <w:rPr>
            <w:noProof/>
            <w:webHidden/>
          </w:rPr>
          <w:t>195</w:t>
        </w:r>
        <w:r w:rsidR="00183CC8">
          <w:rPr>
            <w:noProof/>
            <w:webHidden/>
          </w:rPr>
          <w:fldChar w:fldCharType="end"/>
        </w:r>
      </w:hyperlink>
    </w:p>
    <w:p w14:paraId="3439B383" w14:textId="50A467F5" w:rsidR="00183CC8" w:rsidRDefault="003373BF">
      <w:pPr>
        <w:pStyle w:val="TableofFigures"/>
        <w:tabs>
          <w:tab w:val="right" w:leader="dot" w:pos="9402"/>
        </w:tabs>
        <w:rPr>
          <w:rFonts w:eastAsiaTheme="minorEastAsia" w:cstheme="minorBidi"/>
          <w:noProof/>
          <w:szCs w:val="24"/>
          <w:lang w:eastAsia="en-GB"/>
        </w:rPr>
      </w:pPr>
      <w:hyperlink w:anchor="_Toc90217007" w:history="1">
        <w:r w:rsidR="00183CC8" w:rsidRPr="001D0CAE">
          <w:rPr>
            <w:rStyle w:val="Hyperlink"/>
            <w:noProof/>
          </w:rPr>
          <w:t xml:space="preserve">Figure 5.22 Effect of oxacillin and/or vancomycin in </w:t>
        </w:r>
        <w:r w:rsidR="00183CC8" w:rsidRPr="001D0CAE">
          <w:rPr>
            <w:rStyle w:val="Hyperlink"/>
            <w:i/>
            <w:noProof/>
          </w:rPr>
          <w:t>S. aureus</w:t>
        </w:r>
        <w:r w:rsidR="00183CC8" w:rsidRPr="001D0CAE">
          <w:rPr>
            <w:rStyle w:val="Hyperlink"/>
            <w:noProof/>
          </w:rPr>
          <w:t xml:space="preserve"> morphology, survival and division.</w:t>
        </w:r>
        <w:r w:rsidR="00183CC8">
          <w:rPr>
            <w:noProof/>
            <w:webHidden/>
          </w:rPr>
          <w:tab/>
        </w:r>
        <w:r w:rsidR="00183CC8">
          <w:rPr>
            <w:noProof/>
            <w:webHidden/>
          </w:rPr>
          <w:fldChar w:fldCharType="begin"/>
        </w:r>
        <w:r w:rsidR="00183CC8">
          <w:rPr>
            <w:noProof/>
            <w:webHidden/>
          </w:rPr>
          <w:instrText xml:space="preserve"> PAGEREF _Toc90217007 \h </w:instrText>
        </w:r>
        <w:r w:rsidR="00183CC8">
          <w:rPr>
            <w:noProof/>
            <w:webHidden/>
          </w:rPr>
        </w:r>
        <w:r w:rsidR="00183CC8">
          <w:rPr>
            <w:noProof/>
            <w:webHidden/>
          </w:rPr>
          <w:fldChar w:fldCharType="separate"/>
        </w:r>
        <w:r w:rsidR="00183CC8">
          <w:rPr>
            <w:noProof/>
            <w:webHidden/>
          </w:rPr>
          <w:t>196</w:t>
        </w:r>
        <w:r w:rsidR="00183CC8">
          <w:rPr>
            <w:noProof/>
            <w:webHidden/>
          </w:rPr>
          <w:fldChar w:fldCharType="end"/>
        </w:r>
      </w:hyperlink>
    </w:p>
    <w:p w14:paraId="24A883B4" w14:textId="5DBA758D" w:rsidR="00183CC8" w:rsidRDefault="003373BF">
      <w:pPr>
        <w:pStyle w:val="TableofFigures"/>
        <w:tabs>
          <w:tab w:val="right" w:leader="dot" w:pos="9402"/>
        </w:tabs>
        <w:rPr>
          <w:rFonts w:eastAsiaTheme="minorEastAsia" w:cstheme="minorBidi"/>
          <w:noProof/>
          <w:szCs w:val="24"/>
          <w:lang w:eastAsia="en-GB"/>
        </w:rPr>
      </w:pPr>
      <w:hyperlink w:anchor="_Toc90217008" w:history="1">
        <w:r w:rsidR="00183CC8" w:rsidRPr="001D0CAE">
          <w:rPr>
            <w:rStyle w:val="Hyperlink"/>
            <w:noProof/>
          </w:rPr>
          <w:t xml:space="preserve">Figure 5.23 TEM micrographs of oxacillin and/or vancomycin treatment of </w:t>
        </w:r>
        <w:r w:rsidR="00183CC8" w:rsidRPr="001D0CAE">
          <w:rPr>
            <w:rStyle w:val="Hyperlink"/>
            <w:i/>
            <w:noProof/>
          </w:rPr>
          <w:t>S. aureus</w:t>
        </w:r>
        <w:r w:rsidR="00183CC8" w:rsidRPr="001D0CAE">
          <w:rPr>
            <w:rStyle w:val="Hyperlink"/>
            <w:noProof/>
          </w:rPr>
          <w:t>.</w:t>
        </w:r>
        <w:r w:rsidR="00183CC8">
          <w:rPr>
            <w:noProof/>
            <w:webHidden/>
          </w:rPr>
          <w:tab/>
        </w:r>
        <w:r w:rsidR="00183CC8">
          <w:rPr>
            <w:noProof/>
            <w:webHidden/>
          </w:rPr>
          <w:fldChar w:fldCharType="begin"/>
        </w:r>
        <w:r w:rsidR="00183CC8">
          <w:rPr>
            <w:noProof/>
            <w:webHidden/>
          </w:rPr>
          <w:instrText xml:space="preserve"> PAGEREF _Toc90217008 \h </w:instrText>
        </w:r>
        <w:r w:rsidR="00183CC8">
          <w:rPr>
            <w:noProof/>
            <w:webHidden/>
          </w:rPr>
        </w:r>
        <w:r w:rsidR="00183CC8">
          <w:rPr>
            <w:noProof/>
            <w:webHidden/>
          </w:rPr>
          <w:fldChar w:fldCharType="separate"/>
        </w:r>
        <w:r w:rsidR="00183CC8">
          <w:rPr>
            <w:noProof/>
            <w:webHidden/>
          </w:rPr>
          <w:t>197</w:t>
        </w:r>
        <w:r w:rsidR="00183CC8">
          <w:rPr>
            <w:noProof/>
            <w:webHidden/>
          </w:rPr>
          <w:fldChar w:fldCharType="end"/>
        </w:r>
      </w:hyperlink>
    </w:p>
    <w:p w14:paraId="6FD1656F" w14:textId="5CBBA30C" w:rsidR="00183CC8" w:rsidRDefault="003373BF">
      <w:pPr>
        <w:pStyle w:val="TableofFigures"/>
        <w:tabs>
          <w:tab w:val="right" w:leader="dot" w:pos="9402"/>
        </w:tabs>
        <w:rPr>
          <w:rFonts w:eastAsiaTheme="minorEastAsia" w:cstheme="minorBidi"/>
          <w:noProof/>
          <w:szCs w:val="24"/>
          <w:lang w:eastAsia="en-GB"/>
        </w:rPr>
      </w:pPr>
      <w:hyperlink w:anchor="_Toc90217009" w:history="1">
        <w:r w:rsidR="00183CC8" w:rsidRPr="001D0CAE">
          <w:rPr>
            <w:rStyle w:val="Hyperlink"/>
            <w:noProof/>
          </w:rPr>
          <w:t xml:space="preserve">Figure 5.24 Effect of methicillin and/or vancomycin on </w:t>
        </w:r>
        <w:r w:rsidR="00183CC8" w:rsidRPr="001D0CAE">
          <w:rPr>
            <w:rStyle w:val="Hyperlink"/>
            <w:i/>
            <w:noProof/>
          </w:rPr>
          <w:t>S. aureus</w:t>
        </w:r>
        <w:r w:rsidR="00183CC8" w:rsidRPr="001D0CAE">
          <w:rPr>
            <w:rStyle w:val="Hyperlink"/>
            <w:noProof/>
          </w:rPr>
          <w:t xml:space="preserve"> NewHG morphology, survival and division.</w:t>
        </w:r>
        <w:r w:rsidR="00183CC8">
          <w:rPr>
            <w:noProof/>
            <w:webHidden/>
          </w:rPr>
          <w:tab/>
        </w:r>
        <w:r w:rsidR="00183CC8">
          <w:rPr>
            <w:noProof/>
            <w:webHidden/>
          </w:rPr>
          <w:fldChar w:fldCharType="begin"/>
        </w:r>
        <w:r w:rsidR="00183CC8">
          <w:rPr>
            <w:noProof/>
            <w:webHidden/>
          </w:rPr>
          <w:instrText xml:space="preserve"> PAGEREF _Toc90217009 \h </w:instrText>
        </w:r>
        <w:r w:rsidR="00183CC8">
          <w:rPr>
            <w:noProof/>
            <w:webHidden/>
          </w:rPr>
        </w:r>
        <w:r w:rsidR="00183CC8">
          <w:rPr>
            <w:noProof/>
            <w:webHidden/>
          </w:rPr>
          <w:fldChar w:fldCharType="separate"/>
        </w:r>
        <w:r w:rsidR="00183CC8">
          <w:rPr>
            <w:noProof/>
            <w:webHidden/>
          </w:rPr>
          <w:t>199</w:t>
        </w:r>
        <w:r w:rsidR="00183CC8">
          <w:rPr>
            <w:noProof/>
            <w:webHidden/>
          </w:rPr>
          <w:fldChar w:fldCharType="end"/>
        </w:r>
      </w:hyperlink>
    </w:p>
    <w:p w14:paraId="4F2D3362" w14:textId="637786A7" w:rsidR="00183CC8" w:rsidRDefault="003373BF">
      <w:pPr>
        <w:pStyle w:val="TableofFigures"/>
        <w:tabs>
          <w:tab w:val="right" w:leader="dot" w:pos="9402"/>
        </w:tabs>
        <w:rPr>
          <w:rFonts w:eastAsiaTheme="minorEastAsia" w:cstheme="minorBidi"/>
          <w:noProof/>
          <w:szCs w:val="24"/>
          <w:lang w:eastAsia="en-GB"/>
        </w:rPr>
      </w:pPr>
      <w:hyperlink w:anchor="_Toc90217010" w:history="1">
        <w:r w:rsidR="00183CC8" w:rsidRPr="001D0CAE">
          <w:rPr>
            <w:rStyle w:val="Hyperlink"/>
            <w:noProof/>
          </w:rPr>
          <w:t xml:space="preserve">Figure 5.25 TEM micrographs of methicillin and/or vancomycin treatment of </w:t>
        </w:r>
        <w:r w:rsidR="00183CC8" w:rsidRPr="001D0CAE">
          <w:rPr>
            <w:rStyle w:val="Hyperlink"/>
            <w:i/>
            <w:noProof/>
          </w:rPr>
          <w:t>S. aureus</w:t>
        </w:r>
        <w:r w:rsidR="00183CC8" w:rsidRPr="001D0CAE">
          <w:rPr>
            <w:rStyle w:val="Hyperlink"/>
            <w:noProof/>
          </w:rPr>
          <w:t xml:space="preserve"> NewHG.</w:t>
        </w:r>
        <w:r w:rsidR="00183CC8">
          <w:rPr>
            <w:noProof/>
            <w:webHidden/>
          </w:rPr>
          <w:tab/>
        </w:r>
        <w:r w:rsidR="00183CC8">
          <w:rPr>
            <w:noProof/>
            <w:webHidden/>
          </w:rPr>
          <w:fldChar w:fldCharType="begin"/>
        </w:r>
        <w:r w:rsidR="00183CC8">
          <w:rPr>
            <w:noProof/>
            <w:webHidden/>
          </w:rPr>
          <w:instrText xml:space="preserve"> PAGEREF _Toc90217010 \h </w:instrText>
        </w:r>
        <w:r w:rsidR="00183CC8">
          <w:rPr>
            <w:noProof/>
            <w:webHidden/>
          </w:rPr>
        </w:r>
        <w:r w:rsidR="00183CC8">
          <w:rPr>
            <w:noProof/>
            <w:webHidden/>
          </w:rPr>
          <w:fldChar w:fldCharType="separate"/>
        </w:r>
        <w:r w:rsidR="00183CC8">
          <w:rPr>
            <w:noProof/>
            <w:webHidden/>
          </w:rPr>
          <w:t>200</w:t>
        </w:r>
        <w:r w:rsidR="00183CC8">
          <w:rPr>
            <w:noProof/>
            <w:webHidden/>
          </w:rPr>
          <w:fldChar w:fldCharType="end"/>
        </w:r>
      </w:hyperlink>
    </w:p>
    <w:p w14:paraId="14190B59" w14:textId="5A0F84DF" w:rsidR="00183CC8" w:rsidRDefault="003373BF">
      <w:pPr>
        <w:pStyle w:val="TableofFigures"/>
        <w:tabs>
          <w:tab w:val="right" w:leader="dot" w:pos="9402"/>
        </w:tabs>
        <w:rPr>
          <w:rFonts w:eastAsiaTheme="minorEastAsia" w:cstheme="minorBidi"/>
          <w:noProof/>
          <w:szCs w:val="24"/>
          <w:lang w:eastAsia="en-GB"/>
        </w:rPr>
      </w:pPr>
      <w:hyperlink w:anchor="_Toc90217011" w:history="1">
        <w:r w:rsidR="00183CC8" w:rsidRPr="001D0CAE">
          <w:rPr>
            <w:rStyle w:val="Hyperlink"/>
            <w:noProof/>
          </w:rPr>
          <w:t xml:space="preserve">Figure 5.26 Effect of vancomycin and vancomycin plus methicillin on </w:t>
        </w:r>
        <w:r w:rsidR="00183CC8" w:rsidRPr="001D0CAE">
          <w:rPr>
            <w:rStyle w:val="Hyperlink"/>
            <w:i/>
            <w:noProof/>
          </w:rPr>
          <w:t>S. aureus</w:t>
        </w:r>
        <w:r w:rsidR="00183CC8" w:rsidRPr="001D0CAE">
          <w:rPr>
            <w:rStyle w:val="Hyperlink"/>
            <w:noProof/>
          </w:rPr>
          <w:t xml:space="preserve"> COL morphology, survival and division.</w:t>
        </w:r>
        <w:r w:rsidR="00183CC8">
          <w:rPr>
            <w:noProof/>
            <w:webHidden/>
          </w:rPr>
          <w:tab/>
        </w:r>
        <w:r w:rsidR="00183CC8">
          <w:rPr>
            <w:noProof/>
            <w:webHidden/>
          </w:rPr>
          <w:fldChar w:fldCharType="begin"/>
        </w:r>
        <w:r w:rsidR="00183CC8">
          <w:rPr>
            <w:noProof/>
            <w:webHidden/>
          </w:rPr>
          <w:instrText xml:space="preserve"> PAGEREF _Toc90217011 \h </w:instrText>
        </w:r>
        <w:r w:rsidR="00183CC8">
          <w:rPr>
            <w:noProof/>
            <w:webHidden/>
          </w:rPr>
        </w:r>
        <w:r w:rsidR="00183CC8">
          <w:rPr>
            <w:noProof/>
            <w:webHidden/>
          </w:rPr>
          <w:fldChar w:fldCharType="separate"/>
        </w:r>
        <w:r w:rsidR="00183CC8">
          <w:rPr>
            <w:noProof/>
            <w:webHidden/>
          </w:rPr>
          <w:t>201</w:t>
        </w:r>
        <w:r w:rsidR="00183CC8">
          <w:rPr>
            <w:noProof/>
            <w:webHidden/>
          </w:rPr>
          <w:fldChar w:fldCharType="end"/>
        </w:r>
      </w:hyperlink>
    </w:p>
    <w:p w14:paraId="1FD51985" w14:textId="7CF2BD2D" w:rsidR="00183CC8" w:rsidRDefault="003373BF">
      <w:pPr>
        <w:pStyle w:val="TableofFigures"/>
        <w:tabs>
          <w:tab w:val="right" w:leader="dot" w:pos="9402"/>
        </w:tabs>
        <w:rPr>
          <w:rFonts w:eastAsiaTheme="minorEastAsia" w:cstheme="minorBidi"/>
          <w:noProof/>
          <w:szCs w:val="24"/>
          <w:lang w:eastAsia="en-GB"/>
        </w:rPr>
      </w:pPr>
      <w:hyperlink w:anchor="_Toc90217012" w:history="1">
        <w:r w:rsidR="00183CC8" w:rsidRPr="001D0CAE">
          <w:rPr>
            <w:rStyle w:val="Hyperlink"/>
            <w:noProof/>
          </w:rPr>
          <w:t xml:space="preserve">Figure 5.27 TEM micrographs of vancomycin and vancomycin plus methicillin treatment of </w:t>
        </w:r>
        <w:r w:rsidR="00183CC8" w:rsidRPr="001D0CAE">
          <w:rPr>
            <w:rStyle w:val="Hyperlink"/>
            <w:i/>
            <w:noProof/>
          </w:rPr>
          <w:t>S. aureus</w:t>
        </w:r>
        <w:r w:rsidR="00183CC8" w:rsidRPr="001D0CAE">
          <w:rPr>
            <w:rStyle w:val="Hyperlink"/>
            <w:noProof/>
          </w:rPr>
          <w:t xml:space="preserve"> COL.</w:t>
        </w:r>
        <w:r w:rsidR="00183CC8">
          <w:rPr>
            <w:noProof/>
            <w:webHidden/>
          </w:rPr>
          <w:tab/>
        </w:r>
        <w:r w:rsidR="00183CC8">
          <w:rPr>
            <w:noProof/>
            <w:webHidden/>
          </w:rPr>
          <w:fldChar w:fldCharType="begin"/>
        </w:r>
        <w:r w:rsidR="00183CC8">
          <w:rPr>
            <w:noProof/>
            <w:webHidden/>
          </w:rPr>
          <w:instrText xml:space="preserve"> PAGEREF _Toc90217012 \h </w:instrText>
        </w:r>
        <w:r w:rsidR="00183CC8">
          <w:rPr>
            <w:noProof/>
            <w:webHidden/>
          </w:rPr>
        </w:r>
        <w:r w:rsidR="00183CC8">
          <w:rPr>
            <w:noProof/>
            <w:webHidden/>
          </w:rPr>
          <w:fldChar w:fldCharType="separate"/>
        </w:r>
        <w:r w:rsidR="00183CC8">
          <w:rPr>
            <w:noProof/>
            <w:webHidden/>
          </w:rPr>
          <w:t>202</w:t>
        </w:r>
        <w:r w:rsidR="00183CC8">
          <w:rPr>
            <w:noProof/>
            <w:webHidden/>
          </w:rPr>
          <w:fldChar w:fldCharType="end"/>
        </w:r>
      </w:hyperlink>
    </w:p>
    <w:p w14:paraId="4D40C208" w14:textId="21C4555D" w:rsidR="00183CC8" w:rsidRDefault="003373BF">
      <w:pPr>
        <w:pStyle w:val="TableofFigures"/>
        <w:tabs>
          <w:tab w:val="right" w:leader="dot" w:pos="9402"/>
        </w:tabs>
        <w:rPr>
          <w:rFonts w:eastAsiaTheme="minorEastAsia" w:cstheme="minorBidi"/>
          <w:noProof/>
          <w:szCs w:val="24"/>
          <w:lang w:eastAsia="en-GB"/>
        </w:rPr>
      </w:pPr>
      <w:hyperlink w:anchor="_Toc90217013" w:history="1">
        <w:r w:rsidR="00183CC8" w:rsidRPr="001D0CAE">
          <w:rPr>
            <w:rStyle w:val="Hyperlink"/>
            <w:noProof/>
          </w:rPr>
          <w:t xml:space="preserve">Figure 5.28 Effect of cerulenin with and without methicillin on </w:t>
        </w:r>
        <w:r w:rsidR="00183CC8" w:rsidRPr="001D0CAE">
          <w:rPr>
            <w:rStyle w:val="Hyperlink"/>
            <w:i/>
            <w:noProof/>
          </w:rPr>
          <w:t>S. aureus</w:t>
        </w:r>
        <w:r w:rsidR="00183CC8" w:rsidRPr="001D0CAE">
          <w:rPr>
            <w:rStyle w:val="Hyperlink"/>
            <w:noProof/>
          </w:rPr>
          <w:t xml:space="preserve"> morphology, survival and division.</w:t>
        </w:r>
        <w:r w:rsidR="00183CC8">
          <w:rPr>
            <w:noProof/>
            <w:webHidden/>
          </w:rPr>
          <w:tab/>
        </w:r>
        <w:r w:rsidR="00183CC8">
          <w:rPr>
            <w:noProof/>
            <w:webHidden/>
          </w:rPr>
          <w:fldChar w:fldCharType="begin"/>
        </w:r>
        <w:r w:rsidR="00183CC8">
          <w:rPr>
            <w:noProof/>
            <w:webHidden/>
          </w:rPr>
          <w:instrText xml:space="preserve"> PAGEREF _Toc90217013 \h </w:instrText>
        </w:r>
        <w:r w:rsidR="00183CC8">
          <w:rPr>
            <w:noProof/>
            <w:webHidden/>
          </w:rPr>
        </w:r>
        <w:r w:rsidR="00183CC8">
          <w:rPr>
            <w:noProof/>
            <w:webHidden/>
          </w:rPr>
          <w:fldChar w:fldCharType="separate"/>
        </w:r>
        <w:r w:rsidR="00183CC8">
          <w:rPr>
            <w:noProof/>
            <w:webHidden/>
          </w:rPr>
          <w:t>204</w:t>
        </w:r>
        <w:r w:rsidR="00183CC8">
          <w:rPr>
            <w:noProof/>
            <w:webHidden/>
          </w:rPr>
          <w:fldChar w:fldCharType="end"/>
        </w:r>
      </w:hyperlink>
    </w:p>
    <w:p w14:paraId="48608805" w14:textId="0558999D" w:rsidR="00183CC8" w:rsidRDefault="003373BF">
      <w:pPr>
        <w:pStyle w:val="TableofFigures"/>
        <w:tabs>
          <w:tab w:val="right" w:leader="dot" w:pos="9402"/>
        </w:tabs>
        <w:rPr>
          <w:rFonts w:eastAsiaTheme="minorEastAsia" w:cstheme="minorBidi"/>
          <w:noProof/>
          <w:szCs w:val="24"/>
          <w:lang w:eastAsia="en-GB"/>
        </w:rPr>
      </w:pPr>
      <w:hyperlink w:anchor="_Toc90217014" w:history="1">
        <w:r w:rsidR="00183CC8" w:rsidRPr="001D0CAE">
          <w:rPr>
            <w:rStyle w:val="Hyperlink"/>
            <w:noProof/>
          </w:rPr>
          <w:t xml:space="preserve">Figure 5.29 TEM micrographs of cerulenin treatment with /without methicillin on </w:t>
        </w:r>
        <w:r w:rsidR="00183CC8" w:rsidRPr="001D0CAE">
          <w:rPr>
            <w:rStyle w:val="Hyperlink"/>
            <w:i/>
            <w:noProof/>
          </w:rPr>
          <w:t>S. aureus</w:t>
        </w:r>
        <w:r w:rsidR="00183CC8" w:rsidRPr="001D0CAE">
          <w:rPr>
            <w:rStyle w:val="Hyperlink"/>
            <w:noProof/>
          </w:rPr>
          <w:t>.</w:t>
        </w:r>
        <w:r w:rsidR="00183CC8">
          <w:rPr>
            <w:noProof/>
            <w:webHidden/>
          </w:rPr>
          <w:tab/>
        </w:r>
        <w:r w:rsidR="00183CC8">
          <w:rPr>
            <w:noProof/>
            <w:webHidden/>
          </w:rPr>
          <w:fldChar w:fldCharType="begin"/>
        </w:r>
        <w:r w:rsidR="00183CC8">
          <w:rPr>
            <w:noProof/>
            <w:webHidden/>
          </w:rPr>
          <w:instrText xml:space="preserve"> PAGEREF _Toc90217014 \h </w:instrText>
        </w:r>
        <w:r w:rsidR="00183CC8">
          <w:rPr>
            <w:noProof/>
            <w:webHidden/>
          </w:rPr>
        </w:r>
        <w:r w:rsidR="00183CC8">
          <w:rPr>
            <w:noProof/>
            <w:webHidden/>
          </w:rPr>
          <w:fldChar w:fldCharType="separate"/>
        </w:r>
        <w:r w:rsidR="00183CC8">
          <w:rPr>
            <w:noProof/>
            <w:webHidden/>
          </w:rPr>
          <w:t>205</w:t>
        </w:r>
        <w:r w:rsidR="00183CC8">
          <w:rPr>
            <w:noProof/>
            <w:webHidden/>
          </w:rPr>
          <w:fldChar w:fldCharType="end"/>
        </w:r>
      </w:hyperlink>
    </w:p>
    <w:p w14:paraId="3A4EFCDC" w14:textId="48C94DFB" w:rsidR="00183CC8" w:rsidRDefault="003373BF">
      <w:pPr>
        <w:pStyle w:val="TableofFigures"/>
        <w:tabs>
          <w:tab w:val="right" w:leader="dot" w:pos="9402"/>
        </w:tabs>
        <w:rPr>
          <w:rFonts w:eastAsiaTheme="minorEastAsia" w:cstheme="minorBidi"/>
          <w:noProof/>
          <w:szCs w:val="24"/>
          <w:lang w:eastAsia="en-GB"/>
        </w:rPr>
      </w:pPr>
      <w:hyperlink w:anchor="_Toc90217015" w:history="1">
        <w:r w:rsidR="00183CC8" w:rsidRPr="001D0CAE">
          <w:rPr>
            <w:rStyle w:val="Hyperlink"/>
            <w:noProof/>
          </w:rPr>
          <w:t xml:space="preserve">Figure 5.30 Effect of moenomycin with and without methicillin on </w:t>
        </w:r>
        <w:r w:rsidR="00183CC8" w:rsidRPr="001D0CAE">
          <w:rPr>
            <w:rStyle w:val="Hyperlink"/>
            <w:i/>
            <w:noProof/>
          </w:rPr>
          <w:t>S. aureus</w:t>
        </w:r>
        <w:r w:rsidR="00183CC8" w:rsidRPr="001D0CAE">
          <w:rPr>
            <w:rStyle w:val="Hyperlink"/>
            <w:noProof/>
          </w:rPr>
          <w:t xml:space="preserve"> morphology, survival and division.</w:t>
        </w:r>
        <w:r w:rsidR="00183CC8">
          <w:rPr>
            <w:noProof/>
            <w:webHidden/>
          </w:rPr>
          <w:tab/>
        </w:r>
        <w:r w:rsidR="00183CC8">
          <w:rPr>
            <w:noProof/>
            <w:webHidden/>
          </w:rPr>
          <w:fldChar w:fldCharType="begin"/>
        </w:r>
        <w:r w:rsidR="00183CC8">
          <w:rPr>
            <w:noProof/>
            <w:webHidden/>
          </w:rPr>
          <w:instrText xml:space="preserve"> PAGEREF _Toc90217015 \h </w:instrText>
        </w:r>
        <w:r w:rsidR="00183CC8">
          <w:rPr>
            <w:noProof/>
            <w:webHidden/>
          </w:rPr>
        </w:r>
        <w:r w:rsidR="00183CC8">
          <w:rPr>
            <w:noProof/>
            <w:webHidden/>
          </w:rPr>
          <w:fldChar w:fldCharType="separate"/>
        </w:r>
        <w:r w:rsidR="00183CC8">
          <w:rPr>
            <w:noProof/>
            <w:webHidden/>
          </w:rPr>
          <w:t>206</w:t>
        </w:r>
        <w:r w:rsidR="00183CC8">
          <w:rPr>
            <w:noProof/>
            <w:webHidden/>
          </w:rPr>
          <w:fldChar w:fldCharType="end"/>
        </w:r>
      </w:hyperlink>
    </w:p>
    <w:p w14:paraId="034763FC" w14:textId="2C66AC60" w:rsidR="00183CC8" w:rsidRDefault="003373BF">
      <w:pPr>
        <w:pStyle w:val="TableofFigures"/>
        <w:tabs>
          <w:tab w:val="right" w:leader="dot" w:pos="9402"/>
        </w:tabs>
        <w:rPr>
          <w:rFonts w:eastAsiaTheme="minorEastAsia" w:cstheme="minorBidi"/>
          <w:noProof/>
          <w:szCs w:val="24"/>
          <w:lang w:eastAsia="en-GB"/>
        </w:rPr>
      </w:pPr>
      <w:hyperlink w:anchor="_Toc90217016" w:history="1">
        <w:r w:rsidR="00183CC8" w:rsidRPr="001D0CAE">
          <w:rPr>
            <w:rStyle w:val="Hyperlink"/>
            <w:noProof/>
          </w:rPr>
          <w:t xml:space="preserve">Figure 5.31 TEM micrographs of moenomycin treatment with /without methicillin on </w:t>
        </w:r>
        <w:r w:rsidR="00183CC8" w:rsidRPr="001D0CAE">
          <w:rPr>
            <w:rStyle w:val="Hyperlink"/>
            <w:i/>
            <w:noProof/>
          </w:rPr>
          <w:t>S. aureus</w:t>
        </w:r>
        <w:r w:rsidR="00183CC8" w:rsidRPr="001D0CAE">
          <w:rPr>
            <w:rStyle w:val="Hyperlink"/>
            <w:noProof/>
          </w:rPr>
          <w:t>.</w:t>
        </w:r>
        <w:r w:rsidR="00183CC8">
          <w:rPr>
            <w:noProof/>
            <w:webHidden/>
          </w:rPr>
          <w:tab/>
        </w:r>
        <w:r w:rsidR="00183CC8">
          <w:rPr>
            <w:noProof/>
            <w:webHidden/>
          </w:rPr>
          <w:fldChar w:fldCharType="begin"/>
        </w:r>
        <w:r w:rsidR="00183CC8">
          <w:rPr>
            <w:noProof/>
            <w:webHidden/>
          </w:rPr>
          <w:instrText xml:space="preserve"> PAGEREF _Toc90217016 \h </w:instrText>
        </w:r>
        <w:r w:rsidR="00183CC8">
          <w:rPr>
            <w:noProof/>
            <w:webHidden/>
          </w:rPr>
        </w:r>
        <w:r w:rsidR="00183CC8">
          <w:rPr>
            <w:noProof/>
            <w:webHidden/>
          </w:rPr>
          <w:fldChar w:fldCharType="separate"/>
        </w:r>
        <w:r w:rsidR="00183CC8">
          <w:rPr>
            <w:noProof/>
            <w:webHidden/>
          </w:rPr>
          <w:t>207</w:t>
        </w:r>
        <w:r w:rsidR="00183CC8">
          <w:rPr>
            <w:noProof/>
            <w:webHidden/>
          </w:rPr>
          <w:fldChar w:fldCharType="end"/>
        </w:r>
      </w:hyperlink>
    </w:p>
    <w:p w14:paraId="64D368C7" w14:textId="135F5327" w:rsidR="00183CC8" w:rsidRDefault="003373BF">
      <w:pPr>
        <w:pStyle w:val="TableofFigures"/>
        <w:tabs>
          <w:tab w:val="right" w:leader="dot" w:pos="9402"/>
        </w:tabs>
        <w:rPr>
          <w:rFonts w:eastAsiaTheme="minorEastAsia" w:cstheme="minorBidi"/>
          <w:noProof/>
          <w:szCs w:val="24"/>
          <w:lang w:eastAsia="en-GB"/>
        </w:rPr>
      </w:pPr>
      <w:hyperlink w:anchor="_Toc90217017" w:history="1">
        <w:r w:rsidR="00183CC8" w:rsidRPr="001D0CAE">
          <w:rPr>
            <w:rStyle w:val="Hyperlink"/>
            <w:noProof/>
          </w:rPr>
          <w:t xml:space="preserve">Figure 5.32 Effect of vancomycin and/or methicillin on </w:t>
        </w:r>
        <w:r w:rsidR="00183CC8" w:rsidRPr="001D0CAE">
          <w:rPr>
            <w:rStyle w:val="Hyperlink"/>
            <w:i/>
            <w:noProof/>
          </w:rPr>
          <w:t>S. aureus</w:t>
        </w:r>
        <w:r w:rsidR="00183CC8" w:rsidRPr="001D0CAE">
          <w:rPr>
            <w:rStyle w:val="Hyperlink"/>
            <w:noProof/>
          </w:rPr>
          <w:t xml:space="preserve"> SH1000 </w:t>
        </w:r>
        <w:r w:rsidR="00183CC8" w:rsidRPr="001D0CAE">
          <w:rPr>
            <w:rStyle w:val="Hyperlink"/>
            <w:i/>
            <w:noProof/>
          </w:rPr>
          <w:t>tarO</w:t>
        </w:r>
        <w:r w:rsidR="00183CC8" w:rsidRPr="001D0CAE">
          <w:rPr>
            <w:rStyle w:val="Hyperlink"/>
            <w:noProof/>
          </w:rPr>
          <w:t xml:space="preserve"> survival.</w:t>
        </w:r>
        <w:r w:rsidR="00183CC8">
          <w:rPr>
            <w:noProof/>
            <w:webHidden/>
          </w:rPr>
          <w:tab/>
        </w:r>
        <w:r w:rsidR="00183CC8">
          <w:rPr>
            <w:noProof/>
            <w:webHidden/>
          </w:rPr>
          <w:fldChar w:fldCharType="begin"/>
        </w:r>
        <w:r w:rsidR="00183CC8">
          <w:rPr>
            <w:noProof/>
            <w:webHidden/>
          </w:rPr>
          <w:instrText xml:space="preserve"> PAGEREF _Toc90217017 \h </w:instrText>
        </w:r>
        <w:r w:rsidR="00183CC8">
          <w:rPr>
            <w:noProof/>
            <w:webHidden/>
          </w:rPr>
        </w:r>
        <w:r w:rsidR="00183CC8">
          <w:rPr>
            <w:noProof/>
            <w:webHidden/>
          </w:rPr>
          <w:fldChar w:fldCharType="separate"/>
        </w:r>
        <w:r w:rsidR="00183CC8">
          <w:rPr>
            <w:noProof/>
            <w:webHidden/>
          </w:rPr>
          <w:t>209</w:t>
        </w:r>
        <w:r w:rsidR="00183CC8">
          <w:rPr>
            <w:noProof/>
            <w:webHidden/>
          </w:rPr>
          <w:fldChar w:fldCharType="end"/>
        </w:r>
      </w:hyperlink>
    </w:p>
    <w:p w14:paraId="1D6776E9" w14:textId="2154E764" w:rsidR="00183CC8" w:rsidRDefault="003373BF">
      <w:pPr>
        <w:pStyle w:val="TableofFigures"/>
        <w:tabs>
          <w:tab w:val="right" w:leader="dot" w:pos="9402"/>
        </w:tabs>
        <w:rPr>
          <w:rFonts w:eastAsiaTheme="minorEastAsia" w:cstheme="minorBidi"/>
          <w:noProof/>
          <w:szCs w:val="24"/>
          <w:lang w:eastAsia="en-GB"/>
        </w:rPr>
      </w:pPr>
      <w:hyperlink w:anchor="_Toc90217018" w:history="1">
        <w:r w:rsidR="00183CC8" w:rsidRPr="001D0CAE">
          <w:rPr>
            <w:rStyle w:val="Hyperlink"/>
            <w:noProof/>
          </w:rPr>
          <w:t xml:space="preserve">Figure 5.33 Effect of vancomycin and/or methicillin on </w:t>
        </w:r>
        <w:r w:rsidR="00183CC8" w:rsidRPr="001D0CAE">
          <w:rPr>
            <w:rStyle w:val="Hyperlink"/>
            <w:i/>
            <w:noProof/>
          </w:rPr>
          <w:t>S. aureus</w:t>
        </w:r>
        <w:r w:rsidR="00183CC8" w:rsidRPr="001D0CAE">
          <w:rPr>
            <w:rStyle w:val="Hyperlink"/>
            <w:noProof/>
          </w:rPr>
          <w:t xml:space="preserve"> SH1000 </w:t>
        </w:r>
        <w:r w:rsidR="00183CC8" w:rsidRPr="001D0CAE">
          <w:rPr>
            <w:rStyle w:val="Hyperlink"/>
            <w:i/>
            <w:noProof/>
          </w:rPr>
          <w:t>tarO</w:t>
        </w:r>
        <w:r w:rsidR="00183CC8" w:rsidRPr="001D0CAE">
          <w:rPr>
            <w:rStyle w:val="Hyperlink"/>
            <w:noProof/>
          </w:rPr>
          <w:t xml:space="preserve"> morphology.</w:t>
        </w:r>
        <w:r w:rsidR="00183CC8">
          <w:rPr>
            <w:noProof/>
            <w:webHidden/>
          </w:rPr>
          <w:tab/>
        </w:r>
        <w:r w:rsidR="00183CC8">
          <w:rPr>
            <w:noProof/>
            <w:webHidden/>
          </w:rPr>
          <w:fldChar w:fldCharType="begin"/>
        </w:r>
        <w:r w:rsidR="00183CC8">
          <w:rPr>
            <w:noProof/>
            <w:webHidden/>
          </w:rPr>
          <w:instrText xml:space="preserve"> PAGEREF _Toc90217018 \h </w:instrText>
        </w:r>
        <w:r w:rsidR="00183CC8">
          <w:rPr>
            <w:noProof/>
            <w:webHidden/>
          </w:rPr>
        </w:r>
        <w:r w:rsidR="00183CC8">
          <w:rPr>
            <w:noProof/>
            <w:webHidden/>
          </w:rPr>
          <w:fldChar w:fldCharType="separate"/>
        </w:r>
        <w:r w:rsidR="00183CC8">
          <w:rPr>
            <w:noProof/>
            <w:webHidden/>
          </w:rPr>
          <w:t>210</w:t>
        </w:r>
        <w:r w:rsidR="00183CC8">
          <w:rPr>
            <w:noProof/>
            <w:webHidden/>
          </w:rPr>
          <w:fldChar w:fldCharType="end"/>
        </w:r>
      </w:hyperlink>
    </w:p>
    <w:p w14:paraId="2549803E" w14:textId="0110153F" w:rsidR="00183CC8" w:rsidRDefault="003373BF">
      <w:pPr>
        <w:pStyle w:val="TableofFigures"/>
        <w:tabs>
          <w:tab w:val="right" w:leader="dot" w:pos="9402"/>
        </w:tabs>
        <w:rPr>
          <w:rFonts w:eastAsiaTheme="minorEastAsia" w:cstheme="minorBidi"/>
          <w:noProof/>
          <w:szCs w:val="24"/>
          <w:lang w:eastAsia="en-GB"/>
        </w:rPr>
      </w:pPr>
      <w:hyperlink w:anchor="_Toc90217019" w:history="1">
        <w:r w:rsidR="00183CC8" w:rsidRPr="001D0CAE">
          <w:rPr>
            <w:rStyle w:val="Hyperlink"/>
            <w:noProof/>
          </w:rPr>
          <w:t xml:space="preserve">Figure 5.34 Effect of oxacillin and oxacillin plus vancomycin on </w:t>
        </w:r>
        <w:r w:rsidR="00183CC8" w:rsidRPr="001D0CAE">
          <w:rPr>
            <w:rStyle w:val="Hyperlink"/>
            <w:i/>
            <w:noProof/>
          </w:rPr>
          <w:t>S. aureus</w:t>
        </w:r>
        <w:r w:rsidR="00183CC8" w:rsidRPr="001D0CAE">
          <w:rPr>
            <w:rStyle w:val="Hyperlink"/>
            <w:noProof/>
          </w:rPr>
          <w:t xml:space="preserve"> SH1000 </w:t>
        </w:r>
        <w:r w:rsidR="00183CC8" w:rsidRPr="001D0CAE">
          <w:rPr>
            <w:rStyle w:val="Hyperlink"/>
            <w:i/>
            <w:noProof/>
          </w:rPr>
          <w:t>tarO</w:t>
        </w:r>
        <w:r w:rsidR="00183CC8" w:rsidRPr="001D0CAE">
          <w:rPr>
            <w:rStyle w:val="Hyperlink"/>
            <w:noProof/>
          </w:rPr>
          <w:t xml:space="preserve"> morphology.</w:t>
        </w:r>
        <w:r w:rsidR="00183CC8">
          <w:rPr>
            <w:noProof/>
            <w:webHidden/>
          </w:rPr>
          <w:tab/>
        </w:r>
        <w:r w:rsidR="00183CC8">
          <w:rPr>
            <w:noProof/>
            <w:webHidden/>
          </w:rPr>
          <w:fldChar w:fldCharType="begin"/>
        </w:r>
        <w:r w:rsidR="00183CC8">
          <w:rPr>
            <w:noProof/>
            <w:webHidden/>
          </w:rPr>
          <w:instrText xml:space="preserve"> PAGEREF _Toc90217019 \h </w:instrText>
        </w:r>
        <w:r w:rsidR="00183CC8">
          <w:rPr>
            <w:noProof/>
            <w:webHidden/>
          </w:rPr>
        </w:r>
        <w:r w:rsidR="00183CC8">
          <w:rPr>
            <w:noProof/>
            <w:webHidden/>
          </w:rPr>
          <w:fldChar w:fldCharType="separate"/>
        </w:r>
        <w:r w:rsidR="00183CC8">
          <w:rPr>
            <w:noProof/>
            <w:webHidden/>
          </w:rPr>
          <w:t>211</w:t>
        </w:r>
        <w:r w:rsidR="00183CC8">
          <w:rPr>
            <w:noProof/>
            <w:webHidden/>
          </w:rPr>
          <w:fldChar w:fldCharType="end"/>
        </w:r>
      </w:hyperlink>
    </w:p>
    <w:p w14:paraId="0FC99BD3" w14:textId="5C8768F1" w:rsidR="00183CC8" w:rsidRDefault="003373BF">
      <w:pPr>
        <w:pStyle w:val="TableofFigures"/>
        <w:tabs>
          <w:tab w:val="right" w:leader="dot" w:pos="9402"/>
        </w:tabs>
        <w:rPr>
          <w:rFonts w:eastAsiaTheme="minorEastAsia" w:cstheme="minorBidi"/>
          <w:noProof/>
          <w:szCs w:val="24"/>
          <w:lang w:eastAsia="en-GB"/>
        </w:rPr>
      </w:pPr>
      <w:hyperlink w:anchor="_Toc90217020" w:history="1">
        <w:r w:rsidR="00183CC8" w:rsidRPr="001D0CAE">
          <w:rPr>
            <w:rStyle w:val="Hyperlink"/>
            <w:noProof/>
          </w:rPr>
          <w:t xml:space="preserve">Figure 5.35 Effect of methicillin or oxacillin on </w:t>
        </w:r>
        <w:r w:rsidR="00183CC8" w:rsidRPr="001D0CAE">
          <w:rPr>
            <w:rStyle w:val="Hyperlink"/>
            <w:i/>
            <w:noProof/>
          </w:rPr>
          <w:t>S. aureus</w:t>
        </w:r>
        <w:r w:rsidR="00183CC8" w:rsidRPr="001D0CAE">
          <w:rPr>
            <w:rStyle w:val="Hyperlink"/>
            <w:noProof/>
          </w:rPr>
          <w:t xml:space="preserve"> SH1000 </w:t>
        </w:r>
        <w:r w:rsidR="00183CC8" w:rsidRPr="001D0CAE">
          <w:rPr>
            <w:rStyle w:val="Hyperlink"/>
            <w:i/>
            <w:noProof/>
          </w:rPr>
          <w:t>tarO</w:t>
        </w:r>
        <w:r w:rsidR="00183CC8" w:rsidRPr="001D0CAE">
          <w:rPr>
            <w:rStyle w:val="Hyperlink"/>
            <w:noProof/>
          </w:rPr>
          <w:t xml:space="preserve"> morphology and division.</w:t>
        </w:r>
        <w:r w:rsidR="00183CC8">
          <w:rPr>
            <w:noProof/>
            <w:webHidden/>
          </w:rPr>
          <w:tab/>
        </w:r>
        <w:r w:rsidR="00183CC8">
          <w:rPr>
            <w:noProof/>
            <w:webHidden/>
          </w:rPr>
          <w:fldChar w:fldCharType="begin"/>
        </w:r>
        <w:r w:rsidR="00183CC8">
          <w:rPr>
            <w:noProof/>
            <w:webHidden/>
          </w:rPr>
          <w:instrText xml:space="preserve"> PAGEREF _Toc90217020 \h </w:instrText>
        </w:r>
        <w:r w:rsidR="00183CC8">
          <w:rPr>
            <w:noProof/>
            <w:webHidden/>
          </w:rPr>
        </w:r>
        <w:r w:rsidR="00183CC8">
          <w:rPr>
            <w:noProof/>
            <w:webHidden/>
          </w:rPr>
          <w:fldChar w:fldCharType="separate"/>
        </w:r>
        <w:r w:rsidR="00183CC8">
          <w:rPr>
            <w:noProof/>
            <w:webHidden/>
          </w:rPr>
          <w:t>212</w:t>
        </w:r>
        <w:r w:rsidR="00183CC8">
          <w:rPr>
            <w:noProof/>
            <w:webHidden/>
          </w:rPr>
          <w:fldChar w:fldCharType="end"/>
        </w:r>
      </w:hyperlink>
    </w:p>
    <w:p w14:paraId="446BA433" w14:textId="014EC078" w:rsidR="00183CC8" w:rsidRDefault="003373BF">
      <w:pPr>
        <w:pStyle w:val="TableofFigures"/>
        <w:tabs>
          <w:tab w:val="right" w:leader="dot" w:pos="9402"/>
        </w:tabs>
        <w:rPr>
          <w:rFonts w:eastAsiaTheme="minorEastAsia" w:cstheme="minorBidi"/>
          <w:noProof/>
          <w:szCs w:val="24"/>
          <w:lang w:eastAsia="en-GB"/>
        </w:rPr>
      </w:pPr>
      <w:hyperlink w:anchor="_Toc90217021" w:history="1">
        <w:r w:rsidR="00183CC8" w:rsidRPr="001D0CAE">
          <w:rPr>
            <w:rStyle w:val="Hyperlink"/>
            <w:noProof/>
          </w:rPr>
          <w:t xml:space="preserve">Figure 5.36 Effect of vancomycin and/or methicillin on </w:t>
        </w:r>
        <w:r w:rsidR="00183CC8" w:rsidRPr="001D0CAE">
          <w:rPr>
            <w:rStyle w:val="Hyperlink"/>
            <w:i/>
            <w:noProof/>
          </w:rPr>
          <w:t>S. aureus</w:t>
        </w:r>
        <w:r w:rsidR="00183CC8" w:rsidRPr="001D0CAE">
          <w:rPr>
            <w:rStyle w:val="Hyperlink"/>
            <w:noProof/>
          </w:rPr>
          <w:t xml:space="preserve"> </w:t>
        </w:r>
        <w:r w:rsidR="00183CC8" w:rsidRPr="001D0CAE">
          <w:rPr>
            <w:rStyle w:val="Hyperlink"/>
            <w:i/>
            <w:noProof/>
          </w:rPr>
          <w:t>ltaS gdpP::kan</w:t>
        </w:r>
        <w:r w:rsidR="00183CC8" w:rsidRPr="001D0CAE">
          <w:rPr>
            <w:rStyle w:val="Hyperlink"/>
            <w:noProof/>
          </w:rPr>
          <w:t xml:space="preserve"> survival.</w:t>
        </w:r>
        <w:r w:rsidR="00183CC8">
          <w:rPr>
            <w:noProof/>
            <w:webHidden/>
          </w:rPr>
          <w:tab/>
        </w:r>
        <w:r w:rsidR="00183CC8">
          <w:rPr>
            <w:noProof/>
            <w:webHidden/>
          </w:rPr>
          <w:fldChar w:fldCharType="begin"/>
        </w:r>
        <w:r w:rsidR="00183CC8">
          <w:rPr>
            <w:noProof/>
            <w:webHidden/>
          </w:rPr>
          <w:instrText xml:space="preserve"> PAGEREF _Toc90217021 \h </w:instrText>
        </w:r>
        <w:r w:rsidR="00183CC8">
          <w:rPr>
            <w:noProof/>
            <w:webHidden/>
          </w:rPr>
        </w:r>
        <w:r w:rsidR="00183CC8">
          <w:rPr>
            <w:noProof/>
            <w:webHidden/>
          </w:rPr>
          <w:fldChar w:fldCharType="separate"/>
        </w:r>
        <w:r w:rsidR="00183CC8">
          <w:rPr>
            <w:noProof/>
            <w:webHidden/>
          </w:rPr>
          <w:t>214</w:t>
        </w:r>
        <w:r w:rsidR="00183CC8">
          <w:rPr>
            <w:noProof/>
            <w:webHidden/>
          </w:rPr>
          <w:fldChar w:fldCharType="end"/>
        </w:r>
      </w:hyperlink>
    </w:p>
    <w:p w14:paraId="70871B5B" w14:textId="2FEF0D4C" w:rsidR="00183CC8" w:rsidRDefault="003373BF">
      <w:pPr>
        <w:pStyle w:val="TableofFigures"/>
        <w:tabs>
          <w:tab w:val="right" w:leader="dot" w:pos="9402"/>
        </w:tabs>
        <w:rPr>
          <w:rFonts w:eastAsiaTheme="minorEastAsia" w:cstheme="minorBidi"/>
          <w:noProof/>
          <w:szCs w:val="24"/>
          <w:lang w:eastAsia="en-GB"/>
        </w:rPr>
      </w:pPr>
      <w:hyperlink w:anchor="_Toc90217022" w:history="1">
        <w:r w:rsidR="00183CC8" w:rsidRPr="001D0CAE">
          <w:rPr>
            <w:rStyle w:val="Hyperlink"/>
            <w:noProof/>
          </w:rPr>
          <w:t xml:space="preserve">Figure 5.37 Effect of vancomycin and/or methicillin on </w:t>
        </w:r>
        <w:r w:rsidR="00183CC8" w:rsidRPr="001D0CAE">
          <w:rPr>
            <w:rStyle w:val="Hyperlink"/>
            <w:i/>
            <w:noProof/>
          </w:rPr>
          <w:t>S. aureus</w:t>
        </w:r>
        <w:r w:rsidR="00183CC8" w:rsidRPr="001D0CAE">
          <w:rPr>
            <w:rStyle w:val="Hyperlink"/>
            <w:noProof/>
          </w:rPr>
          <w:t xml:space="preserve"> </w:t>
        </w:r>
        <w:r w:rsidR="00183CC8" w:rsidRPr="001D0CAE">
          <w:rPr>
            <w:rStyle w:val="Hyperlink"/>
            <w:i/>
            <w:noProof/>
          </w:rPr>
          <w:t>ltaS gdpP::kan</w:t>
        </w:r>
        <w:r w:rsidR="00183CC8" w:rsidRPr="001D0CAE">
          <w:rPr>
            <w:rStyle w:val="Hyperlink"/>
            <w:noProof/>
          </w:rPr>
          <w:t xml:space="preserve"> morphology and division.</w:t>
        </w:r>
        <w:r w:rsidR="00183CC8">
          <w:rPr>
            <w:noProof/>
            <w:webHidden/>
          </w:rPr>
          <w:tab/>
        </w:r>
        <w:r w:rsidR="00183CC8">
          <w:rPr>
            <w:noProof/>
            <w:webHidden/>
          </w:rPr>
          <w:fldChar w:fldCharType="begin"/>
        </w:r>
        <w:r w:rsidR="00183CC8">
          <w:rPr>
            <w:noProof/>
            <w:webHidden/>
          </w:rPr>
          <w:instrText xml:space="preserve"> PAGEREF _Toc90217022 \h </w:instrText>
        </w:r>
        <w:r w:rsidR="00183CC8">
          <w:rPr>
            <w:noProof/>
            <w:webHidden/>
          </w:rPr>
        </w:r>
        <w:r w:rsidR="00183CC8">
          <w:rPr>
            <w:noProof/>
            <w:webHidden/>
          </w:rPr>
          <w:fldChar w:fldCharType="separate"/>
        </w:r>
        <w:r w:rsidR="00183CC8">
          <w:rPr>
            <w:noProof/>
            <w:webHidden/>
          </w:rPr>
          <w:t>215</w:t>
        </w:r>
        <w:r w:rsidR="00183CC8">
          <w:rPr>
            <w:noProof/>
            <w:webHidden/>
          </w:rPr>
          <w:fldChar w:fldCharType="end"/>
        </w:r>
      </w:hyperlink>
    </w:p>
    <w:p w14:paraId="0A31624E" w14:textId="40B4A43F" w:rsidR="00183CC8" w:rsidRDefault="003373BF">
      <w:pPr>
        <w:pStyle w:val="TableofFigures"/>
        <w:tabs>
          <w:tab w:val="right" w:leader="dot" w:pos="9402"/>
        </w:tabs>
        <w:rPr>
          <w:rFonts w:eastAsiaTheme="minorEastAsia" w:cstheme="minorBidi"/>
          <w:noProof/>
          <w:szCs w:val="24"/>
          <w:lang w:eastAsia="en-GB"/>
        </w:rPr>
      </w:pPr>
      <w:hyperlink w:anchor="_Toc90217023" w:history="1">
        <w:r w:rsidR="00183CC8" w:rsidRPr="001D0CAE">
          <w:rPr>
            <w:rStyle w:val="Hyperlink"/>
            <w:noProof/>
          </w:rPr>
          <w:t xml:space="preserve">Figure 5.38 Effect of vancomycin and/or methicillin on </w:t>
        </w:r>
        <w:r w:rsidR="00183CC8" w:rsidRPr="001D0CAE">
          <w:rPr>
            <w:rStyle w:val="Hyperlink"/>
            <w:i/>
            <w:noProof/>
          </w:rPr>
          <w:t>S. aureus</w:t>
        </w:r>
        <w:r w:rsidR="00183CC8" w:rsidRPr="001D0CAE">
          <w:rPr>
            <w:rStyle w:val="Hyperlink"/>
            <w:noProof/>
          </w:rPr>
          <w:t xml:space="preserve"> </w:t>
        </w:r>
        <w:r w:rsidR="00183CC8" w:rsidRPr="001D0CAE">
          <w:rPr>
            <w:rStyle w:val="Hyperlink"/>
            <w:i/>
            <w:noProof/>
          </w:rPr>
          <w:t>ltaS gdpP::kan</w:t>
        </w:r>
        <w:r w:rsidR="00183CC8" w:rsidRPr="001D0CAE">
          <w:rPr>
            <w:rStyle w:val="Hyperlink"/>
            <w:noProof/>
          </w:rPr>
          <w:t xml:space="preserve"> morphology.</w:t>
        </w:r>
        <w:r w:rsidR="00183CC8">
          <w:rPr>
            <w:noProof/>
            <w:webHidden/>
          </w:rPr>
          <w:tab/>
        </w:r>
        <w:r w:rsidR="00183CC8">
          <w:rPr>
            <w:noProof/>
            <w:webHidden/>
          </w:rPr>
          <w:fldChar w:fldCharType="begin"/>
        </w:r>
        <w:r w:rsidR="00183CC8">
          <w:rPr>
            <w:noProof/>
            <w:webHidden/>
          </w:rPr>
          <w:instrText xml:space="preserve"> PAGEREF _Toc90217023 \h </w:instrText>
        </w:r>
        <w:r w:rsidR="00183CC8">
          <w:rPr>
            <w:noProof/>
            <w:webHidden/>
          </w:rPr>
        </w:r>
        <w:r w:rsidR="00183CC8">
          <w:rPr>
            <w:noProof/>
            <w:webHidden/>
          </w:rPr>
          <w:fldChar w:fldCharType="separate"/>
        </w:r>
        <w:r w:rsidR="00183CC8">
          <w:rPr>
            <w:noProof/>
            <w:webHidden/>
          </w:rPr>
          <w:t>216</w:t>
        </w:r>
        <w:r w:rsidR="00183CC8">
          <w:rPr>
            <w:noProof/>
            <w:webHidden/>
          </w:rPr>
          <w:fldChar w:fldCharType="end"/>
        </w:r>
      </w:hyperlink>
    </w:p>
    <w:p w14:paraId="239501B6" w14:textId="67283CBF" w:rsidR="00183CC8" w:rsidRDefault="003373BF">
      <w:pPr>
        <w:pStyle w:val="TableofFigures"/>
        <w:tabs>
          <w:tab w:val="right" w:leader="dot" w:pos="9402"/>
        </w:tabs>
        <w:rPr>
          <w:rFonts w:eastAsiaTheme="minorEastAsia" w:cstheme="minorBidi"/>
          <w:noProof/>
          <w:szCs w:val="24"/>
          <w:lang w:eastAsia="en-GB"/>
        </w:rPr>
      </w:pPr>
      <w:hyperlink w:anchor="_Toc90217024" w:history="1">
        <w:r w:rsidR="00183CC8" w:rsidRPr="001D0CAE">
          <w:rPr>
            <w:rStyle w:val="Hyperlink"/>
            <w:noProof/>
          </w:rPr>
          <w:t xml:space="preserve">Figure 5.39 Cryo-EM, cryo-ET and TEM comparative electron microscopy analysis of the effect of methicillin on </w:t>
        </w:r>
        <w:r w:rsidR="00183CC8" w:rsidRPr="001D0CAE">
          <w:rPr>
            <w:rStyle w:val="Hyperlink"/>
            <w:i/>
            <w:noProof/>
          </w:rPr>
          <w:t>S. aureus</w:t>
        </w:r>
        <w:r w:rsidR="00183CC8" w:rsidRPr="001D0CAE">
          <w:rPr>
            <w:rStyle w:val="Hyperlink"/>
            <w:noProof/>
          </w:rPr>
          <w:t xml:space="preserve"> SH1000.</w:t>
        </w:r>
        <w:r w:rsidR="00183CC8">
          <w:rPr>
            <w:noProof/>
            <w:webHidden/>
          </w:rPr>
          <w:tab/>
        </w:r>
        <w:r w:rsidR="00183CC8">
          <w:rPr>
            <w:noProof/>
            <w:webHidden/>
          </w:rPr>
          <w:fldChar w:fldCharType="begin"/>
        </w:r>
        <w:r w:rsidR="00183CC8">
          <w:rPr>
            <w:noProof/>
            <w:webHidden/>
          </w:rPr>
          <w:instrText xml:space="preserve"> PAGEREF _Toc90217024 \h </w:instrText>
        </w:r>
        <w:r w:rsidR="00183CC8">
          <w:rPr>
            <w:noProof/>
            <w:webHidden/>
          </w:rPr>
        </w:r>
        <w:r w:rsidR="00183CC8">
          <w:rPr>
            <w:noProof/>
            <w:webHidden/>
          </w:rPr>
          <w:fldChar w:fldCharType="separate"/>
        </w:r>
        <w:r w:rsidR="00183CC8">
          <w:rPr>
            <w:noProof/>
            <w:webHidden/>
          </w:rPr>
          <w:t>218</w:t>
        </w:r>
        <w:r w:rsidR="00183CC8">
          <w:rPr>
            <w:noProof/>
            <w:webHidden/>
          </w:rPr>
          <w:fldChar w:fldCharType="end"/>
        </w:r>
      </w:hyperlink>
    </w:p>
    <w:p w14:paraId="266F5F83" w14:textId="7E4BA4EA" w:rsidR="00183CC8" w:rsidRDefault="003373BF">
      <w:pPr>
        <w:pStyle w:val="TableofFigures"/>
        <w:tabs>
          <w:tab w:val="right" w:leader="dot" w:pos="9402"/>
        </w:tabs>
        <w:rPr>
          <w:rFonts w:eastAsiaTheme="minorEastAsia" w:cstheme="minorBidi"/>
          <w:noProof/>
          <w:szCs w:val="24"/>
          <w:lang w:eastAsia="en-GB"/>
        </w:rPr>
      </w:pPr>
      <w:hyperlink w:anchor="_Toc90217025" w:history="1">
        <w:r w:rsidR="00183CC8" w:rsidRPr="001D0CAE">
          <w:rPr>
            <w:rStyle w:val="Hyperlink"/>
            <w:noProof/>
          </w:rPr>
          <w:t xml:space="preserve">Figure 5.40 TEM micrographs of ruptured cells of </w:t>
        </w:r>
        <w:r w:rsidR="00183CC8" w:rsidRPr="001D0CAE">
          <w:rPr>
            <w:rStyle w:val="Hyperlink"/>
            <w:i/>
            <w:noProof/>
          </w:rPr>
          <w:t>S. aureus</w:t>
        </w:r>
        <w:r w:rsidR="00183CC8" w:rsidRPr="001D0CAE">
          <w:rPr>
            <w:rStyle w:val="Hyperlink"/>
            <w:noProof/>
          </w:rPr>
          <w:t xml:space="preserve"> treated with methicillin.</w:t>
        </w:r>
        <w:r w:rsidR="00183CC8">
          <w:rPr>
            <w:noProof/>
            <w:webHidden/>
          </w:rPr>
          <w:tab/>
        </w:r>
        <w:r w:rsidR="00183CC8">
          <w:rPr>
            <w:noProof/>
            <w:webHidden/>
          </w:rPr>
          <w:fldChar w:fldCharType="begin"/>
        </w:r>
        <w:r w:rsidR="00183CC8">
          <w:rPr>
            <w:noProof/>
            <w:webHidden/>
          </w:rPr>
          <w:instrText xml:space="preserve"> PAGEREF _Toc90217025 \h </w:instrText>
        </w:r>
        <w:r w:rsidR="00183CC8">
          <w:rPr>
            <w:noProof/>
            <w:webHidden/>
          </w:rPr>
        </w:r>
        <w:r w:rsidR="00183CC8">
          <w:rPr>
            <w:noProof/>
            <w:webHidden/>
          </w:rPr>
          <w:fldChar w:fldCharType="separate"/>
        </w:r>
        <w:r w:rsidR="00183CC8">
          <w:rPr>
            <w:noProof/>
            <w:webHidden/>
          </w:rPr>
          <w:t>219</w:t>
        </w:r>
        <w:r w:rsidR="00183CC8">
          <w:rPr>
            <w:noProof/>
            <w:webHidden/>
          </w:rPr>
          <w:fldChar w:fldCharType="end"/>
        </w:r>
      </w:hyperlink>
    </w:p>
    <w:p w14:paraId="19AFE781" w14:textId="6D44CC1E" w:rsidR="00183CC8" w:rsidRDefault="003373BF">
      <w:pPr>
        <w:pStyle w:val="TableofFigures"/>
        <w:tabs>
          <w:tab w:val="right" w:leader="dot" w:pos="9402"/>
        </w:tabs>
        <w:rPr>
          <w:rFonts w:eastAsiaTheme="minorEastAsia" w:cstheme="minorBidi"/>
          <w:noProof/>
          <w:szCs w:val="24"/>
          <w:lang w:eastAsia="en-GB"/>
        </w:rPr>
      </w:pPr>
      <w:hyperlink w:anchor="_Toc90217026" w:history="1">
        <w:r w:rsidR="00183CC8" w:rsidRPr="001D0CAE">
          <w:rPr>
            <w:rStyle w:val="Hyperlink"/>
            <w:noProof/>
          </w:rPr>
          <w:t xml:space="preserve">Figure 5.41 Detailed cryo-ET and TEM micrographs showing plasmolysis in methicillin treated </w:t>
        </w:r>
        <w:r w:rsidR="00183CC8" w:rsidRPr="001D0CAE">
          <w:rPr>
            <w:rStyle w:val="Hyperlink"/>
            <w:i/>
            <w:noProof/>
          </w:rPr>
          <w:t>S. aureus</w:t>
        </w:r>
        <w:r w:rsidR="00183CC8" w:rsidRPr="001D0CAE">
          <w:rPr>
            <w:rStyle w:val="Hyperlink"/>
            <w:noProof/>
          </w:rPr>
          <w:t xml:space="preserve"> SH1000.</w:t>
        </w:r>
        <w:r w:rsidR="00183CC8">
          <w:rPr>
            <w:noProof/>
            <w:webHidden/>
          </w:rPr>
          <w:tab/>
        </w:r>
        <w:r w:rsidR="00183CC8">
          <w:rPr>
            <w:noProof/>
            <w:webHidden/>
          </w:rPr>
          <w:fldChar w:fldCharType="begin"/>
        </w:r>
        <w:r w:rsidR="00183CC8">
          <w:rPr>
            <w:noProof/>
            <w:webHidden/>
          </w:rPr>
          <w:instrText xml:space="preserve"> PAGEREF _Toc90217026 \h </w:instrText>
        </w:r>
        <w:r w:rsidR="00183CC8">
          <w:rPr>
            <w:noProof/>
            <w:webHidden/>
          </w:rPr>
        </w:r>
        <w:r w:rsidR="00183CC8">
          <w:rPr>
            <w:noProof/>
            <w:webHidden/>
          </w:rPr>
          <w:fldChar w:fldCharType="separate"/>
        </w:r>
        <w:r w:rsidR="00183CC8">
          <w:rPr>
            <w:noProof/>
            <w:webHidden/>
          </w:rPr>
          <w:t>220</w:t>
        </w:r>
        <w:r w:rsidR="00183CC8">
          <w:rPr>
            <w:noProof/>
            <w:webHidden/>
          </w:rPr>
          <w:fldChar w:fldCharType="end"/>
        </w:r>
      </w:hyperlink>
    </w:p>
    <w:p w14:paraId="0C50FB36" w14:textId="36F47822" w:rsidR="00183CC8" w:rsidRDefault="003373BF">
      <w:pPr>
        <w:pStyle w:val="TableofFigures"/>
        <w:tabs>
          <w:tab w:val="right" w:leader="dot" w:pos="9402"/>
        </w:tabs>
        <w:rPr>
          <w:rFonts w:eastAsiaTheme="minorEastAsia" w:cstheme="minorBidi"/>
          <w:noProof/>
          <w:szCs w:val="24"/>
          <w:lang w:eastAsia="en-GB"/>
        </w:rPr>
      </w:pPr>
      <w:hyperlink w:anchor="_Toc90217027" w:history="1">
        <w:r w:rsidR="00183CC8" w:rsidRPr="001D0CAE">
          <w:rPr>
            <w:rStyle w:val="Hyperlink"/>
            <w:noProof/>
          </w:rPr>
          <w:t xml:space="preserve">Figure 5.42 Effect of vancomycin and/or methicillin on </w:t>
        </w:r>
        <w:r w:rsidR="00183CC8" w:rsidRPr="001D0CAE">
          <w:rPr>
            <w:rStyle w:val="Hyperlink"/>
            <w:i/>
            <w:noProof/>
          </w:rPr>
          <w:t xml:space="preserve">S. aureus sagB </w:t>
        </w:r>
        <w:r w:rsidR="00183CC8" w:rsidRPr="001D0CAE">
          <w:rPr>
            <w:rStyle w:val="Hyperlink"/>
            <w:noProof/>
          </w:rPr>
          <w:t>survival.</w:t>
        </w:r>
        <w:r w:rsidR="00183CC8">
          <w:rPr>
            <w:noProof/>
            <w:webHidden/>
          </w:rPr>
          <w:tab/>
        </w:r>
        <w:r w:rsidR="00183CC8">
          <w:rPr>
            <w:noProof/>
            <w:webHidden/>
          </w:rPr>
          <w:fldChar w:fldCharType="begin"/>
        </w:r>
        <w:r w:rsidR="00183CC8">
          <w:rPr>
            <w:noProof/>
            <w:webHidden/>
          </w:rPr>
          <w:instrText xml:space="preserve"> PAGEREF _Toc90217027 \h </w:instrText>
        </w:r>
        <w:r w:rsidR="00183CC8">
          <w:rPr>
            <w:noProof/>
            <w:webHidden/>
          </w:rPr>
        </w:r>
        <w:r w:rsidR="00183CC8">
          <w:rPr>
            <w:noProof/>
            <w:webHidden/>
          </w:rPr>
          <w:fldChar w:fldCharType="separate"/>
        </w:r>
        <w:r w:rsidR="00183CC8">
          <w:rPr>
            <w:noProof/>
            <w:webHidden/>
          </w:rPr>
          <w:t>223</w:t>
        </w:r>
        <w:r w:rsidR="00183CC8">
          <w:rPr>
            <w:noProof/>
            <w:webHidden/>
          </w:rPr>
          <w:fldChar w:fldCharType="end"/>
        </w:r>
      </w:hyperlink>
    </w:p>
    <w:p w14:paraId="19C1F4B3" w14:textId="4F3C8A2F" w:rsidR="00183CC8" w:rsidRDefault="003373BF">
      <w:pPr>
        <w:pStyle w:val="TableofFigures"/>
        <w:tabs>
          <w:tab w:val="right" w:leader="dot" w:pos="9402"/>
        </w:tabs>
        <w:rPr>
          <w:rFonts w:eastAsiaTheme="minorEastAsia" w:cstheme="minorBidi"/>
          <w:noProof/>
          <w:szCs w:val="24"/>
          <w:lang w:eastAsia="en-GB"/>
        </w:rPr>
      </w:pPr>
      <w:hyperlink w:anchor="_Toc90217028" w:history="1">
        <w:r w:rsidR="00183CC8" w:rsidRPr="001D0CAE">
          <w:rPr>
            <w:rStyle w:val="Hyperlink"/>
            <w:noProof/>
          </w:rPr>
          <w:t xml:space="preserve">Figure 5.43 Effect of vancomycin and/or methicillin on </w:t>
        </w:r>
        <w:r w:rsidR="00183CC8" w:rsidRPr="001D0CAE">
          <w:rPr>
            <w:rStyle w:val="Hyperlink"/>
            <w:i/>
            <w:noProof/>
          </w:rPr>
          <w:t xml:space="preserve">S. aureus sagB </w:t>
        </w:r>
        <w:r w:rsidR="00183CC8" w:rsidRPr="001D0CAE">
          <w:rPr>
            <w:rStyle w:val="Hyperlink"/>
            <w:noProof/>
          </w:rPr>
          <w:t>survival morphology and division.</w:t>
        </w:r>
        <w:r w:rsidR="00183CC8">
          <w:rPr>
            <w:noProof/>
            <w:webHidden/>
          </w:rPr>
          <w:tab/>
        </w:r>
        <w:r w:rsidR="00183CC8">
          <w:rPr>
            <w:noProof/>
            <w:webHidden/>
          </w:rPr>
          <w:fldChar w:fldCharType="begin"/>
        </w:r>
        <w:r w:rsidR="00183CC8">
          <w:rPr>
            <w:noProof/>
            <w:webHidden/>
          </w:rPr>
          <w:instrText xml:space="preserve"> PAGEREF _Toc90217028 \h </w:instrText>
        </w:r>
        <w:r w:rsidR="00183CC8">
          <w:rPr>
            <w:noProof/>
            <w:webHidden/>
          </w:rPr>
        </w:r>
        <w:r w:rsidR="00183CC8">
          <w:rPr>
            <w:noProof/>
            <w:webHidden/>
          </w:rPr>
          <w:fldChar w:fldCharType="separate"/>
        </w:r>
        <w:r w:rsidR="00183CC8">
          <w:rPr>
            <w:noProof/>
            <w:webHidden/>
          </w:rPr>
          <w:t>224</w:t>
        </w:r>
        <w:r w:rsidR="00183CC8">
          <w:rPr>
            <w:noProof/>
            <w:webHidden/>
          </w:rPr>
          <w:fldChar w:fldCharType="end"/>
        </w:r>
      </w:hyperlink>
    </w:p>
    <w:p w14:paraId="40D545B4" w14:textId="2A6966C4" w:rsidR="00183CC8" w:rsidRDefault="003373BF">
      <w:pPr>
        <w:pStyle w:val="TableofFigures"/>
        <w:tabs>
          <w:tab w:val="right" w:leader="dot" w:pos="9402"/>
        </w:tabs>
        <w:rPr>
          <w:rFonts w:eastAsiaTheme="minorEastAsia" w:cstheme="minorBidi"/>
          <w:noProof/>
          <w:szCs w:val="24"/>
          <w:lang w:eastAsia="en-GB"/>
        </w:rPr>
      </w:pPr>
      <w:hyperlink w:anchor="_Toc90217029" w:history="1">
        <w:r w:rsidR="00183CC8" w:rsidRPr="001D0CAE">
          <w:rPr>
            <w:rStyle w:val="Hyperlink"/>
            <w:noProof/>
          </w:rPr>
          <w:t xml:space="preserve">Figure 5.44 Effect of vancomycin and/or methicillin on </w:t>
        </w:r>
        <w:r w:rsidR="00183CC8" w:rsidRPr="001D0CAE">
          <w:rPr>
            <w:rStyle w:val="Hyperlink"/>
            <w:i/>
            <w:noProof/>
          </w:rPr>
          <w:t>S. aureus</w:t>
        </w:r>
        <w:r w:rsidR="00183CC8" w:rsidRPr="001D0CAE">
          <w:rPr>
            <w:rStyle w:val="Hyperlink"/>
            <w:noProof/>
          </w:rPr>
          <w:t xml:space="preserve"> </w:t>
        </w:r>
        <w:r w:rsidR="00183CC8" w:rsidRPr="001D0CAE">
          <w:rPr>
            <w:rStyle w:val="Hyperlink"/>
            <w:i/>
            <w:noProof/>
          </w:rPr>
          <w:t>sagB</w:t>
        </w:r>
        <w:r w:rsidR="00183CC8" w:rsidRPr="001D0CAE">
          <w:rPr>
            <w:rStyle w:val="Hyperlink"/>
            <w:noProof/>
          </w:rPr>
          <w:t xml:space="preserve"> phenotype.</w:t>
        </w:r>
        <w:r w:rsidR="00183CC8">
          <w:rPr>
            <w:noProof/>
            <w:webHidden/>
          </w:rPr>
          <w:tab/>
        </w:r>
        <w:r w:rsidR="00183CC8">
          <w:rPr>
            <w:noProof/>
            <w:webHidden/>
          </w:rPr>
          <w:fldChar w:fldCharType="begin"/>
        </w:r>
        <w:r w:rsidR="00183CC8">
          <w:rPr>
            <w:noProof/>
            <w:webHidden/>
          </w:rPr>
          <w:instrText xml:space="preserve"> PAGEREF _Toc90217029 \h </w:instrText>
        </w:r>
        <w:r w:rsidR="00183CC8">
          <w:rPr>
            <w:noProof/>
            <w:webHidden/>
          </w:rPr>
        </w:r>
        <w:r w:rsidR="00183CC8">
          <w:rPr>
            <w:noProof/>
            <w:webHidden/>
          </w:rPr>
          <w:fldChar w:fldCharType="separate"/>
        </w:r>
        <w:r w:rsidR="00183CC8">
          <w:rPr>
            <w:noProof/>
            <w:webHidden/>
          </w:rPr>
          <w:t>225</w:t>
        </w:r>
        <w:r w:rsidR="00183CC8">
          <w:rPr>
            <w:noProof/>
            <w:webHidden/>
          </w:rPr>
          <w:fldChar w:fldCharType="end"/>
        </w:r>
      </w:hyperlink>
    </w:p>
    <w:p w14:paraId="50DFD997" w14:textId="4BA7A6CE" w:rsidR="00183CC8" w:rsidRDefault="003373BF">
      <w:pPr>
        <w:pStyle w:val="TableofFigures"/>
        <w:tabs>
          <w:tab w:val="right" w:leader="dot" w:pos="9402"/>
        </w:tabs>
        <w:rPr>
          <w:rFonts w:eastAsiaTheme="minorEastAsia" w:cstheme="minorBidi"/>
          <w:noProof/>
          <w:szCs w:val="24"/>
          <w:lang w:eastAsia="en-GB"/>
        </w:rPr>
      </w:pPr>
      <w:hyperlink w:anchor="_Toc90217030" w:history="1">
        <w:r w:rsidR="00183CC8" w:rsidRPr="001D0CAE">
          <w:rPr>
            <w:rStyle w:val="Hyperlink"/>
            <w:noProof/>
          </w:rPr>
          <w:t xml:space="preserve">Figure 5.45 Effect of vancomycin and/or methicillin on </w:t>
        </w:r>
        <w:r w:rsidR="00183CC8" w:rsidRPr="001D0CAE">
          <w:rPr>
            <w:rStyle w:val="Hyperlink"/>
            <w:i/>
            <w:noProof/>
          </w:rPr>
          <w:t>S. aureus</w:t>
        </w:r>
        <w:r w:rsidR="00183CC8" w:rsidRPr="001D0CAE">
          <w:rPr>
            <w:rStyle w:val="Hyperlink"/>
            <w:noProof/>
          </w:rPr>
          <w:t xml:space="preserve"> SH1000 </w:t>
        </w:r>
        <w:r w:rsidR="00183CC8" w:rsidRPr="001D0CAE">
          <w:rPr>
            <w:rStyle w:val="Hyperlink"/>
            <w:i/>
            <w:noProof/>
          </w:rPr>
          <w:t>atl</w:t>
        </w:r>
        <w:r w:rsidR="00183CC8" w:rsidRPr="001D0CAE">
          <w:rPr>
            <w:rStyle w:val="Hyperlink"/>
            <w:noProof/>
          </w:rPr>
          <w:t xml:space="preserve"> survival.</w:t>
        </w:r>
        <w:r w:rsidR="00183CC8">
          <w:rPr>
            <w:noProof/>
            <w:webHidden/>
          </w:rPr>
          <w:tab/>
        </w:r>
        <w:r w:rsidR="00183CC8">
          <w:rPr>
            <w:noProof/>
            <w:webHidden/>
          </w:rPr>
          <w:fldChar w:fldCharType="begin"/>
        </w:r>
        <w:r w:rsidR="00183CC8">
          <w:rPr>
            <w:noProof/>
            <w:webHidden/>
          </w:rPr>
          <w:instrText xml:space="preserve"> PAGEREF _Toc90217030 \h </w:instrText>
        </w:r>
        <w:r w:rsidR="00183CC8">
          <w:rPr>
            <w:noProof/>
            <w:webHidden/>
          </w:rPr>
        </w:r>
        <w:r w:rsidR="00183CC8">
          <w:rPr>
            <w:noProof/>
            <w:webHidden/>
          </w:rPr>
          <w:fldChar w:fldCharType="separate"/>
        </w:r>
        <w:r w:rsidR="00183CC8">
          <w:rPr>
            <w:noProof/>
            <w:webHidden/>
          </w:rPr>
          <w:t>227</w:t>
        </w:r>
        <w:r w:rsidR="00183CC8">
          <w:rPr>
            <w:noProof/>
            <w:webHidden/>
          </w:rPr>
          <w:fldChar w:fldCharType="end"/>
        </w:r>
      </w:hyperlink>
    </w:p>
    <w:p w14:paraId="36AB4F78" w14:textId="3CEC59F7" w:rsidR="00183CC8" w:rsidRDefault="003373BF">
      <w:pPr>
        <w:pStyle w:val="TableofFigures"/>
        <w:tabs>
          <w:tab w:val="right" w:leader="dot" w:pos="9402"/>
        </w:tabs>
        <w:rPr>
          <w:rFonts w:eastAsiaTheme="minorEastAsia" w:cstheme="minorBidi"/>
          <w:noProof/>
          <w:szCs w:val="24"/>
          <w:lang w:eastAsia="en-GB"/>
        </w:rPr>
      </w:pPr>
      <w:hyperlink w:anchor="_Toc90217031" w:history="1">
        <w:r w:rsidR="00183CC8" w:rsidRPr="001D0CAE">
          <w:rPr>
            <w:rStyle w:val="Hyperlink"/>
            <w:noProof/>
          </w:rPr>
          <w:t xml:space="preserve">Figure 5.46 Effect of vancomycin and/or methicillin on </w:t>
        </w:r>
        <w:r w:rsidR="00183CC8" w:rsidRPr="001D0CAE">
          <w:rPr>
            <w:rStyle w:val="Hyperlink"/>
            <w:i/>
            <w:noProof/>
          </w:rPr>
          <w:t>S. aureus atl</w:t>
        </w:r>
        <w:r w:rsidR="00183CC8" w:rsidRPr="001D0CAE">
          <w:rPr>
            <w:rStyle w:val="Hyperlink"/>
            <w:noProof/>
          </w:rPr>
          <w:t xml:space="preserve"> morphology.</w:t>
        </w:r>
        <w:r w:rsidR="00183CC8">
          <w:rPr>
            <w:noProof/>
            <w:webHidden/>
          </w:rPr>
          <w:tab/>
        </w:r>
        <w:r w:rsidR="00183CC8">
          <w:rPr>
            <w:noProof/>
            <w:webHidden/>
          </w:rPr>
          <w:fldChar w:fldCharType="begin"/>
        </w:r>
        <w:r w:rsidR="00183CC8">
          <w:rPr>
            <w:noProof/>
            <w:webHidden/>
          </w:rPr>
          <w:instrText xml:space="preserve"> PAGEREF _Toc90217031 \h </w:instrText>
        </w:r>
        <w:r w:rsidR="00183CC8">
          <w:rPr>
            <w:noProof/>
            <w:webHidden/>
          </w:rPr>
        </w:r>
        <w:r w:rsidR="00183CC8">
          <w:rPr>
            <w:noProof/>
            <w:webHidden/>
          </w:rPr>
          <w:fldChar w:fldCharType="separate"/>
        </w:r>
        <w:r w:rsidR="00183CC8">
          <w:rPr>
            <w:noProof/>
            <w:webHidden/>
          </w:rPr>
          <w:t>228</w:t>
        </w:r>
        <w:r w:rsidR="00183CC8">
          <w:rPr>
            <w:noProof/>
            <w:webHidden/>
          </w:rPr>
          <w:fldChar w:fldCharType="end"/>
        </w:r>
      </w:hyperlink>
    </w:p>
    <w:p w14:paraId="651491B9" w14:textId="11FA6DD5" w:rsidR="00183CC8" w:rsidRDefault="003373BF">
      <w:pPr>
        <w:pStyle w:val="TableofFigures"/>
        <w:tabs>
          <w:tab w:val="right" w:leader="dot" w:pos="9402"/>
        </w:tabs>
        <w:rPr>
          <w:rFonts w:eastAsiaTheme="minorEastAsia" w:cstheme="minorBidi"/>
          <w:noProof/>
          <w:szCs w:val="24"/>
          <w:lang w:eastAsia="en-GB"/>
        </w:rPr>
      </w:pPr>
      <w:hyperlink w:anchor="_Toc90217032" w:history="1">
        <w:r w:rsidR="00183CC8" w:rsidRPr="001D0CAE">
          <w:rPr>
            <w:rStyle w:val="Hyperlink"/>
            <w:noProof/>
          </w:rPr>
          <w:t xml:space="preserve">Figure 5.47 Effect of oxacillin and vancomycin on </w:t>
        </w:r>
        <w:r w:rsidR="00183CC8" w:rsidRPr="001D0CAE">
          <w:rPr>
            <w:rStyle w:val="Hyperlink"/>
            <w:i/>
            <w:noProof/>
          </w:rPr>
          <w:t>S. aureus atl</w:t>
        </w:r>
        <w:r w:rsidR="00183CC8" w:rsidRPr="001D0CAE">
          <w:rPr>
            <w:rStyle w:val="Hyperlink"/>
            <w:noProof/>
          </w:rPr>
          <w:t xml:space="preserve"> morphology.</w:t>
        </w:r>
        <w:r w:rsidR="00183CC8">
          <w:rPr>
            <w:noProof/>
            <w:webHidden/>
          </w:rPr>
          <w:tab/>
        </w:r>
        <w:r w:rsidR="00183CC8">
          <w:rPr>
            <w:noProof/>
            <w:webHidden/>
          </w:rPr>
          <w:fldChar w:fldCharType="begin"/>
        </w:r>
        <w:r w:rsidR="00183CC8">
          <w:rPr>
            <w:noProof/>
            <w:webHidden/>
          </w:rPr>
          <w:instrText xml:space="preserve"> PAGEREF _Toc90217032 \h </w:instrText>
        </w:r>
        <w:r w:rsidR="00183CC8">
          <w:rPr>
            <w:noProof/>
            <w:webHidden/>
          </w:rPr>
        </w:r>
        <w:r w:rsidR="00183CC8">
          <w:rPr>
            <w:noProof/>
            <w:webHidden/>
          </w:rPr>
          <w:fldChar w:fldCharType="separate"/>
        </w:r>
        <w:r w:rsidR="00183CC8">
          <w:rPr>
            <w:noProof/>
            <w:webHidden/>
          </w:rPr>
          <w:t>229</w:t>
        </w:r>
        <w:r w:rsidR="00183CC8">
          <w:rPr>
            <w:noProof/>
            <w:webHidden/>
          </w:rPr>
          <w:fldChar w:fldCharType="end"/>
        </w:r>
      </w:hyperlink>
    </w:p>
    <w:p w14:paraId="61274BF5" w14:textId="7B5C6782" w:rsidR="00183CC8" w:rsidRDefault="003373BF">
      <w:pPr>
        <w:pStyle w:val="TableofFigures"/>
        <w:tabs>
          <w:tab w:val="right" w:leader="dot" w:pos="9402"/>
        </w:tabs>
        <w:rPr>
          <w:rFonts w:eastAsiaTheme="minorEastAsia" w:cstheme="minorBidi"/>
          <w:noProof/>
          <w:szCs w:val="24"/>
          <w:lang w:eastAsia="en-GB"/>
        </w:rPr>
      </w:pPr>
      <w:hyperlink w:anchor="_Toc90217033" w:history="1">
        <w:r w:rsidR="00183CC8" w:rsidRPr="001D0CAE">
          <w:rPr>
            <w:rStyle w:val="Hyperlink"/>
            <w:noProof/>
          </w:rPr>
          <w:t xml:space="preserve">Figure 5.48 Effect of vancomycin, oxacillin and methicillin on </w:t>
        </w:r>
        <w:r w:rsidR="00183CC8" w:rsidRPr="001D0CAE">
          <w:rPr>
            <w:rStyle w:val="Hyperlink"/>
            <w:i/>
            <w:noProof/>
          </w:rPr>
          <w:t>S. aureus atl</w:t>
        </w:r>
        <w:r w:rsidR="00183CC8" w:rsidRPr="001D0CAE">
          <w:rPr>
            <w:rStyle w:val="Hyperlink"/>
            <w:noProof/>
          </w:rPr>
          <w:t xml:space="preserve"> survival and morphology.</w:t>
        </w:r>
        <w:r w:rsidR="00183CC8">
          <w:rPr>
            <w:noProof/>
            <w:webHidden/>
          </w:rPr>
          <w:tab/>
        </w:r>
        <w:r w:rsidR="00183CC8">
          <w:rPr>
            <w:noProof/>
            <w:webHidden/>
          </w:rPr>
          <w:fldChar w:fldCharType="begin"/>
        </w:r>
        <w:r w:rsidR="00183CC8">
          <w:rPr>
            <w:noProof/>
            <w:webHidden/>
          </w:rPr>
          <w:instrText xml:space="preserve"> PAGEREF _Toc90217033 \h </w:instrText>
        </w:r>
        <w:r w:rsidR="00183CC8">
          <w:rPr>
            <w:noProof/>
            <w:webHidden/>
          </w:rPr>
        </w:r>
        <w:r w:rsidR="00183CC8">
          <w:rPr>
            <w:noProof/>
            <w:webHidden/>
          </w:rPr>
          <w:fldChar w:fldCharType="separate"/>
        </w:r>
        <w:r w:rsidR="00183CC8">
          <w:rPr>
            <w:noProof/>
            <w:webHidden/>
          </w:rPr>
          <w:t>230</w:t>
        </w:r>
        <w:r w:rsidR="00183CC8">
          <w:rPr>
            <w:noProof/>
            <w:webHidden/>
          </w:rPr>
          <w:fldChar w:fldCharType="end"/>
        </w:r>
      </w:hyperlink>
    </w:p>
    <w:p w14:paraId="3B99E978" w14:textId="0FFFEF46" w:rsidR="00183CC8" w:rsidRDefault="003373BF">
      <w:pPr>
        <w:pStyle w:val="TableofFigures"/>
        <w:tabs>
          <w:tab w:val="right" w:leader="dot" w:pos="9402"/>
        </w:tabs>
        <w:rPr>
          <w:rFonts w:eastAsiaTheme="minorEastAsia" w:cstheme="minorBidi"/>
          <w:noProof/>
          <w:szCs w:val="24"/>
          <w:lang w:eastAsia="en-GB"/>
        </w:rPr>
      </w:pPr>
      <w:hyperlink w:anchor="_Toc90217034" w:history="1">
        <w:r w:rsidR="00183CC8" w:rsidRPr="001D0CAE">
          <w:rPr>
            <w:rStyle w:val="Hyperlink"/>
            <w:noProof/>
          </w:rPr>
          <w:t xml:space="preserve">Figure 5.49 Effect of the depletion of WalKR on </w:t>
        </w:r>
        <w:r w:rsidR="00183CC8" w:rsidRPr="001D0CAE">
          <w:rPr>
            <w:rStyle w:val="Hyperlink"/>
            <w:i/>
            <w:noProof/>
          </w:rPr>
          <w:t>S. aureus</w:t>
        </w:r>
        <w:r w:rsidR="00183CC8" w:rsidRPr="001D0CAE">
          <w:rPr>
            <w:rStyle w:val="Hyperlink"/>
            <w:noProof/>
          </w:rPr>
          <w:t xml:space="preserve"> survival and morphology.</w:t>
        </w:r>
        <w:r w:rsidR="00183CC8">
          <w:rPr>
            <w:noProof/>
            <w:webHidden/>
          </w:rPr>
          <w:tab/>
        </w:r>
        <w:r w:rsidR="00183CC8">
          <w:rPr>
            <w:noProof/>
            <w:webHidden/>
          </w:rPr>
          <w:fldChar w:fldCharType="begin"/>
        </w:r>
        <w:r w:rsidR="00183CC8">
          <w:rPr>
            <w:noProof/>
            <w:webHidden/>
          </w:rPr>
          <w:instrText xml:space="preserve"> PAGEREF _Toc90217034 \h </w:instrText>
        </w:r>
        <w:r w:rsidR="00183CC8">
          <w:rPr>
            <w:noProof/>
            <w:webHidden/>
          </w:rPr>
        </w:r>
        <w:r w:rsidR="00183CC8">
          <w:rPr>
            <w:noProof/>
            <w:webHidden/>
          </w:rPr>
          <w:fldChar w:fldCharType="separate"/>
        </w:r>
        <w:r w:rsidR="00183CC8">
          <w:rPr>
            <w:noProof/>
            <w:webHidden/>
          </w:rPr>
          <w:t>233</w:t>
        </w:r>
        <w:r w:rsidR="00183CC8">
          <w:rPr>
            <w:noProof/>
            <w:webHidden/>
          </w:rPr>
          <w:fldChar w:fldCharType="end"/>
        </w:r>
      </w:hyperlink>
    </w:p>
    <w:p w14:paraId="1A9E76EA" w14:textId="637C8559" w:rsidR="00183CC8" w:rsidRDefault="003373BF">
      <w:pPr>
        <w:pStyle w:val="TableofFigures"/>
        <w:tabs>
          <w:tab w:val="right" w:leader="dot" w:pos="9402"/>
        </w:tabs>
        <w:rPr>
          <w:rFonts w:eastAsiaTheme="minorEastAsia" w:cstheme="minorBidi"/>
          <w:noProof/>
          <w:szCs w:val="24"/>
          <w:lang w:eastAsia="en-GB"/>
        </w:rPr>
      </w:pPr>
      <w:hyperlink w:anchor="_Toc90217035" w:history="1">
        <w:r w:rsidR="00183CC8" w:rsidRPr="001D0CAE">
          <w:rPr>
            <w:rStyle w:val="Hyperlink"/>
            <w:noProof/>
          </w:rPr>
          <w:t xml:space="preserve">Figure 5.50 Effect of vancomycin and/or methicillin on </w:t>
        </w:r>
        <w:r w:rsidR="00183CC8" w:rsidRPr="001D0CAE">
          <w:rPr>
            <w:rStyle w:val="Hyperlink"/>
            <w:i/>
            <w:noProof/>
          </w:rPr>
          <w:t>S. aureus</w:t>
        </w:r>
        <w:r w:rsidR="00183CC8" w:rsidRPr="001D0CAE">
          <w:rPr>
            <w:rStyle w:val="Hyperlink"/>
            <w:noProof/>
          </w:rPr>
          <w:t xml:space="preserve"> </w:t>
        </w:r>
        <w:r w:rsidR="00183CC8" w:rsidRPr="001D0CAE">
          <w:rPr>
            <w:rStyle w:val="Hyperlink"/>
            <w:i/>
            <w:noProof/>
          </w:rPr>
          <w:t>walKR</w:t>
        </w:r>
        <w:r w:rsidR="00183CC8" w:rsidRPr="001D0CAE">
          <w:rPr>
            <w:rStyle w:val="Hyperlink"/>
            <w:noProof/>
          </w:rPr>
          <w:t xml:space="preserve"> survival.</w:t>
        </w:r>
        <w:r w:rsidR="00183CC8">
          <w:rPr>
            <w:noProof/>
            <w:webHidden/>
          </w:rPr>
          <w:tab/>
        </w:r>
        <w:r w:rsidR="00183CC8">
          <w:rPr>
            <w:noProof/>
            <w:webHidden/>
          </w:rPr>
          <w:fldChar w:fldCharType="begin"/>
        </w:r>
        <w:r w:rsidR="00183CC8">
          <w:rPr>
            <w:noProof/>
            <w:webHidden/>
          </w:rPr>
          <w:instrText xml:space="preserve"> PAGEREF _Toc90217035 \h </w:instrText>
        </w:r>
        <w:r w:rsidR="00183CC8">
          <w:rPr>
            <w:noProof/>
            <w:webHidden/>
          </w:rPr>
        </w:r>
        <w:r w:rsidR="00183CC8">
          <w:rPr>
            <w:noProof/>
            <w:webHidden/>
          </w:rPr>
          <w:fldChar w:fldCharType="separate"/>
        </w:r>
        <w:r w:rsidR="00183CC8">
          <w:rPr>
            <w:noProof/>
            <w:webHidden/>
          </w:rPr>
          <w:t>234</w:t>
        </w:r>
        <w:r w:rsidR="00183CC8">
          <w:rPr>
            <w:noProof/>
            <w:webHidden/>
          </w:rPr>
          <w:fldChar w:fldCharType="end"/>
        </w:r>
      </w:hyperlink>
    </w:p>
    <w:p w14:paraId="4C44AC13" w14:textId="2D72C961" w:rsidR="00183CC8" w:rsidRDefault="003373BF">
      <w:pPr>
        <w:pStyle w:val="TableofFigures"/>
        <w:tabs>
          <w:tab w:val="right" w:leader="dot" w:pos="9402"/>
        </w:tabs>
        <w:rPr>
          <w:rFonts w:eastAsiaTheme="minorEastAsia" w:cstheme="minorBidi"/>
          <w:noProof/>
          <w:szCs w:val="24"/>
          <w:lang w:eastAsia="en-GB"/>
        </w:rPr>
      </w:pPr>
      <w:hyperlink w:anchor="_Toc90217036" w:history="1">
        <w:r w:rsidR="00183CC8" w:rsidRPr="001D0CAE">
          <w:rPr>
            <w:rStyle w:val="Hyperlink"/>
            <w:noProof/>
          </w:rPr>
          <w:t xml:space="preserve">Figure 5.51 Effect of vancomycin and/or methicillin on </w:t>
        </w:r>
        <w:r w:rsidR="00183CC8" w:rsidRPr="001D0CAE">
          <w:rPr>
            <w:rStyle w:val="Hyperlink"/>
            <w:i/>
            <w:noProof/>
          </w:rPr>
          <w:t>S. aureus</w:t>
        </w:r>
        <w:r w:rsidR="00183CC8" w:rsidRPr="001D0CAE">
          <w:rPr>
            <w:rStyle w:val="Hyperlink"/>
            <w:noProof/>
          </w:rPr>
          <w:t xml:space="preserve"> </w:t>
        </w:r>
        <w:r w:rsidR="00183CC8" w:rsidRPr="001D0CAE">
          <w:rPr>
            <w:rStyle w:val="Hyperlink"/>
            <w:i/>
            <w:noProof/>
          </w:rPr>
          <w:t>walKR</w:t>
        </w:r>
        <w:r w:rsidR="00183CC8" w:rsidRPr="001D0CAE">
          <w:rPr>
            <w:rStyle w:val="Hyperlink"/>
            <w:noProof/>
          </w:rPr>
          <w:t xml:space="preserve"> morphology.</w:t>
        </w:r>
        <w:r w:rsidR="00183CC8">
          <w:rPr>
            <w:noProof/>
            <w:webHidden/>
          </w:rPr>
          <w:tab/>
        </w:r>
        <w:r w:rsidR="00183CC8">
          <w:rPr>
            <w:noProof/>
            <w:webHidden/>
          </w:rPr>
          <w:fldChar w:fldCharType="begin"/>
        </w:r>
        <w:r w:rsidR="00183CC8">
          <w:rPr>
            <w:noProof/>
            <w:webHidden/>
          </w:rPr>
          <w:instrText xml:space="preserve"> PAGEREF _Toc90217036 \h </w:instrText>
        </w:r>
        <w:r w:rsidR="00183CC8">
          <w:rPr>
            <w:noProof/>
            <w:webHidden/>
          </w:rPr>
        </w:r>
        <w:r w:rsidR="00183CC8">
          <w:rPr>
            <w:noProof/>
            <w:webHidden/>
          </w:rPr>
          <w:fldChar w:fldCharType="separate"/>
        </w:r>
        <w:r w:rsidR="00183CC8">
          <w:rPr>
            <w:noProof/>
            <w:webHidden/>
          </w:rPr>
          <w:t>235</w:t>
        </w:r>
        <w:r w:rsidR="00183CC8">
          <w:rPr>
            <w:noProof/>
            <w:webHidden/>
          </w:rPr>
          <w:fldChar w:fldCharType="end"/>
        </w:r>
      </w:hyperlink>
    </w:p>
    <w:p w14:paraId="018A302B" w14:textId="3F10D865" w:rsidR="00183CC8" w:rsidRDefault="003373BF">
      <w:pPr>
        <w:pStyle w:val="TableofFigures"/>
        <w:tabs>
          <w:tab w:val="right" w:leader="dot" w:pos="9402"/>
        </w:tabs>
        <w:rPr>
          <w:rFonts w:eastAsiaTheme="minorEastAsia" w:cstheme="minorBidi"/>
          <w:noProof/>
          <w:szCs w:val="24"/>
          <w:lang w:eastAsia="en-GB"/>
        </w:rPr>
      </w:pPr>
      <w:hyperlink w:anchor="_Toc90217037" w:history="1">
        <w:r w:rsidR="00183CC8" w:rsidRPr="001D0CAE">
          <w:rPr>
            <w:rStyle w:val="Hyperlink"/>
            <w:noProof/>
          </w:rPr>
          <w:t xml:space="preserve">Figure 5.52 Effect of vancomycin and/or methicillin on </w:t>
        </w:r>
        <w:r w:rsidR="00183CC8" w:rsidRPr="001D0CAE">
          <w:rPr>
            <w:rStyle w:val="Hyperlink"/>
            <w:i/>
            <w:noProof/>
          </w:rPr>
          <w:t>S. aureus</w:t>
        </w:r>
        <w:r w:rsidR="00183CC8" w:rsidRPr="001D0CAE">
          <w:rPr>
            <w:rStyle w:val="Hyperlink"/>
            <w:noProof/>
          </w:rPr>
          <w:t xml:space="preserve"> </w:t>
        </w:r>
        <w:r w:rsidR="00183CC8" w:rsidRPr="001D0CAE">
          <w:rPr>
            <w:rStyle w:val="Hyperlink"/>
            <w:i/>
            <w:noProof/>
          </w:rPr>
          <w:t>walKR</w:t>
        </w:r>
        <w:r w:rsidR="00183CC8" w:rsidRPr="001D0CAE">
          <w:rPr>
            <w:rStyle w:val="Hyperlink"/>
            <w:noProof/>
          </w:rPr>
          <w:t xml:space="preserve"> mutant phenotype.</w:t>
        </w:r>
        <w:r w:rsidR="00183CC8">
          <w:rPr>
            <w:noProof/>
            <w:webHidden/>
          </w:rPr>
          <w:tab/>
        </w:r>
        <w:r w:rsidR="00183CC8">
          <w:rPr>
            <w:noProof/>
            <w:webHidden/>
          </w:rPr>
          <w:fldChar w:fldCharType="begin"/>
        </w:r>
        <w:r w:rsidR="00183CC8">
          <w:rPr>
            <w:noProof/>
            <w:webHidden/>
          </w:rPr>
          <w:instrText xml:space="preserve"> PAGEREF _Toc90217037 \h </w:instrText>
        </w:r>
        <w:r w:rsidR="00183CC8">
          <w:rPr>
            <w:noProof/>
            <w:webHidden/>
          </w:rPr>
        </w:r>
        <w:r w:rsidR="00183CC8">
          <w:rPr>
            <w:noProof/>
            <w:webHidden/>
          </w:rPr>
          <w:fldChar w:fldCharType="separate"/>
        </w:r>
        <w:r w:rsidR="00183CC8">
          <w:rPr>
            <w:noProof/>
            <w:webHidden/>
          </w:rPr>
          <w:t>236</w:t>
        </w:r>
        <w:r w:rsidR="00183CC8">
          <w:rPr>
            <w:noProof/>
            <w:webHidden/>
          </w:rPr>
          <w:fldChar w:fldCharType="end"/>
        </w:r>
      </w:hyperlink>
    </w:p>
    <w:p w14:paraId="2D669E3D" w14:textId="155A7605" w:rsidR="00183CC8" w:rsidRDefault="003373BF">
      <w:pPr>
        <w:pStyle w:val="TableofFigures"/>
        <w:tabs>
          <w:tab w:val="right" w:leader="dot" w:pos="9402"/>
        </w:tabs>
        <w:rPr>
          <w:rFonts w:eastAsiaTheme="minorEastAsia" w:cstheme="minorBidi"/>
          <w:noProof/>
          <w:szCs w:val="24"/>
          <w:lang w:eastAsia="en-GB"/>
        </w:rPr>
      </w:pPr>
      <w:hyperlink w:anchor="_Toc90217038" w:history="1">
        <w:r w:rsidR="00183CC8" w:rsidRPr="001D0CAE">
          <w:rPr>
            <w:rStyle w:val="Hyperlink"/>
            <w:noProof/>
          </w:rPr>
          <w:t xml:space="preserve">Figure 5.53 Schematic representation of </w:t>
        </w:r>
        <w:r w:rsidR="00183CC8" w:rsidRPr="001D0CAE">
          <w:rPr>
            <w:rStyle w:val="Hyperlink"/>
            <w:i/>
            <w:noProof/>
          </w:rPr>
          <w:t>S. aureus</w:t>
        </w:r>
        <w:r w:rsidR="00183CC8" w:rsidRPr="001D0CAE">
          <w:rPr>
            <w:rStyle w:val="Hyperlink"/>
            <w:noProof/>
          </w:rPr>
          <w:t xml:space="preserve"> growth, division and the effect of cell wall antibiotics on its morphology.</w:t>
        </w:r>
        <w:r w:rsidR="00183CC8">
          <w:rPr>
            <w:noProof/>
            <w:webHidden/>
          </w:rPr>
          <w:tab/>
        </w:r>
        <w:r w:rsidR="00183CC8">
          <w:rPr>
            <w:noProof/>
            <w:webHidden/>
          </w:rPr>
          <w:fldChar w:fldCharType="begin"/>
        </w:r>
        <w:r w:rsidR="00183CC8">
          <w:rPr>
            <w:noProof/>
            <w:webHidden/>
          </w:rPr>
          <w:instrText xml:space="preserve"> PAGEREF _Toc90217038 \h </w:instrText>
        </w:r>
        <w:r w:rsidR="00183CC8">
          <w:rPr>
            <w:noProof/>
            <w:webHidden/>
          </w:rPr>
        </w:r>
        <w:r w:rsidR="00183CC8">
          <w:rPr>
            <w:noProof/>
            <w:webHidden/>
          </w:rPr>
          <w:fldChar w:fldCharType="separate"/>
        </w:r>
        <w:r w:rsidR="00183CC8">
          <w:rPr>
            <w:noProof/>
            <w:webHidden/>
          </w:rPr>
          <w:t>238</w:t>
        </w:r>
        <w:r w:rsidR="00183CC8">
          <w:rPr>
            <w:noProof/>
            <w:webHidden/>
          </w:rPr>
          <w:fldChar w:fldCharType="end"/>
        </w:r>
      </w:hyperlink>
    </w:p>
    <w:p w14:paraId="54D161FA" w14:textId="40BD475C" w:rsidR="00183CC8" w:rsidRDefault="003373BF">
      <w:pPr>
        <w:pStyle w:val="TableofFigures"/>
        <w:tabs>
          <w:tab w:val="right" w:leader="dot" w:pos="9402"/>
        </w:tabs>
        <w:rPr>
          <w:rFonts w:eastAsiaTheme="minorEastAsia" w:cstheme="minorBidi"/>
          <w:noProof/>
          <w:szCs w:val="24"/>
          <w:lang w:eastAsia="en-GB"/>
        </w:rPr>
      </w:pPr>
      <w:hyperlink w:anchor="_Toc90217039" w:history="1">
        <w:r w:rsidR="00183CC8" w:rsidRPr="001D0CAE">
          <w:rPr>
            <w:rStyle w:val="Hyperlink"/>
            <w:noProof/>
          </w:rPr>
          <w:t xml:space="preserve">Figure 5.54 Comparison of EM studies on the action of </w:t>
        </w:r>
        <w:r w:rsidR="00183CC8" w:rsidRPr="001D0CAE">
          <w:rPr>
            <w:rStyle w:val="Hyperlink"/>
            <w:noProof/>
            <w:lang w:val="el-GR"/>
          </w:rPr>
          <w:t>β</w:t>
        </w:r>
        <w:r w:rsidR="00183CC8" w:rsidRPr="001D0CAE">
          <w:rPr>
            <w:rStyle w:val="Hyperlink"/>
            <w:noProof/>
          </w:rPr>
          <w:t>-lactam antibiotics.</w:t>
        </w:r>
        <w:r w:rsidR="00183CC8">
          <w:rPr>
            <w:noProof/>
            <w:webHidden/>
          </w:rPr>
          <w:tab/>
        </w:r>
        <w:r w:rsidR="00183CC8">
          <w:rPr>
            <w:noProof/>
            <w:webHidden/>
          </w:rPr>
          <w:fldChar w:fldCharType="begin"/>
        </w:r>
        <w:r w:rsidR="00183CC8">
          <w:rPr>
            <w:noProof/>
            <w:webHidden/>
          </w:rPr>
          <w:instrText xml:space="preserve"> PAGEREF _Toc90217039 \h </w:instrText>
        </w:r>
        <w:r w:rsidR="00183CC8">
          <w:rPr>
            <w:noProof/>
            <w:webHidden/>
          </w:rPr>
        </w:r>
        <w:r w:rsidR="00183CC8">
          <w:rPr>
            <w:noProof/>
            <w:webHidden/>
          </w:rPr>
          <w:fldChar w:fldCharType="separate"/>
        </w:r>
        <w:r w:rsidR="00183CC8">
          <w:rPr>
            <w:noProof/>
            <w:webHidden/>
          </w:rPr>
          <w:t>241</w:t>
        </w:r>
        <w:r w:rsidR="00183CC8">
          <w:rPr>
            <w:noProof/>
            <w:webHidden/>
          </w:rPr>
          <w:fldChar w:fldCharType="end"/>
        </w:r>
      </w:hyperlink>
    </w:p>
    <w:p w14:paraId="7FA894A9" w14:textId="19E80C12" w:rsidR="00183CC8" w:rsidRDefault="003373BF">
      <w:pPr>
        <w:pStyle w:val="TableofFigures"/>
        <w:tabs>
          <w:tab w:val="right" w:leader="dot" w:pos="9402"/>
        </w:tabs>
        <w:rPr>
          <w:rFonts w:eastAsiaTheme="minorEastAsia" w:cstheme="minorBidi"/>
          <w:noProof/>
          <w:szCs w:val="24"/>
          <w:lang w:eastAsia="en-GB"/>
        </w:rPr>
      </w:pPr>
      <w:hyperlink w:anchor="_Toc90217040" w:history="1">
        <w:r w:rsidR="00183CC8" w:rsidRPr="001D0CAE">
          <w:rPr>
            <w:rStyle w:val="Hyperlink"/>
            <w:noProof/>
          </w:rPr>
          <w:t>Figure 5.55 The effect of methicillin or vancomycin on peptidoglycan architecture.</w:t>
        </w:r>
        <w:r w:rsidR="00183CC8">
          <w:rPr>
            <w:noProof/>
            <w:webHidden/>
          </w:rPr>
          <w:tab/>
        </w:r>
        <w:r w:rsidR="00183CC8">
          <w:rPr>
            <w:noProof/>
            <w:webHidden/>
          </w:rPr>
          <w:fldChar w:fldCharType="begin"/>
        </w:r>
        <w:r w:rsidR="00183CC8">
          <w:rPr>
            <w:noProof/>
            <w:webHidden/>
          </w:rPr>
          <w:instrText xml:space="preserve"> PAGEREF _Toc90217040 \h </w:instrText>
        </w:r>
        <w:r w:rsidR="00183CC8">
          <w:rPr>
            <w:noProof/>
            <w:webHidden/>
          </w:rPr>
        </w:r>
        <w:r w:rsidR="00183CC8">
          <w:rPr>
            <w:noProof/>
            <w:webHidden/>
          </w:rPr>
          <w:fldChar w:fldCharType="separate"/>
        </w:r>
        <w:r w:rsidR="00183CC8">
          <w:rPr>
            <w:noProof/>
            <w:webHidden/>
          </w:rPr>
          <w:t>243</w:t>
        </w:r>
        <w:r w:rsidR="00183CC8">
          <w:rPr>
            <w:noProof/>
            <w:webHidden/>
          </w:rPr>
          <w:fldChar w:fldCharType="end"/>
        </w:r>
      </w:hyperlink>
    </w:p>
    <w:p w14:paraId="015C2204" w14:textId="41BBF2FB" w:rsidR="00183CC8" w:rsidRDefault="003373BF">
      <w:pPr>
        <w:pStyle w:val="TableofFigures"/>
        <w:tabs>
          <w:tab w:val="right" w:leader="dot" w:pos="9402"/>
        </w:tabs>
        <w:rPr>
          <w:rFonts w:eastAsiaTheme="minorEastAsia" w:cstheme="minorBidi"/>
          <w:noProof/>
          <w:szCs w:val="24"/>
          <w:lang w:eastAsia="en-GB"/>
        </w:rPr>
      </w:pPr>
      <w:hyperlink w:anchor="_Toc90217041" w:history="1">
        <w:r w:rsidR="00183CC8" w:rsidRPr="001D0CAE">
          <w:rPr>
            <w:rStyle w:val="Hyperlink"/>
            <w:noProof/>
          </w:rPr>
          <w:t xml:space="preserve">Figure 6.1 Possible explanation for the bacterial envelope structure of freeze-substituted </w:t>
        </w:r>
        <w:r w:rsidR="00183CC8" w:rsidRPr="001D0CAE">
          <w:rPr>
            <w:rStyle w:val="Hyperlink"/>
            <w:i/>
            <w:noProof/>
          </w:rPr>
          <w:t>S. aureus</w:t>
        </w:r>
        <w:r w:rsidR="00183CC8" w:rsidRPr="001D0CAE">
          <w:rPr>
            <w:rStyle w:val="Hyperlink"/>
            <w:noProof/>
          </w:rPr>
          <w:t xml:space="preserve"> cells.</w:t>
        </w:r>
        <w:r w:rsidR="00183CC8">
          <w:rPr>
            <w:noProof/>
            <w:webHidden/>
          </w:rPr>
          <w:tab/>
        </w:r>
        <w:r w:rsidR="00183CC8">
          <w:rPr>
            <w:noProof/>
            <w:webHidden/>
          </w:rPr>
          <w:fldChar w:fldCharType="begin"/>
        </w:r>
        <w:r w:rsidR="00183CC8">
          <w:rPr>
            <w:noProof/>
            <w:webHidden/>
          </w:rPr>
          <w:instrText xml:space="preserve"> PAGEREF _Toc90217041 \h </w:instrText>
        </w:r>
        <w:r w:rsidR="00183CC8">
          <w:rPr>
            <w:noProof/>
            <w:webHidden/>
          </w:rPr>
        </w:r>
        <w:r w:rsidR="00183CC8">
          <w:rPr>
            <w:noProof/>
            <w:webHidden/>
          </w:rPr>
          <w:fldChar w:fldCharType="separate"/>
        </w:r>
        <w:r w:rsidR="00183CC8">
          <w:rPr>
            <w:noProof/>
            <w:webHidden/>
          </w:rPr>
          <w:t>250</w:t>
        </w:r>
        <w:r w:rsidR="00183CC8">
          <w:rPr>
            <w:noProof/>
            <w:webHidden/>
          </w:rPr>
          <w:fldChar w:fldCharType="end"/>
        </w:r>
      </w:hyperlink>
    </w:p>
    <w:p w14:paraId="4691A86D" w14:textId="6CB1E2B4" w:rsidR="00183CC8" w:rsidRDefault="003373BF">
      <w:pPr>
        <w:pStyle w:val="TableofFigures"/>
        <w:tabs>
          <w:tab w:val="right" w:leader="dot" w:pos="9402"/>
        </w:tabs>
        <w:rPr>
          <w:rFonts w:eastAsiaTheme="minorEastAsia" w:cstheme="minorBidi"/>
          <w:noProof/>
          <w:szCs w:val="24"/>
          <w:lang w:eastAsia="en-GB"/>
        </w:rPr>
      </w:pPr>
      <w:hyperlink w:anchor="_Toc90217042" w:history="1">
        <w:r w:rsidR="00183CC8" w:rsidRPr="001D0CAE">
          <w:rPr>
            <w:rStyle w:val="Hyperlink"/>
            <w:noProof/>
          </w:rPr>
          <w:t>Figure 6.2 Maintenance of the exoplasmic space of Gram-positives.</w:t>
        </w:r>
        <w:r w:rsidR="00183CC8">
          <w:rPr>
            <w:noProof/>
            <w:webHidden/>
          </w:rPr>
          <w:tab/>
        </w:r>
        <w:r w:rsidR="00183CC8">
          <w:rPr>
            <w:noProof/>
            <w:webHidden/>
          </w:rPr>
          <w:fldChar w:fldCharType="begin"/>
        </w:r>
        <w:r w:rsidR="00183CC8">
          <w:rPr>
            <w:noProof/>
            <w:webHidden/>
          </w:rPr>
          <w:instrText xml:space="preserve"> PAGEREF _Toc90217042 \h </w:instrText>
        </w:r>
        <w:r w:rsidR="00183CC8">
          <w:rPr>
            <w:noProof/>
            <w:webHidden/>
          </w:rPr>
        </w:r>
        <w:r w:rsidR="00183CC8">
          <w:rPr>
            <w:noProof/>
            <w:webHidden/>
          </w:rPr>
          <w:fldChar w:fldCharType="separate"/>
        </w:r>
        <w:r w:rsidR="00183CC8">
          <w:rPr>
            <w:noProof/>
            <w:webHidden/>
          </w:rPr>
          <w:t>254</w:t>
        </w:r>
        <w:r w:rsidR="00183CC8">
          <w:rPr>
            <w:noProof/>
            <w:webHidden/>
          </w:rPr>
          <w:fldChar w:fldCharType="end"/>
        </w:r>
      </w:hyperlink>
    </w:p>
    <w:p w14:paraId="311CB3FE" w14:textId="5CF7478C" w:rsidR="00182281" w:rsidRDefault="00CD0E28" w:rsidP="00E036E5">
      <w:pPr>
        <w:spacing w:before="0" w:after="0" w:line="276" w:lineRule="auto"/>
      </w:pPr>
      <w:r>
        <w:fldChar w:fldCharType="end"/>
      </w:r>
    </w:p>
    <w:p w14:paraId="32401BEF" w14:textId="77777777" w:rsidR="00903A92" w:rsidRDefault="00903A92" w:rsidP="00FA48D6">
      <w:pPr>
        <w:pStyle w:val="ChaptertitleThesis"/>
      </w:pPr>
      <w:bookmarkStart w:id="22" w:name="_Toc64276270"/>
      <w:bookmarkStart w:id="23" w:name="_Toc64276574"/>
      <w:bookmarkStart w:id="24" w:name="_Toc64276786"/>
    </w:p>
    <w:p w14:paraId="2F332F6F" w14:textId="129326B1" w:rsidR="00EA29B4" w:rsidRPr="00FA48D6" w:rsidRDefault="00DE3C06" w:rsidP="00FA48D6">
      <w:pPr>
        <w:pStyle w:val="ChaptertitleThesis"/>
      </w:pPr>
      <w:bookmarkStart w:id="25" w:name="_Toc90216720"/>
      <w:r w:rsidRPr="00FA48D6">
        <w:t>List of Tables</w:t>
      </w:r>
      <w:bookmarkEnd w:id="22"/>
      <w:bookmarkEnd w:id="23"/>
      <w:bookmarkEnd w:id="24"/>
      <w:bookmarkEnd w:id="25"/>
    </w:p>
    <w:p w14:paraId="0ACE649F" w14:textId="0C07A195" w:rsidR="00183CC8" w:rsidRDefault="00094AEF">
      <w:pPr>
        <w:pStyle w:val="TableofFigures"/>
        <w:tabs>
          <w:tab w:val="right" w:leader="dot" w:pos="9402"/>
        </w:tabs>
        <w:rPr>
          <w:rFonts w:eastAsiaTheme="minorEastAsia" w:cstheme="minorBidi"/>
          <w:noProof/>
          <w:szCs w:val="24"/>
          <w:lang w:eastAsia="en-GB"/>
        </w:rPr>
      </w:pPr>
      <w:r>
        <w:fldChar w:fldCharType="begin"/>
      </w:r>
      <w:r>
        <w:instrText xml:space="preserve"> TOC \h \z \c "Table" </w:instrText>
      </w:r>
      <w:r>
        <w:fldChar w:fldCharType="separate"/>
      </w:r>
      <w:hyperlink w:anchor="_Toc90217043" w:history="1">
        <w:r w:rsidR="00183CC8" w:rsidRPr="004433A5">
          <w:rPr>
            <w:rStyle w:val="Hyperlink"/>
            <w:noProof/>
          </w:rPr>
          <w:t xml:space="preserve">Table 1.1 List of </w:t>
        </w:r>
        <w:r w:rsidR="00183CC8" w:rsidRPr="004433A5">
          <w:rPr>
            <w:rStyle w:val="Hyperlink"/>
            <w:i/>
            <w:noProof/>
          </w:rPr>
          <w:t>Staphylococcus aureus</w:t>
        </w:r>
        <w:r w:rsidR="00183CC8" w:rsidRPr="004433A5">
          <w:rPr>
            <w:rStyle w:val="Hyperlink"/>
            <w:noProof/>
          </w:rPr>
          <w:t xml:space="preserve"> PBPs.</w:t>
        </w:r>
        <w:r w:rsidR="00183CC8">
          <w:rPr>
            <w:noProof/>
            <w:webHidden/>
          </w:rPr>
          <w:tab/>
        </w:r>
        <w:r w:rsidR="00183CC8">
          <w:rPr>
            <w:noProof/>
            <w:webHidden/>
          </w:rPr>
          <w:fldChar w:fldCharType="begin"/>
        </w:r>
        <w:r w:rsidR="00183CC8">
          <w:rPr>
            <w:noProof/>
            <w:webHidden/>
          </w:rPr>
          <w:instrText xml:space="preserve"> PAGEREF _Toc90217043 \h </w:instrText>
        </w:r>
        <w:r w:rsidR="00183CC8">
          <w:rPr>
            <w:noProof/>
            <w:webHidden/>
          </w:rPr>
        </w:r>
        <w:r w:rsidR="00183CC8">
          <w:rPr>
            <w:noProof/>
            <w:webHidden/>
          </w:rPr>
          <w:fldChar w:fldCharType="separate"/>
        </w:r>
        <w:r w:rsidR="00183CC8">
          <w:rPr>
            <w:noProof/>
            <w:webHidden/>
          </w:rPr>
          <w:t>8</w:t>
        </w:r>
        <w:r w:rsidR="00183CC8">
          <w:rPr>
            <w:noProof/>
            <w:webHidden/>
          </w:rPr>
          <w:fldChar w:fldCharType="end"/>
        </w:r>
      </w:hyperlink>
    </w:p>
    <w:p w14:paraId="2AF6D0C0" w14:textId="1A448988" w:rsidR="00183CC8" w:rsidRDefault="003373BF">
      <w:pPr>
        <w:pStyle w:val="TableofFigures"/>
        <w:tabs>
          <w:tab w:val="right" w:leader="dot" w:pos="9402"/>
        </w:tabs>
        <w:rPr>
          <w:rFonts w:eastAsiaTheme="minorEastAsia" w:cstheme="minorBidi"/>
          <w:noProof/>
          <w:szCs w:val="24"/>
          <w:lang w:eastAsia="en-GB"/>
        </w:rPr>
      </w:pPr>
      <w:hyperlink w:anchor="_Toc90217044" w:history="1">
        <w:r w:rsidR="00183CC8" w:rsidRPr="004433A5">
          <w:rPr>
            <w:rStyle w:val="Hyperlink"/>
            <w:noProof/>
          </w:rPr>
          <w:t xml:space="preserve">Table 1.2 List of known </w:t>
        </w:r>
        <w:r w:rsidR="00183CC8" w:rsidRPr="004433A5">
          <w:rPr>
            <w:rStyle w:val="Hyperlink"/>
            <w:i/>
            <w:noProof/>
          </w:rPr>
          <w:t>Staphylococcus aureus</w:t>
        </w:r>
        <w:r w:rsidR="00183CC8" w:rsidRPr="004433A5">
          <w:rPr>
            <w:rStyle w:val="Hyperlink"/>
            <w:noProof/>
          </w:rPr>
          <w:t xml:space="preserve"> hydrolases.</w:t>
        </w:r>
        <w:r w:rsidR="00183CC8">
          <w:rPr>
            <w:noProof/>
            <w:webHidden/>
          </w:rPr>
          <w:tab/>
        </w:r>
        <w:r w:rsidR="00183CC8">
          <w:rPr>
            <w:noProof/>
            <w:webHidden/>
          </w:rPr>
          <w:fldChar w:fldCharType="begin"/>
        </w:r>
        <w:r w:rsidR="00183CC8">
          <w:rPr>
            <w:noProof/>
            <w:webHidden/>
          </w:rPr>
          <w:instrText xml:space="preserve"> PAGEREF _Toc90217044 \h </w:instrText>
        </w:r>
        <w:r w:rsidR="00183CC8">
          <w:rPr>
            <w:noProof/>
            <w:webHidden/>
          </w:rPr>
        </w:r>
        <w:r w:rsidR="00183CC8">
          <w:rPr>
            <w:noProof/>
            <w:webHidden/>
          </w:rPr>
          <w:fldChar w:fldCharType="separate"/>
        </w:r>
        <w:r w:rsidR="00183CC8">
          <w:rPr>
            <w:noProof/>
            <w:webHidden/>
          </w:rPr>
          <w:t>11</w:t>
        </w:r>
        <w:r w:rsidR="00183CC8">
          <w:rPr>
            <w:noProof/>
            <w:webHidden/>
          </w:rPr>
          <w:fldChar w:fldCharType="end"/>
        </w:r>
      </w:hyperlink>
    </w:p>
    <w:p w14:paraId="59B316F0" w14:textId="47113A60" w:rsidR="00183CC8" w:rsidRDefault="003373BF">
      <w:pPr>
        <w:pStyle w:val="TableofFigures"/>
        <w:tabs>
          <w:tab w:val="right" w:leader="dot" w:pos="9402"/>
        </w:tabs>
        <w:rPr>
          <w:rFonts w:eastAsiaTheme="minorEastAsia" w:cstheme="minorBidi"/>
          <w:noProof/>
          <w:szCs w:val="24"/>
          <w:lang w:eastAsia="en-GB"/>
        </w:rPr>
      </w:pPr>
      <w:hyperlink w:anchor="_Toc90217045" w:history="1">
        <w:r w:rsidR="00183CC8" w:rsidRPr="004433A5">
          <w:rPr>
            <w:rStyle w:val="Hyperlink"/>
            <w:noProof/>
          </w:rPr>
          <w:t xml:space="preserve">Table 1.3 Proposed function of </w:t>
        </w:r>
        <w:r w:rsidR="00183CC8" w:rsidRPr="004433A5">
          <w:rPr>
            <w:rStyle w:val="Hyperlink"/>
            <w:i/>
            <w:noProof/>
          </w:rPr>
          <w:t>S. aureus</w:t>
        </w:r>
        <w:r w:rsidR="00183CC8" w:rsidRPr="004433A5">
          <w:rPr>
            <w:rStyle w:val="Hyperlink"/>
            <w:noProof/>
          </w:rPr>
          <w:t xml:space="preserve"> teichoic acids.</w:t>
        </w:r>
        <w:r w:rsidR="00183CC8">
          <w:rPr>
            <w:noProof/>
            <w:webHidden/>
          </w:rPr>
          <w:tab/>
        </w:r>
        <w:r w:rsidR="00183CC8">
          <w:rPr>
            <w:noProof/>
            <w:webHidden/>
          </w:rPr>
          <w:fldChar w:fldCharType="begin"/>
        </w:r>
        <w:r w:rsidR="00183CC8">
          <w:rPr>
            <w:noProof/>
            <w:webHidden/>
          </w:rPr>
          <w:instrText xml:space="preserve"> PAGEREF _Toc90217045 \h </w:instrText>
        </w:r>
        <w:r w:rsidR="00183CC8">
          <w:rPr>
            <w:noProof/>
            <w:webHidden/>
          </w:rPr>
        </w:r>
        <w:r w:rsidR="00183CC8">
          <w:rPr>
            <w:noProof/>
            <w:webHidden/>
          </w:rPr>
          <w:fldChar w:fldCharType="separate"/>
        </w:r>
        <w:r w:rsidR="00183CC8">
          <w:rPr>
            <w:noProof/>
            <w:webHidden/>
          </w:rPr>
          <w:t>16</w:t>
        </w:r>
        <w:r w:rsidR="00183CC8">
          <w:rPr>
            <w:noProof/>
            <w:webHidden/>
          </w:rPr>
          <w:fldChar w:fldCharType="end"/>
        </w:r>
      </w:hyperlink>
    </w:p>
    <w:p w14:paraId="4683D013" w14:textId="3F3568A4" w:rsidR="00183CC8" w:rsidRDefault="003373BF">
      <w:pPr>
        <w:pStyle w:val="TableofFigures"/>
        <w:tabs>
          <w:tab w:val="right" w:leader="dot" w:pos="9402"/>
        </w:tabs>
        <w:rPr>
          <w:rFonts w:eastAsiaTheme="minorEastAsia" w:cstheme="minorBidi"/>
          <w:noProof/>
          <w:szCs w:val="24"/>
          <w:lang w:eastAsia="en-GB"/>
        </w:rPr>
      </w:pPr>
      <w:hyperlink w:anchor="_Toc90217046" w:history="1">
        <w:r w:rsidR="00183CC8" w:rsidRPr="004433A5">
          <w:rPr>
            <w:rStyle w:val="Hyperlink"/>
            <w:noProof/>
          </w:rPr>
          <w:t>Table 1.4 Comparison of the characteristics of SEM and TEM.</w:t>
        </w:r>
        <w:r w:rsidR="00183CC8">
          <w:rPr>
            <w:noProof/>
            <w:webHidden/>
          </w:rPr>
          <w:tab/>
        </w:r>
        <w:r w:rsidR="00183CC8">
          <w:rPr>
            <w:noProof/>
            <w:webHidden/>
          </w:rPr>
          <w:fldChar w:fldCharType="begin"/>
        </w:r>
        <w:r w:rsidR="00183CC8">
          <w:rPr>
            <w:noProof/>
            <w:webHidden/>
          </w:rPr>
          <w:instrText xml:space="preserve"> PAGEREF _Toc90217046 \h </w:instrText>
        </w:r>
        <w:r w:rsidR="00183CC8">
          <w:rPr>
            <w:noProof/>
            <w:webHidden/>
          </w:rPr>
        </w:r>
        <w:r w:rsidR="00183CC8">
          <w:rPr>
            <w:noProof/>
            <w:webHidden/>
          </w:rPr>
          <w:fldChar w:fldCharType="separate"/>
        </w:r>
        <w:r w:rsidR="00183CC8">
          <w:rPr>
            <w:noProof/>
            <w:webHidden/>
          </w:rPr>
          <w:t>30</w:t>
        </w:r>
        <w:r w:rsidR="00183CC8">
          <w:rPr>
            <w:noProof/>
            <w:webHidden/>
          </w:rPr>
          <w:fldChar w:fldCharType="end"/>
        </w:r>
      </w:hyperlink>
    </w:p>
    <w:p w14:paraId="49D24F67" w14:textId="16ED285F" w:rsidR="00183CC8" w:rsidRDefault="003373BF">
      <w:pPr>
        <w:pStyle w:val="TableofFigures"/>
        <w:tabs>
          <w:tab w:val="right" w:leader="dot" w:pos="9402"/>
        </w:tabs>
        <w:rPr>
          <w:rFonts w:eastAsiaTheme="minorEastAsia" w:cstheme="minorBidi"/>
          <w:noProof/>
          <w:szCs w:val="24"/>
          <w:lang w:eastAsia="en-GB"/>
        </w:rPr>
      </w:pPr>
      <w:hyperlink w:anchor="_Toc90217047" w:history="1">
        <w:r w:rsidR="00183CC8" w:rsidRPr="004433A5">
          <w:rPr>
            <w:rStyle w:val="Hyperlink"/>
            <w:noProof/>
          </w:rPr>
          <w:t>Table 2.1 List of chemical stock solutions used in this study.</w:t>
        </w:r>
        <w:r w:rsidR="00183CC8">
          <w:rPr>
            <w:noProof/>
            <w:webHidden/>
          </w:rPr>
          <w:tab/>
        </w:r>
        <w:r w:rsidR="00183CC8">
          <w:rPr>
            <w:noProof/>
            <w:webHidden/>
          </w:rPr>
          <w:fldChar w:fldCharType="begin"/>
        </w:r>
        <w:r w:rsidR="00183CC8">
          <w:rPr>
            <w:noProof/>
            <w:webHidden/>
          </w:rPr>
          <w:instrText xml:space="preserve"> PAGEREF _Toc90217047 \h </w:instrText>
        </w:r>
        <w:r w:rsidR="00183CC8">
          <w:rPr>
            <w:noProof/>
            <w:webHidden/>
          </w:rPr>
        </w:r>
        <w:r w:rsidR="00183CC8">
          <w:rPr>
            <w:noProof/>
            <w:webHidden/>
          </w:rPr>
          <w:fldChar w:fldCharType="separate"/>
        </w:r>
        <w:r w:rsidR="00183CC8">
          <w:rPr>
            <w:noProof/>
            <w:webHidden/>
          </w:rPr>
          <w:t>33</w:t>
        </w:r>
        <w:r w:rsidR="00183CC8">
          <w:rPr>
            <w:noProof/>
            <w:webHidden/>
          </w:rPr>
          <w:fldChar w:fldCharType="end"/>
        </w:r>
      </w:hyperlink>
    </w:p>
    <w:p w14:paraId="243D0ED7" w14:textId="65A3D7A5" w:rsidR="00183CC8" w:rsidRDefault="003373BF">
      <w:pPr>
        <w:pStyle w:val="TableofFigures"/>
        <w:tabs>
          <w:tab w:val="right" w:leader="dot" w:pos="9402"/>
        </w:tabs>
        <w:rPr>
          <w:rFonts w:eastAsiaTheme="minorEastAsia" w:cstheme="minorBidi"/>
          <w:noProof/>
          <w:szCs w:val="24"/>
          <w:lang w:eastAsia="en-GB"/>
        </w:rPr>
      </w:pPr>
      <w:hyperlink w:anchor="_Toc90217048" w:history="1">
        <w:r w:rsidR="00183CC8" w:rsidRPr="004433A5">
          <w:rPr>
            <w:rStyle w:val="Hyperlink"/>
            <w:noProof/>
          </w:rPr>
          <w:t>Table 2.2 List of antibiotics used in this study.</w:t>
        </w:r>
        <w:r w:rsidR="00183CC8">
          <w:rPr>
            <w:noProof/>
            <w:webHidden/>
          </w:rPr>
          <w:tab/>
        </w:r>
        <w:r w:rsidR="00183CC8">
          <w:rPr>
            <w:noProof/>
            <w:webHidden/>
          </w:rPr>
          <w:fldChar w:fldCharType="begin"/>
        </w:r>
        <w:r w:rsidR="00183CC8">
          <w:rPr>
            <w:noProof/>
            <w:webHidden/>
          </w:rPr>
          <w:instrText xml:space="preserve"> PAGEREF _Toc90217048 \h </w:instrText>
        </w:r>
        <w:r w:rsidR="00183CC8">
          <w:rPr>
            <w:noProof/>
            <w:webHidden/>
          </w:rPr>
        </w:r>
        <w:r w:rsidR="00183CC8">
          <w:rPr>
            <w:noProof/>
            <w:webHidden/>
          </w:rPr>
          <w:fldChar w:fldCharType="separate"/>
        </w:r>
        <w:r w:rsidR="00183CC8">
          <w:rPr>
            <w:noProof/>
            <w:webHidden/>
          </w:rPr>
          <w:t>41</w:t>
        </w:r>
        <w:r w:rsidR="00183CC8">
          <w:rPr>
            <w:noProof/>
            <w:webHidden/>
          </w:rPr>
          <w:fldChar w:fldCharType="end"/>
        </w:r>
      </w:hyperlink>
    </w:p>
    <w:p w14:paraId="556F2193" w14:textId="6519EB9E" w:rsidR="00183CC8" w:rsidRDefault="003373BF">
      <w:pPr>
        <w:pStyle w:val="TableofFigures"/>
        <w:tabs>
          <w:tab w:val="right" w:leader="dot" w:pos="9402"/>
        </w:tabs>
        <w:rPr>
          <w:rFonts w:eastAsiaTheme="minorEastAsia" w:cstheme="minorBidi"/>
          <w:noProof/>
          <w:szCs w:val="24"/>
          <w:lang w:eastAsia="en-GB"/>
        </w:rPr>
      </w:pPr>
      <w:hyperlink w:anchor="_Toc90217049" w:history="1">
        <w:r w:rsidR="00183CC8" w:rsidRPr="004433A5">
          <w:rPr>
            <w:rStyle w:val="Hyperlink"/>
            <w:noProof/>
          </w:rPr>
          <w:t>Table 2.3. List of primers used in this study.</w:t>
        </w:r>
        <w:r w:rsidR="00183CC8">
          <w:rPr>
            <w:noProof/>
            <w:webHidden/>
          </w:rPr>
          <w:tab/>
        </w:r>
        <w:r w:rsidR="00183CC8">
          <w:rPr>
            <w:noProof/>
            <w:webHidden/>
          </w:rPr>
          <w:fldChar w:fldCharType="begin"/>
        </w:r>
        <w:r w:rsidR="00183CC8">
          <w:rPr>
            <w:noProof/>
            <w:webHidden/>
          </w:rPr>
          <w:instrText xml:space="preserve"> PAGEREF _Toc90217049 \h </w:instrText>
        </w:r>
        <w:r w:rsidR="00183CC8">
          <w:rPr>
            <w:noProof/>
            <w:webHidden/>
          </w:rPr>
        </w:r>
        <w:r w:rsidR="00183CC8">
          <w:rPr>
            <w:noProof/>
            <w:webHidden/>
          </w:rPr>
          <w:fldChar w:fldCharType="separate"/>
        </w:r>
        <w:r w:rsidR="00183CC8">
          <w:rPr>
            <w:noProof/>
            <w:webHidden/>
          </w:rPr>
          <w:t>42</w:t>
        </w:r>
        <w:r w:rsidR="00183CC8">
          <w:rPr>
            <w:noProof/>
            <w:webHidden/>
          </w:rPr>
          <w:fldChar w:fldCharType="end"/>
        </w:r>
      </w:hyperlink>
    </w:p>
    <w:p w14:paraId="2367EB95" w14:textId="00C69EA2" w:rsidR="00183CC8" w:rsidRDefault="003373BF">
      <w:pPr>
        <w:pStyle w:val="TableofFigures"/>
        <w:tabs>
          <w:tab w:val="right" w:leader="dot" w:pos="9402"/>
        </w:tabs>
        <w:rPr>
          <w:rFonts w:eastAsiaTheme="minorEastAsia" w:cstheme="minorBidi"/>
          <w:noProof/>
          <w:szCs w:val="24"/>
          <w:lang w:eastAsia="en-GB"/>
        </w:rPr>
      </w:pPr>
      <w:hyperlink w:anchor="_Toc90217050" w:history="1">
        <w:r w:rsidR="00183CC8" w:rsidRPr="004433A5">
          <w:rPr>
            <w:rStyle w:val="Hyperlink"/>
            <w:noProof/>
          </w:rPr>
          <w:t>Table 2.4. List of bacterial strains used in this study.</w:t>
        </w:r>
        <w:r w:rsidR="00183CC8">
          <w:rPr>
            <w:noProof/>
            <w:webHidden/>
          </w:rPr>
          <w:tab/>
        </w:r>
        <w:r w:rsidR="00183CC8">
          <w:rPr>
            <w:noProof/>
            <w:webHidden/>
          </w:rPr>
          <w:fldChar w:fldCharType="begin"/>
        </w:r>
        <w:r w:rsidR="00183CC8">
          <w:rPr>
            <w:noProof/>
            <w:webHidden/>
          </w:rPr>
          <w:instrText xml:space="preserve"> PAGEREF _Toc90217050 \h </w:instrText>
        </w:r>
        <w:r w:rsidR="00183CC8">
          <w:rPr>
            <w:noProof/>
            <w:webHidden/>
          </w:rPr>
        </w:r>
        <w:r w:rsidR="00183CC8">
          <w:rPr>
            <w:noProof/>
            <w:webHidden/>
          </w:rPr>
          <w:fldChar w:fldCharType="separate"/>
        </w:r>
        <w:r w:rsidR="00183CC8">
          <w:rPr>
            <w:noProof/>
            <w:webHidden/>
          </w:rPr>
          <w:t>43</w:t>
        </w:r>
        <w:r w:rsidR="00183CC8">
          <w:rPr>
            <w:noProof/>
            <w:webHidden/>
          </w:rPr>
          <w:fldChar w:fldCharType="end"/>
        </w:r>
      </w:hyperlink>
    </w:p>
    <w:p w14:paraId="64C56B2C" w14:textId="49B3792F" w:rsidR="00183CC8" w:rsidRDefault="003373BF">
      <w:pPr>
        <w:pStyle w:val="TableofFigures"/>
        <w:tabs>
          <w:tab w:val="right" w:leader="dot" w:pos="9402"/>
        </w:tabs>
        <w:rPr>
          <w:rFonts w:eastAsiaTheme="minorEastAsia" w:cstheme="minorBidi"/>
          <w:noProof/>
          <w:szCs w:val="24"/>
          <w:lang w:eastAsia="en-GB"/>
        </w:rPr>
      </w:pPr>
      <w:hyperlink w:anchor="_Toc90217051" w:history="1">
        <w:r w:rsidR="00183CC8" w:rsidRPr="004433A5">
          <w:rPr>
            <w:rStyle w:val="Hyperlink"/>
            <w:noProof/>
          </w:rPr>
          <w:t>Table 2.5 DNA fragments used as size markers for agarose gel electrophoresis.</w:t>
        </w:r>
        <w:r w:rsidR="00183CC8">
          <w:rPr>
            <w:noProof/>
            <w:webHidden/>
          </w:rPr>
          <w:tab/>
        </w:r>
        <w:r w:rsidR="00183CC8">
          <w:rPr>
            <w:noProof/>
            <w:webHidden/>
          </w:rPr>
          <w:fldChar w:fldCharType="begin"/>
        </w:r>
        <w:r w:rsidR="00183CC8">
          <w:rPr>
            <w:noProof/>
            <w:webHidden/>
          </w:rPr>
          <w:instrText xml:space="preserve"> PAGEREF _Toc90217051 \h </w:instrText>
        </w:r>
        <w:r w:rsidR="00183CC8">
          <w:rPr>
            <w:noProof/>
            <w:webHidden/>
          </w:rPr>
        </w:r>
        <w:r w:rsidR="00183CC8">
          <w:rPr>
            <w:noProof/>
            <w:webHidden/>
          </w:rPr>
          <w:fldChar w:fldCharType="separate"/>
        </w:r>
        <w:r w:rsidR="00183CC8">
          <w:rPr>
            <w:noProof/>
            <w:webHidden/>
          </w:rPr>
          <w:t>49</w:t>
        </w:r>
        <w:r w:rsidR="00183CC8">
          <w:rPr>
            <w:noProof/>
            <w:webHidden/>
          </w:rPr>
          <w:fldChar w:fldCharType="end"/>
        </w:r>
      </w:hyperlink>
    </w:p>
    <w:p w14:paraId="04AD7218" w14:textId="723B43D0" w:rsidR="00183CC8" w:rsidRDefault="003373BF">
      <w:pPr>
        <w:pStyle w:val="TableofFigures"/>
        <w:tabs>
          <w:tab w:val="right" w:leader="dot" w:pos="9402"/>
        </w:tabs>
        <w:rPr>
          <w:rFonts w:eastAsiaTheme="minorEastAsia" w:cstheme="minorBidi"/>
          <w:noProof/>
          <w:szCs w:val="24"/>
          <w:lang w:eastAsia="en-GB"/>
        </w:rPr>
      </w:pPr>
      <w:hyperlink w:anchor="_Toc90217052" w:history="1">
        <w:r w:rsidR="00183CC8" w:rsidRPr="004433A5">
          <w:rPr>
            <w:rStyle w:val="Hyperlink"/>
            <w:noProof/>
          </w:rPr>
          <w:t>Table 3.1 Resin infiltration protocol for freeze-substitution.</w:t>
        </w:r>
        <w:r w:rsidR="00183CC8">
          <w:rPr>
            <w:noProof/>
            <w:webHidden/>
          </w:rPr>
          <w:tab/>
        </w:r>
        <w:r w:rsidR="00183CC8">
          <w:rPr>
            <w:noProof/>
            <w:webHidden/>
          </w:rPr>
          <w:fldChar w:fldCharType="begin"/>
        </w:r>
        <w:r w:rsidR="00183CC8">
          <w:rPr>
            <w:noProof/>
            <w:webHidden/>
          </w:rPr>
          <w:instrText xml:space="preserve"> PAGEREF _Toc90217052 \h </w:instrText>
        </w:r>
        <w:r w:rsidR="00183CC8">
          <w:rPr>
            <w:noProof/>
            <w:webHidden/>
          </w:rPr>
        </w:r>
        <w:r w:rsidR="00183CC8">
          <w:rPr>
            <w:noProof/>
            <w:webHidden/>
          </w:rPr>
          <w:fldChar w:fldCharType="separate"/>
        </w:r>
        <w:r w:rsidR="00183CC8">
          <w:rPr>
            <w:noProof/>
            <w:webHidden/>
          </w:rPr>
          <w:t>91</w:t>
        </w:r>
        <w:r w:rsidR="00183CC8">
          <w:rPr>
            <w:noProof/>
            <w:webHidden/>
          </w:rPr>
          <w:fldChar w:fldCharType="end"/>
        </w:r>
      </w:hyperlink>
    </w:p>
    <w:p w14:paraId="4F6C9A5A" w14:textId="0CFEC6E8" w:rsidR="00CE6FCC" w:rsidRDefault="00094AEF" w:rsidP="00AE140A">
      <w:pPr>
        <w:spacing w:before="0" w:after="0" w:line="276" w:lineRule="auto"/>
        <w:rPr>
          <w:b/>
          <w:bCs/>
          <w:noProof/>
        </w:rPr>
      </w:pPr>
      <w:r>
        <w:rPr>
          <w:b/>
          <w:bCs/>
          <w:noProof/>
        </w:rPr>
        <w:fldChar w:fldCharType="end"/>
      </w:r>
    </w:p>
    <w:p w14:paraId="0A042346" w14:textId="77777777" w:rsidR="00903A92" w:rsidRDefault="00903A92" w:rsidP="00903A92">
      <w:pPr>
        <w:pStyle w:val="ChaptertitleThesis"/>
      </w:pPr>
    </w:p>
    <w:p w14:paraId="5ECC3F97" w14:textId="05966C93" w:rsidR="003F43F9" w:rsidRDefault="00904F23" w:rsidP="00904F23">
      <w:pPr>
        <w:pStyle w:val="ChaptertitleThesis"/>
      </w:pPr>
      <w:bookmarkStart w:id="26" w:name="_Toc90216721"/>
      <w:r>
        <w:t>Table of Supplementary Figures</w:t>
      </w:r>
      <w:bookmarkEnd w:id="26"/>
    </w:p>
    <w:p w14:paraId="4ABDE5B1" w14:textId="4F521384" w:rsidR="00183CC8" w:rsidRDefault="00904F23">
      <w:pPr>
        <w:pStyle w:val="TableofFigures"/>
        <w:tabs>
          <w:tab w:val="right" w:leader="dot" w:pos="9402"/>
        </w:tabs>
        <w:rPr>
          <w:rFonts w:eastAsiaTheme="minorEastAsia" w:cstheme="minorBidi"/>
          <w:noProof/>
          <w:szCs w:val="24"/>
          <w:lang w:eastAsia="en-GB"/>
        </w:rPr>
      </w:pPr>
      <w:r>
        <w:fldChar w:fldCharType="begin"/>
      </w:r>
      <w:r>
        <w:instrText xml:space="preserve"> TOC \h \z \c "Appendix" </w:instrText>
      </w:r>
      <w:r>
        <w:fldChar w:fldCharType="separate"/>
      </w:r>
      <w:hyperlink w:anchor="_Toc90217053" w:history="1">
        <w:r w:rsidR="00183CC8" w:rsidRPr="00B90773">
          <w:rPr>
            <w:rStyle w:val="Hyperlink"/>
            <w:noProof/>
          </w:rPr>
          <w:t xml:space="preserve">Supplementary Figure 1 Morphological quantification of aberrant cells of </w:t>
        </w:r>
        <w:r w:rsidR="00183CC8" w:rsidRPr="00B90773">
          <w:rPr>
            <w:rStyle w:val="Hyperlink"/>
            <w:i/>
            <w:noProof/>
          </w:rPr>
          <w:t>iltaS.</w:t>
        </w:r>
        <w:r w:rsidR="00183CC8">
          <w:rPr>
            <w:noProof/>
            <w:webHidden/>
          </w:rPr>
          <w:tab/>
        </w:r>
        <w:r w:rsidR="00183CC8">
          <w:rPr>
            <w:noProof/>
            <w:webHidden/>
          </w:rPr>
          <w:fldChar w:fldCharType="begin"/>
        </w:r>
        <w:r w:rsidR="00183CC8">
          <w:rPr>
            <w:noProof/>
            <w:webHidden/>
          </w:rPr>
          <w:instrText xml:space="preserve"> PAGEREF _Toc90217053 \h </w:instrText>
        </w:r>
        <w:r w:rsidR="00183CC8">
          <w:rPr>
            <w:noProof/>
            <w:webHidden/>
          </w:rPr>
        </w:r>
        <w:r w:rsidR="00183CC8">
          <w:rPr>
            <w:noProof/>
            <w:webHidden/>
          </w:rPr>
          <w:fldChar w:fldCharType="separate"/>
        </w:r>
        <w:r w:rsidR="00183CC8">
          <w:rPr>
            <w:noProof/>
            <w:webHidden/>
          </w:rPr>
          <w:t>281</w:t>
        </w:r>
        <w:r w:rsidR="00183CC8">
          <w:rPr>
            <w:noProof/>
            <w:webHidden/>
          </w:rPr>
          <w:fldChar w:fldCharType="end"/>
        </w:r>
      </w:hyperlink>
    </w:p>
    <w:p w14:paraId="722187EC" w14:textId="778D1817" w:rsidR="00183CC8" w:rsidRDefault="003373BF">
      <w:pPr>
        <w:pStyle w:val="TableofFigures"/>
        <w:tabs>
          <w:tab w:val="right" w:leader="dot" w:pos="9402"/>
        </w:tabs>
        <w:rPr>
          <w:rFonts w:eastAsiaTheme="minorEastAsia" w:cstheme="minorBidi"/>
          <w:noProof/>
          <w:szCs w:val="24"/>
          <w:lang w:eastAsia="en-GB"/>
        </w:rPr>
      </w:pPr>
      <w:hyperlink w:anchor="_Toc90217054" w:history="1">
        <w:r w:rsidR="00183CC8" w:rsidRPr="00B90773">
          <w:rPr>
            <w:rStyle w:val="Hyperlink"/>
            <w:noProof/>
          </w:rPr>
          <w:t xml:space="preserve">Supplementary Figure 2  Dual </w:t>
        </w:r>
        <w:r w:rsidR="00183CC8" w:rsidRPr="00B90773">
          <w:rPr>
            <w:rStyle w:val="Hyperlink"/>
            <w:i/>
            <w:noProof/>
          </w:rPr>
          <w:t>ltaS gdpP::kan</w:t>
        </w:r>
        <w:r w:rsidR="00183CC8" w:rsidRPr="00B90773">
          <w:rPr>
            <w:rStyle w:val="Hyperlink"/>
            <w:noProof/>
          </w:rPr>
          <w:t xml:space="preserve"> population according to cell size.</w:t>
        </w:r>
        <w:r w:rsidR="00183CC8">
          <w:rPr>
            <w:noProof/>
            <w:webHidden/>
          </w:rPr>
          <w:tab/>
        </w:r>
        <w:r w:rsidR="00183CC8">
          <w:rPr>
            <w:noProof/>
            <w:webHidden/>
          </w:rPr>
          <w:fldChar w:fldCharType="begin"/>
        </w:r>
        <w:r w:rsidR="00183CC8">
          <w:rPr>
            <w:noProof/>
            <w:webHidden/>
          </w:rPr>
          <w:instrText xml:space="preserve"> PAGEREF _Toc90217054 \h </w:instrText>
        </w:r>
        <w:r w:rsidR="00183CC8">
          <w:rPr>
            <w:noProof/>
            <w:webHidden/>
          </w:rPr>
        </w:r>
        <w:r w:rsidR="00183CC8">
          <w:rPr>
            <w:noProof/>
            <w:webHidden/>
          </w:rPr>
          <w:fldChar w:fldCharType="separate"/>
        </w:r>
        <w:r w:rsidR="00183CC8">
          <w:rPr>
            <w:noProof/>
            <w:webHidden/>
          </w:rPr>
          <w:t>283</w:t>
        </w:r>
        <w:r w:rsidR="00183CC8">
          <w:rPr>
            <w:noProof/>
            <w:webHidden/>
          </w:rPr>
          <w:fldChar w:fldCharType="end"/>
        </w:r>
      </w:hyperlink>
    </w:p>
    <w:p w14:paraId="0B6853A9" w14:textId="7FFF7969" w:rsidR="00183CC8" w:rsidRDefault="003373BF">
      <w:pPr>
        <w:pStyle w:val="TableofFigures"/>
        <w:tabs>
          <w:tab w:val="right" w:leader="dot" w:pos="9402"/>
        </w:tabs>
        <w:rPr>
          <w:rFonts w:eastAsiaTheme="minorEastAsia" w:cstheme="minorBidi"/>
          <w:noProof/>
          <w:szCs w:val="24"/>
          <w:lang w:eastAsia="en-GB"/>
        </w:rPr>
      </w:pPr>
      <w:hyperlink w:anchor="_Toc90217055" w:history="1">
        <w:r w:rsidR="00183CC8" w:rsidRPr="00B90773">
          <w:rPr>
            <w:rStyle w:val="Hyperlink"/>
            <w:noProof/>
          </w:rPr>
          <w:t xml:space="preserve">Supplementary Figure 3  Effects of Congo red on bacterial growth and its comparison </w:t>
        </w:r>
        <w:r w:rsidR="00183CC8" w:rsidRPr="00B90773">
          <w:rPr>
            <w:rStyle w:val="Hyperlink"/>
            <w:i/>
            <w:noProof/>
          </w:rPr>
          <w:t>iltaS</w:t>
        </w:r>
        <w:r w:rsidR="00183CC8" w:rsidRPr="00B90773">
          <w:rPr>
            <w:rStyle w:val="Hyperlink"/>
            <w:noProof/>
          </w:rPr>
          <w:t>.</w:t>
        </w:r>
        <w:r w:rsidR="00183CC8">
          <w:rPr>
            <w:noProof/>
            <w:webHidden/>
          </w:rPr>
          <w:tab/>
        </w:r>
        <w:r w:rsidR="00183CC8">
          <w:rPr>
            <w:noProof/>
            <w:webHidden/>
          </w:rPr>
          <w:fldChar w:fldCharType="begin"/>
        </w:r>
        <w:r w:rsidR="00183CC8">
          <w:rPr>
            <w:noProof/>
            <w:webHidden/>
          </w:rPr>
          <w:instrText xml:space="preserve"> PAGEREF _Toc90217055 \h </w:instrText>
        </w:r>
        <w:r w:rsidR="00183CC8">
          <w:rPr>
            <w:noProof/>
            <w:webHidden/>
          </w:rPr>
        </w:r>
        <w:r w:rsidR="00183CC8">
          <w:rPr>
            <w:noProof/>
            <w:webHidden/>
          </w:rPr>
          <w:fldChar w:fldCharType="separate"/>
        </w:r>
        <w:r w:rsidR="00183CC8">
          <w:rPr>
            <w:noProof/>
            <w:webHidden/>
          </w:rPr>
          <w:t>284</w:t>
        </w:r>
        <w:r w:rsidR="00183CC8">
          <w:rPr>
            <w:noProof/>
            <w:webHidden/>
          </w:rPr>
          <w:fldChar w:fldCharType="end"/>
        </w:r>
      </w:hyperlink>
    </w:p>
    <w:p w14:paraId="3C5E35AA" w14:textId="2ACC4445" w:rsidR="00183CC8" w:rsidRDefault="003373BF">
      <w:pPr>
        <w:pStyle w:val="TableofFigures"/>
        <w:tabs>
          <w:tab w:val="right" w:leader="dot" w:pos="9402"/>
        </w:tabs>
        <w:rPr>
          <w:rFonts w:eastAsiaTheme="minorEastAsia" w:cstheme="minorBidi"/>
          <w:noProof/>
          <w:szCs w:val="24"/>
          <w:lang w:eastAsia="en-GB"/>
        </w:rPr>
      </w:pPr>
      <w:hyperlink w:anchor="_Toc90217056" w:history="1">
        <w:r w:rsidR="00183CC8" w:rsidRPr="00B90773">
          <w:rPr>
            <w:rStyle w:val="Hyperlink"/>
            <w:noProof/>
          </w:rPr>
          <w:t xml:space="preserve">Supplementary Figure 4  Effect of the chemical interruption of WTA and LTA biosynthesis on bacterial growth and its comparison to </w:t>
        </w:r>
        <w:r w:rsidR="00183CC8" w:rsidRPr="00B90773">
          <w:rPr>
            <w:rStyle w:val="Hyperlink"/>
            <w:i/>
            <w:noProof/>
          </w:rPr>
          <w:t>iltaS</w:t>
        </w:r>
        <w:r w:rsidR="00183CC8" w:rsidRPr="00B90773">
          <w:rPr>
            <w:rStyle w:val="Hyperlink"/>
            <w:noProof/>
          </w:rPr>
          <w:t xml:space="preserve"> treated with tarocin.</w:t>
        </w:r>
        <w:r w:rsidR="00183CC8">
          <w:rPr>
            <w:noProof/>
            <w:webHidden/>
          </w:rPr>
          <w:tab/>
        </w:r>
        <w:r w:rsidR="00183CC8">
          <w:rPr>
            <w:noProof/>
            <w:webHidden/>
          </w:rPr>
          <w:fldChar w:fldCharType="begin"/>
        </w:r>
        <w:r w:rsidR="00183CC8">
          <w:rPr>
            <w:noProof/>
            <w:webHidden/>
          </w:rPr>
          <w:instrText xml:space="preserve"> PAGEREF _Toc90217056 \h </w:instrText>
        </w:r>
        <w:r w:rsidR="00183CC8">
          <w:rPr>
            <w:noProof/>
            <w:webHidden/>
          </w:rPr>
        </w:r>
        <w:r w:rsidR="00183CC8">
          <w:rPr>
            <w:noProof/>
            <w:webHidden/>
          </w:rPr>
          <w:fldChar w:fldCharType="separate"/>
        </w:r>
        <w:r w:rsidR="00183CC8">
          <w:rPr>
            <w:noProof/>
            <w:webHidden/>
          </w:rPr>
          <w:t>285</w:t>
        </w:r>
        <w:r w:rsidR="00183CC8">
          <w:rPr>
            <w:noProof/>
            <w:webHidden/>
          </w:rPr>
          <w:fldChar w:fldCharType="end"/>
        </w:r>
      </w:hyperlink>
    </w:p>
    <w:p w14:paraId="053D883D" w14:textId="7070ED77" w:rsidR="00183CC8" w:rsidRDefault="003373BF">
      <w:pPr>
        <w:pStyle w:val="TableofFigures"/>
        <w:tabs>
          <w:tab w:val="right" w:leader="dot" w:pos="9402"/>
        </w:tabs>
        <w:rPr>
          <w:rFonts w:eastAsiaTheme="minorEastAsia" w:cstheme="minorBidi"/>
          <w:noProof/>
          <w:szCs w:val="24"/>
          <w:lang w:eastAsia="en-GB"/>
        </w:rPr>
      </w:pPr>
      <w:hyperlink w:anchor="_Toc90217057" w:history="1">
        <w:r w:rsidR="00183CC8" w:rsidRPr="00B90773">
          <w:rPr>
            <w:rStyle w:val="Hyperlink"/>
            <w:noProof/>
          </w:rPr>
          <w:t xml:space="preserve">Supplementary Figure 5  Morphological effect of tarocin on </w:t>
        </w:r>
        <w:r w:rsidR="00183CC8" w:rsidRPr="00B90773">
          <w:rPr>
            <w:rStyle w:val="Hyperlink"/>
            <w:i/>
            <w:noProof/>
          </w:rPr>
          <w:t xml:space="preserve">S. aureus </w:t>
        </w:r>
        <w:r w:rsidR="00183CC8" w:rsidRPr="00B90773">
          <w:rPr>
            <w:rStyle w:val="Hyperlink"/>
            <w:noProof/>
          </w:rPr>
          <w:t>SH1000.</w:t>
        </w:r>
        <w:r w:rsidR="00183CC8">
          <w:rPr>
            <w:noProof/>
            <w:webHidden/>
          </w:rPr>
          <w:tab/>
        </w:r>
        <w:r w:rsidR="00183CC8">
          <w:rPr>
            <w:noProof/>
            <w:webHidden/>
          </w:rPr>
          <w:fldChar w:fldCharType="begin"/>
        </w:r>
        <w:r w:rsidR="00183CC8">
          <w:rPr>
            <w:noProof/>
            <w:webHidden/>
          </w:rPr>
          <w:instrText xml:space="preserve"> PAGEREF _Toc90217057 \h </w:instrText>
        </w:r>
        <w:r w:rsidR="00183CC8">
          <w:rPr>
            <w:noProof/>
            <w:webHidden/>
          </w:rPr>
        </w:r>
        <w:r w:rsidR="00183CC8">
          <w:rPr>
            <w:noProof/>
            <w:webHidden/>
          </w:rPr>
          <w:fldChar w:fldCharType="separate"/>
        </w:r>
        <w:r w:rsidR="00183CC8">
          <w:rPr>
            <w:noProof/>
            <w:webHidden/>
          </w:rPr>
          <w:t>286</w:t>
        </w:r>
        <w:r w:rsidR="00183CC8">
          <w:rPr>
            <w:noProof/>
            <w:webHidden/>
          </w:rPr>
          <w:fldChar w:fldCharType="end"/>
        </w:r>
      </w:hyperlink>
    </w:p>
    <w:p w14:paraId="24A03898" w14:textId="594795E0" w:rsidR="00183CC8" w:rsidRDefault="003373BF">
      <w:pPr>
        <w:pStyle w:val="TableofFigures"/>
        <w:tabs>
          <w:tab w:val="right" w:leader="dot" w:pos="9402"/>
        </w:tabs>
        <w:rPr>
          <w:rFonts w:eastAsiaTheme="minorEastAsia" w:cstheme="minorBidi"/>
          <w:noProof/>
          <w:szCs w:val="24"/>
          <w:lang w:eastAsia="en-GB"/>
        </w:rPr>
      </w:pPr>
      <w:hyperlink w:anchor="_Toc90217058" w:history="1">
        <w:r w:rsidR="00183CC8" w:rsidRPr="00B90773">
          <w:rPr>
            <w:rStyle w:val="Hyperlink"/>
            <w:noProof/>
          </w:rPr>
          <w:t xml:space="preserve">Supplementary Figure 6  TEM comparison of the effect of tarocin treatment with </w:t>
        </w:r>
        <w:r w:rsidR="00183CC8" w:rsidRPr="00B90773">
          <w:rPr>
            <w:rStyle w:val="Hyperlink"/>
            <w:i/>
            <w:noProof/>
          </w:rPr>
          <w:t>tarO</w:t>
        </w:r>
        <w:r w:rsidR="00183CC8">
          <w:rPr>
            <w:noProof/>
            <w:webHidden/>
          </w:rPr>
          <w:tab/>
        </w:r>
        <w:r w:rsidR="00183CC8">
          <w:rPr>
            <w:noProof/>
            <w:webHidden/>
          </w:rPr>
          <w:fldChar w:fldCharType="begin"/>
        </w:r>
        <w:r w:rsidR="00183CC8">
          <w:rPr>
            <w:noProof/>
            <w:webHidden/>
          </w:rPr>
          <w:instrText xml:space="preserve"> PAGEREF _Toc90217058 \h </w:instrText>
        </w:r>
        <w:r w:rsidR="00183CC8">
          <w:rPr>
            <w:noProof/>
            <w:webHidden/>
          </w:rPr>
        </w:r>
        <w:r w:rsidR="00183CC8">
          <w:rPr>
            <w:noProof/>
            <w:webHidden/>
          </w:rPr>
          <w:fldChar w:fldCharType="separate"/>
        </w:r>
        <w:r w:rsidR="00183CC8">
          <w:rPr>
            <w:noProof/>
            <w:webHidden/>
          </w:rPr>
          <w:t>287</w:t>
        </w:r>
        <w:r w:rsidR="00183CC8">
          <w:rPr>
            <w:noProof/>
            <w:webHidden/>
          </w:rPr>
          <w:fldChar w:fldCharType="end"/>
        </w:r>
      </w:hyperlink>
    </w:p>
    <w:p w14:paraId="31A7EE0B" w14:textId="3549E703" w:rsidR="00183CC8" w:rsidRDefault="003373BF">
      <w:pPr>
        <w:pStyle w:val="TableofFigures"/>
        <w:tabs>
          <w:tab w:val="right" w:leader="dot" w:pos="9402"/>
        </w:tabs>
        <w:rPr>
          <w:rFonts w:eastAsiaTheme="minorEastAsia" w:cstheme="minorBidi"/>
          <w:noProof/>
          <w:szCs w:val="24"/>
          <w:lang w:eastAsia="en-GB"/>
        </w:rPr>
      </w:pPr>
      <w:hyperlink w:anchor="_Toc90217059" w:history="1">
        <w:r w:rsidR="00183CC8" w:rsidRPr="00B90773">
          <w:rPr>
            <w:rStyle w:val="Hyperlink"/>
            <w:noProof/>
          </w:rPr>
          <w:t xml:space="preserve">Supplementary Figure 7  Morphological effect of tarocin treatment on </w:t>
        </w:r>
        <w:r w:rsidR="00183CC8" w:rsidRPr="00B90773">
          <w:rPr>
            <w:rStyle w:val="Hyperlink"/>
            <w:i/>
            <w:noProof/>
          </w:rPr>
          <w:t>gdpP::kan.</w:t>
        </w:r>
        <w:r w:rsidR="00183CC8">
          <w:rPr>
            <w:noProof/>
            <w:webHidden/>
          </w:rPr>
          <w:tab/>
        </w:r>
        <w:r w:rsidR="00183CC8">
          <w:rPr>
            <w:noProof/>
            <w:webHidden/>
          </w:rPr>
          <w:fldChar w:fldCharType="begin"/>
        </w:r>
        <w:r w:rsidR="00183CC8">
          <w:rPr>
            <w:noProof/>
            <w:webHidden/>
          </w:rPr>
          <w:instrText xml:space="preserve"> PAGEREF _Toc90217059 \h </w:instrText>
        </w:r>
        <w:r w:rsidR="00183CC8">
          <w:rPr>
            <w:noProof/>
            <w:webHidden/>
          </w:rPr>
        </w:r>
        <w:r w:rsidR="00183CC8">
          <w:rPr>
            <w:noProof/>
            <w:webHidden/>
          </w:rPr>
          <w:fldChar w:fldCharType="separate"/>
        </w:r>
        <w:r w:rsidR="00183CC8">
          <w:rPr>
            <w:noProof/>
            <w:webHidden/>
          </w:rPr>
          <w:t>288</w:t>
        </w:r>
        <w:r w:rsidR="00183CC8">
          <w:rPr>
            <w:noProof/>
            <w:webHidden/>
          </w:rPr>
          <w:fldChar w:fldCharType="end"/>
        </w:r>
      </w:hyperlink>
    </w:p>
    <w:p w14:paraId="1263F923" w14:textId="647C5038" w:rsidR="00183CC8" w:rsidRDefault="003373BF">
      <w:pPr>
        <w:pStyle w:val="TableofFigures"/>
        <w:tabs>
          <w:tab w:val="right" w:leader="dot" w:pos="9402"/>
        </w:tabs>
        <w:rPr>
          <w:rFonts w:eastAsiaTheme="minorEastAsia" w:cstheme="minorBidi"/>
          <w:noProof/>
          <w:szCs w:val="24"/>
          <w:lang w:eastAsia="en-GB"/>
        </w:rPr>
      </w:pPr>
      <w:hyperlink w:anchor="_Toc90217060" w:history="1">
        <w:r w:rsidR="00183CC8" w:rsidRPr="00B90773">
          <w:rPr>
            <w:rStyle w:val="Hyperlink"/>
            <w:noProof/>
          </w:rPr>
          <w:t xml:space="preserve">Supplementary Figure 8  Overview of </w:t>
        </w:r>
        <w:r w:rsidR="00183CC8" w:rsidRPr="00B90773">
          <w:rPr>
            <w:rStyle w:val="Hyperlink"/>
            <w:i/>
            <w:noProof/>
          </w:rPr>
          <w:t>S. aureus ltaS gdpP::kan</w:t>
        </w:r>
        <w:r w:rsidR="00183CC8" w:rsidRPr="00B90773">
          <w:rPr>
            <w:rStyle w:val="Hyperlink"/>
            <w:noProof/>
          </w:rPr>
          <w:t xml:space="preserve"> treated with tarocin</w:t>
        </w:r>
        <w:r w:rsidR="00183CC8" w:rsidRPr="00B90773">
          <w:rPr>
            <w:rStyle w:val="Hyperlink"/>
            <w:i/>
            <w:noProof/>
          </w:rPr>
          <w:t>.</w:t>
        </w:r>
        <w:r w:rsidR="00183CC8">
          <w:rPr>
            <w:noProof/>
            <w:webHidden/>
          </w:rPr>
          <w:tab/>
        </w:r>
        <w:r w:rsidR="00183CC8">
          <w:rPr>
            <w:noProof/>
            <w:webHidden/>
          </w:rPr>
          <w:fldChar w:fldCharType="begin"/>
        </w:r>
        <w:r w:rsidR="00183CC8">
          <w:rPr>
            <w:noProof/>
            <w:webHidden/>
          </w:rPr>
          <w:instrText xml:space="preserve"> PAGEREF _Toc90217060 \h </w:instrText>
        </w:r>
        <w:r w:rsidR="00183CC8">
          <w:rPr>
            <w:noProof/>
            <w:webHidden/>
          </w:rPr>
        </w:r>
        <w:r w:rsidR="00183CC8">
          <w:rPr>
            <w:noProof/>
            <w:webHidden/>
          </w:rPr>
          <w:fldChar w:fldCharType="separate"/>
        </w:r>
        <w:r w:rsidR="00183CC8">
          <w:rPr>
            <w:noProof/>
            <w:webHidden/>
          </w:rPr>
          <w:t>289</w:t>
        </w:r>
        <w:r w:rsidR="00183CC8">
          <w:rPr>
            <w:noProof/>
            <w:webHidden/>
          </w:rPr>
          <w:fldChar w:fldCharType="end"/>
        </w:r>
      </w:hyperlink>
    </w:p>
    <w:p w14:paraId="20595EBA" w14:textId="346B6ACF" w:rsidR="00183CC8" w:rsidRDefault="003373BF">
      <w:pPr>
        <w:pStyle w:val="TableofFigures"/>
        <w:tabs>
          <w:tab w:val="right" w:leader="dot" w:pos="9402"/>
        </w:tabs>
        <w:rPr>
          <w:rFonts w:eastAsiaTheme="minorEastAsia" w:cstheme="minorBidi"/>
          <w:noProof/>
          <w:szCs w:val="24"/>
          <w:lang w:eastAsia="en-GB"/>
        </w:rPr>
      </w:pPr>
      <w:hyperlink w:anchor="_Toc90217061" w:history="1">
        <w:r w:rsidR="00183CC8" w:rsidRPr="00B90773">
          <w:rPr>
            <w:rStyle w:val="Hyperlink"/>
            <w:noProof/>
          </w:rPr>
          <w:t xml:space="preserve">Supplementary Figure 9  Morphological effect of tarocin on </w:t>
        </w:r>
        <w:r w:rsidR="00183CC8" w:rsidRPr="00B90773">
          <w:rPr>
            <w:rStyle w:val="Hyperlink"/>
            <w:i/>
            <w:noProof/>
          </w:rPr>
          <w:t>S. aureus ltaS gdpP::kan.</w:t>
        </w:r>
        <w:r w:rsidR="00183CC8">
          <w:rPr>
            <w:noProof/>
            <w:webHidden/>
          </w:rPr>
          <w:tab/>
        </w:r>
        <w:r w:rsidR="00183CC8">
          <w:rPr>
            <w:noProof/>
            <w:webHidden/>
          </w:rPr>
          <w:fldChar w:fldCharType="begin"/>
        </w:r>
        <w:r w:rsidR="00183CC8">
          <w:rPr>
            <w:noProof/>
            <w:webHidden/>
          </w:rPr>
          <w:instrText xml:space="preserve"> PAGEREF _Toc90217061 \h </w:instrText>
        </w:r>
        <w:r w:rsidR="00183CC8">
          <w:rPr>
            <w:noProof/>
            <w:webHidden/>
          </w:rPr>
        </w:r>
        <w:r w:rsidR="00183CC8">
          <w:rPr>
            <w:noProof/>
            <w:webHidden/>
          </w:rPr>
          <w:fldChar w:fldCharType="separate"/>
        </w:r>
        <w:r w:rsidR="00183CC8">
          <w:rPr>
            <w:noProof/>
            <w:webHidden/>
          </w:rPr>
          <w:t>290</w:t>
        </w:r>
        <w:r w:rsidR="00183CC8">
          <w:rPr>
            <w:noProof/>
            <w:webHidden/>
          </w:rPr>
          <w:fldChar w:fldCharType="end"/>
        </w:r>
      </w:hyperlink>
    </w:p>
    <w:p w14:paraId="1F93C317" w14:textId="416B8DDD" w:rsidR="00183CC8" w:rsidRDefault="003373BF">
      <w:pPr>
        <w:pStyle w:val="TableofFigures"/>
        <w:tabs>
          <w:tab w:val="right" w:leader="dot" w:pos="9402"/>
        </w:tabs>
        <w:rPr>
          <w:rFonts w:eastAsiaTheme="minorEastAsia" w:cstheme="minorBidi"/>
          <w:noProof/>
          <w:szCs w:val="24"/>
          <w:lang w:eastAsia="en-GB"/>
        </w:rPr>
      </w:pPr>
      <w:hyperlink w:anchor="_Toc90217062" w:history="1">
        <w:r w:rsidR="00183CC8" w:rsidRPr="00B90773">
          <w:rPr>
            <w:rStyle w:val="Hyperlink"/>
            <w:noProof/>
          </w:rPr>
          <w:t xml:space="preserve">Supplementary Figure 10  Morphological effect of Congo red on </w:t>
        </w:r>
        <w:r w:rsidR="00183CC8" w:rsidRPr="00B90773">
          <w:rPr>
            <w:rStyle w:val="Hyperlink"/>
            <w:i/>
            <w:noProof/>
          </w:rPr>
          <w:t>S. aureus tarO</w:t>
        </w:r>
        <w:r w:rsidR="00183CC8" w:rsidRPr="00B90773">
          <w:rPr>
            <w:rStyle w:val="Hyperlink"/>
            <w:noProof/>
          </w:rPr>
          <w:t>.</w:t>
        </w:r>
        <w:r w:rsidR="00183CC8">
          <w:rPr>
            <w:noProof/>
            <w:webHidden/>
          </w:rPr>
          <w:tab/>
        </w:r>
        <w:r w:rsidR="00183CC8">
          <w:rPr>
            <w:noProof/>
            <w:webHidden/>
          </w:rPr>
          <w:fldChar w:fldCharType="begin"/>
        </w:r>
        <w:r w:rsidR="00183CC8">
          <w:rPr>
            <w:noProof/>
            <w:webHidden/>
          </w:rPr>
          <w:instrText xml:space="preserve"> PAGEREF _Toc90217062 \h </w:instrText>
        </w:r>
        <w:r w:rsidR="00183CC8">
          <w:rPr>
            <w:noProof/>
            <w:webHidden/>
          </w:rPr>
        </w:r>
        <w:r w:rsidR="00183CC8">
          <w:rPr>
            <w:noProof/>
            <w:webHidden/>
          </w:rPr>
          <w:fldChar w:fldCharType="separate"/>
        </w:r>
        <w:r w:rsidR="00183CC8">
          <w:rPr>
            <w:noProof/>
            <w:webHidden/>
          </w:rPr>
          <w:t>291</w:t>
        </w:r>
        <w:r w:rsidR="00183CC8">
          <w:rPr>
            <w:noProof/>
            <w:webHidden/>
          </w:rPr>
          <w:fldChar w:fldCharType="end"/>
        </w:r>
      </w:hyperlink>
    </w:p>
    <w:p w14:paraId="02B001B5" w14:textId="7B92A68E" w:rsidR="00183CC8" w:rsidRDefault="003373BF">
      <w:pPr>
        <w:pStyle w:val="TableofFigures"/>
        <w:tabs>
          <w:tab w:val="right" w:leader="dot" w:pos="9402"/>
        </w:tabs>
        <w:rPr>
          <w:rFonts w:eastAsiaTheme="minorEastAsia" w:cstheme="minorBidi"/>
          <w:noProof/>
          <w:szCs w:val="24"/>
          <w:lang w:eastAsia="en-GB"/>
        </w:rPr>
      </w:pPr>
      <w:hyperlink w:anchor="_Toc90217063" w:history="1">
        <w:r w:rsidR="00183CC8" w:rsidRPr="00B90773">
          <w:rPr>
            <w:rStyle w:val="Hyperlink"/>
            <w:noProof/>
          </w:rPr>
          <w:t xml:space="preserve">Supplementary Figure 11  Phenotype comparison between LTA-depletion and </w:t>
        </w:r>
        <w:r w:rsidR="00183CC8" w:rsidRPr="00B90773">
          <w:rPr>
            <w:rStyle w:val="Hyperlink"/>
            <w:i/>
            <w:noProof/>
          </w:rPr>
          <w:t>tarO</w:t>
        </w:r>
        <w:r w:rsidR="00183CC8" w:rsidRPr="00B90773">
          <w:rPr>
            <w:rStyle w:val="Hyperlink"/>
            <w:noProof/>
          </w:rPr>
          <w:t xml:space="preserve"> treated with Congo red</w:t>
        </w:r>
        <w:r w:rsidR="00183CC8" w:rsidRPr="00B90773">
          <w:rPr>
            <w:rStyle w:val="Hyperlink"/>
            <w:i/>
            <w:noProof/>
          </w:rPr>
          <w:t>.</w:t>
        </w:r>
        <w:r w:rsidR="00183CC8">
          <w:rPr>
            <w:noProof/>
            <w:webHidden/>
          </w:rPr>
          <w:tab/>
        </w:r>
        <w:r w:rsidR="00183CC8">
          <w:rPr>
            <w:noProof/>
            <w:webHidden/>
          </w:rPr>
          <w:fldChar w:fldCharType="begin"/>
        </w:r>
        <w:r w:rsidR="00183CC8">
          <w:rPr>
            <w:noProof/>
            <w:webHidden/>
          </w:rPr>
          <w:instrText xml:space="preserve"> PAGEREF _Toc90217063 \h </w:instrText>
        </w:r>
        <w:r w:rsidR="00183CC8">
          <w:rPr>
            <w:noProof/>
            <w:webHidden/>
          </w:rPr>
        </w:r>
        <w:r w:rsidR="00183CC8">
          <w:rPr>
            <w:noProof/>
            <w:webHidden/>
          </w:rPr>
          <w:fldChar w:fldCharType="separate"/>
        </w:r>
        <w:r w:rsidR="00183CC8">
          <w:rPr>
            <w:noProof/>
            <w:webHidden/>
          </w:rPr>
          <w:t>292</w:t>
        </w:r>
        <w:r w:rsidR="00183CC8">
          <w:rPr>
            <w:noProof/>
            <w:webHidden/>
          </w:rPr>
          <w:fldChar w:fldCharType="end"/>
        </w:r>
      </w:hyperlink>
    </w:p>
    <w:p w14:paraId="353E20A5" w14:textId="5DACDD8D" w:rsidR="00183CC8" w:rsidRDefault="003373BF">
      <w:pPr>
        <w:pStyle w:val="TableofFigures"/>
        <w:tabs>
          <w:tab w:val="right" w:leader="dot" w:pos="9402"/>
        </w:tabs>
        <w:rPr>
          <w:rFonts w:eastAsiaTheme="minorEastAsia" w:cstheme="minorBidi"/>
          <w:noProof/>
          <w:szCs w:val="24"/>
          <w:lang w:eastAsia="en-GB"/>
        </w:rPr>
      </w:pPr>
      <w:hyperlink w:anchor="_Toc90217064" w:history="1">
        <w:r w:rsidR="00183CC8" w:rsidRPr="00B90773">
          <w:rPr>
            <w:rStyle w:val="Hyperlink"/>
            <w:noProof/>
          </w:rPr>
          <w:t xml:space="preserve">Supplementary Figure 12  Effect of high osmolarity on </w:t>
        </w:r>
        <w:r w:rsidR="00183CC8" w:rsidRPr="00B90773">
          <w:rPr>
            <w:rStyle w:val="Hyperlink"/>
            <w:i/>
            <w:noProof/>
          </w:rPr>
          <w:t xml:space="preserve">S. aureus </w:t>
        </w:r>
        <w:r w:rsidR="00183CC8" w:rsidRPr="00B90773">
          <w:rPr>
            <w:rStyle w:val="Hyperlink"/>
            <w:noProof/>
          </w:rPr>
          <w:t>SH1000 growth and morphology</w:t>
        </w:r>
        <w:r w:rsidR="00183CC8">
          <w:rPr>
            <w:noProof/>
            <w:webHidden/>
          </w:rPr>
          <w:tab/>
        </w:r>
        <w:r w:rsidR="00183CC8">
          <w:rPr>
            <w:noProof/>
            <w:webHidden/>
          </w:rPr>
          <w:fldChar w:fldCharType="begin"/>
        </w:r>
        <w:r w:rsidR="00183CC8">
          <w:rPr>
            <w:noProof/>
            <w:webHidden/>
          </w:rPr>
          <w:instrText xml:space="preserve"> PAGEREF _Toc90217064 \h </w:instrText>
        </w:r>
        <w:r w:rsidR="00183CC8">
          <w:rPr>
            <w:noProof/>
            <w:webHidden/>
          </w:rPr>
        </w:r>
        <w:r w:rsidR="00183CC8">
          <w:rPr>
            <w:noProof/>
            <w:webHidden/>
          </w:rPr>
          <w:fldChar w:fldCharType="separate"/>
        </w:r>
        <w:r w:rsidR="00183CC8">
          <w:rPr>
            <w:noProof/>
            <w:webHidden/>
          </w:rPr>
          <w:t>293</w:t>
        </w:r>
        <w:r w:rsidR="00183CC8">
          <w:rPr>
            <w:noProof/>
            <w:webHidden/>
          </w:rPr>
          <w:fldChar w:fldCharType="end"/>
        </w:r>
      </w:hyperlink>
    </w:p>
    <w:p w14:paraId="2B773402" w14:textId="0275E710" w:rsidR="00183CC8" w:rsidRDefault="003373BF">
      <w:pPr>
        <w:pStyle w:val="TableofFigures"/>
        <w:tabs>
          <w:tab w:val="right" w:leader="dot" w:pos="9402"/>
        </w:tabs>
        <w:rPr>
          <w:rFonts w:eastAsiaTheme="minorEastAsia" w:cstheme="minorBidi"/>
          <w:noProof/>
          <w:szCs w:val="24"/>
          <w:lang w:eastAsia="en-GB"/>
        </w:rPr>
      </w:pPr>
      <w:hyperlink w:anchor="_Toc90217065" w:history="1">
        <w:r w:rsidR="00183CC8" w:rsidRPr="00B90773">
          <w:rPr>
            <w:rStyle w:val="Hyperlink"/>
            <w:noProof/>
          </w:rPr>
          <w:t xml:space="preserve">Supplementary Figure 13  Instant reaction and signs of plasmolysis observed in </w:t>
        </w:r>
        <w:r w:rsidR="00183CC8" w:rsidRPr="00B90773">
          <w:rPr>
            <w:rStyle w:val="Hyperlink"/>
            <w:i/>
            <w:noProof/>
          </w:rPr>
          <w:t xml:space="preserve">S. aureus </w:t>
        </w:r>
        <w:r w:rsidR="00183CC8" w:rsidRPr="00B90773">
          <w:rPr>
            <w:rStyle w:val="Hyperlink"/>
            <w:noProof/>
          </w:rPr>
          <w:t>SH1000 treated with high concentrations of NaCl.</w:t>
        </w:r>
        <w:r w:rsidR="00183CC8">
          <w:rPr>
            <w:noProof/>
            <w:webHidden/>
          </w:rPr>
          <w:tab/>
        </w:r>
        <w:r w:rsidR="00183CC8">
          <w:rPr>
            <w:noProof/>
            <w:webHidden/>
          </w:rPr>
          <w:fldChar w:fldCharType="begin"/>
        </w:r>
        <w:r w:rsidR="00183CC8">
          <w:rPr>
            <w:noProof/>
            <w:webHidden/>
          </w:rPr>
          <w:instrText xml:space="preserve"> PAGEREF _Toc90217065 \h </w:instrText>
        </w:r>
        <w:r w:rsidR="00183CC8">
          <w:rPr>
            <w:noProof/>
            <w:webHidden/>
          </w:rPr>
        </w:r>
        <w:r w:rsidR="00183CC8">
          <w:rPr>
            <w:noProof/>
            <w:webHidden/>
          </w:rPr>
          <w:fldChar w:fldCharType="separate"/>
        </w:r>
        <w:r w:rsidR="00183CC8">
          <w:rPr>
            <w:noProof/>
            <w:webHidden/>
          </w:rPr>
          <w:t>294</w:t>
        </w:r>
        <w:r w:rsidR="00183CC8">
          <w:rPr>
            <w:noProof/>
            <w:webHidden/>
          </w:rPr>
          <w:fldChar w:fldCharType="end"/>
        </w:r>
      </w:hyperlink>
    </w:p>
    <w:p w14:paraId="4782600B" w14:textId="171307F2" w:rsidR="00904F23" w:rsidRPr="005B0F81" w:rsidRDefault="00904F23" w:rsidP="00904F23">
      <w:pPr>
        <w:pStyle w:val="ChaptertitleThesis"/>
        <w:sectPr w:rsidR="00904F23" w:rsidRPr="005B0F81" w:rsidSect="004D0E05">
          <w:footerReference w:type="first" r:id="rId12"/>
          <w:pgSz w:w="11906" w:h="16838"/>
          <w:pgMar w:top="1191" w:right="1247" w:bottom="1191" w:left="1247" w:header="709" w:footer="709" w:gutter="0"/>
          <w:pgNumType w:fmt="upperRoman"/>
          <w:cols w:space="708"/>
          <w:titlePg/>
          <w:docGrid w:linePitch="360"/>
        </w:sectPr>
      </w:pPr>
      <w:r>
        <w:fldChar w:fldCharType="end"/>
      </w:r>
    </w:p>
    <w:p w14:paraId="1401ACA9" w14:textId="03631EE5" w:rsidR="00C27C96" w:rsidRPr="003F43F9" w:rsidRDefault="00BC38B4" w:rsidP="003F43F9">
      <w:pPr>
        <w:pStyle w:val="Heading1"/>
      </w:pPr>
      <w:bookmarkStart w:id="27" w:name="_Toc64276271"/>
      <w:bookmarkStart w:id="28" w:name="_Toc64276575"/>
      <w:bookmarkStart w:id="29" w:name="_Toc64276787"/>
      <w:bookmarkStart w:id="30" w:name="_Toc90216722"/>
      <w:r w:rsidRPr="003F43F9">
        <w:lastRenderedPageBreak/>
        <w:t>Chapter 1</w:t>
      </w:r>
      <w:bookmarkEnd w:id="27"/>
      <w:bookmarkEnd w:id="28"/>
      <w:bookmarkEnd w:id="29"/>
      <w:bookmarkEnd w:id="30"/>
    </w:p>
    <w:p w14:paraId="1F497F0D" w14:textId="2F30FA6E" w:rsidR="006F419A" w:rsidRPr="00FA48D6" w:rsidRDefault="006F419A" w:rsidP="00FA48D6">
      <w:pPr>
        <w:pStyle w:val="ChaptertitleThesis"/>
      </w:pPr>
      <w:bookmarkStart w:id="31" w:name="_Toc64276272"/>
      <w:bookmarkStart w:id="32" w:name="_Toc64276576"/>
      <w:bookmarkStart w:id="33" w:name="_Toc64276788"/>
      <w:bookmarkStart w:id="34" w:name="_Toc90216723"/>
      <w:r w:rsidRPr="00FA48D6">
        <w:t>Introduction</w:t>
      </w:r>
      <w:bookmarkEnd w:id="31"/>
      <w:bookmarkEnd w:id="32"/>
      <w:bookmarkEnd w:id="33"/>
      <w:bookmarkEnd w:id="34"/>
    </w:p>
    <w:p w14:paraId="619BDD47" w14:textId="25BF7B36" w:rsidR="00E9500B" w:rsidRPr="005E22EE" w:rsidRDefault="00AB1F24" w:rsidP="00FA48D6">
      <w:pPr>
        <w:pStyle w:val="Heading2"/>
        <w:rPr>
          <w:i/>
          <w:iCs/>
        </w:rPr>
      </w:pPr>
      <w:bookmarkStart w:id="35" w:name="_Toc64276273"/>
      <w:bookmarkStart w:id="36" w:name="_Toc64276577"/>
      <w:bookmarkStart w:id="37" w:name="_Toc64276789"/>
      <w:bookmarkStart w:id="38" w:name="_Toc90216724"/>
      <w:r w:rsidRPr="005E22EE">
        <w:rPr>
          <w:i/>
          <w:iCs/>
        </w:rPr>
        <w:t>Staphylococcus aureus</w:t>
      </w:r>
      <w:bookmarkEnd w:id="35"/>
      <w:bookmarkEnd w:id="36"/>
      <w:bookmarkEnd w:id="37"/>
      <w:r w:rsidR="007006CC">
        <w:rPr>
          <w:i/>
          <w:iCs/>
        </w:rPr>
        <w:t>.</w:t>
      </w:r>
      <w:bookmarkEnd w:id="38"/>
    </w:p>
    <w:p w14:paraId="1171CA0A" w14:textId="2603C6F5" w:rsidR="004A512C" w:rsidRDefault="00983D6F" w:rsidP="005E22EE">
      <w:r>
        <w:t>While studying</w:t>
      </w:r>
      <w:r w:rsidR="001A78E1">
        <w:t xml:space="preserve"> human abscesses in the late 1800s</w:t>
      </w:r>
      <w:r>
        <w:t xml:space="preserve">, Alexander Ogston </w:t>
      </w:r>
      <w:r w:rsidR="001A78E1">
        <w:t xml:space="preserve">found </w:t>
      </w:r>
      <w:r w:rsidR="009A1800">
        <w:t xml:space="preserve">a </w:t>
      </w:r>
      <w:r>
        <w:t xml:space="preserve">spherically-shaped </w:t>
      </w:r>
      <w:r w:rsidR="001A78E1">
        <w:t>microorganism</w:t>
      </w:r>
      <w:r>
        <w:t xml:space="preserve"> that resembled a cluster of grapes</w:t>
      </w:r>
      <w:r w:rsidR="002E73B7">
        <w:t xml:space="preserve"> </w:t>
      </w:r>
      <w:r w:rsidR="002E73B7">
        <w:fldChar w:fldCharType="begin" w:fldLock="1"/>
      </w:r>
      <w:r w:rsidR="00DA0A83">
        <w:instrText>ADDIN CSL_CITATION {"citationItems":[{"id":"ITEM-1","itemData":{"DOI":"10.1093/clinids/6.1.122","ISSN":"1058-4838","PMID":"6369479","abstract":"This paper is reprinted from the translation by Professor W. Witte, University of Aberdeen, Aberdeen, Scotland, in The Staphylococci: Proceedings of the Alexander Ogston Centennial Conference, edited by Alexander Macdonald and George Smith, pages 277-286. (C) 1981 by Aberdeen University Press. Used by permission of the publishers, Aberdeen University Press.","author":[{"dropping-particle":"","family":"Ogston","given":"A.","non-dropping-particle":"","parse-names":false,"suffix":""}],"container-title":"Clinical Infectious Diseases","id":"ITEM-1","issue":"1","issued":{"date-parts":[["1984"]]},"page":"122-128","publisher":"Oxford University Press","title":"\"On Abscesses\"","type":"article-journal","volume":"6"},"uris":["http://www.mendeley.com/documents/?uuid=af5bf836-888c-4d84-a66e-668a04d8dab8"]},{"id":"ITEM-2","itemData":{"ISBN":"0080257496","author":[{"dropping-particle":"","family":"Smith","given":"George","non-dropping-particle":"","parse-names":false,"suffix":""},{"dropping-particle":"","family":"Macdonald","given":"Alexander","non-dropping-particle":"","parse-names":false,"suffix":""}],"editor":[{"dropping-particle":"","family":"Rotterdam","given":"Erasmus MC: University Medical Center","non-dropping-particle":"","parse-names":false,"suffix":""}],"id":"ITEM-2","issued":{"date-parts":[["1981"]]},"number-of-pages":"viii, 288 p., [1] folded leaf of plates","title":"The staphylococci : proceedings of the Alexander Ogston Centennial Conference","type":"book"},"uris":["http://www.mendeley.com/documents/?uuid=21bde676-2379-4b30-aff6-72eebddff957"]},{"id":"ITEM-3","itemData":{"DOI":"10.1016/j.jhin.2008.10.001","ISSN":"01956701","PMID":"18952323","abstract":"One hundred and thirty years ago, Alexander Ogston, a surgeon in Aberdeen, first saw micro-organisms in pus from an abscess, which he later called 'staphylococci'. He had already introduced 'Listerism' to Aberdeen, but wished to know more about the cause of infections. He extended Koch's work on 'traumatic wound infection in animals' to humans by a series of ingenious experiments. He used the most modern German microscopes and Koch's stains to study pus from abscesses, and was first to grow staphylococci in artificial cultures (hens' eggs). From 1878 to 1883 the laboratory in his garden was a major UK bacteriology research laboratory. Eventually he became Regius Professor of Surgery and had to 'leave research to others'. © 2008 The Hospital Infection Society.","author":[{"dropping-particle":"","family":"Newsom","given":"S. W B","non-dropping-particle":"","parse-names":false,"suffix":""}],"container-title":"Journal of Hospital Infection","id":"ITEM-3","issue":"4","issued":{"date-parts":[["2008"]]},"page":"369-372","publisher":"Elsevier Ltd","title":"Ogston's coccus","type":"article-journal","volume":"70"},"uris":["http://www.mendeley.com/documents/?uuid=aef75421-8cc6-4ea4-9723-31ff9e417b94"]}],"mendeley":{"formattedCitation":"&lt;sup&gt;[1–3]&lt;/sup&gt;","plainTextFormattedCitation":"[1–3]","previouslyFormattedCitation":"&lt;sup&gt;[1–3]&lt;/sup&gt;"},"properties":{"noteIndex":0},"schema":"https://github.com/citation-style-language/schema/raw/master/csl-citation.json"}</w:instrText>
      </w:r>
      <w:r w:rsidR="002E73B7">
        <w:fldChar w:fldCharType="separate"/>
      </w:r>
      <w:r w:rsidR="00DA0A83" w:rsidRPr="00DA0A83">
        <w:rPr>
          <w:noProof/>
          <w:vertAlign w:val="superscript"/>
        </w:rPr>
        <w:t>[1–3]</w:t>
      </w:r>
      <w:r w:rsidR="002E73B7">
        <w:fldChar w:fldCharType="end"/>
      </w:r>
      <w:r w:rsidR="002E73B7">
        <w:t>.</w:t>
      </w:r>
      <w:r>
        <w:t xml:space="preserve"> </w:t>
      </w:r>
      <w:r w:rsidR="001F5BB0">
        <w:t>He later</w:t>
      </w:r>
      <w:r>
        <w:t xml:space="preserve"> named</w:t>
      </w:r>
      <w:r w:rsidR="001F5BB0">
        <w:t xml:space="preserve"> these bacteria</w:t>
      </w:r>
      <w:r>
        <w:t xml:space="preserve"> </w:t>
      </w:r>
      <w:r>
        <w:rPr>
          <w:i/>
          <w:iCs/>
        </w:rPr>
        <w:t>Staphylococcus</w:t>
      </w:r>
      <w:r>
        <w:t xml:space="preserve"> in 1882</w:t>
      </w:r>
      <w:r w:rsidR="00794DCB">
        <w:t>, however, the genus was accredited to Rosenbach in 1884 after being the first to isolate and grow the</w:t>
      </w:r>
      <w:r w:rsidR="0000667A">
        <w:t>m</w:t>
      </w:r>
      <w:r w:rsidR="00794DCB">
        <w:t xml:space="preserve"> in pure culture</w:t>
      </w:r>
      <w:r>
        <w:t xml:space="preserve"> </w:t>
      </w:r>
      <w:r>
        <w:fldChar w:fldCharType="begin" w:fldLock="1"/>
      </w:r>
      <w:r w:rsidR="00DA0A83">
        <w:instrText>ADDIN CSL_CITATION {"citationItems":[{"id":"ITEM-1","itemData":{"DOI":"10.1093/clinids/6.1.122","ISSN":"1058-4838","PMID":"6369479","abstract":"This paper is reprinted from the translation by Professor W. Witte, University of Aberdeen, Aberdeen, Scotland, in The Staphylococci: Proceedings of the Alexander Ogston Centennial Conference, edited by Alexander Macdonald and George Smith, pages 277-286. (C) 1981 by Aberdeen University Press. Used by permission of the publishers, Aberdeen University Press.","author":[{"dropping-particle":"","family":"Ogston","given":"A.","non-dropping-particle":"","parse-names":false,"suffix":""}],"container-title":"Clinical Infectious Diseases","id":"ITEM-1","issue":"1","issued":{"date-parts":[["1984"]]},"page":"122-128","publisher":"Oxford University Press","title":"\"On Abscesses\"","type":"article-journal","volume":"6"},"uris":["http://www.mendeley.com/documents/?uuid=af5bf836-888c-4d84-a66e-668a04d8dab8"]},{"id":"ITEM-2","itemData":{"DOI":"10.1016/j.jhin.2008.10.001","ISSN":"01956701","PMID":"18952323","abstract":"One hundred and thirty years ago, Alexander Ogston, a surgeon in Aberdeen, first saw micro-organisms in pus from an abscess, which he later called 'staphylococci'. He had already introduced 'Listerism' to Aberdeen, but wished to know more about the cause of infections. He extended Koch's work on 'traumatic wound infection in animals' to humans by a series of ingenious experiments. He used the most modern German microscopes and Koch's stains to study pus from abscesses, and was first to grow staphylococci in artificial cultures (hens' eggs). From 1878 to 1883 the laboratory in his garden was a major UK bacteriology research laboratory. Eventually he became Regius Professor of Surgery and had to 'leave research to others'. © 2008 The Hospital Infection Society.","author":[{"dropping-particle":"","family":"Newsom","given":"S. W B","non-dropping-particle":"","parse-names":false,"suffix":""}],"container-title":"Journal of Hospital Infection","id":"ITEM-2","issue":"4","issued":{"date-parts":[["2008"]]},"page":"369-372","publisher":"Elsevier Ltd","title":"Ogston's coccus","type":"article-journal","volume":"70"},"uris":["http://www.mendeley.com/documents/?uuid=aef75421-8cc6-4ea4-9723-31ff9e417b94"]},{"id":"ITEM-3","itemData":{"ISBN":"0080257496","author":[{"dropping-particle":"","family":"Smith","given":"George","non-dropping-particle":"","parse-names":false,"suffix":""},{"dropping-particle":"","family":"Macdonald","given":"Alexander","non-dropping-particle":"","parse-names":false,"suffix":""}],"editor":[{"dropping-particle":"","family":"Rotterdam","given":"Erasmus MC: University Medical Center","non-dropping-particle":"","parse-names":false,"suffix":""}],"id":"ITEM-3","issued":{"date-parts":[["1981"]]},"number-of-pages":"viii, 288 p., [1] folded leaf of plates","title":"The staphylococci : proceedings of the Alexander Ogston Centennial Conference","type":"book"},"uris":["http://www.mendeley.com/documents/?uuid=21bde676-2379-4b30-aff6-72eebddff957"]},{"id":"ITEM-4","itemData":{"DOI":"10.1111/j.1749-6632.1965.tb11626.x","PMID":"5323641","author":[{"dropping-particle":"","family":"Baird-Parker A.C.","given":"","non-dropping-particle":"","parse-names":false,"suffix":""}],"chapter-number":"An analysi","container-title":"Annals of the New York Academy of Sciences","id":"ITEM-4","issue":"1","issued":{"date-parts":[["1965"]]},"page":"4-25","title":"Staphylococci and their classification","type":"article-journal","volume":"128"},"uris":["http://www.mendeley.com/documents/?uuid=aca928d4-b470-4efd-9473-9cba79af4b25"]}],"mendeley":{"formattedCitation":"&lt;sup&gt;[1–4]&lt;/sup&gt;","plainTextFormattedCitation":"[1–4]","previouslyFormattedCitation":"&lt;sup&gt;[1–4]&lt;/sup&gt;"},"properties":{"noteIndex":0},"schema":"https://github.com/citation-style-language/schema/raw/master/csl-citation.json"}</w:instrText>
      </w:r>
      <w:r>
        <w:fldChar w:fldCharType="separate"/>
      </w:r>
      <w:r w:rsidR="00DA0A83" w:rsidRPr="00DA0A83">
        <w:rPr>
          <w:noProof/>
          <w:vertAlign w:val="superscript"/>
        </w:rPr>
        <w:t>[1–4]</w:t>
      </w:r>
      <w:r>
        <w:fldChar w:fldCharType="end"/>
      </w:r>
      <w:r w:rsidR="00794DCB">
        <w:t>.</w:t>
      </w:r>
      <w:r w:rsidR="004A512C">
        <w:t xml:space="preserve"> </w:t>
      </w:r>
      <w:r w:rsidR="005E22EE">
        <w:rPr>
          <w:i/>
          <w:iCs/>
        </w:rPr>
        <w:t>Staphylococc</w:t>
      </w:r>
      <w:r w:rsidR="00D976D7">
        <w:rPr>
          <w:i/>
          <w:iCs/>
        </w:rPr>
        <w:t>us</w:t>
      </w:r>
      <w:r w:rsidR="00AD574B">
        <w:t xml:space="preserve"> are spher</w:t>
      </w:r>
      <w:r w:rsidR="00CB18F4">
        <w:t>oid</w:t>
      </w:r>
      <w:r w:rsidR="00AD574B">
        <w:t xml:space="preserve"> bacteria of </w:t>
      </w:r>
      <w:r w:rsidR="00F23F74">
        <w:t>about</w:t>
      </w:r>
      <w:r w:rsidR="00AD574B">
        <w:t xml:space="preserve"> 0.5 – 1.5 µm </w:t>
      </w:r>
      <w:r w:rsidR="008F528C">
        <w:t>with a multiple-plane division</w:t>
      </w:r>
      <w:r w:rsidR="00285307">
        <w:t>, classifie</w:t>
      </w:r>
      <w:r w:rsidR="004A512C">
        <w:t>d</w:t>
      </w:r>
      <w:r w:rsidR="00285307">
        <w:t xml:space="preserve"> as Gram-positive, non-sporulating, non-motile and facultative anaerobic microorganisms with high salt tolerance </w:t>
      </w:r>
      <w:r w:rsidR="00285307">
        <w:fldChar w:fldCharType="begin" w:fldLock="1"/>
      </w:r>
      <w:r w:rsidR="00DA0A83">
        <w:instrText>ADDIN CSL_CITATION {"citationItems":[{"id":"ITEM-1","itemData":{"DOI":"10.1111/j.1749-6632.1974.tb41478.x","ISBN":"0022-1287 (Print)\\r0022-1287 (Linking)","ISSN":"17496632","PMID":"4607662","author":[{"dropping-particle":"","family":"Baird-Parker","given":"A. C.","non-dropping-particle":"","parse-names":false,"suffix":""}],"container-title":"Annals of the New York Academy of Sciences","id":"ITEM-1","issue":"1","issued":{"date-parts":[["1974"]]},"page":"7-14","title":"the Basis for the Present Classification of Staphylococci and Micrococci","type":"article-journal","volume":"236"},"uris":["http://www.mendeley.com/documents/?uuid=a4c41dc8-b9ee-4d69-be5d-b12388d45f22"]},{"id":"ITEM-2","itemData":{"DOI":"10.1111/j.1749-6632.1965.tb11626.x","PMID":"5323641","author":[{"dropping-particle":"","family":"Baird-Parker A.C.","given":"","non-dropping-particle":"","parse-names":false,"suffix":""}],"chapter-number":"An analysi","container-title":"Annals of the New York Academy of Sciences","id":"ITEM-2","issue":"1","issued":{"date-parts":[["1965"]]},"page":"4-25","title":"Staphylococci and their classification","type":"article-journal","volume":"128"},"uris":["http://www.mendeley.com/documents/?uuid=aca928d4-b470-4efd-9473-9cba79af4b25"]},{"id":"ITEM-3","itemData":{"ISBN":"0021-9193 (Print)\\r0021-9193 (Linking)","ISSN":"00219193","PMID":"830642","abstract":"The process of division in Staphylococcus aureus was examined by phase-contrast microscopy. The organisms appeared to divide in three alternating perpendicular planes, with sister cells remaining attached to each other after division. The resulting point of attachment was usually not exactly at the point corresponding to the center of the previous septal disk. Moreover, sister cells often changed position with respect to one another while still remaining attached. These factors are apparently responsible for the irregularity of staphylococcal clumps. Studies with penicillin and the examination of thin sections in the electron microscope confirm the conclusion, based upon light microscopy, that successive divisions in S. aureus occur in perpendicular planes.","author":[{"dropping-particle":"","family":"Tzagoloff","given":"H","non-dropping-particle":"","parse-names":false,"suffix":""},{"dropping-particle":"","family":"Novick","given":"R P","non-dropping-particle":"","parse-names":false,"suffix":""}],"container-title":"Journal of Bacteriology","id":"ITEM-3","issue":"1","issued":{"date-parts":[["1977"]]},"page":"343-350","title":"Geometry of cell division in &lt;i&gt;Staphylococcus aureus&lt;/i&gt;","type":"article-journal","volume":"129"},"uris":["http://www.mendeley.com/documents/?uuid=99057ee6-73bc-40c5-b8ee-179a8cc60169"]}],"mendeley":{"formattedCitation":"&lt;sup&gt;[4–6]&lt;/sup&gt;","plainTextFormattedCitation":"[4–6]","previouslyFormattedCitation":"&lt;sup&gt;[4–6]&lt;/sup&gt;"},"properties":{"noteIndex":0},"schema":"https://github.com/citation-style-language/schema/raw/master/csl-citation.json"}</w:instrText>
      </w:r>
      <w:r w:rsidR="00285307">
        <w:fldChar w:fldCharType="separate"/>
      </w:r>
      <w:r w:rsidR="00DA0A83" w:rsidRPr="00DA0A83">
        <w:rPr>
          <w:noProof/>
          <w:vertAlign w:val="superscript"/>
        </w:rPr>
        <w:t>[4–6]</w:t>
      </w:r>
      <w:r w:rsidR="00285307">
        <w:fldChar w:fldCharType="end"/>
      </w:r>
      <w:r w:rsidR="00285307">
        <w:t>.</w:t>
      </w:r>
      <w:r w:rsidR="00061776">
        <w:t xml:space="preserve"> </w:t>
      </w:r>
      <w:r w:rsidR="00061776">
        <w:rPr>
          <w:i/>
          <w:iCs/>
        </w:rPr>
        <w:t>Staphylococcus aureus</w:t>
      </w:r>
      <w:r w:rsidR="003A2D0B">
        <w:rPr>
          <w:i/>
          <w:iCs/>
        </w:rPr>
        <w:t xml:space="preserve"> </w:t>
      </w:r>
      <w:r w:rsidR="003A2D0B" w:rsidRPr="003A2D0B">
        <w:t>(</w:t>
      </w:r>
      <w:r w:rsidR="003A2D0B">
        <w:rPr>
          <w:i/>
          <w:iCs/>
        </w:rPr>
        <w:t>S. aureus</w:t>
      </w:r>
      <w:r w:rsidR="003A2D0B" w:rsidRPr="003A2D0B">
        <w:t>)</w:t>
      </w:r>
      <w:r w:rsidR="00061776">
        <w:t xml:space="preserve"> is one of the two most important species of this genus, together with </w:t>
      </w:r>
      <w:r w:rsidR="00061776">
        <w:rPr>
          <w:i/>
          <w:iCs/>
        </w:rPr>
        <w:t>S. epidermidis</w:t>
      </w:r>
      <w:r w:rsidR="00061776">
        <w:t xml:space="preserve">, that </w:t>
      </w:r>
      <w:r w:rsidR="00CB18F4">
        <w:t>in</w:t>
      </w:r>
      <w:r w:rsidR="00061776">
        <w:t xml:space="preserve">fect humans </w:t>
      </w:r>
      <w:r w:rsidR="00061776">
        <w:fldChar w:fldCharType="begin" w:fldLock="1"/>
      </w:r>
      <w:r w:rsidR="00DA0A83">
        <w:instrText>ADDIN CSL_CITATION {"citationItems":[{"id":"ITEM-1","itemData":{"DOI":"10.1111/j.1749-6632.1974.tb41478.x","ISBN":"0022-1287 (Print)\\r0022-1287 (Linking)","ISSN":"17496632","PMID":"4607662","author":[{"dropping-particle":"","family":"Baird-Parker","given":"A. C.","non-dropping-particle":"","parse-names":false,"suffix":""}],"container-title":"Annals of the New York Academy of Sciences","id":"ITEM-1","issue":"1","issued":{"date-parts":[["1974"]]},"page":"7-14","title":"the Basis for the Present Classification of Staphylococci and Micrococci","type":"article-journal","volume":"236"},"uris":["http://www.mendeley.com/documents/?uuid=a4c41dc8-b9ee-4d69-be5d-b12388d45f22"]},{"id":"ITEM-2","itemData":{"DOI":"10.1111/j.1749-6632.1965.tb11626.x","PMID":"5323641","author":[{"dropping-particle":"","family":"Baird-Parker A.C.","given":"","non-dropping-particle":"","parse-names":false,"suffix":""}],"chapter-number":"An analysi","container-title":"Annals of the New York Academy of Sciences","id":"ITEM-2","issue":"1","issued":{"date-parts":[["1965"]]},"page":"4-25","title":"Staphylococci and their classification","type":"article-journal","volume":"128"},"uris":["http://www.mendeley.com/documents/?uuid=aca928d4-b470-4efd-9473-9cba79af4b25"]}],"mendeley":{"formattedCitation":"&lt;sup&gt;[4,5]&lt;/sup&gt;","plainTextFormattedCitation":"[4,5]","previouslyFormattedCitation":"&lt;sup&gt;[4,5]&lt;/sup&gt;"},"properties":{"noteIndex":0},"schema":"https://github.com/citation-style-language/schema/raw/master/csl-citation.json"}</w:instrText>
      </w:r>
      <w:r w:rsidR="00061776">
        <w:fldChar w:fldCharType="separate"/>
      </w:r>
      <w:r w:rsidR="00DA0A83" w:rsidRPr="00DA0A83">
        <w:rPr>
          <w:noProof/>
          <w:vertAlign w:val="superscript"/>
        </w:rPr>
        <w:t>[4,5]</w:t>
      </w:r>
      <w:r w:rsidR="00061776">
        <w:fldChar w:fldCharType="end"/>
      </w:r>
      <w:r w:rsidR="00061776">
        <w:t>.</w:t>
      </w:r>
    </w:p>
    <w:p w14:paraId="2AF70FA9" w14:textId="3079FB42" w:rsidR="009E0E92" w:rsidRDefault="00F3417F" w:rsidP="00F16CCD">
      <w:r>
        <w:rPr>
          <w:i/>
          <w:iCs/>
        </w:rPr>
        <w:t xml:space="preserve">S. </w:t>
      </w:r>
      <w:r w:rsidRPr="00F3417F">
        <w:rPr>
          <w:i/>
          <w:iCs/>
        </w:rPr>
        <w:t>aureus</w:t>
      </w:r>
      <w:r>
        <w:t xml:space="preserve"> </w:t>
      </w:r>
      <w:r w:rsidR="00061776" w:rsidRPr="00F3417F">
        <w:t>is</w:t>
      </w:r>
      <w:r w:rsidR="00AF7BFE">
        <w:t xml:space="preserve"> a </w:t>
      </w:r>
      <w:r w:rsidR="000E74BD">
        <w:t>golden-coloured</w:t>
      </w:r>
      <w:r w:rsidR="00AF7BFE">
        <w:t xml:space="preserve"> </w:t>
      </w:r>
      <w:r w:rsidR="00A03497">
        <w:t xml:space="preserve">commensal organism that colonises the </w:t>
      </w:r>
      <w:r w:rsidR="00C0367C">
        <w:t xml:space="preserve">human </w:t>
      </w:r>
      <w:r w:rsidR="00A03497">
        <w:t>skin surface and upper respiratory tract</w:t>
      </w:r>
      <w:r w:rsidR="00C0367C">
        <w:t xml:space="preserve">, especially the anterior nares </w:t>
      </w:r>
      <w:r w:rsidR="00C0367C">
        <w:fldChar w:fldCharType="begin" w:fldLock="1"/>
      </w:r>
      <w:r w:rsidR="00DA0A83">
        <w:instrText>ADDIN CSL_CITATION {"citationItems":[{"id":"ITEM-1","itemData":{"DOI":"10.3184/003685002783238870.","PMID":"11969119","abstract":"Staphylococcus aureus is a major pathogen both within hospitals and in the community . Methicillin , a ß-lactam antibiotic , acts by inhibiting penicillin- binding proteins (PBPs) that are involved in the synthesis of peptidogly can an essential mesh-like polymer that surrounds the cell. S. aureus can become resistant to methicillin and other ß-lactam antibiotics through the expression of a foreign PBP , PBP2a , that is resistant to the action of methi- cillin but which can perform the functions of the host PBPs. Methicillin- resistant S. aureus isolates are often resistant to other classes of antibiotic (through different mechanisms) making treatment options limited , and th has led to the search for new compounds active against these strains. An understanding of the mechanism of methicillin resistance has led to the dis covery of accessory factors that influence the level and nature ofmethicllin resistance. Accessory factors, such as Fem factors, provide possible new targets, while compounds that modulate methicillin resistance such as epi- catechin gallate, derived from green tea, and corilagin, provide possible lead compounds for development of inhibitors.","author":[{"dropping-particle":"","family":"Stapleton","given":"Paul D.","non-dropping-particle":"","parse-names":false,"suffix":""},{"dropping-particle":"","family":"Taylor","given":"Peter W.","non-dropping-particle":"","parse-names":false,"suffix":""}],"container-title":"Science Progress (1916)","id":"ITEM-1","issue":"1","issued":{"date-parts":[["2002"]]},"page":"57-72","title":"Methicillin Resistance in Staphylococcus aureus: mechanisms and modulation","type":"article-journal","volume":"85"},"uris":["http://www.mendeley.com/documents/?uuid=596299e6-46e0-373b-bc8f-50cc583e1380"]}],"mendeley":{"formattedCitation":"&lt;sup&gt;[7]&lt;/sup&gt;","plainTextFormattedCitation":"[7]","previouslyFormattedCitation":"&lt;sup&gt;[7]&lt;/sup&gt;"},"properties":{"noteIndex":0},"schema":"https://github.com/citation-style-language/schema/raw/master/csl-citation.json"}</w:instrText>
      </w:r>
      <w:r w:rsidR="00C0367C">
        <w:fldChar w:fldCharType="separate"/>
      </w:r>
      <w:r w:rsidR="00DA0A83" w:rsidRPr="00DA0A83">
        <w:rPr>
          <w:noProof/>
          <w:vertAlign w:val="superscript"/>
        </w:rPr>
        <w:t>[7]</w:t>
      </w:r>
      <w:r w:rsidR="00C0367C">
        <w:fldChar w:fldCharType="end"/>
      </w:r>
      <w:r w:rsidR="00C0367C">
        <w:t xml:space="preserve">. </w:t>
      </w:r>
      <w:r w:rsidR="00F0160E">
        <w:t>As an opportunist pathogen</w:t>
      </w:r>
      <w:r w:rsidR="003734C9">
        <w:t>,</w:t>
      </w:r>
      <w:r w:rsidR="00F0160E">
        <w:t xml:space="preserve"> it can </w:t>
      </w:r>
      <w:r w:rsidR="00623AA0">
        <w:t>be highly infectio</w:t>
      </w:r>
      <w:r w:rsidR="00386127">
        <w:t>u</w:t>
      </w:r>
      <w:r w:rsidR="00623AA0">
        <w:t xml:space="preserve">s causing </w:t>
      </w:r>
      <w:r w:rsidR="00DC2999">
        <w:t xml:space="preserve">food poisoning, skin infections, bacteraemia, osteomyelitis, endocarditis, pneumonia and toxic shock syndrome </w:t>
      </w:r>
      <w:r w:rsidR="00F0160E">
        <w:fldChar w:fldCharType="begin" w:fldLock="1"/>
      </w:r>
      <w:r w:rsidR="00DA0A83">
        <w:instrText>ADDIN CSL_CITATION {"citationItems":[{"id":"ITEM-1","itemData":{"DOI":"10.3184/003685002783238870.","PMID":"11969119","abstract":"Staphylococcus aureus is a major pathogen both within hospitals and in the community . Methicillin , a ß-lactam antibiotic , acts by inhibiting penicillin- binding proteins (PBPs) that are involved in the synthesis of peptidogly can an essential mesh-like polymer that surrounds the cell. S. aureus can become resistant to methicillin and other ß-lactam antibiotics through the expression of a foreign PBP , PBP2a , that is resistant to the action of methi- cillin but which can perform the functions of the host PBPs. Methicillin- resistant S. aureus isolates are often resistant to other classes of antibiotic (through different mechanisms) making treatment options limited , and th has led to the search for new compounds active against these strains. An understanding of the mechanism of methicillin resistance has led to the dis covery of accessory factors that influence the level and nature ofmethicllin resistance. Accessory factors, such as Fem factors, provide possible new targets, while compounds that modulate methicillin resistance such as epi- catechin gallate, derived from green tea, and corilagin, provide possible lead compounds for development of inhibitors.","author":[{"dropping-particle":"","family":"Stapleton","given":"Paul D.","non-dropping-particle":"","parse-names":false,"suffix":""},{"dropping-particle":"","family":"Taylor","given":"Peter W.","non-dropping-particle":"","parse-names":false,"suffix":""}],"container-title":"Science Progress (1916)","id":"ITEM-1","issue":"1","issued":{"date-parts":[["2002"]]},"page":"57-72","title":"Methicillin Resistance in Staphylococcus aureus: mechanisms and modulation","type":"article-journal","volume":"85"},"uris":["http://www.mendeley.com/documents/?uuid=596299e6-46e0-373b-bc8f-50cc583e1380"]},{"id":"ITEM-2","itemData":{"DOI":"10.1056/NEJM199808203390806","ISBN":"0028-4793","ISSN":"0028-4793","PMID":"9709046","abstract":"Micrococcus, which, when limited in its extent and activity, causes acute suppurative inflammation (phlegmon), pro- duces, when more extensive and intense in its action on the human system, the most virulent forms of septicæmia and pyæmia.","author":[{"dropping-particle":"","family":"Lowy","given":"Fd","non-dropping-particle":"","parse-names":false,"suffix":""}],"container-title":"New England Journal of Medicine","id":"ITEM-2","issued":{"date-parts":[["1998"]]},"page":"520-532","title":"Staphylococcus aureus infections","type":"article-journal","volume":"339"},"uris":["http://www.mendeley.com/documents/?uuid=effbd1dc-f92e-4608-8d67-93afa6d65675"]}],"mendeley":{"formattedCitation":"&lt;sup&gt;[7,8]&lt;/sup&gt;","plainTextFormattedCitation":"[7,8]","previouslyFormattedCitation":"&lt;sup&gt;[7,8]&lt;/sup&gt;"},"properties":{"noteIndex":0},"schema":"https://github.com/citation-style-language/schema/raw/master/csl-citation.json"}</w:instrText>
      </w:r>
      <w:r w:rsidR="00F0160E">
        <w:fldChar w:fldCharType="separate"/>
      </w:r>
      <w:r w:rsidR="00DA0A83" w:rsidRPr="00DA0A83">
        <w:rPr>
          <w:noProof/>
          <w:vertAlign w:val="superscript"/>
        </w:rPr>
        <w:t>[7,8]</w:t>
      </w:r>
      <w:r w:rsidR="00F0160E">
        <w:fldChar w:fldCharType="end"/>
      </w:r>
      <w:r w:rsidR="00F0160E">
        <w:t>.</w:t>
      </w:r>
      <w:r w:rsidR="009F730C">
        <w:t xml:space="preserve"> </w:t>
      </w:r>
      <w:r w:rsidR="009B3027">
        <w:t xml:space="preserve">In the 1940s, </w:t>
      </w:r>
      <w:r w:rsidR="00C8012A">
        <w:rPr>
          <w:i/>
          <w:iCs/>
        </w:rPr>
        <w:t xml:space="preserve">S. </w:t>
      </w:r>
      <w:r w:rsidR="00C8012A" w:rsidRPr="009B3027">
        <w:rPr>
          <w:i/>
          <w:iCs/>
        </w:rPr>
        <w:t>aureus</w:t>
      </w:r>
      <w:r w:rsidR="00C8012A">
        <w:t xml:space="preserve"> became a major healthcare concern when </w:t>
      </w:r>
      <w:r w:rsidR="009B3027">
        <w:t>penicillin-resistant strains were naturally selected after extensive use of antibiotics</w:t>
      </w:r>
      <w:r w:rsidR="00C8012A">
        <w:t xml:space="preserve"> </w:t>
      </w:r>
      <w:r w:rsidR="003F6473">
        <w:fldChar w:fldCharType="begin" w:fldLock="1"/>
      </w:r>
      <w:r w:rsidR="00AB73F2">
        <w:instrText>ADDIN CSL_CITATION {"citationItems":[{"id":"ITEM-1","itemData":{"DOI":"10.1172/JCI200318535.In","ISBN":"0021-9738 (Print)","ISSN":"0021-9738","PMID":"12727914","abstract":"There is increasing concern about the impact on public health of methicillin-resistant Staphylococcus aureus (MRSA) associated with animal food products. MRSA remains a serious problem because of the high incidence and multidrug resistance of the strains, even for strains isolated from foods, food environments and food handlers. The objectives of this study are: (i) to evaluate the susceptibility of S. aureus strains isolated from food, food handlers and food-processing environments to 14 antibiotics currently used in veterinary and human therapy; (ii) to assess the presence of the mecA gene. A total of 1007 samples were collected from food, food handlers, and environments and were analyzed for the presence of S. aureus. S. aureus was present in 165 of the 1007 samples. A total of 157 isolates were methicillin-susceptible S. aureus (MSSA) and 8 isolates were MRSA. In particular, out of 8 MRSA strains detected, 4 strains harboured the mecA gene. All MRSA strains were resistant to at least one of the tested antibiotics and 6 strains demonstrated multi-resistance. Considering the high level of resistances in S. aureus and the isolation of MRSA strains, the surveillance of antimicrobial resistance and the spreading of this pathogen is of crucial importance in the food production chain. These data are useful in improving background data on antimicrobial resistance of S. aureus isolated from food, processing environments and food handlers, supporting the prudent use of antibiotics and the development of international control programs.","author":[{"dropping-particle":"","family":"Lowy","given":"Fd","non-dropping-particle":"","parse-names":false,"suffix":""}],"container-title":"Journal of Clinical Investigation","id":"ITEM-1","issue":"9","issued":{"date-parts":[["2003"]]},"page":"1265-1273","title":"Antimicrobial resistance: the example of Staphylococcus aureus","type":"article-journal","volume":"111"},"uris":["http://www.mendeley.com/documents/?uuid=51406f4a-88be-4be4-a08b-cd72606dd7b3"]},{"id":"ITEM-2","itemData":{"DOI":"10.1126/science.99.2579.452","ISBN":"154.59.124.32","ISSN":"00368075","abstract":"A highly potent penicillin inactivator has been extracted from 7 strains of Staph. aureus (coagulase positive), all of which were naturally penicillin resistant. No such inhibitor was present in extracts of 7 penicillin sensitive strains of Staph. aureus.","author":[{"dropping-particle":"","family":"Kirby","given":"William M.M.","non-dropping-particle":"","parse-names":false,"suffix":""}],"container-title":"Science","id":"ITEM-2","issue":"2579","issued":{"date-parts":[["1944"]]},"page":"452-453","title":"Extraction of a highly potent penicillin inactivator from penicillin resistant staphylococci","type":"article-journal","volume":"99"},"uris":["http://www.mendeley.com/documents/?uuid=f53a3d78-67a5-3d42-b47c-254975cde7b0"]}],"mendeley":{"formattedCitation":"&lt;sup&gt;[9,10]&lt;/sup&gt;","plainTextFormattedCitation":"[9,10]","previouslyFormattedCitation":"&lt;sup&gt;[9,10]&lt;/sup&gt;"},"properties":{"noteIndex":0},"schema":"https://github.com/citation-style-language/schema/raw/master/csl-citation.json"}</w:instrText>
      </w:r>
      <w:r w:rsidR="003F6473">
        <w:fldChar w:fldCharType="separate"/>
      </w:r>
      <w:r w:rsidR="00DA0A83" w:rsidRPr="00DA0A83">
        <w:rPr>
          <w:noProof/>
          <w:vertAlign w:val="superscript"/>
        </w:rPr>
        <w:t>[9,10]</w:t>
      </w:r>
      <w:r w:rsidR="003F6473">
        <w:fldChar w:fldCharType="end"/>
      </w:r>
      <w:r w:rsidR="009B3027">
        <w:t>.</w:t>
      </w:r>
      <w:r w:rsidR="00A2519D">
        <w:t xml:space="preserve"> Subsequent resistance to alternative antibiotics later emerged, such as tetracycline and methicillin</w:t>
      </w:r>
      <w:r w:rsidR="00AB08B6">
        <w:t xml:space="preserve"> </w:t>
      </w:r>
      <w:r w:rsidR="00AB08B6">
        <w:fldChar w:fldCharType="begin" w:fldLock="1"/>
      </w:r>
      <w:r w:rsidR="00AB73F2">
        <w:instrText>ADDIN CSL_CITATION {"citationItems":[{"id":"ITEM-1","itemData":{"DOI":"10.1172/JCI200318535.In","ISBN":"0021-9738 (Print)","ISSN":"0021-9738","PMID":"12727914","abstract":"There is increasing concern about the impact on public health of methicillin-resistant Staphylococcus aureus (MRSA) associated with animal food products. MRSA remains a serious problem because of the high incidence and multidrug resistance of the strains, even for strains isolated from foods, food environments and food handlers. The objectives of this study are: (i) to evaluate the susceptibility of S. aureus strains isolated from food, food handlers and food-processing environments to 14 antibiotics currently used in veterinary and human therapy; (ii) to assess the presence of the mecA gene. A total of 1007 samples were collected from food, food handlers, and environments and were analyzed for the presence of S. aureus. S. aureus was present in 165 of the 1007 samples. A total of 157 isolates were methicillin-susceptible S. aureus (MSSA) and 8 isolates were MRSA. In particular, out of 8 MRSA strains detected, 4 strains harboured the mecA gene. All MRSA strains were resistant to at least one of the tested antibiotics and 6 strains demonstrated multi-resistance. Considering the high level of resistances in S. aureus and the isolation of MRSA strains, the surveillance of antimicrobial resistance and the spreading of this pathogen is of crucial importance in the food production chain. These data are useful in improving background data on antimicrobial resistance of S. aureus isolated from food, processing environments and food handlers, supporting the prudent use of antibiotics and the development of international control programs.","author":[{"dropping-particle":"","family":"Lowy","given":"Fd","non-dropping-particle":"","parse-names":false,"suffix":""}],"container-title":"Journal of Clinical Investigation","id":"ITEM-1","issue":"9","issued":{"date-parts":[["2003"]]},"page":"1265-1273","title":"Antimicrobial resistance: the example of Staphylococcus aureus","type":"article-journal","volume":"111"},"uris":["http://www.mendeley.com/documents/?uuid=51406f4a-88be-4be4-a08b-cd72606dd7b3"]},{"id":"ITEM-2","itemData":{"DOI":"10.1093/femsre/fux007","ISSN":"15746976","PMID":"28419231","abstract":"The major targets for antibiotics in staphylococci are (i) the cell envelope, (ii) the ribosome and (iii) nucleic acids. Several novel targets emerged from recent targeted drug discovery programmes including the ClpP protease and FtsZ from the cell division machinery. Resistance can either develop by horizontal transfer of resistance determinants encoded by mobile genetic elements viz plasmids, transposons and the staphylococcal cassette chromosome or by mutations in chromosomal genes. Horizontally acquired resistance can occur by one of the following mechanisms: (i) enzymatic drug modification and inactivation, (ii) enzymatic modification of the drug binding site, (iii) drug efflux, (iv) bypass mechanisms involving acquisition of a novel drug-resistant target, (v) displacement of the drug to protect the target. Acquisition of resistance by mutation can result from (i) alteration of the drug target that prevents the inhibitor from binding, (ii) derepression of chromosomally encoded multidrug resistance efflux pumps and (iii) multiple stepwise mutations that alter the structure and composition of the cell wall and/or membrane to reduce drug access to its target. This review focuses on development of resistance to currently used antibiotics and examines future prospects for new antibiotics and informed use of drug combinations.","author":[{"dropping-particle":"","family":"Foster","given":"Timothy J.","non-dropping-particle":"","parse-names":false,"suffix":""}],"container-title":"FEMS Microbiology Reviews","id":"ITEM-2","issue":"3","issued":{"date-parts":[["2017"]]},"page":"430-449","title":"Antibiotic resistance in Staphylococcus aureus. Current status and future prospects","type":"article-journal","volume":"41"},"uris":["http://www.mendeley.com/documents/?uuid=3d8279f2-7733-48bc-9a2a-a0a10a9572d8"]}],"mendeley":{"formattedCitation":"&lt;sup&gt;[9,11]&lt;/sup&gt;","plainTextFormattedCitation":"[9,11]","previouslyFormattedCitation":"&lt;sup&gt;[9,11]&lt;/sup&gt;"},"properties":{"noteIndex":0},"schema":"https://github.com/citation-style-language/schema/raw/master/csl-citation.json"}</w:instrText>
      </w:r>
      <w:r w:rsidR="00AB08B6">
        <w:fldChar w:fldCharType="separate"/>
      </w:r>
      <w:r w:rsidR="00DA0A83" w:rsidRPr="00DA0A83">
        <w:rPr>
          <w:noProof/>
          <w:vertAlign w:val="superscript"/>
        </w:rPr>
        <w:t>[9,11]</w:t>
      </w:r>
      <w:r w:rsidR="00AB08B6">
        <w:fldChar w:fldCharType="end"/>
      </w:r>
      <w:r w:rsidR="00A2519D">
        <w:t xml:space="preserve">. The latter is probably the reason </w:t>
      </w:r>
      <w:r w:rsidR="00A2519D">
        <w:rPr>
          <w:i/>
          <w:iCs/>
        </w:rPr>
        <w:t>S. aureus</w:t>
      </w:r>
      <w:r w:rsidR="00A2519D">
        <w:t xml:space="preserve"> is so widely known outside of the scientific world, as methicillin-resistant </w:t>
      </w:r>
      <w:r w:rsidR="00A2519D">
        <w:rPr>
          <w:i/>
          <w:iCs/>
        </w:rPr>
        <w:t xml:space="preserve">S. aureus </w:t>
      </w:r>
      <w:r w:rsidR="00A2519D">
        <w:t>(MRSA)</w:t>
      </w:r>
      <w:r w:rsidR="00AB08B6">
        <w:t xml:space="preserve"> is one of the most common</w:t>
      </w:r>
      <w:r w:rsidR="00090F60">
        <w:t xml:space="preserve"> nosocomial</w:t>
      </w:r>
      <w:r w:rsidR="00AB08B6">
        <w:t xml:space="preserve"> infections </w:t>
      </w:r>
      <w:r w:rsidR="00AB08B6">
        <w:fldChar w:fldCharType="begin" w:fldLock="1"/>
      </w:r>
      <w:r w:rsidR="00AB73F2">
        <w:instrText>ADDIN CSL_CITATION {"citationItems":[{"id":"ITEM-1","itemData":{"DOI":"10.1172/JCI200318535.In","ISBN":"0021-9738 (Print)","ISSN":"0021-9738","PMID":"12727914","abstract":"There is increasing concern about the impact on public health of methicillin-resistant Staphylococcus aureus (MRSA) associated with animal food products. MRSA remains a serious problem because of the high incidence and multidrug resistance of the strains, even for strains isolated from foods, food environments and food handlers. The objectives of this study are: (i) to evaluate the susceptibility of S. aureus strains isolated from food, food handlers and food-processing environments to 14 antibiotics currently used in veterinary and human therapy; (ii) to assess the presence of the mecA gene. A total of 1007 samples were collected from food, food handlers, and environments and were analyzed for the presence of S. aureus. S. aureus was present in 165 of the 1007 samples. A total of 157 isolates were methicillin-susceptible S. aureus (MSSA) and 8 isolates were MRSA. In particular, out of 8 MRSA strains detected, 4 strains harboured the mecA gene. All MRSA strains were resistant to at least one of the tested antibiotics and 6 strains demonstrated multi-resistance. Considering the high level of resistances in S. aureus and the isolation of MRSA strains, the surveillance of antimicrobial resistance and the spreading of this pathogen is of crucial importance in the food production chain. These data are useful in improving background data on antimicrobial resistance of S. aureus isolated from food, processing environments and food handlers, supporting the prudent use of antibiotics and the development of international control programs.","author":[{"dropping-particle":"","family":"Lowy","given":"Fd","non-dropping-particle":"","parse-names":false,"suffix":""}],"container-title":"Journal of Clinical Investigation","id":"ITEM-1","issue":"9","issued":{"date-parts":[["2003"]]},"page":"1265-1273","title":"Antimicrobial resistance: the example of Staphylococcus aureus","type":"article-journal","volume":"111"},"uris":["http://www.mendeley.com/documents/?uuid=51406f4a-88be-4be4-a08b-cd72606dd7b3"]},{"id":"ITEM-2","itemData":{"DOI":"10.1056/NEJM199808203390806","ISBN":"0028-4793","ISSN":"0028-4793","PMID":"9709046","abstract":"Micrococcus, which, when limited in its extent and activity, causes acute suppurative inflammation (phlegmon), pro- duces, when more extensive and intense in its action on the human system, the most virulent forms of septicæmia and pyæmia.","author":[{"dropping-particle":"","family":"Lowy","given":"Fd","non-dropping-particle":"","parse-names":false,"suffix":""}],"container-title":"New England Journal of Medicine","id":"ITEM-2","issued":{"date-parts":[["1998"]]},"page":"520-532","title":"Staphylococcus aureus infections","type":"article-journal","volume":"339"},"uris":["http://www.mendeley.com/documents/?uuid=effbd1dc-f92e-4608-8d67-93afa6d65675"]},{"id":"ITEM-3","itemData":{"DOI":"10.1016/j.jhin.2005.06.014","ISSN":"01956701","author":[{"dropping-particle":"","family":"Gould","given":"I.M.","non-dropping-particle":"","parse-names":false,"suffix":""}],"container-title":"Journal of Hospital Infection","id":"ITEM-3","issue":"4","issued":{"date-parts":[["2005"]]},"page":"277-282","title":"The clinical significance of methicillin-resistant Staphylococcus aureus","type":"article-journal","volume":"61"},"uris":["http://www.mendeley.com/documents/?uuid=31c9e90d-a3f1-4954-adfc-d447bc67faed"]}],"mendeley":{"formattedCitation":"&lt;sup&gt;[8,9,12]&lt;/sup&gt;","plainTextFormattedCitation":"[8,9,12]","previouslyFormattedCitation":"&lt;sup&gt;[8,9,12]&lt;/sup&gt;"},"properties":{"noteIndex":0},"schema":"https://github.com/citation-style-language/schema/raw/master/csl-citation.json"}</w:instrText>
      </w:r>
      <w:r w:rsidR="00AB08B6">
        <w:fldChar w:fldCharType="separate"/>
      </w:r>
      <w:r w:rsidR="00DA0A83" w:rsidRPr="00DA0A83">
        <w:rPr>
          <w:noProof/>
          <w:vertAlign w:val="superscript"/>
        </w:rPr>
        <w:t>[8,9,12]</w:t>
      </w:r>
      <w:r w:rsidR="00AB08B6">
        <w:fldChar w:fldCharType="end"/>
      </w:r>
      <w:r w:rsidR="00AB08B6">
        <w:t>.</w:t>
      </w:r>
      <w:r w:rsidR="00DB4DFB">
        <w:t xml:space="preserve"> These</w:t>
      </w:r>
      <w:r w:rsidR="001A3913">
        <w:t xml:space="preserve"> </w:t>
      </w:r>
      <w:r w:rsidR="001A3913">
        <w:rPr>
          <w:i/>
          <w:iCs/>
        </w:rPr>
        <w:t>S. aureus</w:t>
      </w:r>
      <w:r w:rsidR="001A3913">
        <w:t xml:space="preserve"> multidrug-resistant strains, as with most antimicrobial resistan</w:t>
      </w:r>
      <w:r w:rsidR="0089348B">
        <w:t>ce</w:t>
      </w:r>
      <w:r w:rsidR="001A3913">
        <w:t>, have originated in hospitals and later spread into the community</w:t>
      </w:r>
      <w:r w:rsidR="009B08B3">
        <w:t xml:space="preserve"> </w:t>
      </w:r>
      <w:r w:rsidR="009B08B3">
        <w:fldChar w:fldCharType="begin" w:fldLock="1"/>
      </w:r>
      <w:r w:rsidR="00AB73F2">
        <w:instrText>ADDIN CSL_CITATION {"citationItems":[{"id":"ITEM-1","itemData":{"DOI":"10.1172/JCI200318535.In","ISBN":"0021-9738 (Print)","ISSN":"0021-9738","PMID":"12727914","abstract":"There is increasing concern about the impact on public health of methicillin-resistant Staphylococcus aureus (MRSA) associated with animal food products. MRSA remains a serious problem because of the high incidence and multidrug resistance of the strains, even for strains isolated from foods, food environments and food handlers. The objectives of this study are: (i) to evaluate the susceptibility of S. aureus strains isolated from food, food handlers and food-processing environments to 14 antibiotics currently used in veterinary and human therapy; (ii) to assess the presence of the mecA gene. A total of 1007 samples were collected from food, food handlers, and environments and were analyzed for the presence of S. aureus. S. aureus was present in 165 of the 1007 samples. A total of 157 isolates were methicillin-susceptible S. aureus (MSSA) and 8 isolates were MRSA. In particular, out of 8 MRSA strains detected, 4 strains harboured the mecA gene. All MRSA strains were resistant to at least one of the tested antibiotics and 6 strains demonstrated multi-resistance. Considering the high level of resistances in S. aureus and the isolation of MRSA strains, the surveillance of antimicrobial resistance and the spreading of this pathogen is of crucial importance in the food production chain. These data are useful in improving background data on antimicrobial resistance of S. aureus isolated from food, processing environments and food handlers, supporting the prudent use of antibiotics and the development of international control programs.","author":[{"dropping-particle":"","family":"Lowy","given":"Fd","non-dropping-particle":"","parse-names":false,"suffix":""}],"container-title":"Journal of Clinical Investigation","id":"ITEM-1","issue":"9","issued":{"date-parts":[["2003"]]},"page":"1265-1273","title":"Antimicrobial resistance: the example of Staphylococcus aureus","type":"article-journal","volume":"111"},"uris":["http://www.mendeley.com/documents/?uuid=51406f4a-88be-4be4-a08b-cd72606dd7b3"]},{"id":"ITEM-2","itemData":{"DOI":"10.3201/eid0702.010204","ISSN":"10806040","PMID":"11294701","abstract":"Strains of methicillin-resistant Staphylococcus aureus (MRSA), which had been largely confined to hospitals and long-term care facilities, are emerging in the community. The changing epidemiology of MRSA bears striking similarity to the emergence of penicillinase-mediated resistance in S. aureus decades ago. Even though the origin (hospital or the community) of the emerging MRSA strains is not known, the prevalence of these strains in the community seems likely to increase substantially.","author":[{"dropping-particle":"","family":"Chambers","given":"Henry F.","non-dropping-particle":"","parse-names":false,"suffix":""}],"container-title":"Emerging Infectious Diseases","id":"ITEM-2","issue":"2","issued":{"date-parts":[["2001"]]},"page":"178-182","publisher":"Centers for Disease Control and Prevention","title":"The changing epidemiology of staphylococcus aureus?","type":"paper-conference","volume":"7"},"uris":["http://www.mendeley.com/documents/?uuid=bbca2b89-a558-369f-b53c-7f180e0ac7e3"]}],"mendeley":{"formattedCitation":"&lt;sup&gt;[9,13]&lt;/sup&gt;","plainTextFormattedCitation":"[9,13]","previouslyFormattedCitation":"&lt;sup&gt;[9,13]&lt;/sup&gt;"},"properties":{"noteIndex":0},"schema":"https://github.com/citation-style-language/schema/raw/master/csl-citation.json"}</w:instrText>
      </w:r>
      <w:r w:rsidR="009B08B3">
        <w:fldChar w:fldCharType="separate"/>
      </w:r>
      <w:r w:rsidR="00DA0A83" w:rsidRPr="00DA0A83">
        <w:rPr>
          <w:noProof/>
          <w:vertAlign w:val="superscript"/>
        </w:rPr>
        <w:t>[9,13]</w:t>
      </w:r>
      <w:r w:rsidR="009B08B3">
        <w:fldChar w:fldCharType="end"/>
      </w:r>
      <w:r w:rsidR="001A3913">
        <w:t xml:space="preserve">. </w:t>
      </w:r>
      <w:r w:rsidR="009B08B3">
        <w:t>Thus</w:t>
      </w:r>
      <w:r w:rsidR="001A3913">
        <w:t xml:space="preserve">, they can be categorised </w:t>
      </w:r>
      <w:r w:rsidR="00DB4704">
        <w:t>as being</w:t>
      </w:r>
      <w:r w:rsidR="001A3913">
        <w:t xml:space="preserve"> community-acquired (CA) or hospital-acquire</w:t>
      </w:r>
      <w:r w:rsidR="00C8012A">
        <w:t>d</w:t>
      </w:r>
      <w:r w:rsidR="001A3913">
        <w:t xml:space="preserve"> (HA).</w:t>
      </w:r>
      <w:r w:rsidR="00824CBA">
        <w:t xml:space="preserve"> Screenings for methicillin-resistant and sensitive strains (MRSA and MSSA) </w:t>
      </w:r>
      <w:r w:rsidR="00D853F1">
        <w:t>have become</w:t>
      </w:r>
      <w:r w:rsidR="00824CBA">
        <w:t xml:space="preserve"> a successful and </w:t>
      </w:r>
      <w:r w:rsidR="00D853F1">
        <w:t>standard</w:t>
      </w:r>
      <w:r w:rsidR="00824CBA">
        <w:t xml:space="preserve"> protocol in hospitals nowadays, as a way to prevent and control intrahospital-infections.</w:t>
      </w:r>
    </w:p>
    <w:p w14:paraId="5A14E275" w14:textId="77777777" w:rsidR="00BB00FD" w:rsidRPr="00DD2981" w:rsidRDefault="00BB00FD" w:rsidP="00F16CCD"/>
    <w:p w14:paraId="0FC12D67" w14:textId="3DE6834F" w:rsidR="00DD2981" w:rsidRDefault="007534DC" w:rsidP="007534DC">
      <w:pPr>
        <w:pStyle w:val="Heading2"/>
        <w:rPr>
          <w:rFonts w:eastAsia="Times New Roman"/>
          <w:lang w:eastAsia="en-GB"/>
        </w:rPr>
      </w:pPr>
      <w:bookmarkStart w:id="39" w:name="_Toc90216725"/>
      <w:r>
        <w:rPr>
          <w:rFonts w:eastAsia="Times New Roman"/>
          <w:lang w:eastAsia="en-GB"/>
        </w:rPr>
        <w:lastRenderedPageBreak/>
        <w:t xml:space="preserve">The </w:t>
      </w:r>
      <w:r w:rsidR="00D63D02">
        <w:rPr>
          <w:rFonts w:eastAsia="Times New Roman"/>
          <w:lang w:eastAsia="en-GB"/>
        </w:rPr>
        <w:t>b</w:t>
      </w:r>
      <w:r w:rsidR="00637427">
        <w:rPr>
          <w:rFonts w:eastAsia="Times New Roman"/>
          <w:lang w:eastAsia="en-GB"/>
        </w:rPr>
        <w:t>acterial</w:t>
      </w:r>
      <w:r>
        <w:rPr>
          <w:rFonts w:eastAsia="Times New Roman"/>
          <w:lang w:eastAsia="en-GB"/>
        </w:rPr>
        <w:t xml:space="preserve"> </w:t>
      </w:r>
      <w:r w:rsidR="00D63D02">
        <w:rPr>
          <w:rFonts w:eastAsia="Times New Roman"/>
          <w:lang w:eastAsia="en-GB"/>
        </w:rPr>
        <w:t>e</w:t>
      </w:r>
      <w:r>
        <w:rPr>
          <w:rFonts w:eastAsia="Times New Roman"/>
          <w:lang w:eastAsia="en-GB"/>
        </w:rPr>
        <w:t>nvelope</w:t>
      </w:r>
      <w:r w:rsidR="007006CC">
        <w:rPr>
          <w:rFonts w:eastAsia="Times New Roman"/>
          <w:lang w:eastAsia="en-GB"/>
        </w:rPr>
        <w:t>.</w:t>
      </w:r>
      <w:bookmarkEnd w:id="39"/>
    </w:p>
    <w:p w14:paraId="56693C4B" w14:textId="3B78384B" w:rsidR="002570CD" w:rsidRDefault="00B73A27" w:rsidP="00B73A27">
      <w:pPr>
        <w:rPr>
          <w:lang w:eastAsia="en-GB"/>
        </w:rPr>
      </w:pPr>
      <w:r>
        <w:rPr>
          <w:lang w:eastAsia="en-GB"/>
        </w:rPr>
        <w:t>The bacterial envelope is a complex multi-layered structure that surrounds and protects the protoplasm.</w:t>
      </w:r>
      <w:r w:rsidR="001C71CB">
        <w:rPr>
          <w:lang w:eastAsia="en-GB"/>
        </w:rPr>
        <w:t xml:space="preserve"> </w:t>
      </w:r>
      <w:r w:rsidR="007F27A1">
        <w:rPr>
          <w:lang w:eastAsia="en-GB"/>
        </w:rPr>
        <w:t xml:space="preserve">This structure serves as </w:t>
      </w:r>
      <w:r w:rsidR="00B82029">
        <w:rPr>
          <w:lang w:eastAsia="en-GB"/>
        </w:rPr>
        <w:t>the</w:t>
      </w:r>
      <w:r w:rsidR="007F27A1">
        <w:rPr>
          <w:lang w:eastAsia="en-GB"/>
        </w:rPr>
        <w:t xml:space="preserve"> </w:t>
      </w:r>
      <w:r w:rsidR="00B82029">
        <w:rPr>
          <w:lang w:eastAsia="en-GB"/>
        </w:rPr>
        <w:t xml:space="preserve">main </w:t>
      </w:r>
      <w:r w:rsidR="007F27A1">
        <w:rPr>
          <w:lang w:eastAsia="en-GB"/>
        </w:rPr>
        <w:t>classification criteria for bacteria</w:t>
      </w:r>
      <w:r w:rsidR="00B82029">
        <w:rPr>
          <w:lang w:eastAsia="en-GB"/>
        </w:rPr>
        <w:t xml:space="preserve">l species: Gram-positives and Gram-negatives. Christian Gram’s stain, developed in 1884, is retained by the former group, therefore </w:t>
      </w:r>
      <w:r w:rsidR="00774FEF">
        <w:rPr>
          <w:lang w:eastAsia="en-GB"/>
        </w:rPr>
        <w:t>receiving</w:t>
      </w:r>
      <w:r w:rsidR="00B82029">
        <w:rPr>
          <w:lang w:eastAsia="en-GB"/>
        </w:rPr>
        <w:t xml:space="preserve"> their name</w:t>
      </w:r>
      <w:r w:rsidR="00156BFC">
        <w:rPr>
          <w:lang w:eastAsia="en-GB"/>
        </w:rPr>
        <w:t xml:space="preserve"> </w:t>
      </w:r>
      <w:r w:rsidR="00B82029">
        <w:rPr>
          <w:lang w:eastAsia="en-GB"/>
        </w:rPr>
        <w:fldChar w:fldCharType="begin" w:fldLock="1"/>
      </w:r>
      <w:r w:rsidR="00DA0A83">
        <w:rPr>
          <w:lang w:eastAsia="en-GB"/>
        </w:rPr>
        <w:instrText>ADDIN CSL_CITATION {"citationItems":[{"id":"ITEM-1","itemData":{"DOI":"10.1101/cshperspect.a000414","ISBN":"1943-0264 (Electronic)","ISSN":"19430264","PMID":"20452953","abstract":"The bacteria cell envelope is a complex multilayered structure that serves to protect these organisms from their unpredictable and often hostile environment. The cell envelopes of most bacteria fall into one of two major groups. Gram-negative bacteria are surrounded by a thin peptidoglycan cell wall, which itself is surrounded by an outer membrane containing lipopolysaccharide. Gram-positive bacteria lack an outer membrane but are surrounded by layers of peptidoglycan many times thicker than is found in the gram-negatives. Threading through these layers of peptidoglycan are long anionic polymers, called teichoic acids. The composition and organization of these envelope layers and recent insights into the mechanisms of cell envelope assembly are discussed.","author":[{"dropping-particle":"","family":"Silhavy","given":"Thomas","non-dropping-particle":"","parse-names":false,"suffix":""},{"dropping-particle":"","family":"Kahne","given":"Daniel","non-dropping-particle":"","parse-names":false,"suffix":""},{"dropping-particle":"","family":"Walker","given":"Suzanne","non-dropping-particle":"","parse-names":false,"suffix":""}],"container-title":"Cold Spring Harbor perspectives in biology","id":"ITEM-1","issue":"5","issued":{"date-parts":[["2010"]]},"page":"1-16","title":"The bacterial cell envelope.","type":"article-journal","volume":"2"},"uris":["http://www.mendeley.com/documents/?uuid=cabb3e66-261f-40a6-becd-647af3e2f1c7"]}],"mendeley":{"formattedCitation":"&lt;sup&gt;[14]&lt;/sup&gt;","plainTextFormattedCitation":"[14]","previouslyFormattedCitation":"&lt;sup&gt;[14]&lt;/sup&gt;"},"properties":{"noteIndex":0},"schema":"https://github.com/citation-style-language/schema/raw/master/csl-citation.json"}</w:instrText>
      </w:r>
      <w:r w:rsidR="00B82029">
        <w:rPr>
          <w:lang w:eastAsia="en-GB"/>
        </w:rPr>
        <w:fldChar w:fldCharType="separate"/>
      </w:r>
      <w:r w:rsidR="00DA0A83" w:rsidRPr="00DA0A83">
        <w:rPr>
          <w:noProof/>
          <w:vertAlign w:val="superscript"/>
          <w:lang w:eastAsia="en-GB"/>
        </w:rPr>
        <w:t>[14]</w:t>
      </w:r>
      <w:r w:rsidR="00B82029">
        <w:rPr>
          <w:lang w:eastAsia="en-GB"/>
        </w:rPr>
        <w:fldChar w:fldCharType="end"/>
      </w:r>
      <w:r w:rsidR="00B82029">
        <w:rPr>
          <w:lang w:eastAsia="en-GB"/>
        </w:rPr>
        <w:t>. Both groups have a bacterial envelope consisting of the plasma membrane (PM) and a cell wall (CW). However, Gram-positives have a thick multi-layered CW</w:t>
      </w:r>
      <w:r w:rsidR="00A3140D">
        <w:rPr>
          <w:lang w:eastAsia="en-GB"/>
        </w:rPr>
        <w:t xml:space="preserve"> while </w:t>
      </w:r>
      <w:r w:rsidR="00B82029">
        <w:rPr>
          <w:lang w:eastAsia="en-GB"/>
        </w:rPr>
        <w:t>Gram-negatives have a thin CW surrounded by an additional outer-membrane (OM)</w:t>
      </w:r>
      <w:r w:rsidR="00156BFC">
        <w:rPr>
          <w:lang w:eastAsia="en-GB"/>
        </w:rPr>
        <w:t xml:space="preserve"> </w:t>
      </w:r>
      <w:r w:rsidR="008B7833">
        <w:rPr>
          <w:lang w:eastAsia="en-GB"/>
        </w:rPr>
        <w:fldChar w:fldCharType="begin" w:fldLock="1"/>
      </w:r>
      <w:r w:rsidR="00DA0A83">
        <w:rPr>
          <w:lang w:eastAsia="en-GB"/>
        </w:rPr>
        <w:instrText>ADDIN CSL_CITATION {"citationItems":[{"id":"ITEM-1","itemData":{"DOI":"10.1101/cshperspect.a000414","ISBN":"1943-0264 (Electronic)","ISSN":"19430264","PMID":"20452953","abstract":"The bacteria cell envelope is a complex multilayered structure that serves to protect these organisms from their unpredictable and often hostile environment. The cell envelopes of most bacteria fall into one of two major groups. Gram-negative bacteria are surrounded by a thin peptidoglycan cell wall, which itself is surrounded by an outer membrane containing lipopolysaccharide. Gram-positive bacteria lack an outer membrane but are surrounded by layers of peptidoglycan many times thicker than is found in the gram-negatives. Threading through these layers of peptidoglycan are long anionic polymers, called teichoic acids. The composition and organization of these envelope layers and recent insights into the mechanisms of cell envelope assembly are discussed.","author":[{"dropping-particle":"","family":"Silhavy","given":"Thomas","non-dropping-particle":"","parse-names":false,"suffix":""},{"dropping-particle":"","family":"Kahne","given":"Daniel","non-dropping-particle":"","parse-names":false,"suffix":""},{"dropping-particle":"","family":"Walker","given":"Suzanne","non-dropping-particle":"","parse-names":false,"suffix":""}],"container-title":"Cold Spring Harbor perspectives in biology","id":"ITEM-1","issue":"5","issued":{"date-parts":[["2010"]]},"page":"1-16","title":"The bacterial cell envelope.","type":"article-journal","volume":"2"},"uris":["http://www.mendeley.com/documents/?uuid=cabb3e66-261f-40a6-becd-647af3e2f1c7"]},{"id":"ITEM-2","itemData":{"ISBN":"1-292-23510-1","author":[{"dropping-particle":"","family":"Madigan","given":"Michael T","non-dropping-particle":"","parse-names":false,"suffix":""},{"dropping-particle":"","family":"Bender","given":"Kelly S.","non-dropping-particle":"","parse-names":false,"suffix":""},{"dropping-particle":"","family":"Buckley","given":"Daniel H.","non-dropping-particle":"","parse-names":false,"suffix":""},{"dropping-particle":"","family":"Stahl","given":"David A.","non-dropping-particle":"","parse-names":false,"suffix":""}],"edition":"15","id":"ITEM-2","issued":{"date-parts":[["2019"]]},"publisher":"Pearson Education","publisher-place":"New York","title":"Brock Biology of Microorganisms","type":"book"},"uris":["http://www.mendeley.com/documents/?uuid=6ca63403-2ce5-47fd-bca0-5d6d3f6c22d0"]}],"mendeley":{"formattedCitation":"&lt;sup&gt;[14,15]&lt;/sup&gt;","plainTextFormattedCitation":"[14,15]","previouslyFormattedCitation":"&lt;sup&gt;[14,15]&lt;/sup&gt;"},"properties":{"noteIndex":0},"schema":"https://github.com/citation-style-language/schema/raw/master/csl-citation.json"}</w:instrText>
      </w:r>
      <w:r w:rsidR="008B7833">
        <w:rPr>
          <w:lang w:eastAsia="en-GB"/>
        </w:rPr>
        <w:fldChar w:fldCharType="separate"/>
      </w:r>
      <w:r w:rsidR="00DA0A83" w:rsidRPr="00DA0A83">
        <w:rPr>
          <w:noProof/>
          <w:vertAlign w:val="superscript"/>
          <w:lang w:eastAsia="en-GB"/>
        </w:rPr>
        <w:t>[14,15]</w:t>
      </w:r>
      <w:r w:rsidR="008B7833">
        <w:rPr>
          <w:lang w:eastAsia="en-GB"/>
        </w:rPr>
        <w:fldChar w:fldCharType="end"/>
      </w:r>
      <w:r w:rsidR="009F5407">
        <w:rPr>
          <w:lang w:eastAsia="en-GB"/>
        </w:rPr>
        <w:t xml:space="preserve"> (</w:t>
      </w:r>
      <w:r w:rsidR="00D30398">
        <w:rPr>
          <w:lang w:eastAsia="en-GB"/>
        </w:rPr>
        <w:fldChar w:fldCharType="begin"/>
      </w:r>
      <w:r w:rsidR="00D30398">
        <w:rPr>
          <w:lang w:eastAsia="en-GB"/>
        </w:rPr>
        <w:instrText xml:space="preserve"> REF _Ref76542048 \h </w:instrText>
      </w:r>
      <w:r w:rsidR="00D30398">
        <w:rPr>
          <w:lang w:eastAsia="en-GB"/>
        </w:rPr>
      </w:r>
      <w:r w:rsidR="00D30398">
        <w:rPr>
          <w:lang w:eastAsia="en-GB"/>
        </w:rPr>
        <w:fldChar w:fldCharType="separate"/>
      </w:r>
      <w:r w:rsidR="00183CC8">
        <w:t xml:space="preserve">Figure </w:t>
      </w:r>
      <w:r w:rsidR="00183CC8">
        <w:rPr>
          <w:noProof/>
        </w:rPr>
        <w:t>1</w:t>
      </w:r>
      <w:r w:rsidR="00183CC8">
        <w:t>.</w:t>
      </w:r>
      <w:r w:rsidR="00183CC8">
        <w:rPr>
          <w:noProof/>
        </w:rPr>
        <w:t>1</w:t>
      </w:r>
      <w:r w:rsidR="00D30398">
        <w:rPr>
          <w:lang w:eastAsia="en-GB"/>
        </w:rPr>
        <w:fldChar w:fldCharType="end"/>
      </w:r>
      <w:r w:rsidR="009F5407">
        <w:rPr>
          <w:lang w:eastAsia="en-GB"/>
        </w:rPr>
        <w:t>)</w:t>
      </w:r>
      <w:r w:rsidR="008B7833">
        <w:rPr>
          <w:lang w:eastAsia="en-GB"/>
        </w:rPr>
        <w:t>.</w:t>
      </w:r>
      <w:r w:rsidR="00BA6D51">
        <w:rPr>
          <w:lang w:eastAsia="en-GB"/>
        </w:rPr>
        <w:t xml:space="preserve"> The space between the CW and the PM is </w:t>
      </w:r>
      <w:r w:rsidR="002570CD">
        <w:rPr>
          <w:lang w:eastAsia="en-GB"/>
        </w:rPr>
        <w:t xml:space="preserve">known as </w:t>
      </w:r>
      <w:r w:rsidR="00BA6D51">
        <w:rPr>
          <w:lang w:eastAsia="en-GB"/>
        </w:rPr>
        <w:t>the periplasmic space. As Gram-positives do not have an OM,</w:t>
      </w:r>
      <w:r w:rsidR="00C74751">
        <w:rPr>
          <w:lang w:eastAsia="en-GB"/>
        </w:rPr>
        <w:t xml:space="preserve"> it is suggested in this study </w:t>
      </w:r>
      <w:r w:rsidR="002570CD">
        <w:rPr>
          <w:lang w:eastAsia="en-GB"/>
        </w:rPr>
        <w:t xml:space="preserve">that this space in Gram-positives should be referred to as the </w:t>
      </w:r>
      <w:r w:rsidR="00BA6D51">
        <w:rPr>
          <w:lang w:eastAsia="en-GB"/>
        </w:rPr>
        <w:t>exoplasmic space (ES)</w:t>
      </w:r>
      <w:r w:rsidR="002570CD">
        <w:rPr>
          <w:lang w:eastAsia="en-GB"/>
        </w:rPr>
        <w:t>.</w:t>
      </w:r>
    </w:p>
    <w:p w14:paraId="64CA6D96" w14:textId="4F484C7C" w:rsidR="005824E2" w:rsidRPr="005B0F81" w:rsidRDefault="005824E2" w:rsidP="00782A15">
      <w:pPr>
        <w:pStyle w:val="Heading2"/>
      </w:pPr>
      <w:bookmarkStart w:id="40" w:name="_Toc64276274"/>
      <w:bookmarkStart w:id="41" w:name="_Toc64276578"/>
      <w:bookmarkStart w:id="42" w:name="_Toc64276790"/>
      <w:bookmarkStart w:id="43" w:name="_Toc90216726"/>
      <w:r w:rsidRPr="005B0F81">
        <w:t xml:space="preserve">The </w:t>
      </w:r>
      <w:r>
        <w:t xml:space="preserve">peptidoglycan </w:t>
      </w:r>
      <w:r w:rsidRPr="005B0F81">
        <w:t>cell wall</w:t>
      </w:r>
      <w:bookmarkEnd w:id="40"/>
      <w:bookmarkEnd w:id="41"/>
      <w:bookmarkEnd w:id="42"/>
      <w:r w:rsidR="00C870B1">
        <w:t xml:space="preserve"> of </w:t>
      </w:r>
      <w:r w:rsidR="006355E7" w:rsidRPr="006355E7">
        <w:t>Gram-positives</w:t>
      </w:r>
      <w:r w:rsidR="007006CC">
        <w:t>.</w:t>
      </w:r>
      <w:bookmarkEnd w:id="43"/>
    </w:p>
    <w:p w14:paraId="1DF499D0" w14:textId="5014F7F1" w:rsidR="003E361C" w:rsidRPr="0046290F" w:rsidRDefault="005824E2" w:rsidP="005824E2">
      <w:r w:rsidRPr="00A21A1B">
        <w:t xml:space="preserve">The main constituent of the </w:t>
      </w:r>
      <w:r>
        <w:t>bacterial</w:t>
      </w:r>
      <w:r w:rsidRPr="00A21A1B">
        <w:t xml:space="preserve"> envelope</w:t>
      </w:r>
      <w:r w:rsidR="001511D9">
        <w:t xml:space="preserve"> of Gram-positive bacteria</w:t>
      </w:r>
      <w:r>
        <w:t xml:space="preserve"> </w:t>
      </w:r>
      <w:r w:rsidRPr="00A21A1B">
        <w:t>is the</w:t>
      </w:r>
      <w:r w:rsidR="00E65DB0">
        <w:t xml:space="preserve"> thick multi-layered</w:t>
      </w:r>
      <w:r w:rsidRPr="00A21A1B">
        <w:t xml:space="preserve"> </w:t>
      </w:r>
      <w:r w:rsidRPr="001511D9">
        <w:t>cell wall</w:t>
      </w:r>
      <w:r w:rsidR="001511D9">
        <w:t xml:space="preserve"> (CW)</w:t>
      </w:r>
      <w:r w:rsidR="006A589A">
        <w:t>,</w:t>
      </w:r>
      <w:r w:rsidR="005E3F46">
        <w:t xml:space="preserve"> </w:t>
      </w:r>
      <w:r w:rsidR="00073714">
        <w:t>where</w:t>
      </w:r>
      <w:r w:rsidR="005E3F46">
        <w:t xml:space="preserve"> </w:t>
      </w:r>
      <w:r w:rsidR="00030AF1">
        <w:t>the</w:t>
      </w:r>
      <w:r>
        <w:t xml:space="preserve"> load bearing molecule</w:t>
      </w:r>
      <w:r w:rsidR="00073714">
        <w:t xml:space="preserve"> is</w:t>
      </w:r>
      <w:r>
        <w:t xml:space="preserve"> </w:t>
      </w:r>
      <w:r w:rsidR="008C532F">
        <w:t>peptidoglycan (</w:t>
      </w:r>
      <w:r>
        <w:t>PG</w:t>
      </w:r>
      <w:r w:rsidR="0004604B">
        <w:t>).</w:t>
      </w:r>
      <w:r w:rsidRPr="00E424D3">
        <w:t xml:space="preserve"> </w:t>
      </w:r>
      <w:r w:rsidR="0046290F">
        <w:t xml:space="preserve">Studies of frozen-hydrated samples of </w:t>
      </w:r>
      <w:r w:rsidR="0046290F">
        <w:rPr>
          <w:i/>
          <w:iCs/>
        </w:rPr>
        <w:t>S. aureus</w:t>
      </w:r>
      <w:r w:rsidR="0046290F">
        <w:t xml:space="preserve"> have shown that the CW of this bacteri</w:t>
      </w:r>
      <w:r w:rsidR="00073714">
        <w:t>um</w:t>
      </w:r>
      <w:r w:rsidR="0046290F">
        <w:t xml:space="preserve"> </w:t>
      </w:r>
      <w:r w:rsidR="00073714">
        <w:t>is</w:t>
      </w:r>
      <w:r w:rsidR="0046290F">
        <w:t xml:space="preserve"> 19 ± 4.2 nm</w:t>
      </w:r>
      <w:r w:rsidR="00073714">
        <w:t xml:space="preserve"> thick</w:t>
      </w:r>
      <w:r w:rsidR="0046290F">
        <w:t xml:space="preserve"> </w:t>
      </w:r>
      <w:r w:rsidR="0046290F">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d0573240-3d12-4cf9-8413-79fe8dd7149d"]}],"mendeley":{"formattedCitation":"&lt;sup&gt;[16]&lt;/sup&gt;","plainTextFormattedCitation":"[16]","previouslyFormattedCitation":"&lt;sup&gt;[16]&lt;/sup&gt;"},"properties":{"noteIndex":0},"schema":"https://github.com/citation-style-language/schema/raw/master/csl-citation.json"}</w:instrText>
      </w:r>
      <w:r w:rsidR="0046290F">
        <w:fldChar w:fldCharType="separate"/>
      </w:r>
      <w:r w:rsidR="00DA0A83" w:rsidRPr="00DA0A83">
        <w:rPr>
          <w:noProof/>
          <w:vertAlign w:val="superscript"/>
        </w:rPr>
        <w:t>[16]</w:t>
      </w:r>
      <w:r w:rsidR="0046290F">
        <w:fldChar w:fldCharType="end"/>
      </w:r>
      <w:r w:rsidR="0046290F">
        <w:t>.</w:t>
      </w:r>
    </w:p>
    <w:p w14:paraId="5E7A3E52" w14:textId="5068402E" w:rsidR="00AF0372" w:rsidRDefault="00795D11" w:rsidP="005824E2">
      <w:r>
        <w:t>PG</w:t>
      </w:r>
      <w:r w:rsidRPr="00E424D3">
        <w:t xml:space="preserve"> is </w:t>
      </w:r>
      <w:r>
        <w:t xml:space="preserve">a </w:t>
      </w:r>
      <w:r w:rsidR="008906BE">
        <w:t>polymer</w:t>
      </w:r>
      <w:r>
        <w:t xml:space="preserve"> that gives structural strength, shape and protection to the cell </w:t>
      </w:r>
      <w:r>
        <w:fldChar w:fldCharType="begin" w:fldLock="1"/>
      </w:r>
      <w:r w:rsidR="00DA0A83">
        <w:instrText>ADDIN CSL_CITATION {"citationItems":[{"id":"ITEM-1","itemData":{"ISBN":"1-292-23510-1","author":[{"dropping-particle":"","family":"Madigan","given":"Michael T","non-dropping-particle":"","parse-names":false,"suffix":""},{"dropping-particle":"","family":"Bender","given":"Kelly S.","non-dropping-particle":"","parse-names":false,"suffix":""},{"dropping-particle":"","family":"Buckley","given":"Daniel H.","non-dropping-particle":"","parse-names":false,"suffix":""},{"dropping-particle":"","family":"Stahl","given":"David A.","non-dropping-particle":"","parse-names":false,"suffix":""}],"edition":"15","id":"ITEM-1","issued":{"date-parts":[["2019"]]},"publisher":"Pearson Education","publisher-place":"New York","title":"Brock Biology of Microorganisms","type":"book"},"uris":["http://www.mendeley.com/documents/?uuid=6ca63403-2ce5-47fd-bca0-5d6d3f6c22d0"]},{"id":"ITEM-2","itemData":{"DOI":"10.1111/j.1574-6976.2007.00094.x","ISSN":"01686445","PMID":"18194336","abstract":"The peptidoglycan (murein) sacculus is a unique and essential structural element in the cell wall of most bacteria. Made of glycan strands cross-linked by short peptides, the sacculus forms a closed, bag-shaped structure surrounding the cytoplasmic membrane. There is a high diversity in the composition and sequence of the peptides in the peptidoglycan from different species. Furthermore, in several species examined, the fine structure of the peptidoglycan significantly varies with the growth conditions. Limited number of biophysical data on the thickness, elasticity and porosity of peptidoglycan are available. The different models for the architecture of peptidoglycan are discussed with respect to structural and physical parameters. © 2008 Federation of European Microbiological Societies.","author":[{"dropping-particle":"","family":"Vollmer","given":"Waldemar","non-dropping-particle":"","parse-names":false,"suffix":""},{"dropping-particle":"","family":"Blanot","given":"Didier","non-dropping-particle":"","parse-names":false,"suffix":""},{"dropping-particle":"","family":"Pedro","given":"Miguel A.","non-dropping-particle":"De","parse-names":false,"suffix":""}],"container-title":"FEMS Microbiology Reviews","id":"ITEM-2","issue":"2","issued":{"date-parts":[["2008"]]},"page":"149-167","title":"Peptidoglycan structure and architecture","type":"article-journal","volume":"32"},"uris":["http://www.mendeley.com/documents/?uuid=110d6ad8-28ec-4a1d-b35f-220827b9decf"]}],"mendeley":{"formattedCitation":"&lt;sup&gt;[15,17]&lt;/sup&gt;","plainTextFormattedCitation":"[15,17]","previouslyFormattedCitation":"&lt;sup&gt;[15,17]&lt;/sup&gt;"},"properties":{"noteIndex":0},"schema":"https://github.com/citation-style-language/schema/raw/master/csl-citation.json"}</w:instrText>
      </w:r>
      <w:r>
        <w:fldChar w:fldCharType="separate"/>
      </w:r>
      <w:r w:rsidR="00DA0A83" w:rsidRPr="00DA0A83">
        <w:rPr>
          <w:noProof/>
          <w:vertAlign w:val="superscript"/>
        </w:rPr>
        <w:t>[15,17]</w:t>
      </w:r>
      <w:r>
        <w:fldChar w:fldCharType="end"/>
      </w:r>
      <w:r>
        <w:t xml:space="preserve">. Alternating repeats of two modified glucose residues, </w:t>
      </w:r>
      <w:r>
        <w:rPr>
          <w:i/>
          <w:iCs/>
        </w:rPr>
        <w:t>N-</w:t>
      </w:r>
      <w:r w:rsidR="00A51162">
        <w:t>a</w:t>
      </w:r>
      <w:r w:rsidRPr="00E00354">
        <w:t xml:space="preserve">cetylglucosamine </w:t>
      </w:r>
      <w:r>
        <w:t>(Glc</w:t>
      </w:r>
      <w:r>
        <w:rPr>
          <w:i/>
          <w:iCs/>
        </w:rPr>
        <w:t>N</w:t>
      </w:r>
      <w:r>
        <w:t xml:space="preserve">Ac) and </w:t>
      </w:r>
      <w:r>
        <w:rPr>
          <w:i/>
          <w:iCs/>
        </w:rPr>
        <w:t>N-</w:t>
      </w:r>
      <w:r w:rsidRPr="00E00354">
        <w:t>acetylmuramic acid</w:t>
      </w:r>
      <w:r>
        <w:t xml:space="preserve"> (Mur</w:t>
      </w:r>
      <w:r>
        <w:rPr>
          <w:i/>
          <w:iCs/>
        </w:rPr>
        <w:t>N</w:t>
      </w:r>
      <w:r>
        <w:t xml:space="preserve">Ac), form the </w:t>
      </w:r>
      <w:r w:rsidRPr="007A16B9">
        <w:t>glycan</w:t>
      </w:r>
      <w:r w:rsidR="00B018C8" w:rsidRPr="007A16B9">
        <w:t xml:space="preserve"> backbone</w:t>
      </w:r>
      <w:r w:rsidRPr="00B018C8">
        <w:rPr>
          <w:b/>
          <w:bCs/>
        </w:rPr>
        <w:t xml:space="preserve"> </w:t>
      </w:r>
      <w:r>
        <w:t xml:space="preserve">of PG </w:t>
      </w:r>
      <w:r>
        <w:fldChar w:fldCharType="begin" w:fldLock="1"/>
      </w:r>
      <w:r w:rsidR="00DA0A83">
        <w:instrText>ADDIN CSL_CITATION {"citationItems":[{"id":"ITEM-1","itemData":{"DOI":"10.1111/j.1574-6976.2007.00094.x","ISSN":"01686445","PMID":"18194336","abstract":"The peptidoglycan (murein) sacculus is a unique and essential structural element in the cell wall of most bacteria. Made of glycan strands cross-linked by short peptides, the sacculus forms a closed, bag-shaped structure surrounding the cytoplasmic membrane. There is a high diversity in the composition and sequence of the peptides in the peptidoglycan from different species. Furthermore, in several species examined, the fine structure of the peptidoglycan significantly varies with the growth conditions. Limited number of biophysical data on the thickness, elasticity and porosity of peptidoglycan are available. The different models for the architecture of peptidoglycan are discussed with respect to structural and physical parameters. © 2008 Federation of European Microbiological Societies.","author":[{"dropping-particle":"","family":"Vollmer","given":"Waldemar","non-dropping-particle":"","parse-names":false,"suffix":""},{"dropping-particle":"","family":"Blanot","given":"Didier","non-dropping-particle":"","parse-names":false,"suffix":""},{"dropping-particle":"","family":"Pedro","given":"Miguel A.","non-dropping-particle":"De","parse-names":false,"suffix":""}],"container-title":"FEMS Microbiology Reviews","id":"ITEM-1","issue":"2","issued":{"date-parts":[["2008"]]},"page":"149-167","title":"Peptidoglycan structure and architecture","type":"article-journal","volume":"32"},"uris":["http://www.mendeley.com/documents/?uuid=110d6ad8-28ec-4a1d-b35f-220827b9decf"]},{"id":"ITEM-2","itemData":{"ISBN":"1-292-23510-1","author":[{"dropping-particle":"","family":"Madigan","given":"Michael T","non-dropping-particle":"","parse-names":false,"suffix":""},{"dropping-particle":"","family":"Bender","given":"Kelly S.","non-dropping-particle":"","parse-names":false,"suffix":""},{"dropping-particle":"","family":"Buckley","given":"Daniel H.","non-dropping-particle":"","parse-names":false,"suffix":""},{"dropping-particle":"","family":"Stahl","given":"David A.","non-dropping-particle":"","parse-names":false,"suffix":""}],"edition":"15","id":"ITEM-2","issued":{"date-parts":[["2019"]]},"publisher":"Pearson Education","publisher-place":"New York","title":"Brock Biology of Microorganisms","type":"book"},"uris":["http://www.mendeley.com/documents/?uuid=6ca63403-2ce5-47fd-bca0-5d6d3f6c22d0"]}],"mendeley":{"formattedCitation":"&lt;sup&gt;[15,17]&lt;/sup&gt;","plainTextFormattedCitation":"[15,17]","previouslyFormattedCitation":"&lt;sup&gt;[15,17]&lt;/sup&gt;"},"properties":{"noteIndex":0},"schema":"https://github.com/citation-style-language/schema/raw/master/csl-citation.json"}</w:instrText>
      </w:r>
      <w:r>
        <w:fldChar w:fldCharType="separate"/>
      </w:r>
      <w:r w:rsidR="00DA0A83" w:rsidRPr="00DA0A83">
        <w:rPr>
          <w:noProof/>
          <w:vertAlign w:val="superscript"/>
        </w:rPr>
        <w:t>[15,17]</w:t>
      </w:r>
      <w:r>
        <w:fldChar w:fldCharType="end"/>
      </w:r>
      <w:r w:rsidR="0054213A" w:rsidRPr="0054213A">
        <w:t xml:space="preserve"> </w:t>
      </w:r>
      <w:r w:rsidR="0054213A">
        <w:t>(</w:t>
      </w:r>
      <w:r w:rsidR="005E0587">
        <w:fldChar w:fldCharType="begin"/>
      </w:r>
      <w:r w:rsidR="005E0587">
        <w:instrText xml:space="preserve"> REF _Ref76554276 \h </w:instrText>
      </w:r>
      <w:r w:rsidR="005E0587">
        <w:fldChar w:fldCharType="separate"/>
      </w:r>
      <w:r w:rsidR="00183CC8">
        <w:t xml:space="preserve">Figure </w:t>
      </w:r>
      <w:r w:rsidR="00183CC8">
        <w:rPr>
          <w:noProof/>
        </w:rPr>
        <w:t>1</w:t>
      </w:r>
      <w:r w:rsidR="00183CC8">
        <w:t>.</w:t>
      </w:r>
      <w:r w:rsidR="00183CC8">
        <w:rPr>
          <w:noProof/>
        </w:rPr>
        <w:t>2</w:t>
      </w:r>
      <w:r w:rsidR="005E0587">
        <w:fldChar w:fldCharType="end"/>
      </w:r>
      <w:r w:rsidR="0054213A">
        <w:t>).</w:t>
      </w:r>
      <w:r w:rsidR="00611B56">
        <w:t xml:space="preserve"> </w:t>
      </w:r>
      <w:r w:rsidR="005824E2">
        <w:t xml:space="preserve">These residues are linked by </w:t>
      </w:r>
      <w:r w:rsidR="005824E2">
        <w:rPr>
          <w:lang w:val="el-GR"/>
        </w:rPr>
        <w:t>β</w:t>
      </w:r>
      <w:r w:rsidR="005824E2">
        <w:t xml:space="preserve">1,4-glycosidic bonds, a link sensitive to cleavage by lysozymes </w:t>
      </w:r>
      <w:r w:rsidR="005824E2">
        <w:fldChar w:fldCharType="begin" w:fldLock="1"/>
      </w:r>
      <w:r w:rsidR="00DA0A83">
        <w:instrText>ADDIN CSL_CITATION {"citationItems":[{"id":"ITEM-1","itemData":{"DOI":"10.1111/j.1574-6976.2007.00094.x","ISSN":"01686445","PMID":"18194336","abstract":"The peptidoglycan (murein) sacculus is a unique and essential structural element in the cell wall of most bacteria. Made of glycan strands cross-linked by short peptides, the sacculus forms a closed, bag-shaped structure surrounding the cytoplasmic membrane. There is a high diversity in the composition and sequence of the peptides in the peptidoglycan from different species. Furthermore, in several species examined, the fine structure of the peptidoglycan significantly varies with the growth conditions. Limited number of biophysical data on the thickness, elasticity and porosity of peptidoglycan are available. The different models for the architecture of peptidoglycan are discussed with respect to structural and physical parameters. © 2008 Federation of European Microbiological Societies.","author":[{"dropping-particle":"","family":"Vollmer","given":"Waldemar","non-dropping-particle":"","parse-names":false,"suffix":""},{"dropping-particle":"","family":"Blanot","given":"Didier","non-dropping-particle":"","parse-names":false,"suffix":""},{"dropping-particle":"","family":"Pedro","given":"Miguel A.","non-dropping-particle":"De","parse-names":false,"suffix":""}],"container-title":"FEMS Microbiology Reviews","id":"ITEM-1","issue":"2","issued":{"date-parts":[["2008"]]},"page":"149-167","title":"Peptidoglycan structure and architecture","type":"article-journal","volume":"32"},"uris":["http://www.mendeley.com/documents/?uuid=110d6ad8-28ec-4a1d-b35f-220827b9decf"]},{"id":"ITEM-2","itemData":{"ISBN":"1-292-23510-1","author":[{"dropping-particle":"","family":"Madigan","given":"Michael T","non-dropping-particle":"","parse-names":false,"suffix":""},{"dropping-particle":"","family":"Bender","given":"Kelly S.","non-dropping-particle":"","parse-names":false,"suffix":""},{"dropping-particle":"","family":"Buckley","given":"Daniel H.","non-dropping-particle":"","parse-names":false,"suffix":""},{"dropping-particle":"","family":"Stahl","given":"David A.","non-dropping-particle":"","parse-names":false,"suffix":""}],"edition":"15","id":"ITEM-2","issued":{"date-parts":[["2019"]]},"publisher":"Pearson Education","publisher-place":"New York","title":"Brock Biology of Microorganisms","type":"book"},"uris":["http://www.mendeley.com/documents/?uuid=6ca63403-2ce5-47fd-bca0-5d6d3f6c22d0"]}],"mendeley":{"formattedCitation":"&lt;sup&gt;[15,17]&lt;/sup&gt;","plainTextFormattedCitation":"[15,17]","previouslyFormattedCitation":"&lt;sup&gt;[15,17]&lt;/sup&gt;"},"properties":{"noteIndex":0},"schema":"https://github.com/citation-style-language/schema/raw/master/csl-citation.json"}</w:instrText>
      </w:r>
      <w:r w:rsidR="005824E2">
        <w:fldChar w:fldCharType="separate"/>
      </w:r>
      <w:r w:rsidR="00DA0A83" w:rsidRPr="00DA0A83">
        <w:rPr>
          <w:noProof/>
          <w:vertAlign w:val="superscript"/>
        </w:rPr>
        <w:t>[15,17]</w:t>
      </w:r>
      <w:r w:rsidR="005824E2">
        <w:fldChar w:fldCharType="end"/>
      </w:r>
      <w:r w:rsidR="005824E2">
        <w:t xml:space="preserve">. </w:t>
      </w:r>
      <w:r w:rsidR="00AF0372">
        <w:t xml:space="preserve">In </w:t>
      </w:r>
      <w:r w:rsidR="00AF0372">
        <w:rPr>
          <w:i/>
          <w:iCs/>
        </w:rPr>
        <w:t>S. aureus</w:t>
      </w:r>
      <w:r w:rsidR="00AF0372" w:rsidRPr="00E65DB0">
        <w:t>,</w:t>
      </w:r>
      <w:r w:rsidR="00AF0372">
        <w:t xml:space="preserve"> these PG strands</w:t>
      </w:r>
      <w:r w:rsidR="00923472">
        <w:t xml:space="preserve"> </w:t>
      </w:r>
      <w:r w:rsidR="00217687">
        <w:t xml:space="preserve">are shorter than most Gram-positives and </w:t>
      </w:r>
      <w:r w:rsidR="00AF0372">
        <w:t xml:space="preserve">consist of </w:t>
      </w:r>
      <w:r w:rsidR="00217687">
        <w:t>~ </w:t>
      </w:r>
      <w:r w:rsidR="00923472">
        <w:t>3 to 10</w:t>
      </w:r>
      <w:r w:rsidR="00AF0372">
        <w:t xml:space="preserve"> disaccharide units,</w:t>
      </w:r>
      <w:r w:rsidR="00A72875">
        <w:t xml:space="preserve"> with only 10</w:t>
      </w:r>
      <w:r w:rsidR="00FB394D">
        <w:t xml:space="preserve"> </w:t>
      </w:r>
      <w:r w:rsidR="00A72875">
        <w:t xml:space="preserve">-15 % of the </w:t>
      </w:r>
      <w:r w:rsidR="00217687">
        <w:t xml:space="preserve">glycan </w:t>
      </w:r>
      <w:r w:rsidR="00A72875">
        <w:t>strands &gt; 26 units</w:t>
      </w:r>
      <w:r w:rsidR="00AF0372">
        <w:t xml:space="preserve"> </w:t>
      </w:r>
      <w:r w:rsidR="00AF0372">
        <w:fldChar w:fldCharType="begin" w:fldLock="1"/>
      </w:r>
      <w:r w:rsidR="00DA0A83">
        <w:instrText>ADDIN CSL_CITATION {"citationItems":[{"id":"ITEM-1","itemData":{"DOI":"10.1111/j.1574-6976.2007.00094.x","ISSN":"01686445","PMID":"18194336","abstract":"The peptidoglycan (murein) sacculus is a unique and essential structural element in the cell wall of most bacteria. Made of glycan strands cross-linked by short peptides, the sacculus forms a closed, bag-shaped structure surrounding the cytoplasmic membrane. There is a high diversity in the composition and sequence of the peptides in the peptidoglycan from different species. Furthermore, in several species examined, the fine structure of the peptidoglycan significantly varies with the growth conditions. Limited number of biophysical data on the thickness, elasticity and porosity of peptidoglycan are available. The different models for the architecture of peptidoglycan are discussed with respect to structural and physical parameters. © 2008 Federation of European Microbiological Societies.","author":[{"dropping-particle":"","family":"Vollmer","given":"Waldemar","non-dropping-particle":"","parse-names":false,"suffix":""},{"dropping-particle":"","family":"Blanot","given":"Didier","non-dropping-particle":"","parse-names":false,"suffix":""},{"dropping-particle":"","family":"Pedro","given":"Miguel A.","non-dropping-particle":"De","parse-names":false,"suffix":""}],"container-title":"FEMS Microbiology Reviews","id":"ITEM-1","issue":"2","issued":{"date-parts":[["2008"]]},"page":"149-167","title":"Peptidoglycan structure and architecture","type":"article-journal","volume":"32"},"uris":["http://www.mendeley.com/documents/?uuid=110d6ad8-28ec-4a1d-b35f-220827b9decf"]},{"id":"ITEM-2","itemData":{"DOI":"10.1021/bi00855a035","ISSN":"15204995","PMID":"4290597","abstract":"The mode of action of the lytic peptidase isolated from culture filtrates of Myxobacterium strain AL-1 has been studied by kinetic analysis of end groups liberated during hydrolysis and by fractionation and analysis of the products of its action on isolated cell walls of Staphylococcus aureus and Arthrobacter crystallopoietes. The Myxobacter enzyme solubilizes these walls by a primary attack on their peptide crossbridges (pentaglycine in the case of S. aureus and L-alanine in the case of A. crystallopoietes) which interlink peptidoglycan strands. These bridges are attacked at their linkage to the D-alanyl terminus of the basal tetrapeptide (L-Ala-7-D-Glu(α-CONH2)-L-Lys-D-Ala) which is found in both of these peptidoglycans. Hydrolysis of the N-acetylmuramyl-L-alanine linkages between the polysaccharide and the peptides occurs at a slower rate in both cases, with eventual liberation of small peptide fragments, undegraded polysaccharide, and a polysaccharide-teichoic acid complex. The periodate insensitivity and chemical analyses of the polysaccharides are consistent with the structure of alternating β-l,4-linked residues of N-acetylglucosamine and N-acetylmuramic acid, predicted from previous analyses of disaccharides isolated from the 5. aureus polysaccharide. Analyses show the polysaccharides to be polydisperse with average chain lengths of 19–25 hexosamine residues but containing molecules as short as 12 and as long as 70–100 residues. The polysaccharide is relatively insensitive to egg white lysozyme and other endo-N-acetylmuramidases, but it is rapidly attacked by an endo-N-acetylglucosaminidase. © 1967, American Chemical Society. All rights reserved.","author":[{"dropping-particle":"","family":"Tipper","given":"Donald J","non-dropping-particle":"","parse-names":false,"suffix":""},{"dropping-particle":"","family":"Strominger","given":"Jack L","non-dropping-particle":"","parse-names":false,"suffix":""},{"dropping-particle":"","family":"Ensign","given":"Jerald C","non-dropping-particle":"","parse-names":false,"suffix":""}],"container-title":"Biochemistry","id":"ITEM-2","issue":"3","issued":{"date-parts":[["1967"]]},"page":"906-920","title":"Structure of the Cell Wall of Staphylococcus aureus, Strain Copenhagen. VII. Mode of Action of the Bacteriolytic Peptidase from Myxobacter and the Isolation of Intact Cell Wall Polysaccharides","type":"article-journal","volume":"6"},"uris":["http://www.mendeley.com/documents/?uuid=05ccc858-e323-3669-8c9f-96c33ee8f7e4"]},{"id":"ITEM-3","itemData":{"DOI":"10.1042/bj1330395","ISSN":"02646021","PMID":"4198851","abstract":"The glycan chain length of peptidoglycan was measured by reduction with NaB3H4 and isolation of the resulting muramitol, indicative of the length of the chains as biosynthesized, and glucosaminol, which measured the length of the chains after rupture by endo β N acetylglucosaminidases. Measurement of the non reducing terminal N acetylglucosamine by Smith degradation confirmed the result.","author":[{"dropping-particle":"","family":"Ward","given":"B. J.","non-dropping-particle":"","parse-names":false,"suffix":""}],"container-title":"Biochemical Journal","id":"ITEM-3","issue":"2","issued":{"date-parts":[["1973"]]},"page":"395-398","title":"The chain length of the glycans in bacterial cell walls","type":"article-journal","volume":"133"},"uris":["http://www.mendeley.com/documents/?uuid=11881b2f-68fe-340e-8190-14a45d54d771"]},{"id":"ITEM-4","itemData":{"DOI":"10.1074/jbc.275.14.9910","ISBN":"2123278688","ISSN":"00219258","PMID":"10744664","abstract":"Using sequential digestion with the glycyl-glycine endopeptidase lysostaphin followed by the pneumococcal N-acetylmuramyl-L-alanine amidase (amidase), the glycan strands of the peptidoglycan of Staphylococcus aureus were purified and analyzed by a combination of reverse-phase-high pressure liquid chromatography (HPLC) and mass spectrometry. Reverse-phase-HPLC resolved the glycan strands to a family of major peaks, which represented oligosaccharides composed of repeating disaccharide units (N- acetylglucosamine-[β-1,4]-N-acetylmuramic acid) with different degrees of polymerization and terminating with N-acetylmuramic acid residues at the reducing ends. The method allowed separation of strands up to 23-26 disaccharide units with a predominant length between 3 and 10 and an average degree of polymerization of ~6. Glycan strands with a higher degree of polymerization (&gt;26 disaccharide units) represented 10-15% of the total UV absorbing glycan material. A unique feature of the staphylococcal glycan strands was the presence of minor satellite peaks that were present throughout the HPLC elution profile eluting either just prior or shortly after the major oligosaccharide peaks. A number of observations including mass spectrometric analysis suggest that the satellites are the products of an N-acetylglucosaminidase activity that differs from the atl gene product and that appears to be involved with modification of the glycan strand structure.","author":[{"dropping-particle":"","family":"Boneca","given":"Ivo G.","non-dropping-particle":"","parse-names":false,"suffix":""},{"dropping-particle":"","family":"Huang","given":"Zhi Heng","non-dropping-particle":"","parse-names":false,"suffix":""},{"dropping-particle":"","family":"Gage","given":"Douglas A.","non-dropping-particle":"","parse-names":false,"suffix":""},{"dropping-particle":"","family":"Tomasz","given":"Alexander","non-dropping-particle":"","parse-names":false,"suffix":""}],"container-title":"Journal of Biological Chemistry","id":"ITEM-4","issue":"14","issued":{"date-parts":[["2000"]]},"page":"9910-9918","publisher":"Â© 2000 ASBMB. Currently published by Elsevier Inc; originally published by American Society for Biochemistry and Molecular Biology.","title":"Characterization of Staphylococcus aureus cell wall glycan strands, evidence for a new β-N-acetylglucosaminidase activity","type":"article-journal","volume":"275"},"uris":["http://www.mendeley.com/documents/?uuid=27a40bca-2bff-4a1c-a54c-5cc46adeb246"]}],"mendeley":{"formattedCitation":"&lt;sup&gt;[17–20]&lt;/sup&gt;","plainTextFormattedCitation":"[17–20]","previouslyFormattedCitation":"&lt;sup&gt;[17–20]&lt;/sup&gt;"},"properties":{"noteIndex":0},"schema":"https://github.com/citation-style-language/schema/raw/master/csl-citation.json"}</w:instrText>
      </w:r>
      <w:r w:rsidR="00AF0372">
        <w:fldChar w:fldCharType="separate"/>
      </w:r>
      <w:r w:rsidR="00DA0A83" w:rsidRPr="00DA0A83">
        <w:rPr>
          <w:noProof/>
          <w:vertAlign w:val="superscript"/>
        </w:rPr>
        <w:t>[17–20]</w:t>
      </w:r>
      <w:r w:rsidR="00AF0372">
        <w:fldChar w:fldCharType="end"/>
      </w:r>
      <w:r w:rsidR="00AF0372">
        <w:t>.</w:t>
      </w:r>
    </w:p>
    <w:p w14:paraId="55C880AF" w14:textId="799BAACA" w:rsidR="00B369CE" w:rsidRDefault="00BB00FD" w:rsidP="005824E2">
      <w:r>
        <w:t xml:space="preserve">The </w:t>
      </w:r>
      <w:r w:rsidRPr="00A45D66">
        <w:t>Mur</w:t>
      </w:r>
      <w:r w:rsidRPr="00A45D66">
        <w:rPr>
          <w:i/>
          <w:iCs/>
        </w:rPr>
        <w:t>N</w:t>
      </w:r>
      <w:r>
        <w:t>A</w:t>
      </w:r>
      <w:r w:rsidRPr="00A45D66">
        <w:t>c</w:t>
      </w:r>
      <w:r>
        <w:t xml:space="preserve"> residues have a </w:t>
      </w:r>
      <w:r w:rsidRPr="007A16B9">
        <w:t>pentapeptide side chain</w:t>
      </w:r>
      <w:r>
        <w:t xml:space="preserve"> linked where the lactyl group would be, and in the case of </w:t>
      </w:r>
      <w:r>
        <w:rPr>
          <w:i/>
          <w:iCs/>
        </w:rPr>
        <w:t>S. aureus</w:t>
      </w:r>
      <w:r>
        <w:t xml:space="preserve"> this peptide chain consists of L-alanine, D-</w:t>
      </w:r>
      <w:r>
        <w:rPr>
          <w:i/>
          <w:iCs/>
        </w:rPr>
        <w:t>iso</w:t>
      </w:r>
      <w:r>
        <w:t>glutamine (produced from the amidation of D-</w:t>
      </w:r>
      <w:r>
        <w:rPr>
          <w:i/>
          <w:iCs/>
        </w:rPr>
        <w:t>iso</w:t>
      </w:r>
      <w:r>
        <w:t xml:space="preserve">glutamate), </w:t>
      </w:r>
      <w:r w:rsidRPr="0020133B">
        <w:rPr>
          <w:smallCaps/>
        </w:rPr>
        <w:t>L</w:t>
      </w:r>
      <w:r>
        <w:t xml:space="preserve">-lysine, and two D-alanine amino acids </w:t>
      </w:r>
      <w:r>
        <w:fldChar w:fldCharType="begin" w:fldLock="1"/>
      </w:r>
      <w:r>
        <w:instrText>ADDIN CSL_CITATION {"citationItems":[{"id":"ITEM-1","itemData":{"DOI":"10.1111/j.1574-6976.2007.00094.x","ISSN":"01686445","PMID":"18194336","abstract":"The peptidoglycan (murein) sacculus is a unique and essential structural element in the cell wall of most bacteria. Made of glycan strands cross-linked by short peptides, the sacculus forms a closed, bag-shaped structure surrounding the cytoplasmic membrane. There is a high diversity in the composition and sequence of the peptides in the peptidoglycan from different species. Furthermore, in several species examined, the fine structure of the peptidoglycan significantly varies with the growth conditions. Limited number of biophysical data on the thickness, elasticity and porosity of peptidoglycan are available. The different models for the architecture of peptidoglycan are discussed with respect to structural and physical parameters. © 2008 Federation of European Microbiological Societies.","author":[{"dropping-particle":"","family":"Vollmer","given":"Waldemar","non-dropping-particle":"","parse-names":false,"suffix":""},{"dropping-particle":"","family":"Blanot","given":"Didier","non-dropping-particle":"","parse-names":false,"suffix":""},{"dropping-particle":"","family":"Pedro","given":"Miguel A.","non-dropping-particle":"De","parse-names":false,"suffix":""}],"container-title":"FEMS Microbiology Reviews","id":"ITEM-1","issue":"2","issued":{"date-parts":[["2008"]]},"page":"149-167","title":"Peptidoglycan structure and architecture","type":"article-journal","volume":"32"},"uris":["http://www.mendeley.com/documents/?uuid=110d6ad8-28ec-4a1d-b35f-220827b9decf"]}],"mendeley":{"formattedCitation":"&lt;sup&gt;[17]&lt;/sup&gt;","plainTextFormattedCitation":"[17]","previouslyFormattedCitation":"&lt;sup&gt;[17]&lt;/sup&gt;"},"properties":{"noteIndex":0},"schema":"https://github.com/citation-style-language/schema/raw/master/csl-citation.json"}</w:instrText>
      </w:r>
      <w:r>
        <w:fldChar w:fldCharType="separate"/>
      </w:r>
      <w:r w:rsidRPr="00DA0A83">
        <w:rPr>
          <w:noProof/>
          <w:vertAlign w:val="superscript"/>
        </w:rPr>
        <w:t>[17]</w:t>
      </w:r>
      <w:r>
        <w:fldChar w:fldCharType="end"/>
      </w:r>
      <w:r>
        <w:t xml:space="preserve">. These components together form the </w:t>
      </w:r>
      <w:r w:rsidRPr="007A16B9">
        <w:t>glycan pentapeptide</w:t>
      </w:r>
      <w:r>
        <w:t xml:space="preserve"> of PG (</w:t>
      </w:r>
      <w:r>
        <w:fldChar w:fldCharType="begin"/>
      </w:r>
      <w:r>
        <w:instrText xml:space="preserve"> REF _Ref76554276 \h </w:instrText>
      </w:r>
      <w:r>
        <w:fldChar w:fldCharType="separate"/>
      </w:r>
      <w:r w:rsidR="00183CC8">
        <w:t xml:space="preserve">Figure </w:t>
      </w:r>
      <w:r w:rsidR="00183CC8">
        <w:rPr>
          <w:noProof/>
        </w:rPr>
        <w:t>1</w:t>
      </w:r>
      <w:r w:rsidR="00183CC8">
        <w:t>.</w:t>
      </w:r>
      <w:r w:rsidR="00183CC8">
        <w:rPr>
          <w:noProof/>
        </w:rPr>
        <w:t>2</w:t>
      </w:r>
      <w:r>
        <w:fldChar w:fldCharType="end"/>
      </w:r>
      <w:r>
        <w:t xml:space="preserve">a). This basic repeating unit composes the chains of PG that are interconnected by a </w:t>
      </w:r>
      <w:r w:rsidRPr="007A16B9">
        <w:t>peptide cross-link</w:t>
      </w:r>
      <w:r>
        <w:t xml:space="preserve"> that, in </w:t>
      </w:r>
      <w:r>
        <w:rPr>
          <w:i/>
          <w:iCs/>
        </w:rPr>
        <w:t>S. aureus</w:t>
      </w:r>
      <w:r w:rsidRPr="00E04F4A">
        <w:t>,</w:t>
      </w:r>
      <w:r>
        <w:t xml:space="preserve"> includes five glycines. This short penta-glycine crossbridge connects the amino group of the third amino acid (L-lysine) to the carboxyl group of the fourth amino acid (D-alanine) (</w:t>
      </w:r>
      <w:r>
        <w:fldChar w:fldCharType="begin"/>
      </w:r>
      <w:r>
        <w:instrText xml:space="preserve"> REF _Ref76554276 \h </w:instrText>
      </w:r>
      <w:r>
        <w:fldChar w:fldCharType="separate"/>
      </w:r>
      <w:r w:rsidR="00183CC8">
        <w:t xml:space="preserve">Figure </w:t>
      </w:r>
      <w:r w:rsidR="00183CC8">
        <w:rPr>
          <w:noProof/>
        </w:rPr>
        <w:t>1</w:t>
      </w:r>
      <w:r w:rsidR="00183CC8">
        <w:t>.</w:t>
      </w:r>
      <w:r w:rsidR="00183CC8">
        <w:rPr>
          <w:noProof/>
        </w:rPr>
        <w:t>2</w:t>
      </w:r>
      <w:r>
        <w:fldChar w:fldCharType="end"/>
      </w:r>
      <w:r>
        <w:t xml:space="preserve">b). Together, the glycosidic bonds between </w:t>
      </w:r>
      <w:r w:rsidRPr="00EB0C35">
        <w:t>GlcN</w:t>
      </w:r>
      <w:r>
        <w:t xml:space="preserve">Ac and </w:t>
      </w:r>
      <w:r w:rsidRPr="00EB0C35">
        <w:t>MurN</w:t>
      </w:r>
      <w:r>
        <w:t xml:space="preserve">Ac and the interpeptide bridge allows for a stress-bearing polymer reinforced in 3-dimensions </w:t>
      </w:r>
      <w:r>
        <w:fldChar w:fldCharType="begin" w:fldLock="1"/>
      </w:r>
      <w:r>
        <w:instrText>ADDIN CSL_CITATION {"citationItems":[{"id":"ITEM-1","itemData":{"ISBN":"1-292-23510-1","author":[{"dropping-particle":"","family":"Madigan","given":"Michael T","non-dropping-particle":"","parse-names":false,"suffix":""},{"dropping-particle":"","family":"Bender","given":"Kelly S.","non-dropping-particle":"","parse-names":false,"suffix":""},{"dropping-particle":"","family":"Buckley","given":"Daniel H.","non-dropping-particle":"","parse-names":false,"suffix":""},{"dropping-particle":"","family":"Stahl","given":"David A.","non-dropping-particle":"","parse-names":false,"suffix":""}],"edition":"15","id":"ITEM-1","issued":{"date-parts":[["2019"]]},"publisher":"Pearson Education","publisher-place":"New York","title":"Brock Biology of Microorganisms","type":"book"},"uris":["http://www.mendeley.com/documents/?uuid=6ca63403-2ce5-47fd-bca0-5d6d3f6c22d0"]},{"id":"ITEM-2","itemData":{"DOI":"10.1111/j.1574-6976.2007.00094.x","ISSN":"01686445","PMID":"18194336","abstract":"The peptidoglycan (murein) sacculus is a unique and essential structural element in the cell wall of most bacteria. Made of glycan strands cross-linked by short peptides, the sacculus forms a closed, bag-shaped structure surrounding the cytoplasmic membrane. There is a high diversity in the composition and sequence of the peptides in the peptidoglycan from different species. Furthermore, in several species examined, the fine structure of the peptidoglycan significantly varies with the growth conditions. Limited number of biophysical data on the thickness, elasticity and porosity of peptidoglycan are available. The different models for the architecture of peptidoglycan are discussed with respect to structural and physical parameters. © 2008 Federation of European Microbiological Societies.","author":[{"dropping-particle":"","family":"Vollmer","given":"Waldemar","non-dropping-particle":"","parse-names":false,"suffix":""},{"dropping-particle":"","family":"Blanot","given":"Didier","non-dropping-particle":"","parse-names":false,"suffix":""},{"dropping-particle":"","family":"Pedro","given":"Miguel A.","non-dropping-particle":"De","parse-names":false,"suffix":""}],"container-title":"FEMS Microbiology Reviews","id":"ITEM-2","issue":"2","issued":{"date-parts":[["2008"]]},"page":"149-167","title":"Peptidoglycan structure and architecture","type":"article-journal","volume":"32"},"uris":["http://www.mendeley.com/documents/?uuid=110d6ad8-28ec-4a1d-b35f-220827b9decf"]}],"mendeley":{"formattedCitation":"&lt;sup&gt;[15,17]&lt;/sup&gt;","plainTextFormattedCitation":"[15,17]","previouslyFormattedCitation":"&lt;sup&gt;[15,17]&lt;/sup&gt;"},"properties":{"noteIndex":0},"schema":"https://github.com/citation-style-language/schema/raw/master/csl-citation.json"}</w:instrText>
      </w:r>
      <w:r>
        <w:fldChar w:fldCharType="separate"/>
      </w:r>
      <w:r w:rsidRPr="00DA0A83">
        <w:rPr>
          <w:noProof/>
          <w:vertAlign w:val="superscript"/>
        </w:rPr>
        <w:t>[15,17]</w:t>
      </w:r>
      <w:r>
        <w:fldChar w:fldCharType="end"/>
      </w:r>
      <w:r w:rsidRPr="00966EAE">
        <w:t xml:space="preserve"> </w:t>
      </w:r>
      <w:r>
        <w:t>(</w:t>
      </w:r>
      <w:r>
        <w:fldChar w:fldCharType="begin"/>
      </w:r>
      <w:r>
        <w:instrText xml:space="preserve"> REF _Ref76554276 \h </w:instrText>
      </w:r>
      <w:r>
        <w:fldChar w:fldCharType="separate"/>
      </w:r>
      <w:r w:rsidR="00183CC8">
        <w:t xml:space="preserve">Figure </w:t>
      </w:r>
      <w:r w:rsidR="00183CC8">
        <w:rPr>
          <w:noProof/>
        </w:rPr>
        <w:t>1</w:t>
      </w:r>
      <w:r w:rsidR="00183CC8">
        <w:t>.</w:t>
      </w:r>
      <w:r w:rsidR="00183CC8">
        <w:rPr>
          <w:noProof/>
        </w:rPr>
        <w:t>2</w:t>
      </w:r>
      <w:r>
        <w:fldChar w:fldCharType="end"/>
      </w:r>
      <w:r>
        <w:t>b).</w:t>
      </w:r>
    </w:p>
    <w:p w14:paraId="4FEBE194" w14:textId="77777777" w:rsidR="00AF0372" w:rsidRDefault="00AF0372" w:rsidP="005824E2">
      <w:pPr>
        <w:sectPr w:rsidR="00AF0372" w:rsidSect="004D0E05">
          <w:pgSz w:w="11906" w:h="16838"/>
          <w:pgMar w:top="1191" w:right="1247" w:bottom="1191" w:left="1247" w:header="709" w:footer="709" w:gutter="0"/>
          <w:pgNumType w:start="1"/>
          <w:cols w:space="708"/>
          <w:titlePg/>
          <w:docGrid w:linePitch="360"/>
        </w:sectPr>
      </w:pPr>
    </w:p>
    <w:p w14:paraId="2739BA0B" w14:textId="77777777" w:rsidR="00AF0372" w:rsidRDefault="00AF0372" w:rsidP="00AF0372">
      <w:pPr>
        <w:keepNext/>
        <w:jc w:val="center"/>
      </w:pPr>
      <w:r>
        <w:rPr>
          <w:noProof/>
        </w:rPr>
        <w:lastRenderedPageBreak/>
        <w:drawing>
          <wp:inline distT="0" distB="0" distL="0" distR="0" wp14:anchorId="4E4E559A" wp14:editId="69DED049">
            <wp:extent cx="5839585" cy="4124392"/>
            <wp:effectExtent l="0" t="0" r="254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50466" cy="4132077"/>
                    </a:xfrm>
                    <a:prstGeom prst="rect">
                      <a:avLst/>
                    </a:prstGeom>
                  </pic:spPr>
                </pic:pic>
              </a:graphicData>
            </a:graphic>
          </wp:inline>
        </w:drawing>
      </w:r>
    </w:p>
    <w:p w14:paraId="6CA2F237" w14:textId="540E009F" w:rsidR="00AF0372" w:rsidRDefault="00AF0372" w:rsidP="008A2B86">
      <w:pPr>
        <w:pStyle w:val="Caption"/>
      </w:pPr>
      <w:bookmarkStart w:id="44" w:name="_Ref76542048"/>
      <w:bookmarkStart w:id="45" w:name="_Toc90216926"/>
      <w:r>
        <w:t xml:space="preserve">Figure </w:t>
      </w:r>
      <w:r w:rsidR="003373BF">
        <w:fldChar w:fldCharType="begin"/>
      </w:r>
      <w:r w:rsidR="003373BF">
        <w:instrText xml:space="preserve"> STYLEREF 1 \s </w:instrText>
      </w:r>
      <w:r w:rsidR="003373BF">
        <w:fldChar w:fldCharType="separate"/>
      </w:r>
      <w:r w:rsidR="00183CC8">
        <w:rPr>
          <w:noProof/>
        </w:rPr>
        <w:t>1</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w:t>
      </w:r>
      <w:r w:rsidR="003373BF">
        <w:rPr>
          <w:noProof/>
        </w:rPr>
        <w:fldChar w:fldCharType="end"/>
      </w:r>
      <w:bookmarkEnd w:id="44"/>
      <w:r>
        <w:t xml:space="preserve"> Cell envelope structure of Gram-negative and Gram-positive bacteria.</w:t>
      </w:r>
      <w:bookmarkEnd w:id="45"/>
    </w:p>
    <w:p w14:paraId="423306FD" w14:textId="4B9322B8" w:rsidR="00AF0372" w:rsidRDefault="00AF0372" w:rsidP="00AF0372">
      <w:pPr>
        <w:pStyle w:val="NoSpacing"/>
        <w:sectPr w:rsidR="00AF0372" w:rsidSect="004D0E05">
          <w:pgSz w:w="11906" w:h="16838"/>
          <w:pgMar w:top="1191" w:right="1247" w:bottom="1191" w:left="1247" w:header="709" w:footer="709" w:gutter="0"/>
          <w:cols w:space="708"/>
          <w:titlePg/>
          <w:docGrid w:linePitch="360"/>
        </w:sectPr>
      </w:pPr>
      <w:r>
        <w:t xml:space="preserve">Simplified schema of the </w:t>
      </w:r>
      <w:r>
        <w:rPr>
          <w:b/>
          <w:bCs/>
        </w:rPr>
        <w:t>(A)</w:t>
      </w:r>
      <w:r>
        <w:t xml:space="preserve"> Gram-negative and </w:t>
      </w:r>
      <w:r>
        <w:rPr>
          <w:b/>
          <w:bCs/>
        </w:rPr>
        <w:t>(B)</w:t>
      </w:r>
      <w:r>
        <w:t xml:space="preserve"> Gram-positive bacterial envelope. Modified from Porf</w:t>
      </w:r>
      <w:r w:rsidRPr="00734757">
        <w:t xml:space="preserve">írio </w:t>
      </w:r>
      <w:r>
        <w:rPr>
          <w:i/>
          <w:iCs/>
        </w:rPr>
        <w:t>et al.</w:t>
      </w:r>
      <w:r w:rsidR="0030513F">
        <w:rPr>
          <w:i/>
          <w:iCs/>
        </w:rPr>
        <w:t>,</w:t>
      </w:r>
      <w:r>
        <w:t xml:space="preserve"> (2019) </w:t>
      </w:r>
      <w:r>
        <w:fldChar w:fldCharType="begin" w:fldLock="1"/>
      </w:r>
      <w:r w:rsidR="00AB73F2">
        <w:instrText>ADDIN CSL_CITATION {"citationItems":[{"id":"ITEM-1","itemData":{"DOI":"10.1016/j.tim.2019.01.009","ISSN":"18784380","PMID":"30833206","abstract":"Peptidoglycan (PG) is a ubiquitous structural polysaccharide of the bacterial cell wall, essential in preserving cell integrity by withstanding turgor pressure. Any change that affects its biosynthesis or degradation will disturb cell viability, therefore PG is one of the main targets of antimicrobial drugs. Considering its major role in cell structure and integrity, the study of PG is of utmost relevance, with prospective ramifications to several disciplines such as microbiology, pharmacology, agriculture, and pathogenesis. Traditionally, high-performance liquid chromatography (HPLC) has been the workhorse of PG analysis. In recent years, technological and bioinformatic developments have upgraded this seminal technique, making analysis more sensitive and efficient than ever before. Here we describe a set of analytical tools for the study of PG structure (from composition to 3D architecture), identify the most recent trends, and discuss future challenges in the field.","author":[{"dropping-particle":"","family":"Porfírio","given":"Sara","non-dropping-particle":"","parse-names":false,"suffix":""},{"dropping-particle":"","family":"Carlson","given":"Russell W","non-dropping-particle":"","parse-names":false,"suffix":""},{"dropping-particle":"","family":"Azadi","given":"Parastoo","non-dropping-particle":"","parse-names":false,"suffix":""}],"container-title":"Trends in Microbiology","id":"ITEM-1","issue":"7","issued":{"date-parts":[["2019"]]},"page":"607-622","title":"Elucidating Peptidoglycan Structure: An Analytical Toolset","type":"article","volume":"27"},"uris":["http://www.mendeley.com/documents/?uuid=b2a90809-dfb5-32f0-a1fc-9769ea7a6233"]}],"mendeley":{"formattedCitation":"&lt;sup&gt;[21]&lt;/sup&gt;","plainTextFormattedCitation":"[21]","previouslyFormattedCitation":"&lt;sup&gt;[21]&lt;/sup&gt;"},"properties":{"noteIndex":0},"schema":"https://github.com/citation-style-language/schema/raw/master/csl-citation.json"}</w:instrText>
      </w:r>
      <w:r>
        <w:fldChar w:fldCharType="separate"/>
      </w:r>
      <w:r w:rsidR="00DA0A83" w:rsidRPr="00DA0A83">
        <w:rPr>
          <w:noProof/>
          <w:vertAlign w:val="superscript"/>
        </w:rPr>
        <w:t>[21]</w:t>
      </w:r>
      <w:r>
        <w:fldChar w:fldCharType="end"/>
      </w:r>
      <w:r>
        <w:t>.</w:t>
      </w:r>
      <w:r>
        <w:rPr>
          <w:b/>
          <w:bCs/>
        </w:rPr>
        <w:t>(C-D)</w:t>
      </w:r>
      <w:r>
        <w:t xml:space="preserve"> Transmission electron micrographs of a representative bacterial envelope of</w:t>
      </w:r>
      <w:r>
        <w:rPr>
          <w:b/>
          <w:bCs/>
        </w:rPr>
        <w:t xml:space="preserve"> (C)</w:t>
      </w:r>
      <w:r>
        <w:t xml:space="preserve"> Gram-negative and </w:t>
      </w:r>
      <w:r>
        <w:rPr>
          <w:b/>
          <w:bCs/>
        </w:rPr>
        <w:t>(D)</w:t>
      </w:r>
      <w:r>
        <w:t xml:space="preserve"> Gram-positive bacteria. Obtained and modified from Madigan </w:t>
      </w:r>
      <w:r>
        <w:rPr>
          <w:i/>
          <w:iCs/>
        </w:rPr>
        <w:t>et al.</w:t>
      </w:r>
      <w:r w:rsidR="0030513F">
        <w:rPr>
          <w:i/>
          <w:iCs/>
        </w:rPr>
        <w:t>,</w:t>
      </w:r>
      <w:r>
        <w:t xml:space="preserve"> (2019) </w:t>
      </w:r>
      <w:r>
        <w:fldChar w:fldCharType="begin" w:fldLock="1"/>
      </w:r>
      <w:r w:rsidR="00DA0A83">
        <w:instrText>ADDIN CSL_CITATION {"citationItems":[{"id":"ITEM-1","itemData":{"ISBN":"1-292-23510-1","author":[{"dropping-particle":"","family":"Madigan","given":"Michael T","non-dropping-particle":"","parse-names":false,"suffix":""},{"dropping-particle":"","family":"Bender","given":"Kelly S.","non-dropping-particle":"","parse-names":false,"suffix":""},{"dropping-particle":"","family":"Buckley","given":"Daniel H.","non-dropping-particle":"","parse-names":false,"suffix":""},{"dropping-particle":"","family":"Stahl","given":"David A.","non-dropping-particle":"","parse-names":false,"suffix":""}],"edition":"15","id":"ITEM-1","issued":{"date-parts":[["2019"]]},"publisher":"Pearson Education","publisher-place":"New York","title":"Brock Biology of Microorganisms","type":"book"},"uris":["http://www.mendeley.com/documents/?uuid=6ca63403-2ce5-47fd-bca0-5d6d3f6c22d0"]}],"mendeley":{"formattedCitation":"&lt;sup&gt;[15]&lt;/sup&gt;","plainTextFormattedCitation":"[15]","previouslyFormattedCitation":"&lt;sup&gt;[15]&lt;/sup&gt;"},"properties":{"noteIndex":0},"schema":"https://github.com/citation-style-language/schema/raw/master/csl-citation.json"}</w:instrText>
      </w:r>
      <w:r>
        <w:fldChar w:fldCharType="separate"/>
      </w:r>
      <w:r w:rsidR="00DA0A83" w:rsidRPr="00DA0A83">
        <w:rPr>
          <w:noProof/>
          <w:vertAlign w:val="superscript"/>
        </w:rPr>
        <w:t>[15]</w:t>
      </w:r>
      <w:r>
        <w:fldChar w:fldCharType="end"/>
      </w:r>
      <w:r>
        <w:t>.</w:t>
      </w:r>
    </w:p>
    <w:p w14:paraId="3A9FFE0A" w14:textId="77777777" w:rsidR="00AF0372" w:rsidRDefault="00AF0372" w:rsidP="004F514F">
      <w:pPr>
        <w:pStyle w:val="NoSpacing"/>
        <w:keepNext/>
        <w:jc w:val="center"/>
      </w:pPr>
      <w:r>
        <w:rPr>
          <w:noProof/>
        </w:rPr>
        <w:lastRenderedPageBreak/>
        <w:drawing>
          <wp:inline distT="0" distB="0" distL="0" distR="0" wp14:anchorId="0AFAA06A" wp14:editId="4AFDDA88">
            <wp:extent cx="5821782" cy="3548895"/>
            <wp:effectExtent l="0" t="0" r="0" b="0"/>
            <wp:docPr id="116" name="Picture 11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Diagram, schematic&#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43590" cy="3562189"/>
                    </a:xfrm>
                    <a:prstGeom prst="rect">
                      <a:avLst/>
                    </a:prstGeom>
                  </pic:spPr>
                </pic:pic>
              </a:graphicData>
            </a:graphic>
          </wp:inline>
        </w:drawing>
      </w:r>
    </w:p>
    <w:p w14:paraId="26E18F37" w14:textId="27B46F07" w:rsidR="00AF0372" w:rsidRDefault="00AF0372" w:rsidP="008A2B86">
      <w:pPr>
        <w:pStyle w:val="Caption"/>
      </w:pPr>
      <w:bookmarkStart w:id="46" w:name="_Ref76554276"/>
      <w:bookmarkStart w:id="47" w:name="_Toc90216927"/>
      <w:r>
        <w:t xml:space="preserve">Figure </w:t>
      </w:r>
      <w:r w:rsidR="003373BF">
        <w:fldChar w:fldCharType="begin"/>
      </w:r>
      <w:r w:rsidR="003373BF">
        <w:instrText xml:space="preserve"> STYLEREF 1 \s </w:instrText>
      </w:r>
      <w:r w:rsidR="003373BF">
        <w:fldChar w:fldCharType="separate"/>
      </w:r>
      <w:r w:rsidR="00183CC8">
        <w:rPr>
          <w:noProof/>
        </w:rPr>
        <w:t>1</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w:t>
      </w:r>
      <w:r w:rsidR="003373BF">
        <w:rPr>
          <w:noProof/>
        </w:rPr>
        <w:fldChar w:fldCharType="end"/>
      </w:r>
      <w:bookmarkEnd w:id="46"/>
      <w:r w:rsidRPr="006B361F">
        <w:t xml:space="preserve"> </w:t>
      </w:r>
      <w:r>
        <w:t xml:space="preserve">Peptidoglycan structure of </w:t>
      </w:r>
      <w:r>
        <w:rPr>
          <w:i/>
        </w:rPr>
        <w:t>S. aureus</w:t>
      </w:r>
      <w:r>
        <w:t>.</w:t>
      </w:r>
      <w:bookmarkEnd w:id="47"/>
    </w:p>
    <w:p w14:paraId="363FF2B2" w14:textId="367FEBE6" w:rsidR="00AF0372" w:rsidRDefault="00AF0372" w:rsidP="00AF0372">
      <w:pPr>
        <w:pStyle w:val="NoSpacing"/>
        <w:sectPr w:rsidR="00AF0372" w:rsidSect="004D0E05">
          <w:pgSz w:w="11906" w:h="16838"/>
          <w:pgMar w:top="1191" w:right="1247" w:bottom="1191" w:left="1247" w:header="709" w:footer="709" w:gutter="0"/>
          <w:cols w:space="708"/>
          <w:titlePg/>
          <w:docGrid w:linePitch="360"/>
        </w:sectPr>
      </w:pPr>
      <w:r>
        <w:rPr>
          <w:b/>
          <w:bCs/>
        </w:rPr>
        <w:t>(A)</w:t>
      </w:r>
      <w:r>
        <w:t xml:space="preserve"> Chemical structure of the glycan </w:t>
      </w:r>
      <w:r w:rsidR="00EF6F84">
        <w:t>penta</w:t>
      </w:r>
      <w:r>
        <w:t xml:space="preserve">peptide. </w:t>
      </w:r>
      <w:r>
        <w:rPr>
          <w:b/>
          <w:bCs/>
        </w:rPr>
        <w:t>(B)</w:t>
      </w:r>
      <w:r>
        <w:t xml:space="preserve"> Diagram of the PG polymer showing the polysaccharide backbone made up of </w:t>
      </w:r>
      <w:r w:rsidRPr="00C5280D">
        <w:rPr>
          <w:i/>
          <w:iCs/>
        </w:rPr>
        <w:t>N</w:t>
      </w:r>
      <w:r>
        <w:t xml:space="preserve">-Acetylglucosamine (G) and </w:t>
      </w:r>
      <w:r w:rsidRPr="00C5280D">
        <w:rPr>
          <w:i/>
          <w:iCs/>
        </w:rPr>
        <w:t>N</w:t>
      </w:r>
      <w:r>
        <w:t xml:space="preserve">-Acetylmuramic acid (M), the peptide side chain and the penta-glycine </w:t>
      </w:r>
      <w:r w:rsidR="00F41941">
        <w:t>cross</w:t>
      </w:r>
      <w:r>
        <w:t xml:space="preserve">bridge that connects the PG strands. Image modified from Madigan </w:t>
      </w:r>
      <w:r>
        <w:rPr>
          <w:i/>
          <w:iCs/>
        </w:rPr>
        <w:t>et al.</w:t>
      </w:r>
      <w:r w:rsidR="00534744">
        <w:rPr>
          <w:i/>
          <w:iCs/>
        </w:rPr>
        <w:t>,</w:t>
      </w:r>
      <w:r>
        <w:rPr>
          <w:i/>
          <w:iCs/>
        </w:rPr>
        <w:t xml:space="preserve"> </w:t>
      </w:r>
      <w:r>
        <w:t xml:space="preserve">(2019) </w:t>
      </w:r>
      <w:r>
        <w:fldChar w:fldCharType="begin" w:fldLock="1"/>
      </w:r>
      <w:r w:rsidR="00DA0A83">
        <w:instrText>ADDIN CSL_CITATION {"citationItems":[{"id":"ITEM-1","itemData":{"ISBN":"1-292-23510-1","author":[{"dropping-particle":"","family":"Madigan","given":"Michael T","non-dropping-particle":"","parse-names":false,"suffix":""},{"dropping-particle":"","family":"Bender","given":"Kelly S.","non-dropping-particle":"","parse-names":false,"suffix":""},{"dropping-particle":"","family":"Buckley","given":"Daniel H.","non-dropping-particle":"","parse-names":false,"suffix":""},{"dropping-particle":"","family":"Stahl","given":"David A.","non-dropping-particle":"","parse-names":false,"suffix":""}],"edition":"15","id":"ITEM-1","issued":{"date-parts":[["2019"]]},"publisher":"Pearson Education","publisher-place":"New York","title":"Brock Biology of Microorganisms","type":"book"},"uris":["http://www.mendeley.com/documents/?uuid=6ca63403-2ce5-47fd-bca0-5d6d3f6c22d0"]}],"mendeley":{"formattedCitation":"&lt;sup&gt;[15]&lt;/sup&gt;","plainTextFormattedCitation":"[15]","previouslyFormattedCitation":"&lt;sup&gt;[15]&lt;/sup&gt;"},"properties":{"noteIndex":0},"schema":"https://github.com/citation-style-language/schema/raw/master/csl-citation.json"}</w:instrText>
      </w:r>
      <w:r>
        <w:fldChar w:fldCharType="separate"/>
      </w:r>
      <w:r w:rsidR="00DA0A83" w:rsidRPr="00DA0A83">
        <w:rPr>
          <w:noProof/>
          <w:vertAlign w:val="superscript"/>
        </w:rPr>
        <w:t>[15]</w:t>
      </w:r>
      <w:r>
        <w:fldChar w:fldCharType="end"/>
      </w:r>
      <w:r>
        <w:t>.</w:t>
      </w:r>
    </w:p>
    <w:p w14:paraId="4E60F621" w14:textId="23AB0245" w:rsidR="00FE7ECC" w:rsidRDefault="00FE7ECC" w:rsidP="00FE7ECC">
      <w:pPr>
        <w:pStyle w:val="Heading2"/>
      </w:pPr>
      <w:bookmarkStart w:id="48" w:name="_Toc90216727"/>
      <w:r>
        <w:lastRenderedPageBreak/>
        <w:t>Peptidoglycan homeostasis</w:t>
      </w:r>
      <w:r w:rsidR="007006CC">
        <w:t>.</w:t>
      </w:r>
      <w:bookmarkEnd w:id="48"/>
    </w:p>
    <w:p w14:paraId="488A6F12" w14:textId="172D728E" w:rsidR="002F7CA1" w:rsidRDefault="00F2254C" w:rsidP="00F2254C">
      <w:r>
        <w:t xml:space="preserve">PG </w:t>
      </w:r>
      <w:r w:rsidR="00AC07D1">
        <w:t>homeostasis is of outmost importance for</w:t>
      </w:r>
      <w:r>
        <w:t xml:space="preserve"> bacterial growth, division, cell separation and CW turnover</w:t>
      </w:r>
      <w:r w:rsidR="003F321E">
        <w:t xml:space="preserve"> </w:t>
      </w:r>
      <w:r w:rsidR="003F321E">
        <w:fldChar w:fldCharType="begin" w:fldLock="1"/>
      </w:r>
      <w:r w:rsidR="00DA0A83">
        <w:instrText>ADDIN CSL_CITATION {"citationItems":[{"id":"ITEM-1","itemData":{"DOI":"10.3389/fmicb.2019.00331","ISSN":"1664302X","abstract":"The cell wall (CW) of bacteria is an intricate arrangement of macromolecules, at least constituted of peptidoglycan (PG) but also of (lipo)teichoic acids, various polysaccharides, polyglutamate and/or proteins. During bacterial growth and division, there is a constant balance between CW degradation and biosynthesis. The CW is remodeled by bacterial hydrolases, whose activities are carefully regulated to maintain cell integrity or lead to bacterial death. Each cell wall hydrolase (CWH) has a specific role regarding the PG: (i) cell wall amidase (CWA) cleaves the amide bond between N-acetylmuramic acid and L-alanine residue at the N-terminal of the stem peptide, (ii) cell wall glycosidase (CWG) catalyses the hydrolysis of the glycosidic linkages, whereas (iii) cell wall peptidase (CWP) cleaves amide bonds between amino acids within the PG chain. After an exhaustive overview of all known conserved catalytic domains responsible for CWA, CWG, and CWP activities, this review stresses that the CWHs frequently display a modular architecture combining multiple and/or different catalytic domains, including some lytic transglycosylases as well as CW binding domains. From there, direct physiological and collateral roles of CWHs in bacterial cells are further discussed.","author":[{"dropping-particle":"","family":"Vermassen","given":"Aurore","non-dropping-particle":"","parse-names":false,"suffix":""},{"dropping-particle":"","family":"Leroy","given":"Sabine","non-dropping-particle":"","parse-names":false,"suffix":""},{"dropping-particle":"","family":"Talon","given":"Régine","non-dropping-particle":"","parse-names":false,"suffix":""},{"dropping-particle":"","family":"Provot","given":"Christian","non-dropping-particle":"","parse-names":false,"suffix":""},{"dropping-particle":"","family":"Popowska","given":"Magdalena","non-dropping-particle":"","parse-names":false,"suffix":""},{"dropping-particle":"","family":"Desvaux","given":"Mickaël","non-dropping-particle":"","parse-names":false,"suffix":""}],"container-title":"Frontiers in Microbiology","id":"ITEM-1","issue":"FEB","issued":{"date-parts":[["2019"]]},"title":"Cell wall hydrolases in bacteria: Insight on the diversity of cell wall amidases, glycosidases and peptidases toward peptidoglycan","type":"article-journal","volume":"10"},"uris":["http://www.mendeley.com/documents/?uuid=1a96685d-bc08-4d83-8c50-d9a126623ce6"]},{"id":"ITEM-2","itemData":{"DOI":"10.1111/j.1574-6976.2007.00094.x","ISSN":"01686445","PMID":"18194336","abstract":"The peptidoglycan (murein) sacculus is a unique and essential structural element in the cell wall of most bacteria. Made of glycan strands cross-linked by short peptides, the sacculus forms a closed, bag-shaped structure surrounding the cytoplasmic membrane. There is a high diversity in the composition and sequence of the peptides in the peptidoglycan from different species. Furthermore, in several species examined, the fine structure of the peptidoglycan significantly varies with the growth conditions. Limited number of biophysical data on the thickness, elasticity and porosity of peptidoglycan are available. The different models for the architecture of peptidoglycan are discussed with respect to structural and physical parameters. © 2008 Federation of European Microbiological Societies.","author":[{"dropping-particle":"","family":"Vollmer","given":"Waldemar","non-dropping-particle":"","parse-names":false,"suffix":""},{"dropping-particle":"","family":"Blanot","given":"Didier","non-dropping-particle":"","parse-names":false,"suffix":""},{"dropping-particle":"","family":"Pedro","given":"Miguel A.","non-dropping-particle":"De","parse-names":false,"suffix":""}],"container-title":"FEMS Microbiology Reviews","id":"ITEM-2","issue":"2","issued":{"date-parts":[["2008"]]},"page":"149-167","title":"Peptidoglycan structure and architecture","type":"article-journal","volume":"32"},"uris":["http://www.mendeley.com/documents/?uuid=110d6ad8-28ec-4a1d-b35f-220827b9decf"]}],"mendeley":{"formattedCitation":"&lt;sup&gt;[17,22]&lt;/sup&gt;","plainTextFormattedCitation":"[17,22]","previouslyFormattedCitation":"&lt;sup&gt;[17,22]&lt;/sup&gt;"},"properties":{"noteIndex":0},"schema":"https://github.com/citation-style-language/schema/raw/master/csl-citation.json"}</w:instrText>
      </w:r>
      <w:r w:rsidR="003F321E">
        <w:fldChar w:fldCharType="separate"/>
      </w:r>
      <w:r w:rsidR="00DA0A83" w:rsidRPr="00DA0A83">
        <w:rPr>
          <w:noProof/>
          <w:vertAlign w:val="superscript"/>
        </w:rPr>
        <w:t>[17,22]</w:t>
      </w:r>
      <w:r w:rsidR="003F321E">
        <w:fldChar w:fldCharType="end"/>
      </w:r>
      <w:r>
        <w:t>.</w:t>
      </w:r>
      <w:r w:rsidR="009C07A7">
        <w:t xml:space="preserve"> </w:t>
      </w:r>
      <w:r w:rsidR="002F7CA1">
        <w:t xml:space="preserve">Thus, bacterial viability requires a balance between PG synthesis and hydrolysis. </w:t>
      </w:r>
    </w:p>
    <w:p w14:paraId="4DAB3C4F" w14:textId="7282E702" w:rsidR="00FE7ECC" w:rsidRPr="00FE7ECC" w:rsidRDefault="0071631F" w:rsidP="00FE7ECC">
      <w:pPr>
        <w:pStyle w:val="Heading3"/>
      </w:pPr>
      <w:bookmarkStart w:id="49" w:name="_Toc90216728"/>
      <w:r>
        <w:t xml:space="preserve">Peptidoglycan </w:t>
      </w:r>
      <w:r w:rsidR="00A52ADE">
        <w:t>bio</w:t>
      </w:r>
      <w:r w:rsidR="00FE7ECC">
        <w:t>synth</w:t>
      </w:r>
      <w:r w:rsidR="00A52ADE">
        <w:t>e</w:t>
      </w:r>
      <w:r w:rsidR="00FE7ECC">
        <w:t>s</w:t>
      </w:r>
      <w:r w:rsidR="00A52ADE">
        <w:t>i</w:t>
      </w:r>
      <w:r w:rsidR="00FE7ECC">
        <w:t>s</w:t>
      </w:r>
      <w:r w:rsidR="002E27B3">
        <w:t xml:space="preserve"> in </w:t>
      </w:r>
      <w:r w:rsidR="002E27B3">
        <w:rPr>
          <w:i/>
          <w:iCs/>
        </w:rPr>
        <w:t>S. aureus</w:t>
      </w:r>
      <w:r w:rsidR="007006CC">
        <w:rPr>
          <w:i/>
          <w:iCs/>
        </w:rPr>
        <w:t>.</w:t>
      </w:r>
      <w:bookmarkEnd w:id="49"/>
    </w:p>
    <w:p w14:paraId="6C69DD7C" w14:textId="6A25F82F" w:rsidR="00431F75" w:rsidRDefault="005824E2" w:rsidP="005824E2">
      <w:r>
        <w:t>PG precursors (Glc</w:t>
      </w:r>
      <w:r>
        <w:rPr>
          <w:i/>
          <w:iCs/>
        </w:rPr>
        <w:t>N</w:t>
      </w:r>
      <w:r>
        <w:t>Ac–Mur</w:t>
      </w:r>
      <w:r>
        <w:rPr>
          <w:i/>
          <w:iCs/>
        </w:rPr>
        <w:t>N</w:t>
      </w:r>
      <w:r>
        <w:t>Ac–</w:t>
      </w:r>
      <w:r w:rsidR="008A761F" w:rsidRPr="0020133B">
        <w:rPr>
          <w:smallCaps/>
        </w:rPr>
        <w:t>L</w:t>
      </w:r>
      <w:r w:rsidR="008A761F">
        <w:t>-Ala–</w:t>
      </w:r>
      <w:r w:rsidR="008A761F" w:rsidRPr="0020133B">
        <w:rPr>
          <w:smallCaps/>
        </w:rPr>
        <w:t>D</w:t>
      </w:r>
      <w:r w:rsidR="008A761F">
        <w:t>-iGln–L-Lys–D-Ala–D-Ala</w:t>
      </w:r>
      <w:r>
        <w:t>) are synthesised inside the cytoplasm</w:t>
      </w:r>
      <w:r w:rsidR="00EE1D2E">
        <w:t xml:space="preserve"> (</w:t>
      </w:r>
      <w:r w:rsidR="00EE1D2E">
        <w:fldChar w:fldCharType="begin"/>
      </w:r>
      <w:r w:rsidR="00EE1D2E">
        <w:instrText xml:space="preserve"> REF _Ref76579247 \h </w:instrText>
      </w:r>
      <w:r w:rsidR="00EE1D2E">
        <w:fldChar w:fldCharType="separate"/>
      </w:r>
      <w:r w:rsidR="00183CC8">
        <w:t xml:space="preserve">Figure </w:t>
      </w:r>
      <w:r w:rsidR="00183CC8">
        <w:rPr>
          <w:noProof/>
        </w:rPr>
        <w:t>1</w:t>
      </w:r>
      <w:r w:rsidR="00183CC8">
        <w:t>.</w:t>
      </w:r>
      <w:r w:rsidR="00183CC8">
        <w:rPr>
          <w:noProof/>
        </w:rPr>
        <w:t>3</w:t>
      </w:r>
      <w:r w:rsidR="00EE1D2E">
        <w:fldChar w:fldCharType="end"/>
      </w:r>
      <w:r w:rsidR="00EE1D2E">
        <w:t>)</w:t>
      </w:r>
      <w:r w:rsidR="00AD3895">
        <w:t>. MurA and MurB are the first steps, whereby a</w:t>
      </w:r>
      <w:r w:rsidR="005B1C34">
        <w:t>n</w:t>
      </w:r>
      <w:r w:rsidR="00AD3895">
        <w:t xml:space="preserve"> enolpyruvyl moiety is transferred to diphosphate-Glc</w:t>
      </w:r>
      <w:r w:rsidR="00AD3895">
        <w:rPr>
          <w:i/>
          <w:iCs/>
        </w:rPr>
        <w:t>N</w:t>
      </w:r>
      <w:r w:rsidR="00AD3895">
        <w:t>Ac which is thereafter converted into uridine diphosphate-Mur</w:t>
      </w:r>
      <w:r w:rsidR="00AD3895">
        <w:rPr>
          <w:i/>
          <w:iCs/>
        </w:rPr>
        <w:t>N</w:t>
      </w:r>
      <w:r w:rsidR="00AD3895">
        <w:t>Ac</w:t>
      </w:r>
      <w:r w:rsidR="003125B8">
        <w:t xml:space="preserve"> </w:t>
      </w:r>
      <w:r w:rsidR="003125B8">
        <w:fldChar w:fldCharType="begin" w:fldLock="1"/>
      </w:r>
      <w:r w:rsidR="00DA0A83">
        <w:instrText>ADDIN CSL_CITATION {"citationItems":[{"id":"ITEM-1","itemData":{"DOI":"10.1038/nrmicro2677","ISSN":"17401526","abstract":"How bacteria grow and divide while retaining a defined shape is a fundamental question in microbiology, but technological advances are now driving a new understanding of how the shape-maintaining bacterial peptidoglycan sacculus grows. In this Review, we highlight the relationship between peptidoglycan synthesis complexes and cytoskeletal elements, as well as recent evidence that peptidoglycan growth is regulated from outside the sacculus in Gram-negative bacteria. We also discuss how growth of the sacculus is sensitive to mechanical force and nutritional status, and describe the roles of peptidoglycan hydrolases in generating cell shape and of D-amino acids in sacculus remodelling. © 2012 Macmillan Publishers Limited. All rights reserved.","author":[{"dropping-particle":"","family":"Typas","given":"Athanasios","non-dropping-particle":"","parse-names":false,"suffix":""},{"dropping-particle":"","family":"Banzhaf","given":"Manuel","non-dropping-particle":"","parse-names":false,"suffix":""},{"dropping-particle":"","family":"Gross","given":"Carol A.","non-dropping-particle":"","parse-names":false,"suffix":""},{"dropping-particle":"","family":"Vollmer","given":"Waldemar","non-dropping-particle":"","parse-names":false,"suffix":""}],"container-title":"Nature Reviews Microbiology","id":"ITEM-1","issue":"2","issued":{"date-parts":[["2012"]]},"page":"123-136","publisher":"Nature Publishing Group","title":"From the regulation of peptidoglycan synthesis to bacterial growth and morphology","type":"article-journal","volume":"10"},"uris":["http://www.mendeley.com/documents/?uuid=2a714196-a08a-4820-921b-3b4abcee765b"]},{"id":"ITEM-2","itemData":{"DOI":"10.1038/s41579-020-0366-3","ISBN":"4157902003663","ISSN":"17401534","PMID":"32424210","abstract":"Bacteria surround their cell membrane with a net-like peptidoglycan layer, called sacculus, to protect the cell from bursting and maintain its cell shape. Sacculus growth during elongation and cell division is mediated by dynamic and transient multiprotein complexes, the elongasome and divisome, respectively. In this Review we present our current understanding of how peptidoglycan synthases are regulated by multiple and specific interactions with cell morphogenesis proteins that are linked to a dynamic cytoskeletal protein, either the actin-like MreB or the tubulin-like FtsZ. Several peptidoglycan synthases and hydrolases require activation by outer-membrane-anchored lipoproteins. We also discuss how bacteria achieve robust cell wall growth under different conditions and stresses by maintaining multiple peptidoglycan enzymes and regulators as well as different peptidoglycan growth mechanisms, and we present the emerging role of ld-transpeptidases in peptidoglycan remodelling.","author":[{"dropping-particle":"","family":"Egan","given":"Alexander J.F.","non-dropping-particle":"","parse-names":false,"suffix":""},{"dropping-particle":"","family":"Errington","given":"Jeff","non-dropping-particle":"","parse-names":false,"suffix":""},{"dropping-particle":"","family":"Vollmer","given":"Waldemar","non-dropping-particle":"","parse-names":false,"suffix":""}],"container-title":"Nature Reviews Microbiology","id":"ITEM-2","issue":"8","issued":{"date-parts":[["2020"]]},"page":"446-460","publisher":"Springer US","title":"Regulation of peptidoglycan synthesis and remodelling","type":"article-journal","volume":"18"},"uris":["http://www.mendeley.com/documents/?uuid=02dc5a35-2872-4de3-9034-c71a9ed7d88d"]}],"mendeley":{"formattedCitation":"&lt;sup&gt;[23,24]&lt;/sup&gt;","plainTextFormattedCitation":"[23,24]","previouslyFormattedCitation":"&lt;sup&gt;[23,24]&lt;/sup&gt;"},"properties":{"noteIndex":0},"schema":"https://github.com/citation-style-language/schema/raw/master/csl-citation.json"}</w:instrText>
      </w:r>
      <w:r w:rsidR="003125B8">
        <w:fldChar w:fldCharType="separate"/>
      </w:r>
      <w:r w:rsidR="00DA0A83" w:rsidRPr="00DA0A83">
        <w:rPr>
          <w:noProof/>
          <w:vertAlign w:val="superscript"/>
        </w:rPr>
        <w:t>[23,24]</w:t>
      </w:r>
      <w:r w:rsidR="003125B8">
        <w:fldChar w:fldCharType="end"/>
      </w:r>
      <w:r w:rsidR="00462E7E">
        <w:t>. The following steps are the addition of the peptide side chains by MurC, MurD, MurE and MurF</w:t>
      </w:r>
      <w:r w:rsidR="0031674D">
        <w:t xml:space="preserve"> </w:t>
      </w:r>
      <w:r w:rsidR="0031674D">
        <w:fldChar w:fldCharType="begin" w:fldLock="1"/>
      </w:r>
      <w:r w:rsidR="00DA0A83">
        <w:instrText>ADDIN CSL_CITATION {"citationItems":[{"id":"ITEM-1","itemData":{"DOI":"10.1038/nrmicro2677","ISSN":"17401526","abstract":"How bacteria grow and divide while retaining a defined shape is a fundamental question in microbiology, but technological advances are now driving a new understanding of how the shape-maintaining bacterial peptidoglycan sacculus grows. In this Review, we highlight the relationship between peptidoglycan synthesis complexes and cytoskeletal elements, as well as recent evidence that peptidoglycan growth is regulated from outside the sacculus in Gram-negative bacteria. We also discuss how growth of the sacculus is sensitive to mechanical force and nutritional status, and describe the roles of peptidoglycan hydrolases in generating cell shape and of D-amino acids in sacculus remodelling. © 2012 Macmillan Publishers Limited. All rights reserved.","author":[{"dropping-particle":"","family":"Typas","given":"Athanasios","non-dropping-particle":"","parse-names":false,"suffix":""},{"dropping-particle":"","family":"Banzhaf","given":"Manuel","non-dropping-particle":"","parse-names":false,"suffix":""},{"dropping-particle":"","family":"Gross","given":"Carol A.","non-dropping-particle":"","parse-names":false,"suffix":""},{"dropping-particle":"","family":"Vollmer","given":"Waldemar","non-dropping-particle":"","parse-names":false,"suffix":""}],"container-title":"Nature Reviews Microbiology","id":"ITEM-1","issue":"2","issued":{"date-parts":[["2012"]]},"page":"123-136","publisher":"Nature Publishing Group","title":"From the regulation of peptidoglycan synthesis to bacterial growth and morphology","type":"article-journal","volume":"10"},"uris":["http://www.mendeley.com/documents/?uuid=2a714196-a08a-4820-921b-3b4abcee765b"]},{"id":"ITEM-2","itemData":{"DOI":"10.1038/s41579-020-0366-3","ISBN":"4157902003663","ISSN":"17401534","PMID":"32424210","abstract":"Bacteria surround their cell membrane with a net-like peptidoglycan layer, called sacculus, to protect the cell from bursting and maintain its cell shape. Sacculus growth during elongation and cell division is mediated by dynamic and transient multiprotein complexes, the elongasome and divisome, respectively. In this Review we present our current understanding of how peptidoglycan synthases are regulated by multiple and specific interactions with cell morphogenesis proteins that are linked to a dynamic cytoskeletal protein, either the actin-like MreB or the tubulin-like FtsZ. Several peptidoglycan synthases and hydrolases require activation by outer-membrane-anchored lipoproteins. We also discuss how bacteria achieve robust cell wall growth under different conditions and stresses by maintaining multiple peptidoglycan enzymes and regulators as well as different peptidoglycan growth mechanisms, and we present the emerging role of ld-transpeptidases in peptidoglycan remodelling.","author":[{"dropping-particle":"","family":"Egan","given":"Alexander J.F.","non-dropping-particle":"","parse-names":false,"suffix":""},{"dropping-particle":"","family":"Errington","given":"Jeff","non-dropping-particle":"","parse-names":false,"suffix":""},{"dropping-particle":"","family":"Vollmer","given":"Waldemar","non-dropping-particle":"","parse-names":false,"suffix":""}],"container-title":"Nature Reviews Microbiology","id":"ITEM-2","issue":"8","issued":{"date-parts":[["2020"]]},"page":"446-460","publisher":"Springer US","title":"Regulation of peptidoglycan synthesis and remodelling","type":"article-journal","volume":"18"},"uris":["http://www.mendeley.com/documents/?uuid=02dc5a35-2872-4de3-9034-c71a9ed7d88d"]}],"mendeley":{"formattedCitation":"&lt;sup&gt;[23,24]&lt;/sup&gt;","plainTextFormattedCitation":"[23,24]","previouslyFormattedCitation":"&lt;sup&gt;[23,24]&lt;/sup&gt;"},"properties":{"noteIndex":0},"schema":"https://github.com/citation-style-language/schema/raw/master/csl-citation.json"}</w:instrText>
      </w:r>
      <w:r w:rsidR="0031674D">
        <w:fldChar w:fldCharType="separate"/>
      </w:r>
      <w:r w:rsidR="00DA0A83" w:rsidRPr="00DA0A83">
        <w:rPr>
          <w:noProof/>
          <w:vertAlign w:val="superscript"/>
        </w:rPr>
        <w:t>[23,24]</w:t>
      </w:r>
      <w:r w:rsidR="0031674D">
        <w:fldChar w:fldCharType="end"/>
      </w:r>
      <w:r w:rsidR="00462E7E">
        <w:t>.</w:t>
      </w:r>
      <w:r w:rsidR="003428AA">
        <w:t xml:space="preserve"> </w:t>
      </w:r>
      <w:r w:rsidR="00A167A2">
        <w:t>Then</w:t>
      </w:r>
      <w:r w:rsidR="0083122E">
        <w:t xml:space="preserve">, </w:t>
      </w:r>
      <w:r w:rsidR="00BC2699">
        <w:t>MraY</w:t>
      </w:r>
      <w:r w:rsidR="003428AA">
        <w:t xml:space="preserve"> </w:t>
      </w:r>
      <w:r w:rsidR="0083122E">
        <w:t xml:space="preserve">binds the </w:t>
      </w:r>
      <w:r w:rsidR="003428AA">
        <w:t>resulting diphosphate-Mur</w:t>
      </w:r>
      <w:r w:rsidR="003428AA">
        <w:rPr>
          <w:i/>
          <w:iCs/>
        </w:rPr>
        <w:t>N</w:t>
      </w:r>
      <w:r w:rsidR="003428AA">
        <w:t>Ac-pentapeptide</w:t>
      </w:r>
      <w:r w:rsidR="0083122E">
        <w:t xml:space="preserve"> </w:t>
      </w:r>
      <w:r w:rsidR="007675E8">
        <w:t>to undecaprenol phosphate (C</w:t>
      </w:r>
      <w:r w:rsidR="007675E8" w:rsidRPr="007675E8">
        <w:rPr>
          <w:vertAlign w:val="subscript"/>
        </w:rPr>
        <w:t>55</w:t>
      </w:r>
      <w:r w:rsidR="007675E8">
        <w:t>-P), a hydrophobic lipid carrier</w:t>
      </w:r>
      <w:r w:rsidR="006700E5">
        <w:t xml:space="preserve">, </w:t>
      </w:r>
      <w:r w:rsidR="00A167A2">
        <w:t xml:space="preserve">forming Lipid I. </w:t>
      </w:r>
      <w:r w:rsidR="00246FCD">
        <w:t xml:space="preserve">The subsequent </w:t>
      </w:r>
      <w:r w:rsidR="00A167A2">
        <w:t>addition of Glc</w:t>
      </w:r>
      <w:r w:rsidR="00A167A2">
        <w:rPr>
          <w:i/>
          <w:iCs/>
        </w:rPr>
        <w:t>N</w:t>
      </w:r>
      <w:r w:rsidR="00A167A2">
        <w:t xml:space="preserve">Ac by MurG leads to the formation </w:t>
      </w:r>
      <w:r w:rsidR="00F74051">
        <w:t>of</w:t>
      </w:r>
      <w:r w:rsidR="00A167A2">
        <w:t xml:space="preserve"> Lipid II</w:t>
      </w:r>
      <w:r w:rsidR="008A6480">
        <w:t xml:space="preserve"> </w:t>
      </w:r>
      <w:r w:rsidR="008A6480">
        <w:fldChar w:fldCharType="begin" w:fldLock="1"/>
      </w:r>
      <w:r w:rsidR="00AB73F2">
        <w:instrText>ADDIN CSL_CITATION {"citationItems":[{"id":"ITEM-1","itemData":{"DOI":"10.1371/journal.ppat.1005213","ISSN":"15537374","PMID":"26679002","abstract":"Nearly all bacteria contain a peptidoglycan cell wall. The peptidoglycan precursor molecule is LipidII, containing the basic peptidoglycan building block attached to a lipid. Although the suitability of LipidII as an antibacterial target has long been recognized, progress on elucidating the role(s) of LipidII in bacterial cell biology has been slow. The focus of this review is on exciting new developments, both with respect to antibacterials targeting LipidII as well as the emerging role of LipidII in organizing the membrane and cell wall synthesis. It appears that on both sides of the membrane, LipidII plays crucial roles in organizing cytoskeletal proteins and peptidoglycan synthesis machineries. Finally, the recent discovery of no less than three different categories of LipidII flippases will be discussed.","author":[{"dropping-particle":"","family":"Scheffers","given":"Dirk Jan","non-dropping-particle":"","parse-names":false,"suffix":""},{"dropping-particle":"","family":"Tol","given":"Menno B","non-dropping-particle":"","parse-names":false,"suffix":""}],"container-title":"PLoS Pathogens","id":"ITEM-1","issue":"12","issued":{"date-parts":[["2015"]]},"title":"LipidII: Just Another Brick in the Wall?","type":"article","volume":"11"},"uris":["http://www.mendeley.com/documents/?uuid=db1a252c-b7f9-399a-b546-9d42f15722fe"]},{"id":"ITEM-2","itemData":{"DOI":"10.1111/j.1574-6976.2007.00089.x","ISSN":"01686445","PMID":"18081839","abstract":"The biosynthesis of bacterial cell wall peptidoglycan is a complex process involving many different steps taking place in the cytoplasm (synthesis of the nucleotide precursors) and on the inner and outer sides of the cytoplasmic membrane (assembly and polymerization of the disaccharide-peptide monomer unit, respectively). This review summarizes the current knowledge on the membrane steps leading to the formation of the lipid II intermediate, i.e. the substrate of the polymerization reactions. It makes the point on past and recent data that have significantly contributed to the understanding of the biosynthesis of undecaprenyl phosphate, the carrier lipid required for the anchoring of the peptidoglycan hydrophilic units in the membrane, and to the characterization of the MraY and MurG enzymes which catalyze the successive transfers of the N-acetylmuramoyl-peptide and N-acetylglucosamine moieties onto the carrier lipid, respectively. Enzyme inhibitors and antibacterial compounds interfering with these essential metabolic steps and interesting targets are presented. © 2007 Federation of European Microbiological Societies.","author":[{"dropping-particle":"","family":"Bouhss","given":"Ahmed","non-dropping-particle":"","parse-names":false,"suffix":""},{"dropping-particle":"","family":"Trunkfield","given":"Amy E","non-dropping-particle":"","parse-names":false,"suffix":""},{"dropping-particle":"","family":"Bugg","given":"Timothy D.H.","non-dropping-particle":"","parse-names":false,"suffix":""},{"dropping-particle":"","family":"Mengin-Lecreulx","given":"Dominique","non-dropping-particle":"","parse-names":false,"suffix":""}],"container-title":"FEMS Microbiology Reviews","id":"ITEM-2","issue":"2","issued":{"date-parts":[["2008"]]},"page":"208-233","title":"The biosynthesis of peptidoglycan lipid-linked intermediates","type":"article","volume":"32"},"uris":["http://www.mendeley.com/documents/?uuid=5966d8a0-608a-3944-8085-932d31f602d8"]},{"id":"ITEM-3","itemData":{"DOI":"10.1038/nrmicro2677","ISSN":"17401526","abstract":"How bacteria grow and divide while retaining a defined shape is a fundamental question in microbiology, but technological advances are now driving a new understanding of how the shape-maintaining bacterial peptidoglycan sacculus grows. In this Review, we highlight the relationship between peptidoglycan synthesis complexes and cytoskeletal elements, as well as recent evidence that peptidoglycan growth is regulated from outside the sacculus in Gram-negative bacteria. We also discuss how growth of the sacculus is sensitive to mechanical force and nutritional status, and describe the roles of peptidoglycan hydrolases in generating cell shape and of D-amino acids in sacculus remodelling. © 2012 Macmillan Publishers Limited. All rights reserved.","author":[{"dropping-particle":"","family":"Typas","given":"Athanasios","non-dropping-particle":"","parse-names":false,"suffix":""},{"dropping-particle":"","family":"Banzhaf","given":"Manuel","non-dropping-particle":"","parse-names":false,"suffix":""},{"dropping-particle":"","family":"Gross","given":"Carol A.","non-dropping-particle":"","parse-names":false,"suffix":""},{"dropping-particle":"","family":"Vollmer","given":"Waldemar","non-dropping-particle":"","parse-names":false,"suffix":""}],"container-title":"Nature Reviews Microbiology","id":"ITEM-3","issue":"2","issued":{"date-parts":[["2012"]]},"page":"123-136","publisher":"Nature Publishing Group","title":"From the regulation of peptidoglycan synthesis to bacterial growth and morphology","type":"article-journal","volume":"10"},"uris":["http://www.mendeley.com/documents/?uuid=2a714196-a08a-4820-921b-3b4abcee765b"]}],"mendeley":{"formattedCitation":"&lt;sup&gt;[23,25,26]&lt;/sup&gt;","plainTextFormattedCitation":"[23,25,26]","previouslyFormattedCitation":"&lt;sup&gt;[23,25,26]&lt;/sup&gt;"},"properties":{"noteIndex":0},"schema":"https://github.com/citation-style-language/schema/raw/master/csl-citation.json"}</w:instrText>
      </w:r>
      <w:r w:rsidR="008A6480">
        <w:fldChar w:fldCharType="separate"/>
      </w:r>
      <w:r w:rsidR="00DA0A83" w:rsidRPr="00DA0A83">
        <w:rPr>
          <w:noProof/>
          <w:vertAlign w:val="superscript"/>
        </w:rPr>
        <w:t>[23,25,26]</w:t>
      </w:r>
      <w:r w:rsidR="008A6480">
        <w:fldChar w:fldCharType="end"/>
      </w:r>
      <w:r w:rsidR="00A167A2">
        <w:t>.</w:t>
      </w:r>
      <w:r w:rsidR="00246FCD">
        <w:t xml:space="preserve"> </w:t>
      </w:r>
      <w:r w:rsidR="0061196D">
        <w:t>Lastly</w:t>
      </w:r>
      <w:r w:rsidR="00246FCD">
        <w:t xml:space="preserve">, </w:t>
      </w:r>
      <w:r w:rsidR="00C170B8">
        <w:t>FemX</w:t>
      </w:r>
      <w:r w:rsidR="00246FCD">
        <w:t>, Fem</w:t>
      </w:r>
      <w:r w:rsidR="00C170B8">
        <w:t>A</w:t>
      </w:r>
      <w:r w:rsidR="00246FCD">
        <w:t xml:space="preserve"> and Fem</w:t>
      </w:r>
      <w:r w:rsidR="00C170B8">
        <w:t>B</w:t>
      </w:r>
      <w:r w:rsidR="00246FCD">
        <w:t xml:space="preserve"> incorporate the pentaglycine bridge to Lipid II</w:t>
      </w:r>
      <w:r w:rsidR="00607314">
        <w:t xml:space="preserve"> </w:t>
      </w:r>
      <w:r w:rsidR="00607314">
        <w:fldChar w:fldCharType="begin" w:fldLock="1"/>
      </w:r>
      <w:r w:rsidR="00DA0A83">
        <w:instrText>ADDIN CSL_CITATION {"citationItems":[{"id":"ITEM-1","itemData":{"DOI":"10.1111/j.1574-6976.2007.00089.x","ISSN":"01686445","PMID":"18081839","abstract":"The biosynthesis of bacterial cell wall peptidoglycan is a complex process involving many different steps taking place in the cytoplasm (synthesis of the nucleotide precursors) and on the inner and outer sides of the cytoplasmic membrane (assembly and polymerization of the disaccharide-peptide monomer unit, respectively). This review summarizes the current knowledge on the membrane steps leading to the formation of the lipid II intermediate, i.e. the substrate of the polymerization reactions. It makes the point on past and recent data that have significantly contributed to the understanding of the biosynthesis of undecaprenyl phosphate, the carrier lipid required for the anchoring of the peptidoglycan hydrophilic units in the membrane, and to the characterization of the MraY and MurG enzymes which catalyze the successive transfers of the N-acetylmuramoyl-peptide and N-acetylglucosamine moieties onto the carrier lipid, respectively. Enzyme inhibitors and antibacterial compounds interfering with these essential metabolic steps and interesting targets are presented. © 2007 Federation of European Microbiological Societies.","author":[{"dropping-particle":"","family":"Bouhss","given":"Ahmed","non-dropping-particle":"","parse-names":false,"suffix":""},{"dropping-particle":"","family":"Trunkfield","given":"Amy E","non-dropping-particle":"","parse-names":false,"suffix":""},{"dropping-particle":"","family":"Bugg","given":"Timothy D.H.","non-dropping-particle":"","parse-names":false,"suffix":""},{"dropping-particle":"","family":"Mengin-Lecreulx","given":"Dominique","non-dropping-particle":"","parse-names":false,"suffix":""}],"container-title":"FEMS Microbiology Reviews","id":"ITEM-1","issue":"2","issued":{"date-parts":[["2008"]]},"page":"208-233","title":"The biosynthesis of peptidoglycan lipid-linked intermediates","type":"article","volume":"32"},"uris":["http://www.mendeley.com/documents/?uuid=5966d8a0-608a-3944-8085-932d31f602d8"]},{"id":"ITEM-2","itemData":{"DOI":"10.1146/annurev-biochem-061809-112742","abstract":"The peptidoglycan biosynthetic pathway is a critical process in the bacterial cell and is exploited as a target for the design of antibiotics. This pathway culminates in the production of the peptidoglycan layer, which is composed of polymerized glycan chains with cross-linked peptide substituents. This layer forms the major structural component of the protective barrier known as the cell wall. Disruption in the assembly of the peptidoglycan layer causes a weakened cell wall and subsequent bacterial lysis. With bacteria responsible for both properly functioning human health (probiotic strains) and potentially serious illness (pathogenic strains), a delicate balance is necessary during clinical intervention. Recent research has furthered our understanding of the precise molecular structures, mechanisms of action, and functional interactions involved in peptidoglycan biosynthesis. This research is helping guide our understanding of how to capitalize on peptidoglycan-based therapeutics and, at a more fundamental level, of the complex machinery that creates this critical barrier for bacterial survival. 451","author":[{"dropping-particle":"","family":"Lovering","given":"Andrew L","non-dropping-particle":"","parse-names":false,"suffix":""},{"dropping-particle":"","family":"Safadi","given":"Susan S","non-dropping-particle":"","parse-names":false,"suffix":""},{"dropping-particle":"","family":"Strynadka","given":"Natalie C J","non-dropping-particle":"","parse-names":false,"suffix":""}],"container-title":"Annual Review of Biochemistry","id":"ITEM-2","issued":{"date-parts":[["2012"]]},"page":"451-78","title":"Structural Perspective of Peptidoglycan Biosynthesis and Assembly","type":"article-journal","volume":"81"},"uris":["http://www.mendeley.com/documents/?uuid=222293ef-4e67-3490-bbc3-df3a40cdfecd"]}],"mendeley":{"formattedCitation":"&lt;sup&gt;[26,27]&lt;/sup&gt;","plainTextFormattedCitation":"[26,27]","previouslyFormattedCitation":"&lt;sup&gt;[26,27]&lt;/sup&gt;"},"properties":{"noteIndex":0},"schema":"https://github.com/citation-style-language/schema/raw/master/csl-citation.json"}</w:instrText>
      </w:r>
      <w:r w:rsidR="00607314">
        <w:fldChar w:fldCharType="separate"/>
      </w:r>
      <w:r w:rsidR="00DA0A83" w:rsidRPr="00DA0A83">
        <w:rPr>
          <w:noProof/>
          <w:vertAlign w:val="superscript"/>
        </w:rPr>
        <w:t>[26,27]</w:t>
      </w:r>
      <w:r w:rsidR="00607314">
        <w:fldChar w:fldCharType="end"/>
      </w:r>
      <w:r w:rsidR="00246FCD">
        <w:t>.</w:t>
      </w:r>
    </w:p>
    <w:p w14:paraId="0F400084" w14:textId="01494491" w:rsidR="00FE2BFF" w:rsidRDefault="005D463B" w:rsidP="005824E2">
      <w:r>
        <w:t>Lipid II,</w:t>
      </w:r>
      <w:r w:rsidR="005824E2">
        <w:t xml:space="preserve"> together with a flippase transporter</w:t>
      </w:r>
      <w:r w:rsidR="00B207E3">
        <w:t xml:space="preserve"> (MurJ</w:t>
      </w:r>
      <w:r w:rsidR="0054214E">
        <w:t>)</w:t>
      </w:r>
      <w:r w:rsidR="005824E2">
        <w:t>, facilitates the translocation of the disaccharide-pentapeptide monomer across the membrane and into the cell wall (</w:t>
      </w:r>
      <w:r w:rsidR="0054214E">
        <w:fldChar w:fldCharType="begin"/>
      </w:r>
      <w:r w:rsidR="0054214E">
        <w:instrText xml:space="preserve"> REF _Ref76579247 \h </w:instrText>
      </w:r>
      <w:r w:rsidR="0054214E">
        <w:fldChar w:fldCharType="separate"/>
      </w:r>
      <w:r w:rsidR="00183CC8">
        <w:t xml:space="preserve">Figure </w:t>
      </w:r>
      <w:r w:rsidR="00183CC8">
        <w:rPr>
          <w:noProof/>
        </w:rPr>
        <w:t>1</w:t>
      </w:r>
      <w:r w:rsidR="00183CC8">
        <w:t>.</w:t>
      </w:r>
      <w:r w:rsidR="00183CC8">
        <w:rPr>
          <w:noProof/>
        </w:rPr>
        <w:t>3</w:t>
      </w:r>
      <w:r w:rsidR="0054214E">
        <w:fldChar w:fldCharType="end"/>
      </w:r>
      <w:r w:rsidR="005824E2">
        <w:t xml:space="preserve">) </w:t>
      </w:r>
      <w:r w:rsidR="005824E2">
        <w:fldChar w:fldCharType="begin" w:fldLock="1"/>
      </w:r>
      <w:r w:rsidR="00AB73F2">
        <w:instrText>ADDIN CSL_CITATION {"citationItems":[{"id":"ITEM-1","itemData":{"DOI":"10.1146/annurev-biochem-061809-112742","abstract":"The peptidoglycan biosynthetic pathway is a critical process in the bacterial cell and is exploited as a target for the design of antibiotics. This pathway culminates in the production of the peptidoglycan layer, which is composed of polymerized glycan chains with cross-linked peptide substituents. This layer forms the major structural component of the protective barrier known as the cell wall. Disruption in the assembly of the peptidoglycan layer causes a weakened cell wall and subsequent bacterial lysis. With bacteria responsible for both properly functioning human health (probiotic strains) and potentially serious illness (pathogenic strains), a delicate balance is necessary during clinical intervention. Recent research has furthered our understanding of the precise molecular structures, mechanisms of action, and functional interactions involved in peptidoglycan biosynthesis. This research is helping guide our understanding of how to capitalize on peptidoglycan-based therapeutics and, at a more fundamental level, of the complex machinery that creates this critical barrier for bacterial survival. 451","author":[{"dropping-particle":"","family":"Lovering","given":"Andrew L","non-dropping-particle":"","parse-names":false,"suffix":""},{"dropping-particle":"","family":"Safadi","given":"Susan S","non-dropping-particle":"","parse-names":false,"suffix":""},{"dropping-particle":"","family":"Strynadka","given":"Natalie C J","non-dropping-particle":"","parse-names":false,"suffix":""}],"container-title":"Annual Review of Biochemistry","id":"ITEM-1","issued":{"date-parts":[["2012"]]},"page":"451-78","title":"Structural Perspective of Peptidoglycan Biosynthesis and Assembly","type":"article-journal","volume":"81"},"uris":["http://www.mendeley.com/documents/?uuid=222293ef-4e67-3490-bbc3-df3a40cdfecd"]},{"id":"ITEM-2","itemData":{"DOI":"10.1371/journal.ppat.1005213","ISSN":"15537374","PMID":"26679002","abstract":"Nearly all bacteria contain a peptidoglycan cell wall. The peptidoglycan precursor molecule is LipidII, containing the basic peptidoglycan building block attached to a lipid. Although the suitability of LipidII as an antibacterial target has long been recognized, progress on elucidating the role(s) of LipidII in bacterial cell biology has been slow. The focus of this review is on exciting new developments, both with respect to antibacterials targeting LipidII as well as the emerging role of LipidII in organizing the membrane and cell wall synthesis. It appears that on both sides of the membrane, LipidII plays crucial roles in organizing cytoskeletal proteins and peptidoglycan synthesis machineries. Finally, the recent discovery of no less than three different categories of LipidII flippases will be discussed.","author":[{"dropping-particle":"","family":"Scheffers","given":"Dirk Jan","non-dropping-particle":"","parse-names":false,"suffix":""},{"dropping-particle":"","family":"Tol","given":"Menno B","non-dropping-particle":"","parse-names":false,"suffix":""}],"container-title":"PLoS Pathogens","id":"ITEM-2","issue":"12","issued":{"date-parts":[["2015"]]},"title":"LipidII: Just Another Brick in the Wall?","type":"article","volume":"11"},"uris":["http://www.mendeley.com/documents/?uuid=db1a252c-b7f9-399a-b546-9d42f15722fe"]}],"mendeley":{"formattedCitation":"&lt;sup&gt;[25,27]&lt;/sup&gt;","plainTextFormattedCitation":"[25,27]","previouslyFormattedCitation":"&lt;sup&gt;[25,27]&lt;/sup&gt;"},"properties":{"noteIndex":0},"schema":"https://github.com/citation-style-language/schema/raw/master/csl-citation.json"}</w:instrText>
      </w:r>
      <w:r w:rsidR="005824E2">
        <w:fldChar w:fldCharType="separate"/>
      </w:r>
      <w:r w:rsidR="00DA0A83" w:rsidRPr="00DA0A83">
        <w:rPr>
          <w:noProof/>
          <w:vertAlign w:val="superscript"/>
        </w:rPr>
        <w:t>[25,27]</w:t>
      </w:r>
      <w:r w:rsidR="005824E2">
        <w:fldChar w:fldCharType="end"/>
      </w:r>
      <w:r w:rsidR="005824E2">
        <w:t>. Th</w:t>
      </w:r>
      <w:r w:rsidR="00954D47">
        <w:t>is</w:t>
      </w:r>
      <w:r w:rsidR="005824E2">
        <w:t xml:space="preserve"> newly synthesised </w:t>
      </w:r>
      <w:r w:rsidR="00F74051">
        <w:t>monomer</w:t>
      </w:r>
      <w:r w:rsidR="005824E2">
        <w:t xml:space="preserve"> is subsequently incorporated by the action of transglycosylases </w:t>
      </w:r>
      <w:r w:rsidR="00954D47">
        <w:t>into the existing glycan strands</w:t>
      </w:r>
      <w:r w:rsidR="00A83D00">
        <w:t xml:space="preserve"> </w:t>
      </w:r>
      <w:r w:rsidR="00A83D00">
        <w:fldChar w:fldCharType="begin" w:fldLock="1"/>
      </w:r>
      <w:r w:rsidR="00DA0A83">
        <w:instrText>ADDIN CSL_CITATION {"citationItems":[{"id":"ITEM-1","itemData":{"DOI":"10.1042/bj1350721","ISSN":"02646021","PMID":"4778270","abstract":"A cell-free membrane preparation from a poorly lytic mutant of Bacillus licheniformis was used to synthesize radioactive peptidoglycan. The product was apparently un-cross-linked. When UDP-N-acetyl[14C]glucosamine was used and the final peptidoglycan subjected to Smith degradation, no radioactive glycerol was found. On the other hand, when peptidoglycan labelled with meso-diamino[14C]pimelic acid was first hydrolysed in 0.1 M-HCI at 60°C for 2h and then subjected to alkaline conditions, radioactive lactyl-peptides were eliminated. The proportion of radioactive lactyl-peptide decreased with increasing time of incorporation. It is concluded that the glycan chains grow by extension at their reducing ends while remaining attached by some linkage labile to mild acid, such as a glycosyl link to undecaprenol pyrophosphate.","author":[{"dropping-particle":"","family":"Ward","given":"J Barrie","non-dropping-particle":"","parse-names":false,"suffix":""},{"dropping-particle":"","family":"Perkins","given":"Harold R","non-dropping-particle":"","parse-names":false,"suffix":""}],"container-title":"Biochemical Journal","id":"ITEM-1","issue":"4","issued":{"date-parts":[["1973"]]},"page":"721-728","title":"The direction of glycan synthesis in a bacterial peptidoglycan","type":"article-journal","volume":"135"},"uris":["http://www.mendeley.com/documents/?uuid=af3e00ae-13e5-3faf-ae22-1bf3402dd91e"]},{"id":"ITEM-2","itemData":{"DOI":"10.1038/s41579-020-0366-3","ISBN":"4157902003663","ISSN":"17401534","PMID":"32424210","abstract":"Bacteria surround their cell membrane with a net-like peptidoglycan layer, called sacculus, to protect the cell from bursting and maintain its cell shape. Sacculus growth during elongation and cell division is mediated by dynamic and transient multiprotein complexes, the elongasome and divisome, respectively. In this Review we present our current understanding of how peptidoglycan synthases are regulated by multiple and specific interactions with cell morphogenesis proteins that are linked to a dynamic cytoskeletal protein, either the actin-like MreB or the tubulin-like FtsZ. Several peptidoglycan synthases and hydrolases require activation by outer-membrane-anchored lipoproteins. We also discuss how bacteria achieve robust cell wall growth under different conditions and stresses by maintaining multiple peptidoglycan enzymes and regulators as well as different peptidoglycan growth mechanisms, and we present the emerging role of ld-transpeptidases in peptidoglycan remodelling.","author":[{"dropping-particle":"","family":"Egan","given":"Alexander J.F.","non-dropping-particle":"","parse-names":false,"suffix":""},{"dropping-particle":"","family":"Errington","given":"Jeff","non-dropping-particle":"","parse-names":false,"suffix":""},{"dropping-particle":"","family":"Vollmer","given":"Waldemar","non-dropping-particle":"","parse-names":false,"suffix":""}],"container-title":"Nature Reviews Microbiology","id":"ITEM-2","issue":"8","issued":{"date-parts":[["2020"]]},"page":"446-460","publisher":"Springer US","title":"Regulation of peptidoglycan synthesis and remodelling","type":"article-journal","volume":"18"},"uris":["http://www.mendeley.com/documents/?uuid=02dc5a35-2872-4de3-9034-c71a9ed7d88d"]}],"mendeley":{"formattedCitation":"&lt;sup&gt;[24,28]&lt;/sup&gt;","plainTextFormattedCitation":"[24,28]","previouslyFormattedCitation":"&lt;sup&gt;[24,28]&lt;/sup&gt;"},"properties":{"noteIndex":0},"schema":"https://github.com/citation-style-language/schema/raw/master/csl-citation.json"}</w:instrText>
      </w:r>
      <w:r w:rsidR="00A83D00">
        <w:fldChar w:fldCharType="separate"/>
      </w:r>
      <w:r w:rsidR="00DA0A83" w:rsidRPr="00DA0A83">
        <w:rPr>
          <w:noProof/>
          <w:vertAlign w:val="superscript"/>
        </w:rPr>
        <w:t>[24,28]</w:t>
      </w:r>
      <w:r w:rsidR="00A83D00">
        <w:fldChar w:fldCharType="end"/>
      </w:r>
      <w:r w:rsidR="00954D47">
        <w:t>. Finally,</w:t>
      </w:r>
      <w:r w:rsidR="005824E2">
        <w:t xml:space="preserve"> the cross-linking between PG strands is carried out by transpeptidase enzyme</w:t>
      </w:r>
      <w:r w:rsidR="00E9596B">
        <w:t>s</w:t>
      </w:r>
      <w:r w:rsidR="005824E2">
        <w:t xml:space="preserve"> (</w:t>
      </w:r>
      <w:r w:rsidR="001259F6">
        <w:fldChar w:fldCharType="begin"/>
      </w:r>
      <w:r w:rsidR="001259F6">
        <w:instrText xml:space="preserve"> REF _Ref76579247 \h </w:instrText>
      </w:r>
      <w:r w:rsidR="001259F6">
        <w:fldChar w:fldCharType="separate"/>
      </w:r>
      <w:r w:rsidR="00183CC8">
        <w:t xml:space="preserve">Figure </w:t>
      </w:r>
      <w:r w:rsidR="00183CC8">
        <w:rPr>
          <w:noProof/>
        </w:rPr>
        <w:t>1</w:t>
      </w:r>
      <w:r w:rsidR="00183CC8">
        <w:t>.</w:t>
      </w:r>
      <w:r w:rsidR="00183CC8">
        <w:rPr>
          <w:noProof/>
        </w:rPr>
        <w:t>3</w:t>
      </w:r>
      <w:r w:rsidR="001259F6">
        <w:fldChar w:fldCharType="end"/>
      </w:r>
      <w:r w:rsidR="005824E2">
        <w:t xml:space="preserve">) </w:t>
      </w:r>
      <w:r w:rsidR="00954D47">
        <w:fldChar w:fldCharType="begin" w:fldLock="1"/>
      </w:r>
      <w:r w:rsidR="00DA0A83">
        <w:instrText>ADDIN CSL_CITATION {"citationItems":[{"id":"ITEM-1","itemData":{"DOI":"10.1038/nrmicro2677","ISSN":"17401526","abstract":"How bacteria grow and divide while retaining a defined shape is a fundamental question in microbiology, but technological advances are now driving a new understanding of how the shape-maintaining bacterial peptidoglycan sacculus grows. In this Review, we highlight the relationship between peptidoglycan synthesis complexes and cytoskeletal elements, as well as recent evidence that peptidoglycan growth is regulated from outside the sacculus in Gram-negative bacteria. We also discuss how growth of the sacculus is sensitive to mechanical force and nutritional status, and describe the roles of peptidoglycan hydrolases in generating cell shape and of D-amino acids in sacculus remodelling. © 2012 Macmillan Publishers Limited. All rights reserved.","author":[{"dropping-particle":"","family":"Typas","given":"Athanasios","non-dropping-particle":"","parse-names":false,"suffix":""},{"dropping-particle":"","family":"Banzhaf","given":"Manuel","non-dropping-particle":"","parse-names":false,"suffix":""},{"dropping-particle":"","family":"Gross","given":"Carol A.","non-dropping-particle":"","parse-names":false,"suffix":""},{"dropping-particle":"","family":"Vollmer","given":"Waldemar","non-dropping-particle":"","parse-names":false,"suffix":""}],"container-title":"Nature Reviews Microbiology","id":"ITEM-1","issue":"2","issued":{"date-parts":[["2012"]]},"page":"123-136","publisher":"Nature Publishing Group","title":"From the regulation of peptidoglycan synthesis to bacterial growth and morphology","type":"article-journal","volume":"10"},"uris":["http://www.mendeley.com/documents/?uuid=2a714196-a08a-4820-921b-3b4abcee765b"]},{"id":"ITEM-2","itemData":{"DOI":"10.1038/s41579-020-0366-3","ISBN":"4157902003663","ISSN":"17401534","PMID":"32424210","abstract":"Bacteria surround their cell membrane with a net-like peptidoglycan layer, called sacculus, to protect the cell from bursting and maintain its cell shape. Sacculus growth during elongation and cell division is mediated by dynamic and transient multiprotein complexes, the elongasome and divisome, respectively. In this Review we present our current understanding of how peptidoglycan synthases are regulated by multiple and specific interactions with cell morphogenesis proteins that are linked to a dynamic cytoskeletal protein, either the actin-like MreB or the tubulin-like FtsZ. Several peptidoglycan synthases and hydrolases require activation by outer-membrane-anchored lipoproteins. We also discuss how bacteria achieve robust cell wall growth under different conditions and stresses by maintaining multiple peptidoglycan enzymes and regulators as well as different peptidoglycan growth mechanisms, and we present the emerging role of ld-transpeptidases in peptidoglycan remodelling.","author":[{"dropping-particle":"","family":"Egan","given":"Alexander J.F.","non-dropping-particle":"","parse-names":false,"suffix":""},{"dropping-particle":"","family":"Errington","given":"Jeff","non-dropping-particle":"","parse-names":false,"suffix":""},{"dropping-particle":"","family":"Vollmer","given":"Waldemar","non-dropping-particle":"","parse-names":false,"suffix":""}],"container-title":"Nature Reviews Microbiology","id":"ITEM-2","issue":"8","issued":{"date-parts":[["2020"]]},"page":"446-460","publisher":"Springer US","title":"Regulation of peptidoglycan synthesis and remodelling","type":"article-journal","volume":"18"},"uris":["http://www.mendeley.com/documents/?uuid=02dc5a35-2872-4de3-9034-c71a9ed7d88d"]}],"mendeley":{"formattedCitation":"&lt;sup&gt;[23,24]&lt;/sup&gt;","plainTextFormattedCitation":"[23,24]","previouslyFormattedCitation":"&lt;sup&gt;[23,24]&lt;/sup&gt;"},"properties":{"noteIndex":0},"schema":"https://github.com/citation-style-language/schema/raw/master/csl-citation.json"}</w:instrText>
      </w:r>
      <w:r w:rsidR="00954D47">
        <w:fldChar w:fldCharType="separate"/>
      </w:r>
      <w:r w:rsidR="00DA0A83" w:rsidRPr="00DA0A83">
        <w:rPr>
          <w:noProof/>
          <w:vertAlign w:val="superscript"/>
        </w:rPr>
        <w:t>[23,24]</w:t>
      </w:r>
      <w:r w:rsidR="00954D47">
        <w:fldChar w:fldCharType="end"/>
      </w:r>
      <w:r w:rsidR="005824E2">
        <w:t xml:space="preserve">. </w:t>
      </w:r>
    </w:p>
    <w:p w14:paraId="6CC50994" w14:textId="22E51EAE" w:rsidR="005A4952" w:rsidRDefault="005A4952" w:rsidP="005A4952">
      <w:pPr>
        <w:pStyle w:val="Heading3"/>
      </w:pPr>
      <w:bookmarkStart w:id="50" w:name="_Ref77198013"/>
      <w:bookmarkStart w:id="51" w:name="_Toc90216729"/>
      <w:r>
        <w:t xml:space="preserve">Peptidoglycan </w:t>
      </w:r>
      <w:r w:rsidR="00ED60E0">
        <w:t>s</w:t>
      </w:r>
      <w:r>
        <w:t>ynthases</w:t>
      </w:r>
      <w:r w:rsidR="002E27B3">
        <w:t xml:space="preserve"> of </w:t>
      </w:r>
      <w:r w:rsidR="002E27B3">
        <w:rPr>
          <w:i/>
          <w:iCs/>
        </w:rPr>
        <w:t>S. aureus</w:t>
      </w:r>
      <w:bookmarkEnd w:id="50"/>
      <w:r w:rsidR="007006CC">
        <w:rPr>
          <w:i/>
          <w:iCs/>
        </w:rPr>
        <w:t>.</w:t>
      </w:r>
      <w:bookmarkEnd w:id="51"/>
    </w:p>
    <w:p w14:paraId="022150F3" w14:textId="77777777" w:rsidR="007B51B6" w:rsidRDefault="005824E2" w:rsidP="002759F7">
      <w:r w:rsidRPr="00DA466C">
        <w:t>Penicillin binding proteins (PBPs)</w:t>
      </w:r>
      <w:r>
        <w:t xml:space="preserve"> are PG synthases that carry out these last stages of PG synthesis with their </w:t>
      </w:r>
      <w:r w:rsidR="00F23F74">
        <w:t xml:space="preserve">transglycosylase (TG) and transpeptidase (TP) </w:t>
      </w:r>
      <w:r>
        <w:t xml:space="preserve">activity </w:t>
      </w:r>
      <w:r>
        <w:fldChar w:fldCharType="begin" w:fldLock="1"/>
      </w:r>
      <w:r w:rsidR="00DA0A83">
        <w:instrText>ADDIN CSL_CITATION {"citationItems":[{"id":"ITEM-1","itemData":{"DOI":"10.1128/mmbr.62.4.1079-1093.1998","ISSN":"1092-2172","PMID":"9841666","abstract":"The monofunctional penicillin-binding DD-peptidases and penicillin-hydrolyzing serine beta-lactamases diverged from a common ancestor by the acquisition of structural changes in the polypeptide chain while retaining the same folding, three-motif amino acid sequence signature, serine-assisted catalytic mechanism, and active-site topology. Fusion events gave rise to multimodular penicillin-binding proteins (PBPs). The acyl serine transferase penicillin-binding (PB) module possesses the three active-site defining motifs of the superfamily; it is linked to the carboxy end of a non-penicillin-binding (n-PB) module through a conserved fusion site; the two modules form a single polypeptide chain which folds on the exterior of the plasma membrane and is anchored by a transmembrane spanner; and the full-size PBPs cluster into two classes, A and B. In the class A PBPs, the n-PB modules are a continuum of diverging sequences; they possess a five-motif amino acid sequence signature, and conserved dicarboxylic amino acid residues are probably elements of the glycosyl transferase catalytic center. The PB modules fall into five subclasses: A1 and A2 in gram-negative bacteria and A3, A4, and A5 in gram-positive bacteria. The full-size class A PBPs combine the required enzymatic activities for peptidoglycan assembly from lipid-transported disaccharide-peptide units and almost certainly prescribe different, PB-module specific traits in peptidoglycan cross-linking. In the class B PBPs, the PB and n-PB modules cluster in a concerted manner. A PB module of subclass B2 or B3 is linked to an n-PB module of subclass B2 or B3 in gram-negative bacteria, and a PB module of subclass B1, B4, or B5 is linked to an n-PB module of subclass B1, B4, or B5 in gram-positive bacteria. Class B PBPs are involved in cell morphogenesis. The three motifs borne by the n-PB modules are probably sites for module-module interaction and the polypeptide stretches which extend between motifs 1 and 2 are sites for protein-protein interaction. The full-size class B PBPs are an assortment of orthologs and paralogs, which prescribe traits as complex as wall expansion and septum formation. PBPs of subclass B1 are unique to gram-positive bacteria. They are not essential, but they represent an important mechanism of resistance to penicillin among the enterococci and staphylococci. Natural evolution and PBP- and beta-lactamase-mediated resistance show that the ability of the catalytic centers to adapt their p…","author":[{"dropping-particle":"","family":"Goffin","given":"Colette","non-dropping-particle":"","parse-names":false,"suffix":""},{"dropping-particle":"","family":"Ghuysen","given":"Jean-Marie","non-dropping-particle":"","parse-names":false,"suffix":""}],"container-title":"Microbiology and Molecular Biology Reviews","id":"ITEM-1","issue":"4","issued":{"date-parts":[["1998","12","1"]]},"page":"1079-1093","publisher":"American Society for Microbiology","title":"Multimodular Penicillin-Binding Proteins: An Enigmatic Family of Orthologs and Paralogs","type":"article-journal","volume":"62"},"uris":["http://www.mendeley.com/documents/?uuid=17b45762-bdc4-3ac9-8aa9-5f0b4e5a309f"]}],"mendeley":{"formattedCitation":"&lt;sup&gt;[29]&lt;/sup&gt;","plainTextFormattedCitation":"[29]","previouslyFormattedCitation":"&lt;sup&gt;[29]&lt;/sup&gt;"},"properties":{"noteIndex":0},"schema":"https://github.com/citation-style-language/schema/raw/master/csl-citation.json"}</w:instrText>
      </w:r>
      <w:r>
        <w:fldChar w:fldCharType="separate"/>
      </w:r>
      <w:r w:rsidR="00DA0A83" w:rsidRPr="00DA0A83">
        <w:rPr>
          <w:noProof/>
          <w:vertAlign w:val="superscript"/>
        </w:rPr>
        <w:t>[29]</w:t>
      </w:r>
      <w:r>
        <w:fldChar w:fldCharType="end"/>
      </w:r>
      <w:r>
        <w:t xml:space="preserve">. </w:t>
      </w:r>
      <w:r w:rsidR="000661D4">
        <w:t>They are categorised into high molecular mass (HMM) and low molecular mass (LMM)</w:t>
      </w:r>
      <w:r w:rsidR="002A26ED">
        <w:t xml:space="preserve"> </w:t>
      </w:r>
      <w:r w:rsidR="002A26ED">
        <w:fldChar w:fldCharType="begin" w:fldLock="1"/>
      </w:r>
      <w:r w:rsidR="00DA0A83">
        <w:instrText>ADDIN CSL_CITATION {"citationItems":[{"id":"ITEM-1","itemData":{"DOI":"10.1111/j.1574-6976.2008.00105.x","ISSN":"01686445","PMID":"18266856","abstract":"Penicillin-binding proteins (PBPs) have been scrutinized for over 40 years. Recent structural information on PBPs together with the ongoing long-term biochemical experimental investigations, and results from more recent techniques such as protein localization by green fluorescent protein-fusion immunofluorescence or double-hybrid assay, have brought our understanding of the last stages of the peptidoglycan biosynthesis to an outstanding level that allows a broad outlook on the properties of these enzymes. Details are emerging regarding the interaction between the peptidoglycan-synthesizing PBPs and the peptidoglycan, their mesh net-like product that surrounds and protects bacteria. This review focuses on the detailed structure of PBPs and their implication in peptidoglycan synthesis, maturation and recycling. An overview of the content in PBPs of some bacteria is provided with an emphasis on comparing the biochemical properties of homologous PBPs (orthologues) belonging to different bacteria. © 2008 Federation of European Microbiological Societies.","author":[{"dropping-particle":"","family":"Sauvage","given":"Eric","non-dropping-particle":"","parse-names":false,"suffix":""},{"dropping-particle":"","family":"Kerff","given":"Frédéric","non-dropping-particle":"","parse-names":false,"suffix":""},{"dropping-particle":"","family":"Terrak","given":"Mohammed","non-dropping-particle":"","parse-names":false,"suffix":""},{"dropping-particle":"","family":"Ayala","given":"Juan A.","non-dropping-particle":"","parse-names":false,"suffix":""},{"dropping-particle":"","family":"Charlier","given":"Paulette","non-dropping-particle":"","parse-names":false,"suffix":""}],"container-title":"FEMS Microbiology Reviews","id":"ITEM-1","issue":"2","issued":{"date-parts":[["2008","3","1"]]},"page":"234-258","publisher":"John Wiley &amp; Sons, Ltd","title":"The penicillin-binding proteins: Structure and role in peptidoglycan biosynthesis","type":"article","volume":"32"},"uris":["http://www.mendeley.com/documents/?uuid=6d068ed0-2b47-3f8e-b04a-1f78f4c045ec"]}],"mendeley":{"formattedCitation":"&lt;sup&gt;[30]&lt;/sup&gt;","plainTextFormattedCitation":"[30]","previouslyFormattedCitation":"&lt;sup&gt;[30]&lt;/sup&gt;"},"properties":{"noteIndex":0},"schema":"https://github.com/citation-style-language/schema/raw/master/csl-citation.json"}</w:instrText>
      </w:r>
      <w:r w:rsidR="002A26ED">
        <w:fldChar w:fldCharType="separate"/>
      </w:r>
      <w:r w:rsidR="00DA0A83" w:rsidRPr="00DA0A83">
        <w:rPr>
          <w:noProof/>
          <w:vertAlign w:val="superscript"/>
        </w:rPr>
        <w:t>[30]</w:t>
      </w:r>
      <w:r w:rsidR="002A26ED">
        <w:fldChar w:fldCharType="end"/>
      </w:r>
      <w:r w:rsidR="0009028D">
        <w:t xml:space="preserve">. </w:t>
      </w:r>
      <w:r w:rsidR="0009028D" w:rsidRPr="00DA466C">
        <w:t>HMM</w:t>
      </w:r>
      <w:r w:rsidR="0009028D">
        <w:t xml:space="preserve"> PBPs consist of a cytoplasmic tail, a transmembrane anchor and </w:t>
      </w:r>
      <w:r w:rsidR="002A26ED">
        <w:t>two</w:t>
      </w:r>
      <w:r w:rsidR="0009028D">
        <w:t xml:space="preserve"> outer membrane domains that act at the periplasmic/exoplasmic space </w:t>
      </w:r>
      <w:r w:rsidR="0009028D">
        <w:fldChar w:fldCharType="begin" w:fldLock="1"/>
      </w:r>
      <w:r w:rsidR="00DA0A83">
        <w:instrText>ADDIN CSL_CITATION {"citationItems":[{"id":"ITEM-1","itemData":{"DOI":"10.1111/j.1574-6976.2008.00105.x","ISSN":"01686445","PMID":"18266856","abstract":"Penicillin-binding proteins (PBPs) have been scrutinized for over 40 years. Recent structural information on PBPs together with the ongoing long-term biochemical experimental investigations, and results from more recent techniques such as protein localization by green fluorescent protein-fusion immunofluorescence or double-hybrid assay, have brought our understanding of the last stages of the peptidoglycan biosynthesis to an outstanding level that allows a broad outlook on the properties of these enzymes. Details are emerging regarding the interaction between the peptidoglycan-synthesizing PBPs and the peptidoglycan, their mesh net-like product that surrounds and protects bacteria. This review focuses on the detailed structure of PBPs and their implication in peptidoglycan synthesis, maturation and recycling. An overview of the content in PBPs of some bacteria is provided with an emphasis on comparing the biochemical properties of homologous PBPs (orthologues) belonging to different bacteria. © 2008 Federation of European Microbiological Societies.","author":[{"dropping-particle":"","family":"Sauvage","given":"Eric","non-dropping-particle":"","parse-names":false,"suffix":""},{"dropping-particle":"","family":"Kerff","given":"Frédéric","non-dropping-particle":"","parse-names":false,"suffix":""},{"dropping-particle":"","family":"Terrak","given":"Mohammed","non-dropping-particle":"","parse-names":false,"suffix":""},{"dropping-particle":"","family":"Ayala","given":"Juan A.","non-dropping-particle":"","parse-names":false,"suffix":""},{"dropping-particle":"","family":"Charlier","given":"Paulette","non-dropping-particle":"","parse-names":false,"suffix":""}],"container-title":"FEMS Microbiology Reviews","id":"ITEM-1","issue":"2","issued":{"date-parts":[["2008","3","1"]]},"page":"234-258","publisher":"John Wiley &amp; Sons, Ltd","title":"The penicillin-binding proteins: Structure and role in peptidoglycan biosynthesis","type":"article","volume":"32"},"uris":["http://www.mendeley.com/documents/?uuid=6d068ed0-2b47-3f8e-b04a-1f78f4c045ec"]},{"id":"ITEM-2","itemData":{"DOI":"10.1128/mmbr.62.4.1079-1093.1998","ISSN":"1092-2172","PMID":"9841666","abstract":"The monofunctional penicillin-binding DD-peptidases and penicillin-hydrolyzing serine beta-lactamases diverged from a common ancestor by the acquisition of structural changes in the polypeptide chain while retaining the same folding, three-motif amino acid sequence signature, serine-assisted catalytic mechanism, and active-site topology. Fusion events gave rise to multimodular penicillin-binding proteins (PBPs). The acyl serine transferase penicillin-binding (PB) module possesses the three active-site defining motifs of the superfamily; it is linked to the carboxy end of a non-penicillin-binding (n-PB) module through a conserved fusion site; the two modules form a single polypeptide chain which folds on the exterior of the plasma membrane and is anchored by a transmembrane spanner; and the full-size PBPs cluster into two classes, A and B. In the class A PBPs, the n-PB modules are a continuum of diverging sequences; they possess a five-motif amino acid sequence signature, and conserved dicarboxylic amino acid residues are probably elements of the glycosyl transferase catalytic center. The PB modules fall into five subclasses: A1 and A2 in gram-negative bacteria and A3, A4, and A5 in gram-positive bacteria. The full-size class A PBPs combine the required enzymatic activities for peptidoglycan assembly from lipid-transported disaccharide-peptide units and almost certainly prescribe different, PB-module specific traits in peptidoglycan cross-linking. In the class B PBPs, the PB and n-PB modules cluster in a concerted manner. A PB module of subclass B2 or B3 is linked to an n-PB module of subclass B2 or B3 in gram-negative bacteria, and a PB module of subclass B1, B4, or B5 is linked to an n-PB module of subclass B1, B4, or B5 in gram-positive bacteria. Class B PBPs are involved in cell morphogenesis. The three motifs borne by the n-PB modules are probably sites for module-module interaction and the polypeptide stretches which extend between motifs 1 and 2 are sites for protein-protein interaction. The full-size class B PBPs are an assortment of orthologs and paralogs, which prescribe traits as complex as wall expansion and septum formation. PBPs of subclass B1 are unique to gram-positive bacteria. They are not essential, but they represent an important mechanism of resistance to penicillin among the enterococci and staphylococci. Natural evolution and PBP- and beta-lactamase-mediated resistance show that the ability of the catalytic centers to adapt their p…","author":[{"dropping-particle":"","family":"Goffin","given":"Colette","non-dropping-particle":"","parse-names":false,"suffix":""},{"dropping-particle":"","family":"Ghuysen","given":"Jean-Marie","non-dropping-particle":"","parse-names":false,"suffix":""}],"container-title":"Microbiology and Molecular Biology Reviews","id":"ITEM-2","issue":"4","issued":{"date-parts":[["1998","12","1"]]},"page":"1079-1093","publisher":"American Society for Microbiology","title":"Multimodular Penicillin-Binding Proteins: An Enigmatic Family of Orthologs and Paralogs","type":"article-journal","volume":"62"},"uris":["http://www.mendeley.com/documents/?uuid=17b45762-bdc4-3ac9-8aa9-5f0b4e5a309f"]}],"mendeley":{"formattedCitation":"&lt;sup&gt;[29,30]&lt;/sup&gt;","plainTextFormattedCitation":"[29,30]","previouslyFormattedCitation":"&lt;sup&gt;[29,30]&lt;/sup&gt;"},"properties":{"noteIndex":0},"schema":"https://github.com/citation-style-language/schema/raw/master/csl-citation.json"}</w:instrText>
      </w:r>
      <w:r w:rsidR="0009028D">
        <w:fldChar w:fldCharType="separate"/>
      </w:r>
      <w:r w:rsidR="00DA0A83" w:rsidRPr="00DA0A83">
        <w:rPr>
          <w:noProof/>
          <w:vertAlign w:val="superscript"/>
        </w:rPr>
        <w:t>[29,30]</w:t>
      </w:r>
      <w:r w:rsidR="0009028D">
        <w:fldChar w:fldCharType="end"/>
      </w:r>
      <w:r w:rsidR="0009028D">
        <w:t>.</w:t>
      </w:r>
      <w:r w:rsidR="00540A76">
        <w:t xml:space="preserve"> The TP activity that catalyses the cross-linking between PG strands corresponds to their C-terminal penicillin binding domain.</w:t>
      </w:r>
      <w:r w:rsidR="00582F21">
        <w:t xml:space="preserve"> On the other hand, the N-terminal domain</w:t>
      </w:r>
      <w:r w:rsidR="00AE0B8F">
        <w:t xml:space="preserve"> varies and sub-classifies HMM PBPs into class A or class B</w:t>
      </w:r>
      <w:r w:rsidR="003E1B7B">
        <w:t xml:space="preserve"> </w:t>
      </w:r>
      <w:r w:rsidR="003E1B7B">
        <w:fldChar w:fldCharType="begin" w:fldLock="1"/>
      </w:r>
      <w:r w:rsidR="00DA0A83">
        <w:instrText>ADDIN CSL_CITATION {"citationItems":[{"id":"ITEM-1","itemData":{"DOI":"10.1111/j.1574-6976.2008.00105.x","ISSN":"01686445","PMID":"18266856","abstract":"Penicillin-binding proteins (PBPs) have been scrutinized for over 40 years. Recent structural information on PBPs together with the ongoing long-term biochemical experimental investigations, and results from more recent techniques such as protein localization by green fluorescent protein-fusion immunofluorescence or double-hybrid assay, have brought our understanding of the last stages of the peptidoglycan biosynthesis to an outstanding level that allows a broad outlook on the properties of these enzymes. Details are emerging regarding the interaction between the peptidoglycan-synthesizing PBPs and the peptidoglycan, their mesh net-like product that surrounds and protects bacteria. This review focuses on the detailed structure of PBPs and their implication in peptidoglycan synthesis, maturation and recycling. An overview of the content in PBPs of some bacteria is provided with an emphasis on comparing the biochemical properties of homologous PBPs (orthologues) belonging to different bacteria. © 2008 Federation of European Microbiological Societies.","author":[{"dropping-particle":"","family":"Sauvage","given":"Eric","non-dropping-particle":"","parse-names":false,"suffix":""},{"dropping-particle":"","family":"Kerff","given":"Frédéric","non-dropping-particle":"","parse-names":false,"suffix":""},{"dropping-particle":"","family":"Terrak","given":"Mohammed","non-dropping-particle":"","parse-names":false,"suffix":""},{"dropping-particle":"","family":"Ayala","given":"Juan A.","non-dropping-particle":"","parse-names":false,"suffix":""},{"dropping-particle":"","family":"Charlier","given":"Paulette","non-dropping-particle":"","parse-names":false,"suffix":""}],"container-title":"FEMS Microbiology Reviews","id":"ITEM-1","issue":"2","issued":{"date-parts":[["2008","3","1"]]},"page":"234-258","publisher":"John Wiley &amp; Sons, Ltd","title":"The penicillin-binding proteins: Structure and role in peptidoglycan biosynthesis","type":"article","volume":"32"},"uris":["http://www.mendeley.com/documents/?uuid=6d068ed0-2b47-3f8e-b04a-1f78f4c045ec"]},{"id":"ITEM-2","itemData":{"DOI":"10.1128/mmbr.62.4.1079-1093.1998","ISSN":"1092-2172","PMID":"9841666","abstract":"The monofunctional penicillin-binding DD-peptidases and penicillin-hydrolyzing serine beta-lactamases diverged from a common ancestor by the acquisition of structural changes in the polypeptide chain while retaining the same folding, three-motif amino acid sequence signature, serine-assisted catalytic mechanism, and active-site topology. Fusion events gave rise to multimodular penicillin-binding proteins (PBPs). The acyl serine transferase penicillin-binding (PB) module possesses the three active-site defining motifs of the superfamily; it is linked to the carboxy end of a non-penicillin-binding (n-PB) module through a conserved fusion site; the two modules form a single polypeptide chain which folds on the exterior of the plasma membrane and is anchored by a transmembrane spanner; and the full-size PBPs cluster into two classes, A and B. In the class A PBPs, the n-PB modules are a continuum of diverging sequences; they possess a five-motif amino acid sequence signature, and conserved dicarboxylic amino acid residues are probably elements of the glycosyl transferase catalytic center. The PB modules fall into five subclasses: A1 and A2 in gram-negative bacteria and A3, A4, and A5 in gram-positive bacteria. The full-size class A PBPs combine the required enzymatic activities for peptidoglycan assembly from lipid-transported disaccharide-peptide units and almost certainly prescribe different, PB-module specific traits in peptidoglycan cross-linking. In the class B PBPs, the PB and n-PB modules cluster in a concerted manner. A PB module of subclass B2 or B3 is linked to an n-PB module of subclass B2 or B3 in gram-negative bacteria, and a PB module of subclass B1, B4, or B5 is linked to an n-PB module of subclass B1, B4, or B5 in gram-positive bacteria. Class B PBPs are involved in cell morphogenesis. The three motifs borne by the n-PB modules are probably sites for module-module interaction and the polypeptide stretches which extend between motifs 1 and 2 are sites for protein-protein interaction. The full-size class B PBPs are an assortment of orthologs and paralogs, which prescribe traits as complex as wall expansion and septum formation. PBPs of subclass B1 are unique to gram-positive bacteria. They are not essential, but they represent an important mechanism of resistance to penicillin among the enterococci and staphylococci. Natural evolution and PBP- and beta-lactamase-mediated resistance show that the ability of the catalytic centers to adapt their p…","author":[{"dropping-particle":"","family":"Goffin","given":"Colette","non-dropping-particle":"","parse-names":false,"suffix":""},{"dropping-particle":"","family":"Ghuysen","given":"Jean-Marie","non-dropping-particle":"","parse-names":false,"suffix":""}],"container-title":"Microbiology and Molecular Biology Reviews","id":"ITEM-2","issue":"4","issued":{"date-parts":[["1998","12","1"]]},"page":"1079-1093","publisher":"American Society for Microbiology","title":"Multimodular Penicillin-Binding Proteins: An Enigmatic Family of Orthologs and Paralogs","type":"article-journal","volume":"62"},"uris":["http://www.mendeley.com/documents/?uuid=17b45762-bdc4-3ac9-8aa9-5f0b4e5a309f"]}],"mendeley":{"formattedCitation":"&lt;sup&gt;[29,30]&lt;/sup&gt;","plainTextFormattedCitation":"[29,30]","previouslyFormattedCitation":"&lt;sup&gt;[29,30]&lt;/sup&gt;"},"properties":{"noteIndex":0},"schema":"https://github.com/citation-style-language/schema/raw/master/csl-citation.json"}</w:instrText>
      </w:r>
      <w:r w:rsidR="003E1B7B">
        <w:fldChar w:fldCharType="separate"/>
      </w:r>
      <w:r w:rsidR="00DA0A83" w:rsidRPr="00DA0A83">
        <w:rPr>
          <w:noProof/>
          <w:vertAlign w:val="superscript"/>
        </w:rPr>
        <w:t>[29,30]</w:t>
      </w:r>
      <w:r w:rsidR="003E1B7B">
        <w:fldChar w:fldCharType="end"/>
      </w:r>
      <w:r w:rsidR="00AE0B8F">
        <w:t>.</w:t>
      </w:r>
      <w:r w:rsidR="00580D0F">
        <w:t xml:space="preserve"> The former has a TG activity that elongates uncrosslinked glycan strands, while the latter is thought to interact with other proteins involved in morphogenesis</w:t>
      </w:r>
      <w:r w:rsidR="0079581C">
        <w:t xml:space="preserve"> </w:t>
      </w:r>
      <w:r w:rsidR="0079581C">
        <w:fldChar w:fldCharType="begin" w:fldLock="1"/>
      </w:r>
      <w:r w:rsidR="00DA0A83">
        <w:instrText>ADDIN CSL_CITATION {"citationItems":[{"id":"ITEM-1","itemData":{"DOI":"10.1111/j.1574-6976.2008.00105.x","ISSN":"01686445","PMID":"18266856","abstract":"Penicillin-binding proteins (PBPs) have been scrutinized for over 40 years. Recent structural information on PBPs together with the ongoing long-term biochemical experimental investigations, and results from more recent techniques such as protein localization by green fluorescent protein-fusion immunofluorescence or double-hybrid assay, have brought our understanding of the last stages of the peptidoglycan biosynthesis to an outstanding level that allows a broad outlook on the properties of these enzymes. Details are emerging regarding the interaction between the peptidoglycan-synthesizing PBPs and the peptidoglycan, their mesh net-like product that surrounds and protects bacteria. This review focuses on the detailed structure of PBPs and their implication in peptidoglycan synthesis, maturation and recycling. An overview of the content in PBPs of some bacteria is provided with an emphasis on comparing the biochemical properties of homologous PBPs (orthologues) belonging to different bacteria. © 2008 Federation of European Microbiological Societies.","author":[{"dropping-particle":"","family":"Sauvage","given":"Eric","non-dropping-particle":"","parse-names":false,"suffix":""},{"dropping-particle":"","family":"Kerff","given":"Frédéric","non-dropping-particle":"","parse-names":false,"suffix":""},{"dropping-particle":"","family":"Terrak","given":"Mohammed","non-dropping-particle":"","parse-names":false,"suffix":""},{"dropping-particle":"","family":"Ayala","given":"Juan A.","non-dropping-particle":"","parse-names":false,"suffix":""},{"dropping-particle":"","family":"Charlier","given":"Paulette","non-dropping-particle":"","parse-names":false,"suffix":""}],"container-title":"FEMS Microbiology Reviews","id":"ITEM-1","issue":"2","issued":{"date-parts":[["2008","3","1"]]},"page":"234-258","publisher":"John Wiley &amp; Sons, Ltd","title":"The penicillin-binding proteins: Structure and role in peptidoglycan biosynthesis","type":"article","volume":"32"},"uris":["http://www.mendeley.com/documents/?uuid=6d068ed0-2b47-3f8e-b04a-1f78f4c045ec"]}],"mendeley":{"formattedCitation":"&lt;sup&gt;[30]&lt;/sup&gt;","plainTextFormattedCitation":"[30]","previouslyFormattedCitation":"&lt;sup&gt;[30]&lt;/sup&gt;"},"properties":{"noteIndex":0},"schema":"https://github.com/citation-style-language/schema/raw/master/csl-citation.json"}</w:instrText>
      </w:r>
      <w:r w:rsidR="0079581C">
        <w:fldChar w:fldCharType="separate"/>
      </w:r>
      <w:r w:rsidR="00DA0A83" w:rsidRPr="00DA0A83">
        <w:rPr>
          <w:noProof/>
          <w:vertAlign w:val="superscript"/>
        </w:rPr>
        <w:t>[30]</w:t>
      </w:r>
      <w:r w:rsidR="0079581C">
        <w:fldChar w:fldCharType="end"/>
      </w:r>
      <w:r w:rsidR="00580D0F">
        <w:t>.</w:t>
      </w:r>
      <w:r w:rsidR="00941B7B">
        <w:t xml:space="preserve"> </w:t>
      </w:r>
      <w:r w:rsidR="002759F7">
        <w:rPr>
          <w:i/>
          <w:iCs/>
        </w:rPr>
        <w:t>S. aureus</w:t>
      </w:r>
      <w:r w:rsidR="002759F7">
        <w:t xml:space="preserve"> has </w:t>
      </w:r>
      <w:r w:rsidR="000A13B2">
        <w:t>three</w:t>
      </w:r>
      <w:r w:rsidR="002759F7">
        <w:t xml:space="preserve"> HMM</w:t>
      </w:r>
    </w:p>
    <w:p w14:paraId="3C672131" w14:textId="77777777" w:rsidR="007B51B6" w:rsidRDefault="007B51B6">
      <w:pPr>
        <w:spacing w:before="0" w:line="259" w:lineRule="auto"/>
      </w:pPr>
      <w:r>
        <w:br w:type="page"/>
      </w:r>
    </w:p>
    <w:p w14:paraId="0A59D12D" w14:textId="77777777" w:rsidR="004F70D2" w:rsidRDefault="004F70D2" w:rsidP="004F70D2">
      <w:pPr>
        <w:pStyle w:val="NoSpacing"/>
        <w:keepNext/>
        <w:jc w:val="center"/>
      </w:pPr>
      <w:r>
        <w:rPr>
          <w:noProof/>
        </w:rPr>
        <w:lastRenderedPageBreak/>
        <w:drawing>
          <wp:inline distT="0" distB="0" distL="0" distR="0" wp14:anchorId="28B25701" wp14:editId="5CC096A1">
            <wp:extent cx="5866048" cy="3172455"/>
            <wp:effectExtent l="0" t="0" r="1905" b="3175"/>
            <wp:docPr id="117" name="Picture 117"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Timelin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66048" cy="3172455"/>
                    </a:xfrm>
                    <a:prstGeom prst="rect">
                      <a:avLst/>
                    </a:prstGeom>
                  </pic:spPr>
                </pic:pic>
              </a:graphicData>
            </a:graphic>
          </wp:inline>
        </w:drawing>
      </w:r>
    </w:p>
    <w:p w14:paraId="32BA6A5D" w14:textId="3150BA87" w:rsidR="004F70D2" w:rsidRDefault="004F70D2" w:rsidP="004F70D2">
      <w:pPr>
        <w:pStyle w:val="Caption"/>
      </w:pPr>
      <w:bookmarkStart w:id="52" w:name="_Ref76579247"/>
      <w:bookmarkStart w:id="53" w:name="_Toc90216928"/>
      <w:r>
        <w:t xml:space="preserve">Figure </w:t>
      </w:r>
      <w:fldSimple w:instr=" STYLEREF 1 \s ">
        <w:r w:rsidR="00183CC8">
          <w:rPr>
            <w:noProof/>
          </w:rPr>
          <w:t>1</w:t>
        </w:r>
      </w:fldSimple>
      <w:r>
        <w:t>.</w:t>
      </w:r>
      <w:fldSimple w:instr=" SEQ Figure \* ARABIC \s 1 ">
        <w:r w:rsidR="00183CC8">
          <w:rPr>
            <w:noProof/>
          </w:rPr>
          <w:t>3</w:t>
        </w:r>
      </w:fldSimple>
      <w:bookmarkEnd w:id="52"/>
      <w:r>
        <w:t xml:space="preserve"> Peptidoglycan biosynthesis pathway in </w:t>
      </w:r>
      <w:r>
        <w:rPr>
          <w:i/>
        </w:rPr>
        <w:t>S. aureu</w:t>
      </w:r>
      <w:r w:rsidRPr="008C67AF">
        <w:t>s.</w:t>
      </w:r>
      <w:bookmarkEnd w:id="53"/>
    </w:p>
    <w:p w14:paraId="348F4269" w14:textId="5FE259FC" w:rsidR="004F70D2" w:rsidRDefault="004F70D2" w:rsidP="004F70D2">
      <w:pPr>
        <w:pStyle w:val="NoSpacing"/>
        <w:sectPr w:rsidR="004F70D2" w:rsidSect="004D0E05">
          <w:pgSz w:w="11906" w:h="16838"/>
          <w:pgMar w:top="1191" w:right="1247" w:bottom="1191" w:left="1247" w:header="709" w:footer="709" w:gutter="0"/>
          <w:cols w:space="708"/>
          <w:titlePg/>
          <w:docGrid w:linePitch="360"/>
        </w:sectPr>
      </w:pPr>
      <w:r w:rsidRPr="000F6977">
        <w:t xml:space="preserve">Peptidoglycan precursor Lipid II, </w:t>
      </w:r>
      <w:r>
        <w:t>made up of</w:t>
      </w:r>
      <w:r w:rsidRPr="000F6977">
        <w:t xml:space="preserve"> </w:t>
      </w:r>
      <w:r w:rsidRPr="000F6977">
        <w:rPr>
          <w:i/>
          <w:iCs/>
        </w:rPr>
        <w:t>N</w:t>
      </w:r>
      <w:r w:rsidRPr="000F6977">
        <w:t>-acetylgl</w:t>
      </w:r>
      <w:r>
        <w:t>u</w:t>
      </w:r>
      <w:r w:rsidRPr="000F6977">
        <w:t>cosamine (Glc</w:t>
      </w:r>
      <w:r w:rsidRPr="000F6977">
        <w:rPr>
          <w:i/>
          <w:iCs/>
        </w:rPr>
        <w:t>N</w:t>
      </w:r>
      <w:r w:rsidRPr="000F6977">
        <w:t xml:space="preserve">Ac) and </w:t>
      </w:r>
      <w:r w:rsidRPr="000F6977">
        <w:rPr>
          <w:i/>
          <w:iCs/>
        </w:rPr>
        <w:t>N</w:t>
      </w:r>
      <w:r w:rsidRPr="000F6977">
        <w:t>-acetylmuramic acid (Mur</w:t>
      </w:r>
      <w:r w:rsidRPr="000F6977">
        <w:rPr>
          <w:i/>
          <w:iCs/>
        </w:rPr>
        <w:t>N</w:t>
      </w:r>
      <w:r w:rsidRPr="000F6977">
        <w:t xml:space="preserve">Ac) </w:t>
      </w:r>
      <w:r>
        <w:t xml:space="preserve">and a peptide side chain linked to the latter, is synthesised in the cytoplasm. Once translocated across the membrane, transglycosylases incorporate the disaccharide-pentapeptide monomer into the existing PG strands. These are finally cross-linked by transpeptidases. Obtained from Monteiro </w:t>
      </w:r>
      <w:r>
        <w:rPr>
          <w:i/>
          <w:iCs/>
        </w:rPr>
        <w:t>et al.,</w:t>
      </w:r>
      <w:r>
        <w:t xml:space="preserve"> (2018) </w:t>
      </w:r>
      <w:r>
        <w:fldChar w:fldCharType="begin" w:fldLock="1"/>
      </w:r>
      <w:r w:rsidR="00260ACA">
        <w:instrText>ADDIN CSL_CITATION {"citationItems":[{"id":"ITEM-1","itemData":{"DOI":"10.1038/nature25506","ISSN":"14764687","PMID":"29443967","abstract":"Peptidoglycan is the main component of the bacterial wall and protects cells from the mechanical stress that results from high intracellular turgor. Peptidoglycan biosynthesis is very similar in all bacteria; bacterial shapes are therefore mainly determined by the spatial and temporal regulation of peptidoglycan synthesis rather than by the chemical composition of peptidoglycan. The form of rod-shaped bacteria, such as Bacillus subtilis or Escherichia coli, is generated by the action of two peptidoglycan synthesis machineries that act at the septum and at the lateral wall in processes coordinated by the cytoskeletal proteins FtsZ and MreB, respectively. The tubulin homologue FtsZ is the first protein recruited to the division site, where it assembles in filaments - forming the Z ring - that undergo treadmilling and recruit later divisome proteins. The rate of treadmilling in B. subtilis controls the rates of both peptidoglycan synthesis and cell division. The actin homologue MreB forms discrete patches that move circumferentially around the cell in tracks perpendicular to the long axis of the cell, and organize the insertion of new cell wall during elongation. Cocci such as Staphylococcus aureus possess only one type of peptidoglycan synthesis machinery, which is diverted from the cell periphery to the septum in preparation for division. The molecular cue that coordinates this transition has remained elusive. Here we investigate the localization of S. aureus peptidoglycan biosynthesis proteins and show that the recruitment of the putative lipid II flippase MurJ to the septum, by the DivIB-DivIC-FtsL complex, drives peptidoglycan incorporation to the midcell. MurJ recruitment corresponds to a turning point in cytokinesis, which is slow and dependent on FtsZ treadmilling before MurJ arrival but becomes faster and independent of FtsZ treadmilling after peptidoglycan synthesis activity is directed to the septum, where it provides additional force for cell envelope constriction.","author":[{"dropping-particle":"","family":"Monteiro","given":"João M.","non-dropping-particle":"","parse-names":false,"suffix":""},{"dropping-particle":"","family":"Pereira","given":"Ana R.","non-dropping-particle":"","parse-names":false,"suffix":""},{"dropping-particle":"","family":"Reichmann","given":"Nathalie T.","non-dropping-particle":"","parse-names":false,"suffix":""},{"dropping-particle":"","family":"Saraiva","given":"Bruno M.","non-dropping-particle":"","parse-names":false,"suffix":""},{"dropping-particle":"","family":"Fernandes","given":"Pedro B.","non-dropping-particle":"","parse-names":false,"suffix":""},{"dropping-particle":"","family":"Veiga","given":"Helena","non-dropping-particle":"","parse-names":false,"suffix":""},{"dropping-particle":"","family":"Tavares","given":"Andreia C.","non-dropping-particle":"","parse-names":false,"suffix":""},{"dropping-particle":"","family":"Santos","given":"Margarida","non-dropping-particle":"","parse-names":false,"suffix":""},{"dropping-particle":"","family":"Ferreira","given":"Maria T.","non-dropping-particle":"","parse-names":false,"suffix":""},{"dropping-particle":"","family":"Macário","given":"Vânia","non-dropping-particle":"","parse-names":false,"suffix":""},{"dropping-particle":"","family":"VanNieuwenhze","given":"Michael S.","non-dropping-particle":"","parse-names":false,"suffix":""},{"dropping-particle":"","family":"Filipe","given":"Sérgio R.","non-dropping-particle":"","parse-names":false,"suffix":""},{"dropping-particle":"","family":"Pinho","given":"Mariana G.","non-dropping-particle":"","parse-names":false,"suffix":""}],"container-title":"Nature","id":"ITEM-1","issue":"7693","issued":{"date-parts":[["2018"]]},"page":"528-532","publisher":"Nature Publishing Group","title":"Peptidoglycan synthesis drives an FtsZ-treadmilling-independent step of cytokinesis","type":"article-journal","volume":"554"},"uris":["http://www.mendeley.com/documents/?uuid=aef66693-2b60-4740-8a55-39f5f284e8c3"]}],"mendeley":{"formattedCitation":"&lt;sup&gt;[31]&lt;/sup&gt;","plainTextFormattedCitation":"[31]","previouslyFormattedCitation":"&lt;sup&gt;[31]&lt;/sup&gt;"},"properties":{"noteIndex":0},"schema":"https://github.com/citation-style-language/schema/raw/master/csl-citation.json"}</w:instrText>
      </w:r>
      <w:r>
        <w:fldChar w:fldCharType="separate"/>
      </w:r>
      <w:r w:rsidR="00C825F9" w:rsidRPr="00C825F9">
        <w:rPr>
          <w:noProof/>
          <w:vertAlign w:val="superscript"/>
        </w:rPr>
        <w:t>[31]</w:t>
      </w:r>
      <w:r>
        <w:fldChar w:fldCharType="end"/>
      </w:r>
      <w:r>
        <w:t>.</w:t>
      </w:r>
    </w:p>
    <w:p w14:paraId="0F17BCD4" w14:textId="4125E094" w:rsidR="002759F7" w:rsidRDefault="007B51B6" w:rsidP="002759F7">
      <w:r>
        <w:lastRenderedPageBreak/>
        <w:t xml:space="preserve">PBPs, class A </w:t>
      </w:r>
      <w:r w:rsidRPr="00DA466C">
        <w:t>PBP2</w:t>
      </w:r>
      <w:r>
        <w:t xml:space="preserve"> and class B </w:t>
      </w:r>
      <w:r w:rsidRPr="00DA466C">
        <w:t>PBP1</w:t>
      </w:r>
      <w:r>
        <w:t xml:space="preserve"> and </w:t>
      </w:r>
      <w:r w:rsidRPr="00DA466C">
        <w:t>PBP3</w:t>
      </w:r>
      <w:r>
        <w:t xml:space="preserve"> (</w:t>
      </w:r>
      <w:r>
        <w:rPr>
          <w:highlight w:val="green"/>
        </w:rPr>
        <w:fldChar w:fldCharType="begin"/>
      </w:r>
      <w:r>
        <w:instrText xml:space="preserve"> REF _Ref76630856 \h </w:instrText>
      </w:r>
      <w:r>
        <w:rPr>
          <w:highlight w:val="green"/>
        </w:rPr>
      </w:r>
      <w:r>
        <w:rPr>
          <w:highlight w:val="green"/>
        </w:rPr>
        <w:fldChar w:fldCharType="separate"/>
      </w:r>
      <w:r w:rsidR="00183CC8">
        <w:t xml:space="preserve">Table </w:t>
      </w:r>
      <w:r w:rsidR="00183CC8">
        <w:rPr>
          <w:noProof/>
        </w:rPr>
        <w:t>1</w:t>
      </w:r>
      <w:r w:rsidR="00183CC8">
        <w:t>.</w:t>
      </w:r>
      <w:r w:rsidR="00183CC8">
        <w:rPr>
          <w:noProof/>
        </w:rPr>
        <w:t>1</w:t>
      </w:r>
      <w:r>
        <w:rPr>
          <w:highlight w:val="green"/>
        </w:rPr>
        <w:fldChar w:fldCharType="end"/>
      </w:r>
      <w:r>
        <w:t xml:space="preserve">), of which only PBP1 (TP) and PBP2 (TG/TP) are essential </w:t>
      </w:r>
      <w:r>
        <w:fldChar w:fldCharType="begin" w:fldLock="1"/>
      </w:r>
      <w:r w:rsidR="00260ACA">
        <w:instrText>ADDIN CSL_CITATION {"citationItems":[{"id":"ITEM-1","itemData":{"DOI":"10.1128/jb.180.10.2759-2765.1998","ISSN":"00219193","PMID":"9573165","abstract":"pbpA, a gene encoding penicillin-binding protein (PBP) 1 of Staphylococcus aureus, was cloned in an Escherichia coli MC1061 transformant which grew on a plate containing 512 μg of vancomycin per ml. This gene encodes a 744-amino-acid sequence which conserves three motifs of PBPs, SXXK, SXN, and KTG. The chromosomal copy of pbpA could be disrupted only when RN4220, a methicillin-sensitive S. aureus strain, had additional copies of pbpA in its episome. Furthermore, these episomal copies of pbpA could not be eliminated by an incompatible plasmid when the chromosomal copy of pbpA was disrupted beforehand. Based on these observations, we concluded that pbpA is essential for the growth of methicillin-sensitive S. aureus.","author":[{"dropping-particle":"","family":"Wada","given":"A.","non-dropping-particle":"","parse-names":false,"suffix":""},{"dropping-particle":"","family":"Watanabe","given":"H.","non-dropping-particle":"","parse-names":false,"suffix":""}],"container-title":"Journal of Bacteriology","id":"ITEM-1","issue":"10","issued":{"date-parts":[["1998"]]},"page":"2759-2765","publisher":"American Society for Microbiology","title":"Penicillin-binding protein 1 of Staphylococcus aureus is essential for growth","type":"article-journal","volume":"180"},"uris":["http://www.mendeley.com/documents/?uuid=7184095d-d046-3866-96ba-ad8c3007e4d6"]},{"id":"ITEM-2","itemData":{"DOI":"10.1128/JB.183.22.6525-6531.2001","ISSN":"00219193","PMID":"11673420","abstract":"The essential function of penicillin-binding protein 2 (PBP2) in methicillin-susceptible Staphylococcus aureus RN4220 was clearly established by placing the pbp2 gene under control of the inducible Pspac promoter; the resulting bacteria were unable to grow in the absence of inducer. In contrast, the deficit in PBP2 caused by inhibition of transcription of the pbp2 gene did not block growth of a methicillin-resistant S. aureus strain expressing the extra penicillin-binding protein PBP2A, a protein of extraspecies origin that is central to the mechanism of methicillin resistance. Several lines of evidence indicate that the essential function of PBP2 that can be compensated for by PBP2A is the transpeptidase activity. This provides direct genetic evidence that PBP2A has transpeptidase activity.","author":[{"dropping-particle":"","family":"Pinho","given":"M. G.","non-dropping-particle":"","parse-names":false,"suffix":""},{"dropping-particle":"","family":"Filipe","given":"S. R.","non-dropping-particle":"","parse-names":false,"suffix":""},{"dropping-particle":"","family":"Lencastre","given":"H.","non-dropping-particle":"De","parse-names":false,"suffix":""},{"dropping-particle":"","family":"Tomasz","given":"A.","non-dropping-particle":"","parse-names":false,"suffix":""}],"container-title":"Journal of Bacteriology","id":"ITEM-2","issue":"22","issued":{"date-parts":[["2001"]]},"page":"6525-6531","publisher":"American Society for Microbiology (ASM)","title":"Complementation of the essential peptidoglycan transpeptidase function of penicillin-binding protein 2 (PBP2) by the drug resistance protein PBP2A in Staphylococcus aureus","type":"article-journal","volume":"183"},"uris":["http://www.mendeley.com/documents/?uuid=08e787ea-f301-345f-ab15-08ef152d34f0"]}],"mendeley":{"formattedCitation":"&lt;sup&gt;[32,33]&lt;/sup&gt;","plainTextFormattedCitation":"[32,33]","previouslyFormattedCitation":"&lt;sup&gt;[32,33]&lt;/sup&gt;"},"properties":{"noteIndex":0},"schema":"https://github.com/citation-style-language/schema/raw/master/csl-citation.json"}</w:instrText>
      </w:r>
      <w:r>
        <w:fldChar w:fldCharType="separate"/>
      </w:r>
      <w:r w:rsidR="00C825F9" w:rsidRPr="00C825F9">
        <w:rPr>
          <w:noProof/>
          <w:vertAlign w:val="superscript"/>
        </w:rPr>
        <w:t>[32,33]</w:t>
      </w:r>
      <w:r>
        <w:fldChar w:fldCharType="end"/>
      </w:r>
      <w:r>
        <w:t xml:space="preserve">. PBP1 is vital for cell division, however its TP activity is not </w:t>
      </w:r>
      <w:r w:rsidR="00A33AB2">
        <w:t>essential</w:t>
      </w:r>
      <w:r w:rsidR="001F158F">
        <w:t xml:space="preserve"> </w:t>
      </w:r>
      <w:r w:rsidR="00C05AC6">
        <w:fldChar w:fldCharType="begin" w:fldLock="1"/>
      </w:r>
      <w:r w:rsidR="00260ACA">
        <w:instrText>ADDIN CSL_CITATION {"citationItems":[{"id":"ITEM-1","itemData":{"DOI":"10.1128/JB.00044-07","ISBN":"154.59.124.32","ISSN":"00219193","PMID":"17307860","abstract":"We constructed a conditional mutant of pbpA in which transcription of the gene was placed under the control of an IPTG (isopropyl-β-D- thiogalactopyranoside)-inducible promoter in order to explore the role of PBP1 in growth, cell wall structure, and cell division. A methicillin-resistant strain and an isogenic methicillin-susceptible strain, each carrying the pbpA mutation, were unable to grow in the absence of the inducer. Conditional mutants of pbpA transferred into IPTG-free medium underwent a four- to fivefold increase in cell mass, which was not accompanied by a proportional increase in viable titer. Examination of thin sections of such cells by transmission electron microscopy or fluorescence microscopy of intact cells with Nile red-stained membranes showed a morphologically heterogeneous population of bacteria with abnormally increased sizes, distorted axial ratios, and a deficit in the number of cells with completed septa. Immunofluorescence with an antibody specific for PBP1 localized the protein to sites of cell division. No alteration in the composition of peptidoglycan was detectable in pbpA conditional mutants grown in the presence of a suboptimal concentration of IPTG, which severely restricted the rate of growth, and the essential function of PBP1 could not be replaced by PBP2A present in methicillin-resistant cells. These observations suggest that PBP1 is not a major contributor to the cross-linking of peptidoglycan and that its essential function must be intimately integrated into the mechanism of cell division. Copyright © 2007, American Society for Microbiology. All Rights Reserved.","author":[{"dropping-particle":"","family":"Pereira","given":"S. F.F.","non-dropping-particle":"","parse-names":false,"suffix":""},{"dropping-particle":"","family":"Henriques","given":"A O","non-dropping-particle":"","parse-names":false,"suffix":""},{"dropping-particle":"","family":"Pinho","given":"M G","non-dropping-particle":"","parse-names":false,"suffix":""},{"dropping-particle":"","family":"Lencastre","given":"H","non-dropping-particle":"De","parse-names":false,"suffix":""},{"dropping-particle":"","family":"Tomasz","given":"A","non-dropping-particle":"","parse-names":false,"suffix":""}],"container-title":"Journal of Bacteriology","id":"ITEM-1","issue":"9","issued":{"date-parts":[["2007"]]},"page":"3525-3531","title":"Role of PBP1 in cell division of Staphylococcus aureus","type":"article-journal","volume":"189"},"uris":["http://www.mendeley.com/documents/?uuid=86cd2c91-71bc-3e31-bb30-1ffdcee2c697"]},{"id":"ITEM-2","itemData":{"DOI":"10.1111/j.1365-2958.2009.06687.x","ISSN":"0950382X","PMID":"19400776","abstract":"Penicillin-binding proteins (PBPs) catalyse the synthesis of cell wall peptidoglycan. PBP1 of Staphylococcus aureus is a high-molecular-weight monofunctional transpeptidase (TPase) and previous studies with a conditional mutant showed that this protein was essential for bacterial growth and survival: cells in which PBP1 was depleted stopped dividing but continued to enlarge in size, accompanied by rapid loss of viability. Also, cell walls produced under PBP1 depletion appeared to have normal composition. We describe here construction of a second PBP1 mutant in which the active site of the TPase domain was inactivated. Cells in which the wild-type PBP1 was replaced by the mutant protein were able to initiate and complete septa and undergo at least one or two cell divisions after which growth stopped accompanied by inhibition of cell separation, downregulation in the transcription of the autolytic system and production of cell walls with increased proportion of monomeric and dimeric muropeptides and decrease in oligomeric muropeptides. PBP1 seems to perform a dual role in the cell cycle of S. aureus: as a protein required for septation and also as a transpeptidase that generates a critical signal for cell separation at the end of cell division. © 2009 Blackwell Publishing Ltd.","author":[{"dropping-particle":"","family":"Pereira","given":"Sandro F.F.","non-dropping-particle":"","parse-names":false,"suffix":""},{"dropping-particle":"","family":"Henriques","given":"Adriano O.","non-dropping-particle":"","parse-names":false,"suffix":""},{"dropping-particle":"","family":"Pinho","given":"Mariana G.","non-dropping-particle":"","parse-names":false,"suffix":""},{"dropping-particle":"","family":"Lencastre","given":"Herminia","non-dropping-particle":"De","parse-names":false,"suffix":""},{"dropping-particle":"","family":"Tomasz","given":"Alexander","non-dropping-particle":"","parse-names":false,"suffix":""}],"container-title":"Molecular Microbiology","id":"ITEM-2","issue":"4","issued":{"date-parts":[["2009","5"]]},"page":"895-904","title":"Evidence for a dual role of PBP1 in the cell division and cell separation of Staphylococcus aureus","type":"article-journal","volume":"72"},"uris":["http://www.mendeley.com/documents/?uuid=de2c9348-45af-335c-83f1-17d6e2742951"]},{"id":"ITEM-3","itemData":{"DOI":"10.1038/s41564-019-0437-2","ISBN":"4156401904372","ISSN":"20585276","PMID":"31086309","abstract":"Peptidoglycan (PGN) is the major component of the bacterial cell wall, a structure that is essential for the physical integrity and shape of the cell. Bacteria maintain cell shape by directing PGN incorporation to distinct regions of the cell, namely, through the localization of late-stage PGN synthesis proteins. These include two key protein families, SEDS transglycosylases and bPBP transpeptidases, proposed to function in cognate pairs. Rod-shaped bacteria have two SEDS–bPBP pairs, involved in elongation and division. Here, we elucidate why coccoid bacteria, such as Staphylococcus aureus, also possess two SEDS–bPBP pairs. We determined that S. aureus RodA–PBP3 and FtsW–PBP1 probably constitute cognate pairs of interacting proteins. A lack of RodA–PBP3 resulted in more spherical cells due to deficient sidewall PGN synthesis, whereas depletion of FtsW–PBP1 arrested normal septal PGN incorporation. Although PBP1 is an essential protein, a mutant lacking PBP1 transpeptidase activity is viable, showing that this protein has a second function. We propose that the FtsW–PBP1 pair has a role in stabilizing the divisome at midcell. In the absence of these proteins, the divisome appears as multiple rings or arcs that drive lateral PGN incorporation, leading to cell elongation. We conclude that RodA–PBP3 and FtsW–PBP1 mediate sidewall and septal PGN incorporation, respectively, and that their activity must be balanced to maintain coccoid morphology.","author":[{"dropping-particle":"","family":"Reichmann","given":"Nathalie T","non-dropping-particle":"","parse-names":false,"suffix":""},{"dropping-particle":"","family":"Tavares","given":"Andreia C","non-dropping-particle":"","parse-names":false,"suffix":""},{"dropping-particle":"","family":"Saraiva","given":"Bruno M","non-dropping-particle":"","parse-names":false,"suffix":""},{"dropping-particle":"","family":"Jousselin","given":"Ambre","non-dropping-particle":"","parse-names":false,"suffix":""},{"dropping-particle":"","family":"Reed","given":"Patricia","non-dropping-particle":"","parse-names":false,"suffix":""},{"dropping-particle":"","family":"Pereira","given":"Ana R","non-dropping-particle":"","parse-names":false,"suffix":""},{"dropping-particle":"","family":"Monteiro","given":"João M","non-dropping-particle":"","parse-names":false,"suffix":""},{"dropping-particle":"","family":"Sobral","given":"Rita G","non-dropping-particle":"","parse-names":false,"suffix":""},{"dropping-particle":"","family":"VanNieuwenhze","given":"Michael S.","non-dropping-particle":"","parse-names":false,"suffix":""},{"dropping-particle":"","family":"Fernandes","given":"Fábio","non-dropping-particle":"","parse-names":false,"suffix":""},{"dropping-particle":"","family":"Pinho","given":"Mariana G","non-dropping-particle":"","parse-names":false,"suffix":""}],"container-title":"Nature Microbiology","id":"ITEM-3","issue":"8","issued":{"date-parts":[["2019"]]},"page":"1368-1377","title":"SEDS–bPBP pairs direct lateral and septal peptidoglycan synthesis in Staphylococcus aureus","type":"article-journal","volume":"4"},"uris":["http://www.mendeley.com/documents/?uuid=5db4c86c-753c-307b-a46c-56e2f68ab47e"]}],"mendeley":{"formattedCitation":"&lt;sup&gt;[34–36]&lt;/sup&gt;","plainTextFormattedCitation":"[34–36]","previouslyFormattedCitation":"&lt;sup&gt;[34–36]&lt;/sup&gt;"},"properties":{"noteIndex":0},"schema":"https://github.com/citation-style-language/schema/raw/master/csl-citation.json"}</w:instrText>
      </w:r>
      <w:r w:rsidR="00C05AC6">
        <w:fldChar w:fldCharType="separate"/>
      </w:r>
      <w:r w:rsidR="00C825F9" w:rsidRPr="00C825F9">
        <w:rPr>
          <w:noProof/>
          <w:vertAlign w:val="superscript"/>
        </w:rPr>
        <w:t>[34–36]</w:t>
      </w:r>
      <w:r w:rsidR="00C05AC6">
        <w:fldChar w:fldCharType="end"/>
      </w:r>
      <w:r w:rsidR="00C05AC6">
        <w:t>.</w:t>
      </w:r>
      <w:r w:rsidR="00862C9F">
        <w:t xml:space="preserve"> </w:t>
      </w:r>
      <w:r w:rsidR="00D33CB7">
        <w:t xml:space="preserve">PBP2 localises at the septum and is essential for both its TG and TP activity </w:t>
      </w:r>
      <w:r w:rsidR="00D33CB7">
        <w:fldChar w:fldCharType="begin" w:fldLock="1"/>
      </w:r>
      <w:r w:rsidR="00260ACA">
        <w:instrText>ADDIN CSL_CITATION {"citationItems":[{"id":"ITEM-1","itemData":{"DOI":"10.1128/JB.183.22.6525-6531.2001","ISSN":"00219193","PMID":"11673420","abstract":"The essential function of penicillin-binding protein 2 (PBP2) in methicillin-susceptible Staphylococcus aureus RN4220 was clearly established by placing the pbp2 gene under control of the inducible Pspac promoter; the resulting bacteria were unable to grow in the absence of inducer. In contrast, the deficit in PBP2 caused by inhibition of transcription of the pbp2 gene did not block growth of a methicillin-resistant S. aureus strain expressing the extra penicillin-binding protein PBP2A, a protein of extraspecies origin that is central to the mechanism of methicillin resistance. Several lines of evidence indicate that the essential function of PBP2 that can be compensated for by PBP2A is the transpeptidase activity. This provides direct genetic evidence that PBP2A has transpeptidase activity.","author":[{"dropping-particle":"","family":"Pinho","given":"M. G.","non-dropping-particle":"","parse-names":false,"suffix":""},{"dropping-particle":"","family":"Filipe","given":"S. R.","non-dropping-particle":"","parse-names":false,"suffix":""},{"dropping-particle":"","family":"Lencastre","given":"H.","non-dropping-particle":"De","parse-names":false,"suffix":""},{"dropping-particle":"","family":"Tomasz","given":"A.","non-dropping-particle":"","parse-names":false,"suffix":""}],"container-title":"Journal of Bacteriology","id":"ITEM-1","issue":"22","issued":{"date-parts":[["2001"]]},"page":"6525-6531","publisher":"American Society for Microbiology (ASM)","title":"Complementation of the essential peptidoglycan transpeptidase function of penicillin-binding protein 2 (PBP2) by the drug resistance protein PBP2A in Staphylococcus aureus","type":"article-journal","volume":"183"},"uris":["http://www.mendeley.com/documents/?uuid=08e787ea-f301-345f-ab15-08ef152d34f0"]},{"id":"ITEM-2","itemData":{"DOI":"10.1046/j.1365-2958.2003.03719.x","ISSN":"0950382X","PMID":"14617148","abstract":"We have developed several new fluorescent staining procedures that enabled us to study the synthesis of cell wall material in the spherical Gram-positive bacterium Staphylococcus aureus. The results obtained support previous proposals that these cells synthesize new wall material specifically at cell division sites, in the form of a flat circular plate that is subsequently cleaved and remodelled to produce the new hemispherical poles of the daughter cells. We have shown that formation of the septal peptidoglycan is dependent on the key cell division protein FtsZ, which recruits penicillin-binding protein (PBP) 2. Unexpectedly, in FtsZ-depleted cells, the cell wall synthetic machinery becomes dispersed and new wall material is made in dispersed patches over the entire surface of the cells, which increase in volume by up to eight-fold before lysing. The results have implications for understanding the nature of S. aureus morphogenesis and for inhibitors of cell division proteins as drug targets.","author":[{"dropping-particle":"","family":"Pinho","given":"Mariana G","non-dropping-particle":"","parse-names":false,"suffix":""},{"dropping-particle":"","family":"Errington","given":"Jeff","non-dropping-particle":"","parse-names":false,"suffix":""}],"container-title":"Molecular Microbiology","id":"ITEM-2","issue":"3","issued":{"date-parts":[["2003"]]},"page":"871-881","title":"Dispersed mode of Staphylococcus aureus cell wall synthesis in the absence of the division machinery","type":"article-journal","volume":"50"},"uris":["http://www.mendeley.com/documents/?uuid=14f5ad71-8811-3532-909c-3b2e73cf848d"]}],"mendeley":{"formattedCitation":"&lt;sup&gt;[33,37]&lt;/sup&gt;","plainTextFormattedCitation":"[33,37]","previouslyFormattedCitation":"&lt;sup&gt;[33,37]&lt;/sup&gt;"},"properties":{"noteIndex":0},"schema":"https://github.com/citation-style-language/schema/raw/master/csl-citation.json"}</w:instrText>
      </w:r>
      <w:r w:rsidR="00D33CB7">
        <w:fldChar w:fldCharType="separate"/>
      </w:r>
      <w:r w:rsidR="00C825F9" w:rsidRPr="00C825F9">
        <w:rPr>
          <w:noProof/>
          <w:vertAlign w:val="superscript"/>
        </w:rPr>
        <w:t>[33,37]</w:t>
      </w:r>
      <w:r w:rsidR="00D33CB7">
        <w:fldChar w:fldCharType="end"/>
      </w:r>
      <w:r w:rsidR="00D33CB7">
        <w:t>.</w:t>
      </w:r>
      <w:r w:rsidR="00A33AB2">
        <w:t xml:space="preserve"> </w:t>
      </w:r>
      <w:r w:rsidR="00D33CB7">
        <w:t>The non-essential PBP3 has an unknown N-terminus and a TP at the C-terminus</w:t>
      </w:r>
      <w:r w:rsidR="00E0213A">
        <w:t>,</w:t>
      </w:r>
      <w:r w:rsidR="00D33CB7">
        <w:t xml:space="preserve"> involved in PG cross-linking </w:t>
      </w:r>
      <w:r w:rsidR="00AE5C24">
        <w:fldChar w:fldCharType="begin" w:fldLock="1"/>
      </w:r>
      <w:r w:rsidR="00260ACA">
        <w:instrText>ADDIN CSL_CITATION {"citationItems":[{"id":"ITEM-1","itemData":{"DOI":"10.1128/JB.182.4.1074-1079.2000","ISSN":"00219193","PMID":"10648534","abstract":"The gene pbpC from Staphylococcus aureus was sequenced: it encodes a 691-amino-acid protein with all of the conserved motifs of a class B high- molecular-weight penicillin-binding protein (PBP), including the transpeptidase conserved motifs SXXK, SXN, and KTG. Insertional inactivation of pbpC and introduction of the intact gene in a laboratory mutant missing PBP 3 showed that the pbpC gene encodes the staphylococcal PBP 3. Inactivation of pbpC caused no detectable change in the muropeptide composition of cell wall peptidoglycan and had only minimum, if any, effect on growth rates, but caused a small but significant decrease in rates of autolysis. Cells of abnormal size and shape and disoriented septa were produced when bacteria with inactivated pbpC were grown in the presence of a sub-MIC of methicillin.","author":[{"dropping-particle":"","family":"Pinho","given":"Mariana G.","non-dropping-particle":"","parse-names":false,"suffix":""},{"dropping-particle":"","family":"Lencastre","given":"Hermínia","non-dropping-particle":"De","parse-names":false,"suffix":""},{"dropping-particle":"","family":"Tomasz","given":"Alexander","non-dropping-particle":"","parse-names":false,"suffix":""}],"container-title":"Journal of Bacteriology","id":"ITEM-1","issue":"4","issued":{"date-parts":[["2000"]]},"page":"1074-1079","title":"Cloning, characterization, and inactivation of the gene pbpC, encoding penicillin-binding protein 3 of Staphylococcus aureus","type":"article-journal","volume":"182"},"uris":["http://www.mendeley.com/documents/?uuid=24000dae-0b7d-4cf9-83d1-2f40c34229a8"]}],"mendeley":{"formattedCitation":"&lt;sup&gt;[38]&lt;/sup&gt;","plainTextFormattedCitation":"[38]","previouslyFormattedCitation":"&lt;sup&gt;[38]&lt;/sup&gt;"},"properties":{"noteIndex":0},"schema":"https://github.com/citation-style-language/schema/raw/master/csl-citation.json"}</w:instrText>
      </w:r>
      <w:r w:rsidR="00AE5C24">
        <w:fldChar w:fldCharType="separate"/>
      </w:r>
      <w:r w:rsidR="00C825F9" w:rsidRPr="00C825F9">
        <w:rPr>
          <w:noProof/>
          <w:vertAlign w:val="superscript"/>
        </w:rPr>
        <w:t>[38]</w:t>
      </w:r>
      <w:r w:rsidR="00AE5C24">
        <w:fldChar w:fldCharType="end"/>
      </w:r>
      <w:r w:rsidR="00D33CB7">
        <w:t>.</w:t>
      </w:r>
      <w:r w:rsidR="00AE5C24">
        <w:t xml:space="preserve"> </w:t>
      </w:r>
      <w:r w:rsidR="0054035E">
        <w:t xml:space="preserve">MRSA strains have an additional low-affinity class B PBP that confers </w:t>
      </w:r>
      <w:r w:rsidR="0054035E">
        <w:rPr>
          <w:lang w:val="el-GR"/>
        </w:rPr>
        <w:t>β</w:t>
      </w:r>
      <w:r w:rsidR="0054035E">
        <w:t xml:space="preserve">-lactam resistance: </w:t>
      </w:r>
      <w:r w:rsidR="0054035E" w:rsidRPr="00DA466C">
        <w:t>PBP2a</w:t>
      </w:r>
      <w:r w:rsidR="0054035E">
        <w:t xml:space="preserve"> </w:t>
      </w:r>
      <w:r w:rsidR="0054035E">
        <w:fldChar w:fldCharType="begin" w:fldLock="1"/>
      </w:r>
      <w:r w:rsidR="00260ACA">
        <w:instrText>ADDIN CSL_CITATION {"citationItems":[{"id":"ITEM-1","itemData":{"DOI":"10.1111/j.1574-6976.2007.00095.x","ISSN":"01686445","PMID":"18248419","abstract":"A number of ways and means have evolved to provide resistance to eubacteria challenged by β-lactams. This review is focused on pathogens that resist by expressing low-affinity targets for these antibiotics, the penicillin-binding proteins (PBPs). Even within this narrow focus, a great variety of strategies have been uncovered such as the acquisition of an additional low-affinity PBP, the overexpression of an endogenous low-affinity PBP, the alteration of endogenous PBPs by point mutations or homologous recombination or a combination of the above. © 2008 Federation of European Microbiological Societies.","author":[{"dropping-particle":"","family":"Zapun","given":"André","non-dropping-particle":"","parse-names":false,"suffix":""},{"dropping-particle":"","family":"Contreras-Martel","given":"Carlos","non-dropping-particle":"","parse-names":false,"suffix":""},{"dropping-particle":"","family":"Vernet","given":"Thierry","non-dropping-particle":"","parse-names":false,"suffix":""}],"container-title":"FEMS Microbiology Reviews","id":"ITEM-1","issue":"2","issued":{"date-parts":[["2008","3"]]},"page":"361-385","title":"Penicillin-binding proteins and β-lactam resistance","type":"article","volume":"32"},"uris":["http://www.mendeley.com/documents/?uuid=1ba7cb5c-ff79-3b96-831d-27ce8e431c4d"]}],"mendeley":{"formattedCitation":"&lt;sup&gt;[39]&lt;/sup&gt;","plainTextFormattedCitation":"[39]","previouslyFormattedCitation":"&lt;sup&gt;[39]&lt;/sup&gt;"},"properties":{"noteIndex":0},"schema":"https://github.com/citation-style-language/schema/raw/master/csl-citation.json"}</w:instrText>
      </w:r>
      <w:r w:rsidR="0054035E">
        <w:fldChar w:fldCharType="separate"/>
      </w:r>
      <w:r w:rsidR="00C825F9" w:rsidRPr="00C825F9">
        <w:rPr>
          <w:noProof/>
          <w:vertAlign w:val="superscript"/>
        </w:rPr>
        <w:t>[39]</w:t>
      </w:r>
      <w:r w:rsidR="0054035E">
        <w:fldChar w:fldCharType="end"/>
      </w:r>
      <w:r w:rsidR="0054035E">
        <w:t>.</w:t>
      </w:r>
      <w:r w:rsidR="00687806">
        <w:t xml:space="preserve"> PBP2a lacks TG activity, but i</w:t>
      </w:r>
      <w:r w:rsidR="00BD6D48">
        <w:t>t</w:t>
      </w:r>
      <w:r w:rsidR="00687806">
        <w:t xml:space="preserve">s </w:t>
      </w:r>
      <w:r w:rsidR="00BD6D48">
        <w:t xml:space="preserve">TP domain is </w:t>
      </w:r>
      <w:r w:rsidR="00687806">
        <w:t xml:space="preserve">able to support all </w:t>
      </w:r>
      <w:r w:rsidR="00BD6D48">
        <w:t xml:space="preserve">the interrupted </w:t>
      </w:r>
      <w:r w:rsidR="00687806">
        <w:t xml:space="preserve">TP activity </w:t>
      </w:r>
      <w:r w:rsidR="00BD6D48">
        <w:t xml:space="preserve">of the native PBPs </w:t>
      </w:r>
      <w:r w:rsidR="00687806">
        <w:t>in MRSA strains treated with antibiotics</w:t>
      </w:r>
      <w:r w:rsidR="00BD6D48">
        <w:t>.</w:t>
      </w:r>
      <w:r w:rsidR="00687806">
        <w:t xml:space="preserve"> </w:t>
      </w:r>
      <w:r w:rsidR="00BD6D48">
        <w:t>Nevertheless,</w:t>
      </w:r>
      <w:r w:rsidR="00687806">
        <w:t xml:space="preserve"> the TG domain of PBP2 is still required </w:t>
      </w:r>
      <w:r w:rsidR="00BD6D48">
        <w:fldChar w:fldCharType="begin" w:fldLock="1"/>
      </w:r>
      <w:r w:rsidR="00260ACA">
        <w:instrText>ADDIN CSL_CITATION {"citationItems":[{"id":"ITEM-1","itemData":{"DOI":"10.1128/JB.183.22.6525-6531.2001","ISSN":"00219193","PMID":"11673420","abstract":"The essential function of penicillin-binding protein 2 (PBP2) in methicillin-susceptible Staphylococcus aureus RN4220 was clearly established by placing the pbp2 gene under control of the inducible Pspac promoter; the resulting bacteria were unable to grow in the absence of inducer. In contrast, the deficit in PBP2 caused by inhibition of transcription of the pbp2 gene did not block growth of a methicillin-resistant S. aureus strain expressing the extra penicillin-binding protein PBP2A, a protein of extraspecies origin that is central to the mechanism of methicillin resistance. Several lines of evidence indicate that the essential function of PBP2 that can be compensated for by PBP2A is the transpeptidase activity. This provides direct genetic evidence that PBP2A has transpeptidase activity.","author":[{"dropping-particle":"","family":"Pinho","given":"M. G.","non-dropping-particle":"","parse-names":false,"suffix":""},{"dropping-particle":"","family":"Filipe","given":"S. R.","non-dropping-particle":"","parse-names":false,"suffix":""},{"dropping-particle":"","family":"Lencastre","given":"H.","non-dropping-particle":"De","parse-names":false,"suffix":""},{"dropping-particle":"","family":"Tomasz","given":"A.","non-dropping-particle":"","parse-names":false,"suffix":""}],"container-title":"Journal of Bacteriology","id":"ITEM-1","issue":"22","issued":{"date-parts":[["2001"]]},"page":"6525-6531","publisher":"American Society for Microbiology (ASM)","title":"Complementation of the essential peptidoglycan transpeptidase function of penicillin-binding protein 2 (PBP2) by the drug resistance protein PBP2A in Staphylococcus aureus","type":"article-journal","volume":"183"},"uris":["http://www.mendeley.com/documents/?uuid=08e787ea-f301-345f-ab15-08ef152d34f0"]},{"id":"ITEM-2","itemData":{"DOI":"10.1073/pnas.191260798","ISSN":"00278424","PMID":"11517340","abstract":"The blanket resistance of methicillin-resistant Staphylococcus aureus to all β-lactam antibiotics - which had such a devastating impact on chemotherapy of staphylococcal infections - is related to the properties of the key component of this resistance mechanism: the \"acquired\" penicillin-binding protein (PBP)-2A, which has unusual low affinity for all β-lactam antibiotics. Until now, the accepted model of resistance implied that in the presence of β-lactam antibiotics in the surrounding medium, PBP2A must take over the biosynthesis of staphylococcal cell wall from the four native staphylococcal PBPs because the latter become rapidly acylated and inactivated at even low concentrations of the antibiotic. However, recent observations indicate that this model requires revision. Inactivation of the transglycosylase domain, but not the transpeptidase domain, of PBP2 of S. aureus prevents expression of β-lactam resistance, despite the presence of the low-affinity PBP2A. The observations suggest that cell-wall synthesis in the presence of β-lactam antibiotics requires the cooperative functioning of the transglycosylase domain of the native staphylococcal PBP2 and the transpeptidase domain of the PBP2A, a protein imported by S. aureus from an extra species source.","author":[{"dropping-particle":"","family":"Pinho","given":"Mariana G","non-dropping-particle":"","parse-names":false,"suffix":""},{"dropping-particle":"","family":"Lencastre","given":"Hermínia","non-dropping-particle":"De","parse-names":false,"suffix":""},{"dropping-particle":"","family":"Tomasz","given":"Alexander","non-dropping-particle":"","parse-names":false,"suffix":""}],"container-title":"Proceedings of the National Academy of Sciences of the United States of America","id":"ITEM-2","issue":"19","issued":{"date-parts":[["2001"]]},"page":"10886-10891","title":"An acquired and a native penicillin-binding protein cooperate in building the cell wall of drug-resistant staphylococci","type":"article-journal","volume":"98"},"uris":["http://www.mendeley.com/documents/?uuid=bf60aaaa-0f0b-354e-ad4b-5e4e12ff883a"]},{"id":"ITEM-3","itemData":{"DOI":"10.1111/j.1574-6976.2007.00095.x","ISSN":"01686445","PMID":"18248419","abstract":"A number of ways and means have evolved to provide resistance to eubacteria challenged by β-lactams. This review is focused on pathogens that resist by expressing low-affinity targets for these antibiotics, the penicillin-binding proteins (PBPs). Even within this narrow focus, a great variety of strategies have been uncovered such as the acquisition of an additional low-affinity PBP, the overexpression of an endogenous low-affinity PBP, the alteration of endogenous PBPs by point mutations or homologous recombination or a combination of the above. © 2008 Federation of European Microbiological Societies.","author":[{"dropping-particle":"","family":"Zapun","given":"André","non-dropping-particle":"","parse-names":false,"suffix":""},{"dropping-particle":"","family":"Contreras-Martel","given":"Carlos","non-dropping-particle":"","parse-names":false,"suffix":""},{"dropping-particle":"","family":"Vernet","given":"Thierry","non-dropping-particle":"","parse-names":false,"suffix":""}],"container-title":"FEMS Microbiology Reviews","id":"ITEM-3","issue":"2","issued":{"date-parts":[["2008","3"]]},"page":"361-385","title":"Penicillin-binding proteins and β-lactam resistance","type":"article","volume":"32"},"uris":["http://www.mendeley.com/documents/?uuid=1ba7cb5c-ff79-3b96-831d-27ce8e431c4d"]}],"mendeley":{"formattedCitation":"&lt;sup&gt;[33,39,40]&lt;/sup&gt;","plainTextFormattedCitation":"[33,39,40]","previouslyFormattedCitation":"&lt;sup&gt;[33,39,40]&lt;/sup&gt;"},"properties":{"noteIndex":0},"schema":"https://github.com/citation-style-language/schema/raw/master/csl-citation.json"}</w:instrText>
      </w:r>
      <w:r w:rsidR="00BD6D48">
        <w:fldChar w:fldCharType="separate"/>
      </w:r>
      <w:r w:rsidR="00C825F9" w:rsidRPr="00C825F9">
        <w:rPr>
          <w:noProof/>
          <w:vertAlign w:val="superscript"/>
        </w:rPr>
        <w:t>[33,39,40]</w:t>
      </w:r>
      <w:r w:rsidR="00BD6D48">
        <w:fldChar w:fldCharType="end"/>
      </w:r>
      <w:r w:rsidR="003E3D8A">
        <w:t>, and so i</w:t>
      </w:r>
      <w:r w:rsidR="000C75C6">
        <w:t>s</w:t>
      </w:r>
      <w:r w:rsidR="003E3D8A">
        <w:t xml:space="preserve"> the TP activity of PBP1 </w:t>
      </w:r>
      <w:r w:rsidR="003E3D8A">
        <w:fldChar w:fldCharType="begin" w:fldLock="1"/>
      </w:r>
      <w:r w:rsidR="00260ACA">
        <w:instrText>ADDIN CSL_CITATION {"citationItems":[{"id":"ITEM-1","itemData":{"DOI":"10.1128/JB.00044-07","ISBN":"154.59.124.32","ISSN":"00219193","PMID":"17307860","abstract":"We constructed a conditional mutant of pbpA in which transcription of the gene was placed under the control of an IPTG (isopropyl-β-D- thiogalactopyranoside)-inducible promoter in order to explore the role of PBP1 in growth, cell wall structure, and cell division. A methicillin-resistant strain and an isogenic methicillin-susceptible strain, each carrying the pbpA mutation, were unable to grow in the absence of the inducer. Conditional mutants of pbpA transferred into IPTG-free medium underwent a four- to fivefold increase in cell mass, which was not accompanied by a proportional increase in viable titer. Examination of thin sections of such cells by transmission electron microscopy or fluorescence microscopy of intact cells with Nile red-stained membranes showed a morphologically heterogeneous population of bacteria with abnormally increased sizes, distorted axial ratios, and a deficit in the number of cells with completed septa. Immunofluorescence with an antibody specific for PBP1 localized the protein to sites of cell division. No alteration in the composition of peptidoglycan was detectable in pbpA conditional mutants grown in the presence of a suboptimal concentration of IPTG, which severely restricted the rate of growth, and the essential function of PBP1 could not be replaced by PBP2A present in methicillin-resistant cells. These observations suggest that PBP1 is not a major contributor to the cross-linking of peptidoglycan and that its essential function must be intimately integrated into the mechanism of cell division. Copyright © 2007, American Society for Microbiology. All Rights Reserved.","author":[{"dropping-particle":"","family":"Pereira","given":"S. F.F.","non-dropping-particle":"","parse-names":false,"suffix":""},{"dropping-particle":"","family":"Henriques","given":"A O","non-dropping-particle":"","parse-names":false,"suffix":""},{"dropping-particle":"","family":"Pinho","given":"M G","non-dropping-particle":"","parse-names":false,"suffix":""},{"dropping-particle":"","family":"Lencastre","given":"H","non-dropping-particle":"De","parse-names":false,"suffix":""},{"dropping-particle":"","family":"Tomasz","given":"A","non-dropping-particle":"","parse-names":false,"suffix":""}],"container-title":"Journal of Bacteriology","id":"ITEM-1","issue":"9","issued":{"date-parts":[["2007"]]},"page":"3525-3531","title":"Role of PBP1 in cell division of Staphylococcus aureus","type":"article-journal","volume":"189"},"uris":["http://www.mendeley.com/documents/?uuid=86cd2c91-71bc-3e31-bb30-1ffdcee2c697"]},{"id":"ITEM-2","itemData":{"DOI":"10.1111/j.1574-6976.2007.00095.x","ISSN":"01686445","PMID":"18248419","abstract":"A number of ways and means have evolved to provide resistance to eubacteria challenged by β-lactams. This review is focused on pathogens that resist by expressing low-affinity targets for these antibiotics, the penicillin-binding proteins (PBPs). Even within this narrow focus, a great variety of strategies have been uncovered such as the acquisition of an additional low-affinity PBP, the overexpression of an endogenous low-affinity PBP, the alteration of endogenous PBPs by point mutations or homologous recombination or a combination of the above. © 2008 Federation of European Microbiological Societies.","author":[{"dropping-particle":"","family":"Zapun","given":"André","non-dropping-particle":"","parse-names":false,"suffix":""},{"dropping-particle":"","family":"Contreras-Martel","given":"Carlos","non-dropping-particle":"","parse-names":false,"suffix":""},{"dropping-particle":"","family":"Vernet","given":"Thierry","non-dropping-particle":"","parse-names":false,"suffix":""}],"container-title":"FEMS Microbiology Reviews","id":"ITEM-2","issue":"2","issued":{"date-parts":[["2008","3"]]},"page":"361-385","title":"Penicillin-binding proteins and β-lactam resistance","type":"article","volume":"32"},"uris":["http://www.mendeley.com/documents/?uuid=1ba7cb5c-ff79-3b96-831d-27ce8e431c4d"]}],"mendeley":{"formattedCitation":"&lt;sup&gt;[34,39]&lt;/sup&gt;","plainTextFormattedCitation":"[34,39]","previouslyFormattedCitation":"&lt;sup&gt;[34,39]&lt;/sup&gt;"},"properties":{"noteIndex":0},"schema":"https://github.com/citation-style-language/schema/raw/master/csl-citation.json"}</w:instrText>
      </w:r>
      <w:r w:rsidR="003E3D8A">
        <w:fldChar w:fldCharType="separate"/>
      </w:r>
      <w:r w:rsidR="00C825F9" w:rsidRPr="00C825F9">
        <w:rPr>
          <w:noProof/>
          <w:vertAlign w:val="superscript"/>
        </w:rPr>
        <w:t>[34,39]</w:t>
      </w:r>
      <w:r w:rsidR="003E3D8A">
        <w:fldChar w:fldCharType="end"/>
      </w:r>
      <w:r w:rsidR="00687806">
        <w:t>.</w:t>
      </w:r>
    </w:p>
    <w:p w14:paraId="35533928" w14:textId="21464A46" w:rsidR="00735F83" w:rsidRDefault="00E86240" w:rsidP="005824E2">
      <w:r w:rsidRPr="00DA466C">
        <w:t>LMM</w:t>
      </w:r>
      <w:r>
        <w:t xml:space="preserve"> PBPs</w:t>
      </w:r>
      <w:r w:rsidR="00C44707">
        <w:t xml:space="preserve"> have either carboxypeptidase or endopeptidase activity, and cleave the peptide side chains of glycan strands to control their cross-linking </w:t>
      </w:r>
      <w:r w:rsidR="00C44707">
        <w:fldChar w:fldCharType="begin" w:fldLock="1"/>
      </w:r>
      <w:r w:rsidR="00DA0A83">
        <w:instrText>ADDIN CSL_CITATION {"citationItems":[{"id":"ITEM-1","itemData":{"DOI":"10.1111/j.1574-6976.2008.00105.x","ISSN":"01686445","PMID":"18266856","abstract":"Penicillin-binding proteins (PBPs) have been scrutinized for over 40 years. Recent structural information on PBPs together with the ongoing long-term biochemical experimental investigations, and results from more recent techniques such as protein localization by green fluorescent protein-fusion immunofluorescence or double-hybrid assay, have brought our understanding of the last stages of the peptidoglycan biosynthesis to an outstanding level that allows a broad outlook on the properties of these enzymes. Details are emerging regarding the interaction between the peptidoglycan-synthesizing PBPs and the peptidoglycan, their mesh net-like product that surrounds and protects bacteria. This review focuses on the detailed structure of PBPs and their implication in peptidoglycan synthesis, maturation and recycling. An overview of the content in PBPs of some bacteria is provided with an emphasis on comparing the biochemical properties of homologous PBPs (orthologues) belonging to different bacteria. © 2008 Federation of European Microbiological Societies.","author":[{"dropping-particle":"","family":"Sauvage","given":"Eric","non-dropping-particle":"","parse-names":false,"suffix":""},{"dropping-particle":"","family":"Kerff","given":"Frédéric","non-dropping-particle":"","parse-names":false,"suffix":""},{"dropping-particle":"","family":"Terrak","given":"Mohammed","non-dropping-particle":"","parse-names":false,"suffix":""},{"dropping-particle":"","family":"Ayala","given":"Juan A.","non-dropping-particle":"","parse-names":false,"suffix":""},{"dropping-particle":"","family":"Charlier","given":"Paulette","non-dropping-particle":"","parse-names":false,"suffix":""}],"container-title":"FEMS Microbiology Reviews","id":"ITEM-1","issue":"2","issued":{"date-parts":[["2008","3","1"]]},"page":"234-258","publisher":"John Wiley &amp; Sons, Ltd","title":"The penicillin-binding proteins: Structure and role in peptidoglycan biosynthesis","type":"article","volume":"32"},"uris":["http://www.mendeley.com/documents/?uuid=6d068ed0-2b47-3f8e-b04a-1f78f4c045ec"]}],"mendeley":{"formattedCitation":"&lt;sup&gt;[30]&lt;/sup&gt;","plainTextFormattedCitation":"[30]","previouslyFormattedCitation":"&lt;sup&gt;[30]&lt;/sup&gt;"},"properties":{"noteIndex":0},"schema":"https://github.com/citation-style-language/schema/raw/master/csl-citation.json"}</w:instrText>
      </w:r>
      <w:r w:rsidR="00C44707">
        <w:fldChar w:fldCharType="separate"/>
      </w:r>
      <w:r w:rsidR="00DA0A83" w:rsidRPr="00DA0A83">
        <w:rPr>
          <w:noProof/>
          <w:vertAlign w:val="superscript"/>
        </w:rPr>
        <w:t>[30]</w:t>
      </w:r>
      <w:r w:rsidR="00C44707">
        <w:fldChar w:fldCharType="end"/>
      </w:r>
      <w:r w:rsidR="00C44707">
        <w:t>. These are also sub-categorised in various types, and sometimes referred to as class C PBPs. How</w:t>
      </w:r>
      <w:r w:rsidR="00532E53">
        <w:t>e</w:t>
      </w:r>
      <w:r w:rsidR="00C44707">
        <w:t xml:space="preserve">ver, although some bacteria like </w:t>
      </w:r>
      <w:r w:rsidR="00C44707">
        <w:rPr>
          <w:i/>
          <w:iCs/>
        </w:rPr>
        <w:t>E. coli</w:t>
      </w:r>
      <w:r w:rsidR="00C44707">
        <w:t xml:space="preserve"> have several LMM PBPs, </w:t>
      </w:r>
      <w:r w:rsidR="00C44707">
        <w:rPr>
          <w:i/>
          <w:iCs/>
        </w:rPr>
        <w:t xml:space="preserve">S. aureus </w:t>
      </w:r>
      <w:r w:rsidR="00C44707">
        <w:t xml:space="preserve">only has one: </w:t>
      </w:r>
      <w:r w:rsidR="00C44707" w:rsidRPr="00DA466C">
        <w:t>PBP4</w:t>
      </w:r>
      <w:r w:rsidR="003F0B7D">
        <w:t xml:space="preserve"> (</w:t>
      </w:r>
      <w:r w:rsidR="003F0B7D">
        <w:rPr>
          <w:highlight w:val="green"/>
        </w:rPr>
        <w:fldChar w:fldCharType="begin"/>
      </w:r>
      <w:r w:rsidR="003F0B7D">
        <w:instrText xml:space="preserve"> REF _Ref76630856 \h </w:instrText>
      </w:r>
      <w:r w:rsidR="003F0B7D">
        <w:rPr>
          <w:highlight w:val="green"/>
        </w:rPr>
      </w:r>
      <w:r w:rsidR="003F0B7D">
        <w:rPr>
          <w:highlight w:val="green"/>
        </w:rPr>
        <w:fldChar w:fldCharType="separate"/>
      </w:r>
      <w:r w:rsidR="00183CC8">
        <w:t xml:space="preserve">Table </w:t>
      </w:r>
      <w:r w:rsidR="00183CC8">
        <w:rPr>
          <w:noProof/>
        </w:rPr>
        <w:t>1</w:t>
      </w:r>
      <w:r w:rsidR="00183CC8">
        <w:t>.</w:t>
      </w:r>
      <w:r w:rsidR="00183CC8">
        <w:rPr>
          <w:noProof/>
        </w:rPr>
        <w:t>1</w:t>
      </w:r>
      <w:r w:rsidR="003F0B7D">
        <w:rPr>
          <w:highlight w:val="green"/>
        </w:rPr>
        <w:fldChar w:fldCharType="end"/>
      </w:r>
      <w:r w:rsidR="003F0B7D">
        <w:t>)</w:t>
      </w:r>
      <w:r w:rsidR="00C44707">
        <w:t>.</w:t>
      </w:r>
      <w:r w:rsidR="00532E53">
        <w:t xml:space="preserve"> </w:t>
      </w:r>
      <w:r w:rsidR="00941B7B">
        <w:t>This TP enzyme i</w:t>
      </w:r>
      <w:r w:rsidR="000C75C6">
        <w:t>s</w:t>
      </w:r>
      <w:r w:rsidR="00941B7B">
        <w:t xml:space="preserve"> involved in the high-degree crosslinking of PG in </w:t>
      </w:r>
      <w:r w:rsidR="00941B7B">
        <w:rPr>
          <w:i/>
          <w:iCs/>
        </w:rPr>
        <w:t xml:space="preserve">S. aureus </w:t>
      </w:r>
      <w:r w:rsidR="00941B7B">
        <w:rPr>
          <w:i/>
          <w:iCs/>
        </w:rPr>
        <w:fldChar w:fldCharType="begin" w:fldLock="1"/>
      </w:r>
      <w:r w:rsidR="008828BA">
        <w:rPr>
          <w:i/>
          <w:iCs/>
        </w:rPr>
        <w:instrText>ADDIN CSL_CITATION {"citationItems":[{"id":"ITEM-1","itemData":{"DOI":"10.1111/j.1432-1033.1981.tb05620.x","ISSN":"14321033","PMID":"7308191","abstract":"The degree of cross‐linking of the peotidoglycan of Staphylococcus aureus H and mutants lacking penicillin‐binding proteins 1 and 4 was studies. No major changes were ovserved in organisms lacking protein 1 whereas oloss of protein 4 was accompanied by a marked reduction in the degree of cross‐linked and the absence of a membrane‐bound ‘model’ transpeptidase activity. A smimlar effect was achieved when cultures of the staphylococci were treated with the β‐lactam antibiotic cefoxitin. At low concentrations (0.05μg ml‐1) cefoxition shows highest affinity for protein 4 to which it appears to bind irreversibly. Treatment of the mutant lacking protein 4 with this concentration of the antibiotic did not affect the degree of cross‐linkage. The possibility that the decrease in cross‐linkage was a consequence of DD‐carboxypeptidase activity on peptidoglycan precursors was investigated. Although both S. aureus H and the mutants possessed such activity it was insensitive to benzylpenicillin and cefoxition and the role of this enzyme(s) in peptidoglycan biosynthesis remains unknown. We conclude that in vivo protein 4 acts as a transpeptidase involved in the secondary cross‐linking of peptidoglycan and this activity is necessary to achieve the high degree of cross‐linkage observed in the peptidoglycan of staphylococci. Copyright © 1981, Wiley Blackwell. All rights reserved","author":[{"dropping-particle":"","family":"Wyke","given":"Anne W.","non-dropping-particle":"","parse-names":false,"suffix":""},{"dropping-particle":"","family":"Ward","given":"J. Barrie","non-dropping-particle":"","parse-names":false,"suffix":""},{"dropping-particle":"V.","family":"Hayes","given":"Michael","non-dropping-particle":"","parse-names":false,"suffix":""},{"dropping-particle":"","family":"Curtis","given":"Nigel A.C.","non-dropping-particle":"","parse-names":false,"suffix":""}],"container-title":"European Journal of Biochemistry","id":"ITEM-1","issue":"2","issued":{"date-parts":[["1981"]]},"page":"389-393","title":"A Role in vivo for Penicillin‐Binding Protein‐4 of Staphylococcus aureus","type":"article-journal","volume":"119"},"uris":["http://www.mendeley.com/documents/?uuid=6a141666-a225-375e-b43b-325fca2ca0f7"]}],"mendeley":{"formattedCitation":"&lt;sup&gt;[41]&lt;/sup&gt;","plainTextFormattedCitation":"[41]","previouslyFormattedCitation":"&lt;sup&gt;[41]&lt;/sup&gt;"},"properties":{"noteIndex":0},"schema":"https://github.com/citation-style-language/schema/raw/master/csl-citation.json"}</w:instrText>
      </w:r>
      <w:r w:rsidR="00941B7B">
        <w:rPr>
          <w:i/>
          <w:iCs/>
        </w:rPr>
        <w:fldChar w:fldCharType="separate"/>
      </w:r>
      <w:r w:rsidR="00C825F9" w:rsidRPr="00C825F9">
        <w:rPr>
          <w:iCs/>
          <w:noProof/>
          <w:vertAlign w:val="superscript"/>
        </w:rPr>
        <w:t>[41]</w:t>
      </w:r>
      <w:r w:rsidR="00941B7B">
        <w:rPr>
          <w:i/>
          <w:iCs/>
        </w:rPr>
        <w:fldChar w:fldCharType="end"/>
      </w:r>
      <w:r w:rsidR="00941B7B">
        <w:t>.</w:t>
      </w:r>
    </w:p>
    <w:p w14:paraId="0EDABC8E" w14:textId="6E47295F" w:rsidR="00713A43" w:rsidRDefault="00713A43" w:rsidP="00713A43">
      <w:r>
        <w:t xml:space="preserve">In addition to PBPs, two members of the </w:t>
      </w:r>
      <w:r w:rsidRPr="00DA466C">
        <w:t>SEDS</w:t>
      </w:r>
      <w:r>
        <w:t xml:space="preserve"> (shape, elongation, division and sporulation) family of proteins have also been found to have TG activity in </w:t>
      </w:r>
      <w:r>
        <w:rPr>
          <w:i/>
          <w:iCs/>
        </w:rPr>
        <w:t xml:space="preserve">S. aureus </w:t>
      </w:r>
      <w:r>
        <w:rPr>
          <w:i/>
          <w:iCs/>
        </w:rPr>
        <w:fldChar w:fldCharType="begin" w:fldLock="1"/>
      </w:r>
      <w:r w:rsidR="00260ACA">
        <w:rPr>
          <w:i/>
          <w:iCs/>
        </w:rPr>
        <w:instrText>ADDIN CSL_CITATION {"citationItems":[{"id":"ITEM-1","itemData":{"DOI":"10.1038/s41564-018-0345-x","ISSN":"20585276","PMID":"30692671","abstract":"The peptidoglycan cell wall is essential for the survival and morphogenesis of bacteria1. For decades, it was thought that only class A penicillin-binding proteins (PBPs) and related enzymes effected peptidoglycan synthesis. Recently, it was shown that RodA—a member of the unrelated SEDS protein family—also acts as a peptidoglycan polymerase2–4. Not all bacteria require RodA for growth; however, its homologue, FtsW, is a core member of the divisome complex that appears to be universally essential for septal cell wall assembly5,6. FtsW was previously proposed to translocate the peptidoglycan precursor lipid II across the cytoplasmic membrane7,8. Here, we report that purified FtsW polymerizes lipid II into peptidoglycan, but show that its polymerase activity requires complex formation with its partner class B PBP. We further demonstrate that the polymerase activity of FtsW is required for its function in vivo. Thus, our findings establish FtsW as a peptidoglycan polymerase that works with its cognate class B PBP to produce septal peptidoglycan during cell division.","author":[{"dropping-particle":"","family":"Taguchi","given":"Atsushi","non-dropping-particle":"","parse-names":false,"suffix":""},{"dropping-particle":"","family":"Welsh","given":"Michael A","non-dropping-particle":"","parse-names":false,"suffix":""},{"dropping-particle":"","family":"Marmont","given":"Lindsey S","non-dropping-particle":"","parse-names":false,"suffix":""},{"dropping-particle":"","family":"Lee","given":"Wonsik","non-dropping-particle":"","parse-names":false,"suffix":""},{"dropping-particle":"","family":"Sjodt","given":"Megan","non-dropping-particle":"","parse-names":false,"suffix":""},{"dropping-particle":"","family":"Kruse","given":"Andrew C","non-dropping-particle":"","parse-names":false,"suffix":""},{"dropping-particle":"","family":"Kahne","given":"Daniel","non-dropping-particle":"","parse-names":false,"suffix":""},{"dropping-particle":"","family":"Bernhardt","given":"Thomas G","non-dropping-particle":"","parse-names":false,"suffix":""},{"dropping-particle":"","family":"Walker","given":"Suzanne","non-dropping-particle":"","parse-names":false,"suffix":""}],"container-title":"Nature Microbiology","id":"ITEM-1","issue":"4","issued":{"date-parts":[["2019"]]},"page":"587-594","title":"FtsW is a peptidoglycan polymerase that is functional only in complex with its cognate penicillin-binding protein","type":"article-journal","volume":"4"},"uris":["http://www.mendeley.com/documents/?uuid=0eb60e5f-7e72-3e68-ac9e-99d979850d3f"]},{"id":"ITEM-2","itemData":{"DOI":"10.1038/nature19331","ISSN":"14764687","PMID":"27525505","abstract":"Elongation of rod-shaped bacteria is mediated by a dynamic peptidoglycan-synthetizing machinery called the Rod complex. Here we report that, in Bacillus subtilis, this complex is functional in the absence of all known peptidoglycan polymerases. Cells lacking these enzymes survive by inducing an envelope stress response that increases the expression of RodA, a widely conserved core component of the Rod complex. RodA is a member of the SEDS (shape, elongation, division and sporulation) family of proteins, which have essential but ill-defined roles in cell wall biogenesis during growth, division and sporulation. Our genetic and biochemical analyses indicate that SEDS proteins constitute a family of peptidoglycan polymerases. Thus, B. subtilis and probably most bacteria use two distinct classes of polymerase to synthesize their exoskeleton. Our findings indicate that SEDS family proteins are core cell wall synthases of the cell elongation and division machinery, and represent attractive targets for antibiotic development.","author":[{"dropping-particle":"","family":"Meeske","given":"Alexander J","non-dropping-particle":"","parse-names":false,"suffix":""},{"dropping-particle":"","family":"Riley","given":"Eammon P","non-dropping-particle":"","parse-names":false,"suffix":""},{"dropping-particle":"","family":"Robins","given":"William P","non-dropping-particle":"","parse-names":false,"suffix":""},{"dropping-particle":"","family":"Uehara","given":"Tsuyoshi","non-dropping-particle":"","parse-names":false,"suffix":""},{"dropping-particle":"","family":"Mekalanos","given":"John J","non-dropping-particle":"","parse-names":false,"suffix":""},{"dropping-particle":"","family":"Kahne","given":"Daniel","non-dropping-particle":"","parse-names":false,"suffix":""},{"dropping-particle":"","family":"Walker","given":"Suzanne","non-dropping-particle":"","parse-names":false,"suffix":""},{"dropping-particle":"","family":"Kruse","given":"Andrew C","non-dropping-particle":"","parse-names":false,"suffix":""},{"dropping-particle":"","family":"Bernhardt","given":"Thomas G","non-dropping-particle":"","parse-names":false,"suffix":""},{"dropping-particle":"","family":"Rudner","given":"David Z","non-dropping-particle":"","parse-names":false,"suffix":""}],"container-title":"Nature","id":"ITEM-2","issue":"7622","issued":{"date-parts":[["2016"]]},"page":"634-638","title":"SEDS proteins are a widespread family of bacterial cell wall polymerases","type":"article-journal","volume":"537"},"uris":["http://www.mendeley.com/documents/?uuid=0a2ab9b1-537c-35f1-9012-95cf7ca59153"]},{"id":"ITEM-3","itemData":{"DOI":"10.1038/s41564-019-0437-2","ISBN":"4156401904372","ISSN":"20585276","PMID":"31086309","abstract":"Peptidoglycan (PGN) is the major component of the bacterial cell wall, a structure that is essential for the physical integrity and shape of the cell. Bacteria maintain cell shape by directing PGN incorporation to distinct regions of the cell, namely, through the localization of late-stage PGN synthesis proteins. These include two key protein families, SEDS transglycosylases and bPBP transpeptidases, proposed to function in cognate pairs. Rod-shaped bacteria have two SEDS–bPBP pairs, involved in elongation and division. Here, we elucidate why coccoid bacteria, such as Staphylococcus aureus, also possess two SEDS–bPBP pairs. We determined that S. aureus RodA–PBP3 and FtsW–PBP1 probably constitute cognate pairs of interacting proteins. A lack of RodA–PBP3 resulted in more spherical cells due to deficient sidewall PGN synthesis, whereas depletion of FtsW–PBP1 arrested normal septal PGN incorporation. Although PBP1 is an essential protein, a mutant lacking PBP1 transpeptidase activity is viable, showing that this protein has a second function. We propose that the FtsW–PBP1 pair has a role in stabilizing the divisome at midcell. In the absence of these proteins, the divisome appears as multiple rings or arcs that drive lateral PGN incorporation, leading to cell elongation. We conclude that RodA–PBP3 and FtsW–PBP1 mediate sidewall and septal PGN incorporation, respectively, and that their activity must be balanced to maintain coccoid morphology.","author":[{"dropping-particle":"","family":"Reichmann","given":"Nathalie T","non-dropping-particle":"","parse-names":false,"suffix":""},{"dropping-particle":"","family":"Tavares","given":"Andreia C","non-dropping-particle":"","parse-names":false,"suffix":""},{"dropping-particle":"","family":"Saraiva","given":"Bruno M","non-dropping-particle":"","parse-names":false,"suffix":""},{"dropping-particle":"","family":"Jousselin","given":"Ambre","non-dropping-particle":"","parse-names":false,"suffix":""},{"dropping-particle":"","family":"Reed","given":"Patricia","non-dropping-particle":"","parse-names":false,"suffix":""},{"dropping-particle":"","family":"Pereira","given":"Ana R","non-dropping-particle":"","parse-names":false,"suffix":""},{"dropping-particle":"","family":"Monteiro","given":"João M","non-dropping-particle":"","parse-names":false,"suffix":""},{"dropping-particle":"","family":"Sobral","given":"Rita G","non-dropping-particle":"","parse-names":false,"suffix":""},{"dropping-particle":"","family":"VanNieuwenhze","given":"Michael S.","non-dropping-particle":"","parse-names":false,"suffix":""},{"dropping-particle":"","family":"Fernandes","given":"Fábio","non-dropping-particle":"","parse-names":false,"suffix":""},{"dropping-particle":"","family":"Pinho","given":"Mariana G","non-dropping-particle":"","parse-names":false,"suffix":""}],"container-title":"Nature Microbiology","id":"ITEM-3","issue":"8","issued":{"date-parts":[["2019"]]},"page":"1368-1377","title":"SEDS–bPBP pairs direct lateral and septal peptidoglycan synthesis in Staphylococcus aureus","type":"article-journal","volume":"4"},"uris":["http://www.mendeley.com/documents/?uuid=5db4c86c-753c-307b-a46c-56e2f68ab47e"]},{"id":"ITEM-4","itemData":{"DOI":"10.1074/jbc.REV119.010155","ISSN":"1083351X","PMID":"31974163","abstract":"Bacteria account for 1000-fold more biomass than humans. They vary widely in shape and size. The morphological diversity of bacteria is due largely to the different peptidoglycan-based cell wall structures that encase bacterial cells. Although the basic structure of peptidoglycan is highly conserved, consisting of long glycan strands that are cross-linked by short peptide chains, the mature cell wall is chemically diverse. Peptidoglycan hydrolases and cell wall-tailoring enzymes that regulate glycan strand length, the degree of cross-linking, and the addition of other modifications to peptidoglycan are central in determining the final architecture of the bacterial cell wall. Historically, it has been difficult to biochemically characterize these enzymes that act on peptidoglycan because suitable peptidoglycan substrates were inaccessible. In this review, we discuss fundamental aspects of bacterial cell wall synthesis, describe the regulation and diverse biochemical and functional activities of peptidoglycan hydrolases, and highlight recently developed methods to make and label defined peptidoglycan substrates. We also review how access to these substrates has now enabled biochemical studies that deepen our understanding of how bacterial cell wall enzymes cooperate to build a mature cell wall. Such improved understanding is critical to the development of new antibiotics that disrupt cell wall biogenesis, a process essential to the survival of bacteria.","author":[{"dropping-particle":"","family":"Do","given":"Truc","non-dropping-particle":"","parse-names":false,"suffix":""},{"dropping-particle":"","family":"Page","given":"Julia E.","non-dropping-particle":"","parse-names":false,"suffix":""},{"dropping-particle":"","family":"Walker","given":"Suzanne","non-dropping-particle":"","parse-names":false,"suffix":""}],"container-title":"Journal of Biological Chemistry","id":"ITEM-4","issue":"10","issued":{"date-parts":[["2020","3","6"]]},"page":"3347-3361","publisher":"American Society for Biochemistry and Molecular Biology Inc.","title":"Uncovering the activities, biological roles, and regulation of bacterial cell wall hydrolases and tailoring enzymes","type":"article","volume":"295"},"uris":["http://www.mendeley.com/documents/?uuid=e9506ce5-8aa0-32cb-bc39-0ab86631910e"]}],"mendeley":{"formattedCitation":"&lt;sup&gt;[36,42–44]&lt;/sup&gt;","plainTextFormattedCitation":"[36,42–44]","previouslyFormattedCitation":"&lt;sup&gt;[36,42–44]&lt;/sup&gt;"},"properties":{"noteIndex":0},"schema":"https://github.com/citation-style-language/schema/raw/master/csl-citation.json"}</w:instrText>
      </w:r>
      <w:r>
        <w:rPr>
          <w:i/>
          <w:iCs/>
        </w:rPr>
        <w:fldChar w:fldCharType="separate"/>
      </w:r>
      <w:r w:rsidR="00C825F9" w:rsidRPr="00C825F9">
        <w:rPr>
          <w:iCs/>
          <w:noProof/>
          <w:vertAlign w:val="superscript"/>
        </w:rPr>
        <w:t>[36,42–44]</w:t>
      </w:r>
      <w:r>
        <w:rPr>
          <w:i/>
          <w:iCs/>
        </w:rPr>
        <w:fldChar w:fldCharType="end"/>
      </w:r>
      <w:r>
        <w:rPr>
          <w:i/>
          <w:iCs/>
        </w:rPr>
        <w:t>.</w:t>
      </w:r>
      <w:r>
        <w:t xml:space="preserve"> </w:t>
      </w:r>
      <w:r w:rsidRPr="00DA466C">
        <w:t>RodA</w:t>
      </w:r>
      <w:r>
        <w:t xml:space="preserve"> has been shown to interact with PBP3 and </w:t>
      </w:r>
      <w:r w:rsidRPr="00DA466C">
        <w:t>FtsW</w:t>
      </w:r>
      <w:r>
        <w:t xml:space="preserve"> with PBP1, leading to the regulation of sidewall and septal PG incorporation respectively </w:t>
      </w:r>
      <w:r>
        <w:fldChar w:fldCharType="begin" w:fldLock="1"/>
      </w:r>
      <w:r w:rsidR="00260ACA">
        <w:instrText>ADDIN CSL_CITATION {"citationItems":[{"id":"ITEM-1","itemData":{"DOI":"10.1038/s41564-019-0437-2","ISBN":"4156401904372","ISSN":"20585276","PMID":"31086309","abstract":"Peptidoglycan (PGN) is the major component of the bacterial cell wall, a structure that is essential for the physical integrity and shape of the cell. Bacteria maintain cell shape by directing PGN incorporation to distinct regions of the cell, namely, through the localization of late-stage PGN synthesis proteins. These include two key protein families, SEDS transglycosylases and bPBP transpeptidases, proposed to function in cognate pairs. Rod-shaped bacteria have two SEDS–bPBP pairs, involved in elongation and division. Here, we elucidate why coccoid bacteria, such as Staphylococcus aureus, also possess two SEDS–bPBP pairs. We determined that S. aureus RodA–PBP3 and FtsW–PBP1 probably constitute cognate pairs of interacting proteins. A lack of RodA–PBP3 resulted in more spherical cells due to deficient sidewall PGN synthesis, whereas depletion of FtsW–PBP1 arrested normal septal PGN incorporation. Although PBP1 is an essential protein, a mutant lacking PBP1 transpeptidase activity is viable, showing that this protein has a second function. We propose that the FtsW–PBP1 pair has a role in stabilizing the divisome at midcell. In the absence of these proteins, the divisome appears as multiple rings or arcs that drive lateral PGN incorporation, leading to cell elongation. We conclude that RodA–PBP3 and FtsW–PBP1 mediate sidewall and septal PGN incorporation, respectively, and that their activity must be balanced to maintain coccoid morphology.","author":[{"dropping-particle":"","family":"Reichmann","given":"Nathalie T","non-dropping-particle":"","parse-names":false,"suffix":""},{"dropping-particle":"","family":"Tavares","given":"Andreia C","non-dropping-particle":"","parse-names":false,"suffix":""},{"dropping-particle":"","family":"Saraiva","given":"Bruno M","non-dropping-particle":"","parse-names":false,"suffix":""},{"dropping-particle":"","family":"Jousselin","given":"Ambre","non-dropping-particle":"","parse-names":false,"suffix":""},{"dropping-particle":"","family":"Reed","given":"Patricia","non-dropping-particle":"","parse-names":false,"suffix":""},{"dropping-particle":"","family":"Pereira","given":"Ana R","non-dropping-particle":"","parse-names":false,"suffix":""},{"dropping-particle":"","family":"Monteiro","given":"João M","non-dropping-particle":"","parse-names":false,"suffix":""},{"dropping-particle":"","family":"Sobral","given":"Rita G","non-dropping-particle":"","parse-names":false,"suffix":""},{"dropping-particle":"","family":"VanNieuwenhze","given":"Michael S.","non-dropping-particle":"","parse-names":false,"suffix":""},{"dropping-particle":"","family":"Fernandes","given":"Fábio","non-dropping-particle":"","parse-names":false,"suffix":""},{"dropping-particle":"","family":"Pinho","given":"Mariana G","non-dropping-particle":"","parse-names":false,"suffix":""}],"container-title":"Nature Microbiology","id":"ITEM-1","issue":"8","issued":{"date-parts":[["2019"]]},"page":"1368-1377","title":"SEDS–bPBP pairs direct lateral and septal peptidoglycan synthesis in Staphylococcus aureus","type":"article-journal","volume":"4"},"uris":["http://www.mendeley.com/documents/?uuid=5db4c86c-753c-307b-a46c-56e2f68ab47e"]}],"mendeley":{"formattedCitation":"&lt;sup&gt;[36]&lt;/sup&gt;","plainTextFormattedCitation":"[36]","previouslyFormattedCitation":"&lt;sup&gt;[36]&lt;/sup&gt;"},"properties":{"noteIndex":0},"schema":"https://github.com/citation-style-language/schema/raw/master/csl-citation.json"}</w:instrText>
      </w:r>
      <w:r>
        <w:fldChar w:fldCharType="separate"/>
      </w:r>
      <w:r w:rsidR="00C825F9" w:rsidRPr="00C825F9">
        <w:rPr>
          <w:noProof/>
          <w:vertAlign w:val="superscript"/>
        </w:rPr>
        <w:t>[36]</w:t>
      </w:r>
      <w:r>
        <w:fldChar w:fldCharType="end"/>
      </w:r>
      <w:r>
        <w:t xml:space="preserve">. Absence of a RodA-PBP3 interaction results in rounder cells, while the lack of FtsW-PBP1 lead to lateral PG incorporation and subsequent cell elongation </w:t>
      </w:r>
      <w:r>
        <w:fldChar w:fldCharType="begin" w:fldLock="1"/>
      </w:r>
      <w:r w:rsidR="00260ACA">
        <w:instrText>ADDIN CSL_CITATION {"citationItems":[{"id":"ITEM-1","itemData":{"DOI":"10.1038/s41564-019-0437-2","ISBN":"4156401904372","ISSN":"20585276","PMID":"31086309","abstract":"Peptidoglycan (PGN) is the major component of the bacterial cell wall, a structure that is essential for the physical integrity and shape of the cell. Bacteria maintain cell shape by directing PGN incorporation to distinct regions of the cell, namely, through the localization of late-stage PGN synthesis proteins. These include two key protein families, SEDS transglycosylases and bPBP transpeptidases, proposed to function in cognate pairs. Rod-shaped bacteria have two SEDS–bPBP pairs, involved in elongation and division. Here, we elucidate why coccoid bacteria, such as Staphylococcus aureus, also possess two SEDS–bPBP pairs. We determined that S. aureus RodA–PBP3 and FtsW–PBP1 probably constitute cognate pairs of interacting proteins. A lack of RodA–PBP3 resulted in more spherical cells due to deficient sidewall PGN synthesis, whereas depletion of FtsW–PBP1 arrested normal septal PGN incorporation. Although PBP1 is an essential protein, a mutant lacking PBP1 transpeptidase activity is viable, showing that this protein has a second function. We propose that the FtsW–PBP1 pair has a role in stabilizing the divisome at midcell. In the absence of these proteins, the divisome appears as multiple rings or arcs that drive lateral PGN incorporation, leading to cell elongation. We conclude that RodA–PBP3 and FtsW–PBP1 mediate sidewall and septal PGN incorporation, respectively, and that their activity must be balanced to maintain coccoid morphology.","author":[{"dropping-particle":"","family":"Reichmann","given":"Nathalie T","non-dropping-particle":"","parse-names":false,"suffix":""},{"dropping-particle":"","family":"Tavares","given":"Andreia C","non-dropping-particle":"","parse-names":false,"suffix":""},{"dropping-particle":"","family":"Saraiva","given":"Bruno M","non-dropping-particle":"","parse-names":false,"suffix":""},{"dropping-particle":"","family":"Jousselin","given":"Ambre","non-dropping-particle":"","parse-names":false,"suffix":""},{"dropping-particle":"","family":"Reed","given":"Patricia","non-dropping-particle":"","parse-names":false,"suffix":""},{"dropping-particle":"","family":"Pereira","given":"Ana R","non-dropping-particle":"","parse-names":false,"suffix":""},{"dropping-particle":"","family":"Monteiro","given":"João M","non-dropping-particle":"","parse-names":false,"suffix":""},{"dropping-particle":"","family":"Sobral","given":"Rita G","non-dropping-particle":"","parse-names":false,"suffix":""},{"dropping-particle":"","family":"VanNieuwenhze","given":"Michael S.","non-dropping-particle":"","parse-names":false,"suffix":""},{"dropping-particle":"","family":"Fernandes","given":"Fábio","non-dropping-particle":"","parse-names":false,"suffix":""},{"dropping-particle":"","family":"Pinho","given":"Mariana G","non-dropping-particle":"","parse-names":false,"suffix":""}],"container-title":"Nature Microbiology","id":"ITEM-1","issue":"8","issued":{"date-parts":[["2019"]]},"page":"1368-1377","title":"SEDS–bPBP pairs direct lateral and septal peptidoglycan synthesis in Staphylococcus aureus","type":"article-journal","volume":"4"},"uris":["http://www.mendeley.com/documents/?uuid=5db4c86c-753c-307b-a46c-56e2f68ab47e"]}],"mendeley":{"formattedCitation":"&lt;sup&gt;[36]&lt;/sup&gt;","plainTextFormattedCitation":"[36]","previouslyFormattedCitation":"&lt;sup&gt;[36]&lt;/sup&gt;"},"properties":{"noteIndex":0},"schema":"https://github.com/citation-style-language/schema/raw/master/csl-citation.json"}</w:instrText>
      </w:r>
      <w:r>
        <w:fldChar w:fldCharType="separate"/>
      </w:r>
      <w:r w:rsidR="00C825F9" w:rsidRPr="00C825F9">
        <w:rPr>
          <w:noProof/>
          <w:vertAlign w:val="superscript"/>
        </w:rPr>
        <w:t>[36]</w:t>
      </w:r>
      <w:r>
        <w:fldChar w:fldCharType="end"/>
      </w:r>
      <w:r>
        <w:t xml:space="preserve">. These interactions explain why </w:t>
      </w:r>
      <w:r>
        <w:rPr>
          <w:i/>
          <w:iCs/>
        </w:rPr>
        <w:t>S. aureus</w:t>
      </w:r>
      <w:r>
        <w:t xml:space="preserve">, a slightly prolate spherical bacteria, needs the balance between these two SEDS to maintain its shape </w:t>
      </w:r>
      <w:r>
        <w:fldChar w:fldCharType="begin" w:fldLock="1"/>
      </w:r>
      <w:r w:rsidR="00260ACA">
        <w:instrText>ADDIN CSL_CITATION {"citationItems":[{"id":"ITEM-1","itemData":{"DOI":"10.1038/s41564-019-0437-2","ISBN":"4156401904372","ISSN":"20585276","PMID":"31086309","abstract":"Peptidoglycan (PGN) is the major component of the bacterial cell wall, a structure that is essential for the physical integrity and shape of the cell. Bacteria maintain cell shape by directing PGN incorporation to distinct regions of the cell, namely, through the localization of late-stage PGN synthesis proteins. These include two key protein families, SEDS transglycosylases and bPBP transpeptidases, proposed to function in cognate pairs. Rod-shaped bacteria have two SEDS–bPBP pairs, involved in elongation and division. Here, we elucidate why coccoid bacteria, such as Staphylococcus aureus, also possess two SEDS–bPBP pairs. We determined that S. aureus RodA–PBP3 and FtsW–PBP1 probably constitute cognate pairs of interacting proteins. A lack of RodA–PBP3 resulted in more spherical cells due to deficient sidewall PGN synthesis, whereas depletion of FtsW–PBP1 arrested normal septal PGN incorporation. Although PBP1 is an essential protein, a mutant lacking PBP1 transpeptidase activity is viable, showing that this protein has a second function. We propose that the FtsW–PBP1 pair has a role in stabilizing the divisome at midcell. In the absence of these proteins, the divisome appears as multiple rings or arcs that drive lateral PGN incorporation, leading to cell elongation. We conclude that RodA–PBP3 and FtsW–PBP1 mediate sidewall and septal PGN incorporation, respectively, and that their activity must be balanced to maintain coccoid morphology.","author":[{"dropping-particle":"","family":"Reichmann","given":"Nathalie T","non-dropping-particle":"","parse-names":false,"suffix":""},{"dropping-particle":"","family":"Tavares","given":"Andreia C","non-dropping-particle":"","parse-names":false,"suffix":""},{"dropping-particle":"","family":"Saraiva","given":"Bruno M","non-dropping-particle":"","parse-names":false,"suffix":""},{"dropping-particle":"","family":"Jousselin","given":"Ambre","non-dropping-particle":"","parse-names":false,"suffix":""},{"dropping-particle":"","family":"Reed","given":"Patricia","non-dropping-particle":"","parse-names":false,"suffix":""},{"dropping-particle":"","family":"Pereira","given":"Ana R","non-dropping-particle":"","parse-names":false,"suffix":""},{"dropping-particle":"","family":"Monteiro","given":"João M","non-dropping-particle":"","parse-names":false,"suffix":""},{"dropping-particle":"","family":"Sobral","given":"Rita G","non-dropping-particle":"","parse-names":false,"suffix":""},{"dropping-particle":"","family":"VanNieuwenhze","given":"Michael S.","non-dropping-particle":"","parse-names":false,"suffix":""},{"dropping-particle":"","family":"Fernandes","given":"Fábio","non-dropping-particle":"","parse-names":false,"suffix":""},{"dropping-particle":"","family":"Pinho","given":"Mariana G","non-dropping-particle":"","parse-names":false,"suffix":""}],"container-title":"Nature Microbiology","id":"ITEM-1","issue":"8","issued":{"date-parts":[["2019"]]},"page":"1368-1377","title":"SEDS–bPBP pairs direct lateral and septal peptidoglycan synthesis in Staphylococcus aureus","type":"article-journal","volume":"4"},"uris":["http://www.mendeley.com/documents/?uuid=5db4c86c-753c-307b-a46c-56e2f68ab47e"]}],"mendeley":{"formattedCitation":"&lt;sup&gt;[36]&lt;/sup&gt;","plainTextFormattedCitation":"[36]","previouslyFormattedCitation":"&lt;sup&gt;[36]&lt;/sup&gt;"},"properties":{"noteIndex":0},"schema":"https://github.com/citation-style-language/schema/raw/master/csl-citation.json"}</w:instrText>
      </w:r>
      <w:r>
        <w:fldChar w:fldCharType="separate"/>
      </w:r>
      <w:r w:rsidR="00C825F9" w:rsidRPr="00C825F9">
        <w:rPr>
          <w:noProof/>
          <w:vertAlign w:val="superscript"/>
        </w:rPr>
        <w:t>[36]</w:t>
      </w:r>
      <w:r>
        <w:fldChar w:fldCharType="end"/>
      </w:r>
      <w:r>
        <w:t>.</w:t>
      </w:r>
    </w:p>
    <w:p w14:paraId="2637C861" w14:textId="763E12B9" w:rsidR="004A7DA1" w:rsidRDefault="00713A43" w:rsidP="00713A43">
      <w:pPr>
        <w:sectPr w:rsidR="004A7DA1" w:rsidSect="004D0E05">
          <w:pgSz w:w="11906" w:h="16838"/>
          <w:pgMar w:top="1191" w:right="1247" w:bottom="1191" w:left="1247" w:header="709" w:footer="709" w:gutter="0"/>
          <w:cols w:space="708"/>
          <w:titlePg/>
          <w:docGrid w:linePitch="360"/>
        </w:sectPr>
      </w:pPr>
      <w:r>
        <w:t xml:space="preserve">Another two non-essential monofunctional TG found in </w:t>
      </w:r>
      <w:r>
        <w:rPr>
          <w:i/>
          <w:iCs/>
        </w:rPr>
        <w:t>S. aureus,</w:t>
      </w:r>
      <w:r>
        <w:t xml:space="preserve"> are </w:t>
      </w:r>
      <w:r w:rsidRPr="00DA466C">
        <w:t>SgtB</w:t>
      </w:r>
      <w:r>
        <w:t xml:space="preserve"> (also known as Mgt) and </w:t>
      </w:r>
      <w:r w:rsidRPr="00DA466C">
        <w:t>SgtA</w:t>
      </w:r>
      <w:r>
        <w:t>. The former</w:t>
      </w:r>
      <w:r w:rsidRPr="00ED0FEC">
        <w:t xml:space="preserve"> </w:t>
      </w:r>
      <w:r w:rsidRPr="00197BBC">
        <w:t>resemble</w:t>
      </w:r>
      <w:r>
        <w:t>s</w:t>
      </w:r>
      <w:r w:rsidRPr="00197BBC">
        <w:t xml:space="preserve"> the TG domains of </w:t>
      </w:r>
      <w:r>
        <w:t>PBP2 and becomes essential in its absence</w:t>
      </w:r>
      <w:r w:rsidRPr="00197BBC">
        <w:t xml:space="preserve"> </w:t>
      </w:r>
      <w:r w:rsidRPr="00197BBC">
        <w:fldChar w:fldCharType="begin" w:fldLock="1"/>
      </w:r>
      <w:r w:rsidR="00260ACA">
        <w:instrText>ADDIN CSL_CITATION {"citationItems":[{"id":"ITEM-1","itemData":{"DOI":"10.1046/J.1365-2958.1996.442924.X","author":[{"dropping-particle":"","family":"Spratt","given":"B. G.","non-dropping-particle":"","parse-names":false,"suffix":""},{"dropping-particle":"","family":"Zhou","given":"J.","non-dropping-particle":"","parse-names":false,"suffix":""},{"dropping-particle":"","family":"Taylor","given":"M.","non-dropping-particle":"","parse-names":false,"suffix":""},{"dropping-particle":"","family":"Merrick","given":"M. J.","non-dropping-particle":"","parse-names":false,"suffix":""}],"container-title":"Molecular Microbiology","id":"ITEM-1","issue":"3","issued":{"date-parts":[["1996"]]},"page":"639-640","publisher":"Blackwell Publishing Ltd","title":"Monofunctional biosynthetic peptidoglycan transglycosylases [1]","type":"article-journal","volume":"19"},"uris":["http://www.mendeley.com/documents/?uuid=774455cc-ead4-3586-b667-462566e30434"]},{"id":"ITEM-2","itemData":{"DOI":"10.1111/j.1574-6976.2008.00105.x","ISSN":"01686445","PMID":"18266856","abstract":"Penicillin-binding proteins (PBPs) have been scrutinized for over 40 years. Recent structural information on PBPs together with the ongoing long-term biochemical experimental investigations, and results from more recent techniques such as protein localization by green fluorescent protein-fusion immunofluorescence or double-hybrid assay, have brought our understanding of the last stages of the peptidoglycan biosynthesis to an outstanding level that allows a broad outlook on the properties of these enzymes. Details are emerging regarding the interaction between the peptidoglycan-synthesizing PBPs and the peptidoglycan, their mesh net-like product that surrounds and protects bacteria. This review focuses on the detailed structure of PBPs and their implication in peptidoglycan synthesis, maturation and recycling. An overview of the content in PBPs of some bacteria is provided with an emphasis on comparing the biochemical properties of homologous PBPs (orthologues) belonging to different bacteria. © 2008 Federation of European Microbiological Societies.","author":[{"dropping-particle":"","family":"Sauvage","given":"Eric","non-dropping-particle":"","parse-names":false,"suffix":""},{"dropping-particle":"","family":"Kerff","given":"Frédéric","non-dropping-particle":"","parse-names":false,"suffix":""},{"dropping-particle":"","family":"Terrak","given":"Mohammed","non-dropping-particle":"","parse-names":false,"suffix":""},{"dropping-particle":"","family":"Ayala","given":"Juan A.","non-dropping-particle":"","parse-names":false,"suffix":""},{"dropping-particle":"","family":"Charlier","given":"Paulette","non-dropping-particle":"","parse-names":false,"suffix":""}],"container-title":"FEMS Microbiology Reviews","id":"ITEM-2","issue":"2","issued":{"date-parts":[["2008","3","1"]]},"page":"234-258","publisher":"John Wiley &amp; Sons, Ltd","title":"The penicillin-binding proteins: Structure and role in peptidoglycan biosynthesis","type":"article","volume":"32"},"uris":["http://www.mendeley.com/documents/?uuid=6d068ed0-2b47-3f8e-b04a-1f78f4c045ec"]},{"id":"ITEM-3","itemData":{"DOI":"10.1128/JB.01474-10","ISSN":"00219193","PMID":"21441517","abstract":"The polymerization of peptidoglycan is the result of two types of enzymatic activities: transglycosylation, the formation of linear glycan chains, and transpeptidation, the formation of peptide cross-bridges between the glycan strands. Staphylococcus aureus has four penicillin binding proteins (PBP1 to PBP4) with transpeptidation activity, one of which, PBP2, is a bifunctional enzyme that is also capable of catalyzing transglycosylation reactions. Additionally, two monofunctional transglycosylases have been reported in S. aureus: MGT, which has been shown to have in vitro transglycosylase activity, and a second putative transglycosylase, SgtA, identified only by sequence analysis. We have now shown that purified SgtA has in vitro transglycosylase activity and that both MGT and SgtA are not essential in S. aureus. However, in the absence of PBP2 transglycosylase activity, MGT but not SgtA becomes essential for cell viability. This indicates that S. aureus cells require one transglycosylase for survival, either PBP2 or MGT, both of which can act as the sole synthetic transglycosylase for cell wall synthesis. We have also shown that both MGT and SgtA interact with PBP2 and other enzymes involved in cell wall synthesis in a bacterial two-hybrid assay, suggesting that these enzymes may work in collaboration as part of a larger, as-yet-uncharacterized cell wall-synthetic complex. © 2011, American Society for Microbiology.","author":[{"dropping-particle":"","family":"Reed","given":"Patricia","non-dropping-particle":"","parse-names":false,"suffix":""},{"dropping-particle":"","family":"Veiga","given":"Helena","non-dropping-particle":"","parse-names":false,"suffix":""},{"dropping-particle":"","family":"Jorge","given":"Ana M.","non-dropping-particle":"","parse-names":false,"suffix":""},{"dropping-particle":"","family":"Terrak","given":"Mohammed","non-dropping-particle":"","parse-names":false,"suffix":""},{"dropping-particle":"","family":"Pinho","given":"Mariana G.","non-dropping-particle":"","parse-names":false,"suffix":""}],"container-title":"Journal of Bacteriology","id":"ITEM-3","issue":"10","issued":{"date-parts":[["2011","5"]]},"page":"2549-2556","publisher":"American Society for Microbiology (ASM)","title":"Monofunctional transglycosylases are not essential for Staphylococcus aureus cell wall synthesis","type":"article-journal","volume":"193"},"uris":["http://www.mendeley.com/documents/?uuid=c59fc61a-69f3-354f-adb9-79fc76b8d722"]}],"mendeley":{"formattedCitation":"&lt;sup&gt;[30,45,46]&lt;/sup&gt;","plainTextFormattedCitation":"[30,45,46]","previouslyFormattedCitation":"&lt;sup&gt;[30,45,46]&lt;/sup&gt;"},"properties":{"noteIndex":0},"schema":"https://github.com/citation-style-language/schema/raw/master/csl-citation.json"}</w:instrText>
      </w:r>
      <w:r w:rsidRPr="00197BBC">
        <w:fldChar w:fldCharType="separate"/>
      </w:r>
      <w:r w:rsidR="00C825F9" w:rsidRPr="00C825F9">
        <w:rPr>
          <w:noProof/>
          <w:vertAlign w:val="superscript"/>
        </w:rPr>
        <w:t>[30,45,46]</w:t>
      </w:r>
      <w:r w:rsidRPr="00197BBC">
        <w:fldChar w:fldCharType="end"/>
      </w:r>
      <w:r>
        <w:t xml:space="preserve">. Both SgtB and SgtA interact with themselves, with each other and with PBP2 and PBP1, supporting the hypothesis that </w:t>
      </w:r>
      <w:r>
        <w:rPr>
          <w:i/>
          <w:iCs/>
        </w:rPr>
        <w:t xml:space="preserve">S. aureus </w:t>
      </w:r>
      <w:r>
        <w:t xml:space="preserve">PG synthases may act as a complex </w:t>
      </w:r>
      <w:r>
        <w:fldChar w:fldCharType="begin" w:fldLock="1"/>
      </w:r>
      <w:r w:rsidR="00260ACA">
        <w:instrText>ADDIN CSL_CITATION {"citationItems":[{"id":"ITEM-1","itemData":{"DOI":"10.1128/JB.01474-10","ISSN":"00219193","PMID":"21441517","abstract":"The polymerization of peptidoglycan is the result of two types of enzymatic activities: transglycosylation, the formation of linear glycan chains, and transpeptidation, the formation of peptide cross-bridges between the glycan strands. Staphylococcus aureus has four penicillin binding proteins (PBP1 to PBP4) with transpeptidation activity, one of which, PBP2, is a bifunctional enzyme that is also capable of catalyzing transglycosylation reactions. Additionally, two monofunctional transglycosylases have been reported in S. aureus: MGT, which has been shown to have in vitro transglycosylase activity, and a second putative transglycosylase, SgtA, identified only by sequence analysis. We have now shown that purified SgtA has in vitro transglycosylase activity and that both MGT and SgtA are not essential in S. aureus. However, in the absence of PBP2 transglycosylase activity, MGT but not SgtA becomes essential for cell viability. This indicates that S. aureus cells require one transglycosylase for survival, either PBP2 or MGT, both of which can act as the sole synthetic transglycosylase for cell wall synthesis. We have also shown that both MGT and SgtA interact with PBP2 and other enzymes involved in cell wall synthesis in a bacterial two-hybrid assay, suggesting that these enzymes may work in collaboration as part of a larger, as-yet-uncharacterized cell wall-synthetic complex. © 2011, American Society for Microbiology.","author":[{"dropping-particle":"","family":"Reed","given":"Patricia","non-dropping-particle":"","parse-names":false,"suffix":""},{"dropping-particle":"","family":"Veiga","given":"Helena","non-dropping-particle":"","parse-names":false,"suffix":""},{"dropping-particle":"","family":"Jorge","given":"Ana M.","non-dropping-particle":"","parse-names":false,"suffix":""},{"dropping-particle":"","family":"Terrak","given":"Mohammed","non-dropping-particle":"","parse-names":false,"suffix":""},{"dropping-particle":"","family":"Pinho","given":"Mariana G.","non-dropping-particle":"","parse-names":false,"suffix":""}],"container-title":"Journal of Bacteriology","id":"ITEM-1","issue":"10","issued":{"date-parts":[["2011","5"]]},"page":"2549-2556","publisher":"American Society for Microbiology (ASM)","title":"Monofunctional transglycosylases are not essential for Staphylococcus aureus cell wall synthesis","type":"article-journal","volume":"193"},"uris":["http://www.mendeley.com/documents/?uuid=c59fc61a-69f3-354f-adb9-79fc76b8d722"]},{"id":"ITEM-2","itemData":{"DOI":"10.1016/j.mib.2017.01.006","ISSN":"18790364","PMID":"28214390","abstract":"In Gram-negative bacteria such as Escherichia coli the peptidoglycan sacculus resides in the periplasm, a compartment that experiences changes in pH value, osmolality, ion strength and other parameters depending on the cell's environment. Hence, the cell needs robust peptidoglycan growth mechanisms to grow and divide under different conditions. Here we propose a model according to which the cell achieves robust peptidoglycan growth by employing dynamic multi-protein complexes, which assemble with variable composition from freely diffusing sets of peptidoglycan synthases, hydrolases and their regulators, whereby the composition of the active complexes depends on the cell cycle state – cell elongation or division – and the periplasmic growth conditions.","author":[{"dropping-particle":"","family":"Pazos","given":"Manuel","non-dropping-particle":"","parse-names":false,"suffix":""},{"dropping-particle":"","family":"Peters","given":"Katharina","non-dropping-particle":"","parse-names":false,"suffix":""},{"dropping-particle":"","family":"Vollmer","given":"Waldemar","non-dropping-particle":"","parse-names":false,"suffix":""}],"container-title":"Current Opinion in Microbiology","id":"ITEM-2","issued":{"date-parts":[["2017"]]},"page":"55-61","title":"Robust peptidoglycan growth by dynamic and variable multi-protein complexes","type":"article","volume":"36"},"uris":["http://www.mendeley.com/documents/?uuid=023bec5a-3b2f-3ee6-8fbb-d221ff77a3f3"]}],"mendeley":{"formattedCitation":"&lt;sup&gt;[46,47]&lt;/sup&gt;","plainTextFormattedCitation":"[46,47]","previouslyFormattedCitation":"&lt;sup&gt;[46,47]&lt;/sup&gt;"},"properties":{"noteIndex":0},"schema":"https://github.com/citation-style-language/schema/raw/master/csl-citation.json"}</w:instrText>
      </w:r>
      <w:r>
        <w:fldChar w:fldCharType="separate"/>
      </w:r>
      <w:r w:rsidR="00C825F9" w:rsidRPr="00C825F9">
        <w:rPr>
          <w:noProof/>
          <w:vertAlign w:val="superscript"/>
        </w:rPr>
        <w:t>[46,47]</w:t>
      </w:r>
      <w:r>
        <w:fldChar w:fldCharType="end"/>
      </w:r>
      <w:r>
        <w:t xml:space="preserve">. Finally, </w:t>
      </w:r>
      <w:r w:rsidRPr="00DA466C">
        <w:t>FmtA</w:t>
      </w:r>
      <w:r>
        <w:t xml:space="preserve"> and </w:t>
      </w:r>
      <w:r w:rsidRPr="00DA466C">
        <w:t>FmtB</w:t>
      </w:r>
      <w:r>
        <w:t xml:space="preserve"> are auxiliary dispensable proteins homologous to TP domains found in </w:t>
      </w:r>
      <w:r>
        <w:rPr>
          <w:i/>
          <w:iCs/>
        </w:rPr>
        <w:t xml:space="preserve">S. aureus </w:t>
      </w:r>
      <w:r>
        <w:t xml:space="preserve">and therefore have a role in CW synthesis </w:t>
      </w:r>
      <w:r>
        <w:rPr>
          <w:i/>
          <w:iCs/>
        </w:rPr>
        <w:fldChar w:fldCharType="begin" w:fldLock="1"/>
      </w:r>
      <w:r w:rsidR="00260ACA">
        <w:rPr>
          <w:i/>
          <w:iCs/>
        </w:rPr>
        <w:instrText>ADDIN CSL_CITATION {"citationItems":[{"id":"ITEM-1","itemData":{"DOI":"10.1128/aac.43.9.2121","ISSN":"00664804","PMID":"10471551","abstract":"FmtA is a factor which affects the methicillin resistance level in methicillin-resistant Staphylococcus aureus. Since FmtA has two of three conserved motifs which are typically found in penicillin-binding proteins (PBPs) and β-lactamases, we investigated the penicillin-binding activity of recombinant FmtA and found no such activity. Immunoblotting analysis revealed that FmtA localizes in the membrane fraction. To investigate the function of FmtA, high-pressure liquid chromatography analysis of cell wall muropeptides was performed with an fmtA-inactivated mutant and its parent. The mutant showed a reduced cross-linking and partially reduced amidation of glutamate residues in the peptidoglycan of the mutant. The transcription of fmtA was dose dependently increased by the addition of β-lactam antibiotics, fosfomycin, and bacitracin, while its transcription was not changed by the addition of vancomycin or tetracycline. These results reveal that Fmt is a membrane-located, non-penicillin-binding protein and that mutation of fmtA affects the cell wall structure, although its precise function is still unknown.","author":[{"dropping-particle":"","family":"Komatsuzawa","given":"Hitoshi","non-dropping-particle":"","parse-names":false,"suffix":""},{"dropping-particle":"","family":"Ohta","given":"Kouji","non-dropping-particle":"","parse-names":false,"suffix":""},{"dropping-particle":"","family":"Labischinski","given":"Harald","non-dropping-particle":"","parse-names":false,"suffix":""},{"dropping-particle":"","family":"Sugai","given":"Motoyuki","non-dropping-particle":"","parse-names":false,"suffix":""},{"dropping-particle":"","family":"Suginaka","given":"Hidekazu","non-dropping-particle":"","parse-names":false,"suffix":""}],"container-title":"Antimicrobial Agents and Chemotherapy","id":"ITEM-1","issue":"9","issued":{"date-parts":[["1999"]]},"page":"2121-2125","title":"Characterization of fmtA, a gene that modulates the expression of methicillin resistance in Staphylococcus aureus","type":"article-journal","volume":"43"},"uris":["http://www.mendeley.com/documents/?uuid=0667eeb6-788d-44ba-86f5-8a86fc242691"]},{"id":"ITEM-2","itemData":{"DOI":"10.1093/jac/45.4.421","ISSN":"03057453","PMID":"10896508","abstract":"A Tn551 insert in a gene termed fmtB was shown to reduce oxacillin as well as Triton X-100 resistance in highly methicillin-resistant Staphylococcus aureus (MRSA) COL. Backcrosses of fmtB::Tn551 into S. aureus COL and into two genetically distinct MRSA strains, KSA8 and NCTC10443, confirmed the linkage of fmtB::Tn551 with loss of oxacillin resistance. The fmtB gene codes for a protein of a deduced molecular mass of 263 kDa that contains 17 tandem repeats of 75 amino acids and a C-terminal LPXTG cell wall-sorting motif. Immunoblots with anti-FmtB antibodies confirmed its localization in the cell wall fraction. The fmtB gene was mapped downstream of the phosphoglucosamine mutase operon glmM which catalyses formation of glucosamine-1-phosphate. Oxacillin resistance was not restored in fmtB mutants by trans-complementation with fmtB. However, although GlmM production was not affected by fmtB inactivation, oxacillin resistance was increased in fmtB mutants by introducing a plasmid-borne glmM gene, presumably by GlmM overexpression. Interestingly, a similar phenotypic complementation was obtained in fmtB mutants by including substrate level concentrations of N-acetylglucosamine or glucosamine in the growth medium. Inactivation of the fmtB gene seems therefore to have an indirect effect on methicillin resistance which can be relieved by increasing the production of the cell wall precursor glucosamine-1-phosphate.","author":[{"dropping-particle":"","family":"Komatsuzawa","given":"Hitoshi","non-dropping-particle":"","parse-names":false,"suffix":""},{"dropping-particle":"","family":"Ohta","given":"Kouji","non-dropping-particle":"","parse-names":false,"suffix":""},{"dropping-particle":"","family":"Sugai","given":"Motoyuki","non-dropping-particle":"","parse-names":false,"suffix":""},{"dropping-particle":"","family":"Fujiwara","given":"Tamaki","non-dropping-particle":"","parse-names":false,"suffix":""},{"dropping-particle":"","family":"Glanzmann","given":"Philipp","non-dropping-particle":"","parse-names":false,"suffix":""},{"dropping-particle":"","family":"Berger-Bächi","given":"Brigitte","non-dropping-particle":"","parse-names":false,"suffix":""},{"dropping-particle":"","family":"Suginaka","given":"Hidekazu","non-dropping-particle":"","parse-names":false,"suffix":""}],"container-title":"Journal of Antimicrobial Chemotherapy","id":"ITEM-2","issue":"4","issued":{"date-parts":[["2000"]]},"page":"421-431","title":"Tn551-mediated insertional inactivation of the fmtB gene encoding a cell wall-associated protein abolishes methicillin resistance in Staphylococcus aureus","type":"article-journal","volume":"45"},"uris":["http://www.mendeley.com/documents/?uuid=31e0274e-3f69-46db-a5a5-837b42d9ff80"]},{"id":"ITEM-3","itemData":{"DOI":"10.1371/journal.ppat.1004891","ISSN":"15537374","PMID":"25951442","abstract":"Many important cellular processes are performed by molecular machines, composed of multiple proteins that physically interact to execute biological functions. An example is the bacterial peptidoglycan (PG) synthesis machine, responsible for the synthesis of the main component of the cell wall and the target of many contemporary antibiotics. One approach for the identification of essential components of a cellular machine involves the determination of its minimal protein composition. Staphylococcus aureus is a Gram-positive pathogen, renowned for its resistance to many commonly used antibiotics and prevalence in hospitals. Its genome encodes a low number of proteins with PG synthesis activity (9 proteins), when compared to other model organisms, and is therefore a good model for the study of a minimal PG synthesis machine. We deleted seven of the nine genes encoding PG synthesis enzymes from the S. aureus genome without affecting normal growth or cell morphology, generating a strain capable of PG biosynthesis catalyzed only by two penicillin-binding proteins, PBP1 and the bi-functional PBP2. However, multiple PBPs are important in clinically relevant environments, as bacteria with a minimal PG synthesis machinery became highly susceptible to cell wall-targeting antibiotics, host lytic enzymes and displayed impaired virulence in a Drosophila infection model which is dependent on the presence of specific peptidoglycan receptor proteins, namely PGRP-SA. The fact that S. aureus can grow and divide with only two active PG synthesizing enzymes shows that most of these enzymes are redundant in vitro and identifies the minimal PG synthesis machinery of S. aureus. However a complex molecular machine is important in environments other than in vitro growth as the expendable PG synthesis enzymes play an important role in the pathogenicity and antibiotic resistance of S. aureus.","author":[{"dropping-particle":"","family":"Reed","given":"Patricia","non-dropping-particle":"","parse-names":false,"suffix":""},{"dropping-particle":"","family":"Atilano","given":"Magda L.","non-dropping-particle":"","parse-names":false,"suffix":""},{"dropping-particle":"","family":"Alves","given":"Renato","non-dropping-particle":"","parse-names":false,"suffix":""},{"dropping-particle":"","family":"Hoiczyk","given":"Egbert","non-dropping-particle":"","parse-names":false,"suffix":""},{"dropping-particle":"","family":"Sher","given":"Xinwei","non-dropping-particle":"","parse-names":false,"suffix":""},{"dropping-particle":"","family":"Reichmann","given":"Nathalie T.","non-dropping-particle":"","parse-names":false,"suffix":""},{"dropping-particle":"","family":"Pereira","given":"Pedro M.","non-dropping-particle":"","parse-names":false,"suffix":""},{"dropping-particle":"","family":"Roemer","given":"Terry","non-dropping-particle":"","parse-names":false,"suffix":""},{"dropping-particle":"","family":"Filipe","given":"Sérgio R.","non-dropping-particle":"","parse-names":false,"suffix":""},{"dropping-particle":"","family":"Pereira-Leal","given":"José B.","non-dropping-particle":"","parse-names":false,"suffix":""},{"dropping-particle":"","family":"Ligoxygakis","given":"Petros","non-dropping-particle":"","parse-names":false,"suffix":""},{"dropping-particle":"","family":"Pinho","given":"Mariana G.","non-dropping-particle":"","parse-names":false,"suffix":""}],"container-title":"PLoS Pathogens","id":"ITEM-3","issue":"5","issued":{"date-parts":[["2015","5","1"]]},"page":"e1004891","publisher":"Public Library of Science","title":"Staphylococcus aureus Survives with a Minimal Peptidoglycan Synthesis Machine but Sacrifices Virulence and Antibiotic Resistance","type":"article-journal","volume":"11"},"uris":["http://www.mendeley.com/documents/?uuid=efeb0b20-4b4c-34a7-9705-3c687acf5a86"]}],"mendeley":{"formattedCitation":"&lt;sup&gt;[48–50]&lt;/sup&gt;","plainTextFormattedCitation":"[48–50]","previouslyFormattedCitation":"&lt;sup&gt;[48–50]&lt;/sup&gt;"},"properties":{"noteIndex":0},"schema":"https://github.com/citation-style-language/schema/raw/master/csl-citation.json"}</w:instrText>
      </w:r>
      <w:r>
        <w:rPr>
          <w:i/>
          <w:iCs/>
        </w:rPr>
        <w:fldChar w:fldCharType="separate"/>
      </w:r>
      <w:r w:rsidR="00C825F9" w:rsidRPr="00C825F9">
        <w:rPr>
          <w:iCs/>
          <w:noProof/>
          <w:vertAlign w:val="superscript"/>
        </w:rPr>
        <w:t>[48–50]</w:t>
      </w:r>
      <w:r>
        <w:rPr>
          <w:i/>
          <w:iCs/>
        </w:rPr>
        <w:fldChar w:fldCharType="end"/>
      </w:r>
      <w:r>
        <w:t>.</w:t>
      </w:r>
    </w:p>
    <w:tbl>
      <w:tblPr>
        <w:tblStyle w:val="GridTable1Light"/>
        <w:tblW w:w="0" w:type="auto"/>
        <w:jc w:val="center"/>
        <w:tblLook w:val="04A0" w:firstRow="1" w:lastRow="0" w:firstColumn="1" w:lastColumn="0" w:noHBand="0" w:noVBand="1"/>
      </w:tblPr>
      <w:tblGrid>
        <w:gridCol w:w="1288"/>
        <w:gridCol w:w="1416"/>
        <w:gridCol w:w="1150"/>
        <w:gridCol w:w="3802"/>
        <w:gridCol w:w="1746"/>
      </w:tblGrid>
      <w:tr w:rsidR="004A7DA1" w14:paraId="45CEDBE7" w14:textId="77777777" w:rsidTr="00F12A2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bottom w:val="double" w:sz="4" w:space="0" w:color="auto"/>
            </w:tcBorders>
          </w:tcPr>
          <w:p w14:paraId="450EF067" w14:textId="77777777" w:rsidR="004A7DA1" w:rsidRDefault="004A7DA1" w:rsidP="00F12A23">
            <w:pPr>
              <w:pStyle w:val="Tabletextnormal"/>
            </w:pPr>
            <w:r>
              <w:lastRenderedPageBreak/>
              <w:t>Synthase (</w:t>
            </w:r>
            <w:r w:rsidRPr="003B7D9D">
              <w:rPr>
                <w:i/>
                <w:iCs/>
              </w:rPr>
              <w:t>gene</w:t>
            </w:r>
            <w:r>
              <w:t>)</w:t>
            </w:r>
          </w:p>
        </w:tc>
        <w:tc>
          <w:tcPr>
            <w:tcW w:w="0" w:type="auto"/>
            <w:tcBorders>
              <w:bottom w:val="double" w:sz="4" w:space="0" w:color="auto"/>
            </w:tcBorders>
          </w:tcPr>
          <w:p w14:paraId="69297DFA" w14:textId="77777777" w:rsidR="004A7DA1" w:rsidRDefault="004A7DA1" w:rsidP="00F12A23">
            <w:pPr>
              <w:pStyle w:val="Tabletextnormal"/>
              <w:cnfStyle w:val="100000000000" w:firstRow="1" w:lastRow="0" w:firstColumn="0" w:lastColumn="0" w:oddVBand="0" w:evenVBand="0" w:oddHBand="0" w:evenHBand="0" w:firstRowFirstColumn="0" w:firstRowLastColumn="0" w:lastRowFirstColumn="0" w:lastRowLastColumn="0"/>
            </w:pPr>
            <w:r>
              <w:t>Classification</w:t>
            </w:r>
          </w:p>
        </w:tc>
        <w:tc>
          <w:tcPr>
            <w:tcW w:w="0" w:type="auto"/>
            <w:tcBorders>
              <w:bottom w:val="double" w:sz="4" w:space="0" w:color="auto"/>
            </w:tcBorders>
          </w:tcPr>
          <w:p w14:paraId="77D2C27F" w14:textId="77777777" w:rsidR="004A7DA1" w:rsidRDefault="004A7DA1" w:rsidP="00F12A23">
            <w:pPr>
              <w:pStyle w:val="Tabletextnormal"/>
              <w:cnfStyle w:val="100000000000" w:firstRow="1" w:lastRow="0" w:firstColumn="0" w:lastColumn="0" w:oddVBand="0" w:evenVBand="0" w:oddHBand="0" w:evenHBand="0" w:firstRowFirstColumn="0" w:firstRowLastColumn="0" w:lastRowFirstColumn="0" w:lastRowLastColumn="0"/>
            </w:pPr>
            <w:r>
              <w:t>Known activity</w:t>
            </w:r>
          </w:p>
        </w:tc>
        <w:tc>
          <w:tcPr>
            <w:tcW w:w="0" w:type="auto"/>
            <w:tcBorders>
              <w:bottom w:val="double" w:sz="4" w:space="0" w:color="auto"/>
            </w:tcBorders>
          </w:tcPr>
          <w:p w14:paraId="6B7C8ACE" w14:textId="77777777" w:rsidR="004A7DA1" w:rsidRDefault="004A7DA1" w:rsidP="00F12A23">
            <w:pPr>
              <w:pStyle w:val="Tabletextnormal"/>
              <w:cnfStyle w:val="100000000000" w:firstRow="1" w:lastRow="0" w:firstColumn="0" w:lastColumn="0" w:oddVBand="0" w:evenVBand="0" w:oddHBand="0" w:evenHBand="0" w:firstRowFirstColumn="0" w:firstRowLastColumn="0" w:lastRowFirstColumn="0" w:lastRowLastColumn="0"/>
            </w:pPr>
            <w:r>
              <w:t>Description</w:t>
            </w:r>
          </w:p>
        </w:tc>
        <w:tc>
          <w:tcPr>
            <w:tcW w:w="0" w:type="auto"/>
            <w:tcBorders>
              <w:bottom w:val="double" w:sz="4" w:space="0" w:color="auto"/>
            </w:tcBorders>
          </w:tcPr>
          <w:p w14:paraId="23E5E6AA" w14:textId="77777777" w:rsidR="004A7DA1" w:rsidRDefault="004A7DA1" w:rsidP="00F12A23">
            <w:pPr>
              <w:pStyle w:val="Tabletextnormal"/>
              <w:cnfStyle w:val="100000000000" w:firstRow="1" w:lastRow="0" w:firstColumn="0" w:lastColumn="0" w:oddVBand="0" w:evenVBand="0" w:oddHBand="0" w:evenHBand="0" w:firstRowFirstColumn="0" w:firstRowLastColumn="0" w:lastRowFirstColumn="0" w:lastRowLastColumn="0"/>
            </w:pPr>
            <w:r>
              <w:t>References</w:t>
            </w:r>
          </w:p>
        </w:tc>
      </w:tr>
      <w:tr w:rsidR="004A7DA1" w:rsidRPr="001C296B" w14:paraId="5EA5F9B1"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Borders>
              <w:top w:val="double" w:sz="4" w:space="0" w:color="auto"/>
            </w:tcBorders>
          </w:tcPr>
          <w:p w14:paraId="2BD70616" w14:textId="77777777" w:rsidR="004A7DA1" w:rsidRPr="001E1436" w:rsidRDefault="004A7DA1" w:rsidP="00F12A23">
            <w:pPr>
              <w:pStyle w:val="Tabletextnormal"/>
              <w:rPr>
                <w:b/>
                <w:bCs w:val="0"/>
              </w:rPr>
            </w:pPr>
            <w:r w:rsidRPr="001E1436">
              <w:rPr>
                <w:b/>
                <w:bCs w:val="0"/>
              </w:rPr>
              <w:t>PBP1</w:t>
            </w:r>
          </w:p>
          <w:p w14:paraId="7311334F" w14:textId="77777777" w:rsidR="004A7DA1" w:rsidRPr="001E1436" w:rsidRDefault="004A7DA1" w:rsidP="00F12A23">
            <w:pPr>
              <w:pStyle w:val="Tabletextnormal"/>
              <w:rPr>
                <w:b/>
                <w:bCs w:val="0"/>
              </w:rPr>
            </w:pPr>
            <w:r w:rsidRPr="001E1436">
              <w:rPr>
                <w:b/>
                <w:bCs w:val="0"/>
              </w:rPr>
              <w:t>(</w:t>
            </w:r>
            <w:r w:rsidRPr="00EB02EE">
              <w:rPr>
                <w:b/>
                <w:bCs w:val="0"/>
                <w:i/>
                <w:iCs/>
              </w:rPr>
              <w:t>pbp1</w:t>
            </w:r>
            <w:r w:rsidRPr="001E1436">
              <w:rPr>
                <w:b/>
                <w:bCs w:val="0"/>
              </w:rPr>
              <w:t>)</w:t>
            </w:r>
          </w:p>
        </w:tc>
        <w:tc>
          <w:tcPr>
            <w:tcW w:w="0" w:type="auto"/>
            <w:tcBorders>
              <w:top w:val="double" w:sz="4" w:space="0" w:color="auto"/>
            </w:tcBorders>
          </w:tcPr>
          <w:p w14:paraId="75EA5C2D" w14:textId="77777777" w:rsidR="004A7DA1" w:rsidRPr="00513F53" w:rsidRDefault="004A7DA1" w:rsidP="00F12A23">
            <w:pPr>
              <w:pStyle w:val="Tabletextnormal"/>
              <w:cnfStyle w:val="000000000000" w:firstRow="0" w:lastRow="0" w:firstColumn="0" w:lastColumn="0" w:oddVBand="0" w:evenVBand="0" w:oddHBand="0" w:evenHBand="0" w:firstRowFirstColumn="0" w:firstRowLastColumn="0" w:lastRowFirstColumn="0" w:lastRowLastColumn="0"/>
            </w:pPr>
            <w:r w:rsidRPr="00513F53">
              <w:t>HMM class B</w:t>
            </w:r>
          </w:p>
        </w:tc>
        <w:tc>
          <w:tcPr>
            <w:tcW w:w="0" w:type="auto"/>
            <w:tcBorders>
              <w:top w:val="double" w:sz="4" w:space="0" w:color="auto"/>
            </w:tcBorders>
          </w:tcPr>
          <w:p w14:paraId="3ADF1B91" w14:textId="77777777" w:rsidR="004A7DA1" w:rsidRPr="00513F53" w:rsidRDefault="004A7DA1" w:rsidP="00F12A23">
            <w:pPr>
              <w:pStyle w:val="Tabletextnormal"/>
              <w:cnfStyle w:val="000000000000" w:firstRow="0" w:lastRow="0" w:firstColumn="0" w:lastColumn="0" w:oddVBand="0" w:evenVBand="0" w:oddHBand="0" w:evenHBand="0" w:firstRowFirstColumn="0" w:firstRowLastColumn="0" w:lastRowFirstColumn="0" w:lastRowLastColumn="0"/>
            </w:pPr>
            <w:r>
              <w:t>TP</w:t>
            </w:r>
          </w:p>
        </w:tc>
        <w:tc>
          <w:tcPr>
            <w:tcW w:w="0" w:type="auto"/>
            <w:tcBorders>
              <w:top w:val="double" w:sz="4" w:space="0" w:color="auto"/>
            </w:tcBorders>
          </w:tcPr>
          <w:p w14:paraId="1C314ED6" w14:textId="77777777" w:rsidR="004A7DA1" w:rsidRPr="00513F53" w:rsidRDefault="004A7DA1" w:rsidP="00F12A23">
            <w:pPr>
              <w:pStyle w:val="Tabletextnormal"/>
              <w:cnfStyle w:val="000000000000" w:firstRow="0" w:lastRow="0" w:firstColumn="0" w:lastColumn="0" w:oddVBand="0" w:evenVBand="0" w:oddHBand="0" w:evenHBand="0" w:firstRowFirstColumn="0" w:firstRowLastColumn="0" w:lastRowFirstColumn="0" w:lastRowLastColumn="0"/>
            </w:pPr>
            <w:r w:rsidRPr="00513F53">
              <w:t>Essential for growth and division</w:t>
            </w:r>
            <w:r>
              <w:t>. Interacts with FtsW for septal PG incorporation.</w:t>
            </w:r>
          </w:p>
        </w:tc>
        <w:tc>
          <w:tcPr>
            <w:tcW w:w="0" w:type="auto"/>
            <w:tcBorders>
              <w:top w:val="double" w:sz="4" w:space="0" w:color="auto"/>
            </w:tcBorders>
          </w:tcPr>
          <w:p w14:paraId="2AAA3452" w14:textId="1BA41F09" w:rsidR="004A7DA1" w:rsidRPr="00575526" w:rsidRDefault="004A7DA1" w:rsidP="00F12A23">
            <w:pPr>
              <w:pStyle w:val="Tabletextnormal"/>
              <w:cnfStyle w:val="000000000000" w:firstRow="0" w:lastRow="0" w:firstColumn="0" w:lastColumn="0" w:oddVBand="0" w:evenVBand="0" w:oddHBand="0" w:evenHBand="0" w:firstRowFirstColumn="0" w:firstRowLastColumn="0" w:lastRowFirstColumn="0" w:lastRowLastColumn="0"/>
              <w:rPr>
                <w:sz w:val="21"/>
                <w:szCs w:val="21"/>
              </w:rPr>
            </w:pPr>
            <w:r w:rsidRPr="00575526">
              <w:rPr>
                <w:sz w:val="21"/>
                <w:szCs w:val="21"/>
              </w:rPr>
              <w:t xml:space="preserve">Pereira </w:t>
            </w:r>
            <w:r w:rsidRPr="00575526">
              <w:rPr>
                <w:i/>
                <w:iCs/>
                <w:sz w:val="21"/>
                <w:szCs w:val="21"/>
              </w:rPr>
              <w:t>et al</w:t>
            </w:r>
            <w:r w:rsidRPr="00575526">
              <w:rPr>
                <w:sz w:val="21"/>
                <w:szCs w:val="21"/>
              </w:rPr>
              <w:t xml:space="preserve">., (2009) </w:t>
            </w:r>
            <w:r w:rsidRPr="00575526">
              <w:rPr>
                <w:sz w:val="21"/>
                <w:szCs w:val="21"/>
              </w:rPr>
              <w:fldChar w:fldCharType="begin" w:fldLock="1"/>
            </w:r>
            <w:r w:rsidR="00260ACA">
              <w:rPr>
                <w:sz w:val="21"/>
                <w:szCs w:val="21"/>
              </w:rPr>
              <w:instrText>ADDIN CSL_CITATION {"citationItems":[{"id":"ITEM-1","itemData":{"DOI":"10.1111/j.1365-2958.2009.06687.x","ISSN":"0950382X","PMID":"19400776","abstract":"Penicillin-binding proteins (PBPs) catalyse the synthesis of cell wall peptidoglycan. PBP1 of Staphylococcus aureus is a high-molecular-weight monofunctional transpeptidase (TPase) and previous studies with a conditional mutant showed that this protein was essential for bacterial growth and survival: cells in which PBP1 was depleted stopped dividing but continued to enlarge in size, accompanied by rapid loss of viability. Also, cell walls produced under PBP1 depletion appeared to have normal composition. We describe here construction of a second PBP1 mutant in which the active site of the TPase domain was inactivated. Cells in which the wild-type PBP1 was replaced by the mutant protein were able to initiate and complete septa and undergo at least one or two cell divisions after which growth stopped accompanied by inhibition of cell separation, downregulation in the transcription of the autolytic system and production of cell walls with increased proportion of monomeric and dimeric muropeptides and decrease in oligomeric muropeptides. PBP1 seems to perform a dual role in the cell cycle of S. aureus: as a protein required for septation and also as a transpeptidase that generates a critical signal for cell separation at the end of cell division. © 2009 Blackwell Publishing Ltd.","author":[{"dropping-particle":"","family":"Pereira","given":"Sandro F.F.","non-dropping-particle":"","parse-names":false,"suffix":""},{"dropping-particle":"","family":"Henriques","given":"Adriano O.","non-dropping-particle":"","parse-names":false,"suffix":""},{"dropping-particle":"","family":"Pinho","given":"Mariana G.","non-dropping-particle":"","parse-names":false,"suffix":""},{"dropping-particle":"","family":"Lencastre","given":"Herminia","non-dropping-particle":"De","parse-names":false,"suffix":""},{"dropping-particle":"","family":"Tomasz","given":"Alexander","non-dropping-particle":"","parse-names":false,"suffix":""}],"container-title":"Molecular Microbiology","id":"ITEM-1","issue":"4","issued":{"date-parts":[["2009","5"]]},"page":"895-904","title":"Evidence for a dual role of PBP1 in the cell division and cell separation of Staphylococcus aureus","type":"article-journal","volume":"72"},"uris":["http://www.mendeley.com/documents/?uuid=de2c9348-45af-335c-83f1-17d6e2742951"]}],"mendeley":{"formattedCitation":"&lt;sup&gt;[35]&lt;/sup&gt;","plainTextFormattedCitation":"[35]","previouslyFormattedCitation":"&lt;sup&gt;[35]&lt;/sup&gt;"},"properties":{"noteIndex":0},"schema":"https://github.com/citation-style-language/schema/raw/master/csl-citation.json"}</w:instrText>
            </w:r>
            <w:r w:rsidRPr="00575526">
              <w:rPr>
                <w:sz w:val="21"/>
                <w:szCs w:val="21"/>
              </w:rPr>
              <w:fldChar w:fldCharType="separate"/>
            </w:r>
            <w:r w:rsidR="00C825F9" w:rsidRPr="00C825F9">
              <w:rPr>
                <w:noProof/>
                <w:sz w:val="21"/>
                <w:szCs w:val="21"/>
                <w:vertAlign w:val="superscript"/>
              </w:rPr>
              <w:t>[35]</w:t>
            </w:r>
            <w:r w:rsidRPr="00575526">
              <w:rPr>
                <w:sz w:val="21"/>
                <w:szCs w:val="21"/>
              </w:rPr>
              <w:fldChar w:fldCharType="end"/>
            </w:r>
          </w:p>
        </w:tc>
      </w:tr>
      <w:tr w:rsidR="004A7DA1" w14:paraId="709E7952"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068D538" w14:textId="77777777" w:rsidR="004A7DA1" w:rsidRPr="001E1436" w:rsidRDefault="004A7DA1" w:rsidP="00F12A23">
            <w:pPr>
              <w:pStyle w:val="Tabletextnormal"/>
              <w:rPr>
                <w:b/>
                <w:bCs w:val="0"/>
              </w:rPr>
            </w:pPr>
            <w:r w:rsidRPr="001E1436">
              <w:rPr>
                <w:b/>
                <w:bCs w:val="0"/>
              </w:rPr>
              <w:t>PBP2</w:t>
            </w:r>
          </w:p>
          <w:p w14:paraId="70C8779E" w14:textId="77777777" w:rsidR="004A7DA1" w:rsidRPr="001E1436" w:rsidRDefault="004A7DA1" w:rsidP="00F12A23">
            <w:pPr>
              <w:pStyle w:val="Tabletextnormal"/>
              <w:rPr>
                <w:b/>
                <w:bCs w:val="0"/>
              </w:rPr>
            </w:pPr>
            <w:r w:rsidRPr="001E1436">
              <w:rPr>
                <w:b/>
                <w:bCs w:val="0"/>
              </w:rPr>
              <w:t>(</w:t>
            </w:r>
            <w:r w:rsidRPr="00EB02EE">
              <w:rPr>
                <w:b/>
                <w:bCs w:val="0"/>
                <w:i/>
                <w:iCs/>
              </w:rPr>
              <w:t>pbp2</w:t>
            </w:r>
            <w:r w:rsidRPr="001E1436">
              <w:rPr>
                <w:b/>
                <w:bCs w:val="0"/>
              </w:rPr>
              <w:t>)</w:t>
            </w:r>
          </w:p>
        </w:tc>
        <w:tc>
          <w:tcPr>
            <w:tcW w:w="0" w:type="auto"/>
          </w:tcPr>
          <w:p w14:paraId="55A1E407" w14:textId="77777777" w:rsidR="004A7DA1" w:rsidRPr="00513F53" w:rsidRDefault="004A7DA1" w:rsidP="00F12A23">
            <w:pPr>
              <w:pStyle w:val="Tabletextnormal"/>
              <w:cnfStyle w:val="000000000000" w:firstRow="0" w:lastRow="0" w:firstColumn="0" w:lastColumn="0" w:oddVBand="0" w:evenVBand="0" w:oddHBand="0" w:evenHBand="0" w:firstRowFirstColumn="0" w:firstRowLastColumn="0" w:lastRowFirstColumn="0" w:lastRowLastColumn="0"/>
            </w:pPr>
            <w:r w:rsidRPr="00513F53">
              <w:t>HMM class A</w:t>
            </w:r>
          </w:p>
        </w:tc>
        <w:tc>
          <w:tcPr>
            <w:tcW w:w="0" w:type="auto"/>
          </w:tcPr>
          <w:p w14:paraId="3EB5D5A8" w14:textId="77777777" w:rsidR="004A7DA1" w:rsidRPr="00513F53" w:rsidRDefault="004A7DA1" w:rsidP="00F12A23">
            <w:pPr>
              <w:pStyle w:val="Tabletextnormal"/>
              <w:cnfStyle w:val="000000000000" w:firstRow="0" w:lastRow="0" w:firstColumn="0" w:lastColumn="0" w:oddVBand="0" w:evenVBand="0" w:oddHBand="0" w:evenHBand="0" w:firstRowFirstColumn="0" w:firstRowLastColumn="0" w:lastRowFirstColumn="0" w:lastRowLastColumn="0"/>
            </w:pPr>
            <w:r>
              <w:t>TG/TP</w:t>
            </w:r>
          </w:p>
        </w:tc>
        <w:tc>
          <w:tcPr>
            <w:tcW w:w="0" w:type="auto"/>
          </w:tcPr>
          <w:p w14:paraId="60D26432" w14:textId="77777777" w:rsidR="004A7DA1" w:rsidRPr="00513F53" w:rsidRDefault="004A7DA1" w:rsidP="00F12A23">
            <w:pPr>
              <w:pStyle w:val="Tabletextnormal"/>
              <w:cnfStyle w:val="000000000000" w:firstRow="0" w:lastRow="0" w:firstColumn="0" w:lastColumn="0" w:oddVBand="0" w:evenVBand="0" w:oddHBand="0" w:evenHBand="0" w:firstRowFirstColumn="0" w:firstRowLastColumn="0" w:lastRowFirstColumn="0" w:lastRowLastColumn="0"/>
            </w:pPr>
            <w:r w:rsidRPr="00513F53">
              <w:t>Essential for division</w:t>
            </w:r>
          </w:p>
        </w:tc>
        <w:tc>
          <w:tcPr>
            <w:tcW w:w="0" w:type="auto"/>
          </w:tcPr>
          <w:p w14:paraId="025ACE06" w14:textId="16E79CD3" w:rsidR="004A7DA1" w:rsidRPr="00575526" w:rsidRDefault="004A7DA1" w:rsidP="00F12A23">
            <w:pPr>
              <w:pStyle w:val="Tabletextnormal"/>
              <w:cnfStyle w:val="000000000000" w:firstRow="0" w:lastRow="0" w:firstColumn="0" w:lastColumn="0" w:oddVBand="0" w:evenVBand="0" w:oddHBand="0" w:evenHBand="0" w:firstRowFirstColumn="0" w:firstRowLastColumn="0" w:lastRowFirstColumn="0" w:lastRowLastColumn="0"/>
              <w:rPr>
                <w:sz w:val="21"/>
                <w:szCs w:val="21"/>
              </w:rPr>
            </w:pPr>
            <w:r w:rsidRPr="00575526">
              <w:rPr>
                <w:sz w:val="21"/>
                <w:szCs w:val="21"/>
              </w:rPr>
              <w:t xml:space="preserve">Pinho </w:t>
            </w:r>
            <w:r w:rsidRPr="00575526">
              <w:rPr>
                <w:i/>
                <w:iCs/>
                <w:sz w:val="21"/>
                <w:szCs w:val="21"/>
              </w:rPr>
              <w:t>et al</w:t>
            </w:r>
            <w:r w:rsidRPr="00575526">
              <w:rPr>
                <w:sz w:val="21"/>
                <w:szCs w:val="21"/>
              </w:rPr>
              <w:t xml:space="preserve">., (2001) </w:t>
            </w:r>
            <w:r w:rsidRPr="00575526">
              <w:rPr>
                <w:sz w:val="21"/>
                <w:szCs w:val="21"/>
              </w:rPr>
              <w:fldChar w:fldCharType="begin" w:fldLock="1"/>
            </w:r>
            <w:r w:rsidR="00260ACA">
              <w:rPr>
                <w:sz w:val="21"/>
                <w:szCs w:val="21"/>
              </w:rPr>
              <w:instrText>ADDIN CSL_CITATION {"citationItems":[{"id":"ITEM-1","itemData":{"DOI":"10.1128/JB.183.22.6525-6531.2001","ISSN":"00219193","PMID":"11673420","abstract":"The essential function of penicillin-binding protein 2 (PBP2) in methicillin-susceptible Staphylococcus aureus RN4220 was clearly established by placing the pbp2 gene under control of the inducible Pspac promoter; the resulting bacteria were unable to grow in the absence of inducer. In contrast, the deficit in PBP2 caused by inhibition of transcription of the pbp2 gene did not block growth of a methicillin-resistant S. aureus strain expressing the extra penicillin-binding protein PBP2A, a protein of extraspecies origin that is central to the mechanism of methicillin resistance. Several lines of evidence indicate that the essential function of PBP2 that can be compensated for by PBP2A is the transpeptidase activity. This provides direct genetic evidence that PBP2A has transpeptidase activity.","author":[{"dropping-particle":"","family":"Pinho","given":"M. G.","non-dropping-particle":"","parse-names":false,"suffix":""},{"dropping-particle":"","family":"Filipe","given":"S. R.","non-dropping-particle":"","parse-names":false,"suffix":""},{"dropping-particle":"","family":"Lencastre","given":"H.","non-dropping-particle":"De","parse-names":false,"suffix":""},{"dropping-particle":"","family":"Tomasz","given":"A.","non-dropping-particle":"","parse-names":false,"suffix":""}],"container-title":"Journal of Bacteriology","id":"ITEM-1","issue":"22","issued":{"date-parts":[["2001"]]},"page":"6525-6531","publisher":"American Society for Microbiology (ASM)","title":"Complementation of the essential peptidoglycan transpeptidase function of penicillin-binding protein 2 (PBP2) by the drug resistance protein PBP2A in Staphylococcus aureus","type":"article-journal","volume":"183"},"uris":["http://www.mendeley.com/documents/?uuid=08e787ea-f301-345f-ab15-08ef152d34f0"]}],"mendeley":{"formattedCitation":"&lt;sup&gt;[33]&lt;/sup&gt;","plainTextFormattedCitation":"[33]","previouslyFormattedCitation":"&lt;sup&gt;[33]&lt;/sup&gt;"},"properties":{"noteIndex":0},"schema":"https://github.com/citation-style-language/schema/raw/master/csl-citation.json"}</w:instrText>
            </w:r>
            <w:r w:rsidRPr="00575526">
              <w:rPr>
                <w:sz w:val="21"/>
                <w:szCs w:val="21"/>
              </w:rPr>
              <w:fldChar w:fldCharType="separate"/>
            </w:r>
            <w:r w:rsidR="00C825F9" w:rsidRPr="00C825F9">
              <w:rPr>
                <w:noProof/>
                <w:sz w:val="21"/>
                <w:szCs w:val="21"/>
                <w:vertAlign w:val="superscript"/>
              </w:rPr>
              <w:t>[33]</w:t>
            </w:r>
            <w:r w:rsidRPr="00575526">
              <w:rPr>
                <w:sz w:val="21"/>
                <w:szCs w:val="21"/>
              </w:rPr>
              <w:fldChar w:fldCharType="end"/>
            </w:r>
          </w:p>
        </w:tc>
      </w:tr>
      <w:tr w:rsidR="004A7DA1" w:rsidRPr="001C296B" w14:paraId="5CF24D5C"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AA12107" w14:textId="77777777" w:rsidR="004A7DA1" w:rsidRPr="001E1436" w:rsidRDefault="004A7DA1" w:rsidP="00F12A23">
            <w:pPr>
              <w:pStyle w:val="Tabletextnormal"/>
              <w:rPr>
                <w:b/>
                <w:bCs w:val="0"/>
              </w:rPr>
            </w:pPr>
            <w:r w:rsidRPr="001E1436">
              <w:rPr>
                <w:b/>
                <w:bCs w:val="0"/>
              </w:rPr>
              <w:t>PBP3</w:t>
            </w:r>
          </w:p>
          <w:p w14:paraId="627CB2AD" w14:textId="77777777" w:rsidR="004A7DA1" w:rsidRPr="001E1436" w:rsidRDefault="004A7DA1" w:rsidP="00F12A23">
            <w:pPr>
              <w:pStyle w:val="Tabletextnormal"/>
              <w:rPr>
                <w:b/>
                <w:bCs w:val="0"/>
              </w:rPr>
            </w:pPr>
            <w:r w:rsidRPr="001E1436">
              <w:rPr>
                <w:b/>
                <w:bCs w:val="0"/>
              </w:rPr>
              <w:t>(</w:t>
            </w:r>
            <w:r w:rsidRPr="00EB02EE">
              <w:rPr>
                <w:b/>
                <w:bCs w:val="0"/>
                <w:i/>
                <w:iCs/>
              </w:rPr>
              <w:t>pbp3</w:t>
            </w:r>
            <w:r w:rsidRPr="001E1436">
              <w:rPr>
                <w:b/>
                <w:bCs w:val="0"/>
              </w:rPr>
              <w:t>)</w:t>
            </w:r>
          </w:p>
        </w:tc>
        <w:tc>
          <w:tcPr>
            <w:tcW w:w="0" w:type="auto"/>
          </w:tcPr>
          <w:p w14:paraId="64DF8C55" w14:textId="77777777" w:rsidR="004A7DA1" w:rsidRPr="00513F53" w:rsidRDefault="004A7DA1" w:rsidP="00F12A23">
            <w:pPr>
              <w:pStyle w:val="Tabletextnormal"/>
              <w:cnfStyle w:val="000000000000" w:firstRow="0" w:lastRow="0" w:firstColumn="0" w:lastColumn="0" w:oddVBand="0" w:evenVBand="0" w:oddHBand="0" w:evenHBand="0" w:firstRowFirstColumn="0" w:firstRowLastColumn="0" w:lastRowFirstColumn="0" w:lastRowLastColumn="0"/>
            </w:pPr>
            <w:r w:rsidRPr="00513F53">
              <w:t>HMM class B</w:t>
            </w:r>
          </w:p>
        </w:tc>
        <w:tc>
          <w:tcPr>
            <w:tcW w:w="0" w:type="auto"/>
          </w:tcPr>
          <w:p w14:paraId="6F1791E3" w14:textId="77777777" w:rsidR="004A7DA1" w:rsidRPr="00513F53" w:rsidRDefault="004A7DA1" w:rsidP="00F12A23">
            <w:pPr>
              <w:pStyle w:val="Tabletextnormal"/>
              <w:cnfStyle w:val="000000000000" w:firstRow="0" w:lastRow="0" w:firstColumn="0" w:lastColumn="0" w:oddVBand="0" w:evenVBand="0" w:oddHBand="0" w:evenHBand="0" w:firstRowFirstColumn="0" w:firstRowLastColumn="0" w:lastRowFirstColumn="0" w:lastRowLastColumn="0"/>
            </w:pPr>
            <w:r>
              <w:t>TP</w:t>
            </w:r>
          </w:p>
        </w:tc>
        <w:tc>
          <w:tcPr>
            <w:tcW w:w="0" w:type="auto"/>
          </w:tcPr>
          <w:p w14:paraId="764498B7" w14:textId="77777777" w:rsidR="004A7DA1" w:rsidRPr="00513F53" w:rsidRDefault="004A7DA1" w:rsidP="00F12A23">
            <w:pPr>
              <w:pStyle w:val="Tabletextnormal"/>
              <w:cnfStyle w:val="000000000000" w:firstRow="0" w:lastRow="0" w:firstColumn="0" w:lastColumn="0" w:oddVBand="0" w:evenVBand="0" w:oddHBand="0" w:evenHBand="0" w:firstRowFirstColumn="0" w:firstRowLastColumn="0" w:lastRowFirstColumn="0" w:lastRowLastColumn="0"/>
            </w:pPr>
            <w:r w:rsidRPr="00513F53">
              <w:t xml:space="preserve">Interacts with RodA for off septal PG </w:t>
            </w:r>
            <w:r>
              <w:t>incorporation</w:t>
            </w:r>
          </w:p>
        </w:tc>
        <w:tc>
          <w:tcPr>
            <w:tcW w:w="0" w:type="auto"/>
          </w:tcPr>
          <w:p w14:paraId="40A38A02" w14:textId="69770343" w:rsidR="004A7DA1" w:rsidRPr="00575526" w:rsidRDefault="004A7DA1" w:rsidP="00F12A23">
            <w:pPr>
              <w:pStyle w:val="Tabletextnormal"/>
              <w:cnfStyle w:val="000000000000" w:firstRow="0" w:lastRow="0" w:firstColumn="0" w:lastColumn="0" w:oddVBand="0" w:evenVBand="0" w:oddHBand="0" w:evenHBand="0" w:firstRowFirstColumn="0" w:firstRowLastColumn="0" w:lastRowFirstColumn="0" w:lastRowLastColumn="0"/>
              <w:rPr>
                <w:sz w:val="21"/>
                <w:szCs w:val="21"/>
              </w:rPr>
            </w:pPr>
            <w:r w:rsidRPr="00575526">
              <w:rPr>
                <w:sz w:val="21"/>
                <w:szCs w:val="21"/>
              </w:rPr>
              <w:t xml:space="preserve">Reichmann </w:t>
            </w:r>
            <w:r w:rsidRPr="00575526">
              <w:rPr>
                <w:i/>
                <w:iCs/>
                <w:sz w:val="21"/>
                <w:szCs w:val="21"/>
              </w:rPr>
              <w:t>et al.</w:t>
            </w:r>
            <w:r w:rsidRPr="00575526">
              <w:rPr>
                <w:sz w:val="21"/>
                <w:szCs w:val="21"/>
              </w:rPr>
              <w:t xml:space="preserve">, (2019) </w:t>
            </w:r>
            <w:r w:rsidRPr="00575526">
              <w:rPr>
                <w:sz w:val="21"/>
                <w:szCs w:val="21"/>
              </w:rPr>
              <w:fldChar w:fldCharType="begin" w:fldLock="1"/>
            </w:r>
            <w:r w:rsidR="00260ACA">
              <w:rPr>
                <w:sz w:val="21"/>
                <w:szCs w:val="21"/>
              </w:rPr>
              <w:instrText>ADDIN CSL_CITATION {"citationItems":[{"id":"ITEM-1","itemData":{"DOI":"10.1038/s41564-019-0437-2","ISBN":"4156401904372","ISSN":"20585276","PMID":"31086309","abstract":"Peptidoglycan (PGN) is the major component of the bacterial cell wall, a structure that is essential for the physical integrity and shape of the cell. Bacteria maintain cell shape by directing PGN incorporation to distinct regions of the cell, namely, through the localization of late-stage PGN synthesis proteins. These include two key protein families, SEDS transglycosylases and bPBP transpeptidases, proposed to function in cognate pairs. Rod-shaped bacteria have two SEDS–bPBP pairs, involved in elongation and division. Here, we elucidate why coccoid bacteria, such as Staphylococcus aureus, also possess two SEDS–bPBP pairs. We determined that S. aureus RodA–PBP3 and FtsW–PBP1 probably constitute cognate pairs of interacting proteins. A lack of RodA–PBP3 resulted in more spherical cells due to deficient sidewall PGN synthesis, whereas depletion of FtsW–PBP1 arrested normal septal PGN incorporation. Although PBP1 is an essential protein, a mutant lacking PBP1 transpeptidase activity is viable, showing that this protein has a second function. We propose that the FtsW–PBP1 pair has a role in stabilizing the divisome at midcell. In the absence of these proteins, the divisome appears as multiple rings or arcs that drive lateral PGN incorporation, leading to cell elongation. We conclude that RodA–PBP3 and FtsW–PBP1 mediate sidewall and septal PGN incorporation, respectively, and that their activity must be balanced to maintain coccoid morphology.","author":[{"dropping-particle":"","family":"Reichmann","given":"Nathalie T","non-dropping-particle":"","parse-names":false,"suffix":""},{"dropping-particle":"","family":"Tavares","given":"Andreia C","non-dropping-particle":"","parse-names":false,"suffix":""},{"dropping-particle":"","family":"Saraiva","given":"Bruno M","non-dropping-particle":"","parse-names":false,"suffix":""},{"dropping-particle":"","family":"Jousselin","given":"Ambre","non-dropping-particle":"","parse-names":false,"suffix":""},{"dropping-particle":"","family":"Reed","given":"Patricia","non-dropping-particle":"","parse-names":false,"suffix":""},{"dropping-particle":"","family":"Pereira","given":"Ana R","non-dropping-particle":"","parse-names":false,"suffix":""},{"dropping-particle":"","family":"Monteiro","given":"João M","non-dropping-particle":"","parse-names":false,"suffix":""},{"dropping-particle":"","family":"Sobral","given":"Rita G","non-dropping-particle":"","parse-names":false,"suffix":""},{"dropping-particle":"","family":"VanNieuwenhze","given":"Michael S.","non-dropping-particle":"","parse-names":false,"suffix":""},{"dropping-particle":"","family":"Fernandes","given":"Fábio","non-dropping-particle":"","parse-names":false,"suffix":""},{"dropping-particle":"","family":"Pinho","given":"Mariana G","non-dropping-particle":"","parse-names":false,"suffix":""}],"container-title":"Nature Microbiology","id":"ITEM-1","issue":"8","issued":{"date-parts":[["2019"]]},"page":"1368-1377","title":"SEDS–bPBP pairs direct lateral and septal peptidoglycan synthesis in Staphylococcus aureus","type":"article-journal","volume":"4"},"uris":["http://www.mendeley.com/documents/?uuid=5db4c86c-753c-307b-a46c-56e2f68ab47e"]}],"mendeley":{"formattedCitation":"&lt;sup&gt;[36]&lt;/sup&gt;","plainTextFormattedCitation":"[36]","previouslyFormattedCitation":"&lt;sup&gt;[36]&lt;/sup&gt;"},"properties":{"noteIndex":0},"schema":"https://github.com/citation-style-language/schema/raw/master/csl-citation.json"}</w:instrText>
            </w:r>
            <w:r w:rsidRPr="00575526">
              <w:rPr>
                <w:sz w:val="21"/>
                <w:szCs w:val="21"/>
              </w:rPr>
              <w:fldChar w:fldCharType="separate"/>
            </w:r>
            <w:r w:rsidR="00C825F9" w:rsidRPr="00C825F9">
              <w:rPr>
                <w:noProof/>
                <w:sz w:val="21"/>
                <w:szCs w:val="21"/>
                <w:vertAlign w:val="superscript"/>
              </w:rPr>
              <w:t>[36]</w:t>
            </w:r>
            <w:r w:rsidRPr="00575526">
              <w:rPr>
                <w:sz w:val="21"/>
                <w:szCs w:val="21"/>
              </w:rPr>
              <w:fldChar w:fldCharType="end"/>
            </w:r>
          </w:p>
        </w:tc>
      </w:tr>
      <w:tr w:rsidR="004A7DA1" w14:paraId="03A01B62"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568EAC12" w14:textId="77777777" w:rsidR="004A7DA1" w:rsidRPr="001E1436" w:rsidRDefault="004A7DA1" w:rsidP="00F12A23">
            <w:pPr>
              <w:pStyle w:val="Tabletextnormal"/>
              <w:rPr>
                <w:b/>
                <w:bCs w:val="0"/>
              </w:rPr>
            </w:pPr>
            <w:r w:rsidRPr="001E1436">
              <w:rPr>
                <w:b/>
                <w:bCs w:val="0"/>
              </w:rPr>
              <w:t>PBP4</w:t>
            </w:r>
          </w:p>
          <w:p w14:paraId="3A6C0CB9" w14:textId="77777777" w:rsidR="004A7DA1" w:rsidRPr="001E1436" w:rsidRDefault="004A7DA1" w:rsidP="00F12A23">
            <w:pPr>
              <w:pStyle w:val="Tabletextnormal"/>
              <w:rPr>
                <w:b/>
                <w:bCs w:val="0"/>
              </w:rPr>
            </w:pPr>
            <w:r w:rsidRPr="001E1436">
              <w:rPr>
                <w:b/>
                <w:bCs w:val="0"/>
              </w:rPr>
              <w:t>(</w:t>
            </w:r>
            <w:r w:rsidRPr="00EB02EE">
              <w:rPr>
                <w:b/>
                <w:bCs w:val="0"/>
                <w:i/>
                <w:iCs/>
              </w:rPr>
              <w:t>pbp4</w:t>
            </w:r>
            <w:r w:rsidRPr="001E1436">
              <w:rPr>
                <w:b/>
                <w:bCs w:val="0"/>
              </w:rPr>
              <w:t>)</w:t>
            </w:r>
          </w:p>
        </w:tc>
        <w:tc>
          <w:tcPr>
            <w:tcW w:w="0" w:type="auto"/>
          </w:tcPr>
          <w:p w14:paraId="5E30FB68" w14:textId="77777777" w:rsidR="004A7DA1" w:rsidRPr="00513F53" w:rsidRDefault="004A7DA1" w:rsidP="00F12A23">
            <w:pPr>
              <w:pStyle w:val="Tabletextnormal"/>
              <w:cnfStyle w:val="000000000000" w:firstRow="0" w:lastRow="0" w:firstColumn="0" w:lastColumn="0" w:oddVBand="0" w:evenVBand="0" w:oddHBand="0" w:evenHBand="0" w:firstRowFirstColumn="0" w:firstRowLastColumn="0" w:lastRowFirstColumn="0" w:lastRowLastColumn="0"/>
            </w:pPr>
            <w:r w:rsidRPr="00513F53">
              <w:t>LMM</w:t>
            </w:r>
          </w:p>
        </w:tc>
        <w:tc>
          <w:tcPr>
            <w:tcW w:w="0" w:type="auto"/>
          </w:tcPr>
          <w:p w14:paraId="1829BBB2" w14:textId="77777777" w:rsidR="004A7DA1" w:rsidRPr="00513F53" w:rsidRDefault="004A7DA1" w:rsidP="00F12A23">
            <w:pPr>
              <w:pStyle w:val="Tabletextnormal"/>
              <w:cnfStyle w:val="000000000000" w:firstRow="0" w:lastRow="0" w:firstColumn="0" w:lastColumn="0" w:oddVBand="0" w:evenVBand="0" w:oddHBand="0" w:evenHBand="0" w:firstRowFirstColumn="0" w:firstRowLastColumn="0" w:lastRowFirstColumn="0" w:lastRowLastColumn="0"/>
            </w:pPr>
            <w:r>
              <w:t>TP</w:t>
            </w:r>
          </w:p>
        </w:tc>
        <w:tc>
          <w:tcPr>
            <w:tcW w:w="0" w:type="auto"/>
          </w:tcPr>
          <w:p w14:paraId="14125942" w14:textId="77777777" w:rsidR="004A7DA1" w:rsidRPr="00513F53" w:rsidRDefault="004A7DA1" w:rsidP="00F12A23">
            <w:pPr>
              <w:pStyle w:val="Tabletextnormal"/>
              <w:cnfStyle w:val="000000000000" w:firstRow="0" w:lastRow="0" w:firstColumn="0" w:lastColumn="0" w:oddVBand="0" w:evenVBand="0" w:oddHBand="0" w:evenHBand="0" w:firstRowFirstColumn="0" w:firstRowLastColumn="0" w:lastRowFirstColumn="0" w:lastRowLastColumn="0"/>
            </w:pPr>
            <w:r w:rsidRPr="00513F53">
              <w:t>Required for high levels of PG cross-linking</w:t>
            </w:r>
          </w:p>
        </w:tc>
        <w:tc>
          <w:tcPr>
            <w:tcW w:w="0" w:type="auto"/>
          </w:tcPr>
          <w:p w14:paraId="1EF6F84B" w14:textId="534263C6" w:rsidR="004A7DA1" w:rsidRPr="00575526" w:rsidRDefault="004A7DA1" w:rsidP="00F12A23">
            <w:pPr>
              <w:pStyle w:val="Tabletextnormal"/>
              <w:cnfStyle w:val="000000000000" w:firstRow="0" w:lastRow="0" w:firstColumn="0" w:lastColumn="0" w:oddVBand="0" w:evenVBand="0" w:oddHBand="0" w:evenHBand="0" w:firstRowFirstColumn="0" w:firstRowLastColumn="0" w:lastRowFirstColumn="0" w:lastRowLastColumn="0"/>
              <w:rPr>
                <w:sz w:val="21"/>
                <w:szCs w:val="21"/>
              </w:rPr>
            </w:pPr>
            <w:r w:rsidRPr="00575526">
              <w:rPr>
                <w:sz w:val="21"/>
                <w:szCs w:val="21"/>
              </w:rPr>
              <w:t xml:space="preserve">Wyke </w:t>
            </w:r>
            <w:r w:rsidRPr="00575526">
              <w:rPr>
                <w:i/>
                <w:iCs/>
                <w:sz w:val="21"/>
                <w:szCs w:val="21"/>
              </w:rPr>
              <w:t>et al</w:t>
            </w:r>
            <w:r w:rsidRPr="00575526">
              <w:rPr>
                <w:sz w:val="21"/>
                <w:szCs w:val="21"/>
              </w:rPr>
              <w:t xml:space="preserve">., (1981) </w:t>
            </w:r>
            <w:r w:rsidRPr="00575526">
              <w:rPr>
                <w:sz w:val="21"/>
                <w:szCs w:val="21"/>
              </w:rPr>
              <w:fldChar w:fldCharType="begin" w:fldLock="1"/>
            </w:r>
            <w:r w:rsidR="008828BA">
              <w:rPr>
                <w:sz w:val="21"/>
                <w:szCs w:val="21"/>
              </w:rPr>
              <w:instrText>ADDIN CSL_CITATION {"citationItems":[{"id":"ITEM-1","itemData":{"DOI":"10.1111/j.1432-1033.1981.tb05620.x","ISSN":"14321033","PMID":"7308191","abstract":"The degree of cross‐linking of the peotidoglycan of Staphylococcus aureus H and mutants lacking penicillin‐binding proteins 1 and 4 was studies. No major changes were ovserved in organisms lacking protein 1 whereas oloss of protein 4 was accompanied by a marked reduction in the degree of cross‐linked and the absence of a membrane‐bound ‘model’ transpeptidase activity. A smimlar effect was achieved when cultures of the staphylococci were treated with the β‐lactam antibiotic cefoxitin. At low concentrations (0.05μg ml‐1) cefoxition shows highest affinity for protein 4 to which it appears to bind irreversibly. Treatment of the mutant lacking protein 4 with this concentration of the antibiotic did not affect the degree of cross‐linkage. The possibility that the decrease in cross‐linkage was a consequence of DD‐carboxypeptidase activity on peptidoglycan precursors was investigated. Although both S. aureus H and the mutants possessed such activity it was insensitive to benzylpenicillin and cefoxition and the role of this enzyme(s) in peptidoglycan biosynthesis remains unknown. We conclude that in vivo protein 4 acts as a transpeptidase involved in the secondary cross‐linking of peptidoglycan and this activity is necessary to achieve the high degree of cross‐linkage observed in the peptidoglycan of staphylococci. Copyright © 1981, Wiley Blackwell. All rights reserved","author":[{"dropping-particle":"","family":"Wyke","given":"Anne W.","non-dropping-particle":"","parse-names":false,"suffix":""},{"dropping-particle":"","family":"Ward","given":"J. Barrie","non-dropping-particle":"","parse-names":false,"suffix":""},{"dropping-particle":"V.","family":"Hayes","given":"Michael","non-dropping-particle":"","parse-names":false,"suffix":""},{"dropping-particle":"","family":"Curtis","given":"Nigel A.C.","non-dropping-particle":"","parse-names":false,"suffix":""}],"container-title":"European Journal of Biochemistry","id":"ITEM-1","issue":"2","issued":{"date-parts":[["1981"]]},"page":"389-393","title":"A Role in vivo for Penicillin‐Binding Protein‐4 of Staphylococcus aureus","type":"article-journal","volume":"119"},"uris":["http://www.mendeley.com/documents/?uuid=6a141666-a225-375e-b43b-325fca2ca0f7"]}],"mendeley":{"formattedCitation":"&lt;sup&gt;[41]&lt;/sup&gt;","plainTextFormattedCitation":"[41]","previouslyFormattedCitation":"&lt;sup&gt;[41]&lt;/sup&gt;"},"properties":{"noteIndex":0},"schema":"https://github.com/citation-style-language/schema/raw/master/csl-citation.json"}</w:instrText>
            </w:r>
            <w:r w:rsidRPr="00575526">
              <w:rPr>
                <w:sz w:val="21"/>
                <w:szCs w:val="21"/>
              </w:rPr>
              <w:fldChar w:fldCharType="separate"/>
            </w:r>
            <w:r w:rsidR="00C825F9" w:rsidRPr="00C825F9">
              <w:rPr>
                <w:noProof/>
                <w:sz w:val="21"/>
                <w:szCs w:val="21"/>
                <w:vertAlign w:val="superscript"/>
              </w:rPr>
              <w:t>[41]</w:t>
            </w:r>
            <w:r w:rsidRPr="00575526">
              <w:rPr>
                <w:sz w:val="21"/>
                <w:szCs w:val="21"/>
              </w:rPr>
              <w:fldChar w:fldCharType="end"/>
            </w:r>
          </w:p>
        </w:tc>
      </w:tr>
      <w:tr w:rsidR="004A7DA1" w:rsidRPr="001C296B" w14:paraId="0A38F9A7"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04732AE" w14:textId="77777777" w:rsidR="004A7DA1" w:rsidRPr="001E1436" w:rsidRDefault="004A7DA1" w:rsidP="00F12A23">
            <w:pPr>
              <w:pStyle w:val="Tabletextnormal"/>
              <w:rPr>
                <w:b/>
                <w:bCs w:val="0"/>
              </w:rPr>
            </w:pPr>
            <w:r w:rsidRPr="001E1436">
              <w:rPr>
                <w:b/>
                <w:bCs w:val="0"/>
              </w:rPr>
              <w:t>PBP2a</w:t>
            </w:r>
          </w:p>
          <w:p w14:paraId="366FF9E7" w14:textId="77777777" w:rsidR="004A7DA1" w:rsidRPr="001E1436" w:rsidRDefault="004A7DA1" w:rsidP="00F12A23">
            <w:pPr>
              <w:pStyle w:val="Tabletextnormal"/>
              <w:rPr>
                <w:b/>
                <w:bCs w:val="0"/>
              </w:rPr>
            </w:pPr>
            <w:r w:rsidRPr="001E1436">
              <w:rPr>
                <w:b/>
                <w:bCs w:val="0"/>
              </w:rPr>
              <w:t>(</w:t>
            </w:r>
            <w:r w:rsidRPr="00EB02EE">
              <w:rPr>
                <w:b/>
                <w:bCs w:val="0"/>
                <w:i/>
                <w:iCs/>
              </w:rPr>
              <w:t>mecA</w:t>
            </w:r>
            <w:r w:rsidRPr="001E1436">
              <w:rPr>
                <w:b/>
                <w:bCs w:val="0"/>
              </w:rPr>
              <w:t>)</w:t>
            </w:r>
          </w:p>
        </w:tc>
        <w:tc>
          <w:tcPr>
            <w:tcW w:w="0" w:type="auto"/>
          </w:tcPr>
          <w:p w14:paraId="00D2F1B5" w14:textId="77777777" w:rsidR="004A7DA1" w:rsidRPr="00513F53" w:rsidRDefault="004A7DA1" w:rsidP="00F12A23">
            <w:pPr>
              <w:pStyle w:val="Tabletextnormal"/>
              <w:cnfStyle w:val="000000000000" w:firstRow="0" w:lastRow="0" w:firstColumn="0" w:lastColumn="0" w:oddVBand="0" w:evenVBand="0" w:oddHBand="0" w:evenHBand="0" w:firstRowFirstColumn="0" w:firstRowLastColumn="0" w:lastRowFirstColumn="0" w:lastRowLastColumn="0"/>
            </w:pPr>
            <w:r w:rsidRPr="00513F53">
              <w:t>HMM class B</w:t>
            </w:r>
          </w:p>
        </w:tc>
        <w:tc>
          <w:tcPr>
            <w:tcW w:w="0" w:type="auto"/>
          </w:tcPr>
          <w:p w14:paraId="378F579D" w14:textId="77777777" w:rsidR="004A7DA1" w:rsidRPr="00513F53" w:rsidRDefault="004A7DA1" w:rsidP="00F12A23">
            <w:pPr>
              <w:pStyle w:val="Tabletextnormal"/>
              <w:cnfStyle w:val="000000000000" w:firstRow="0" w:lastRow="0" w:firstColumn="0" w:lastColumn="0" w:oddVBand="0" w:evenVBand="0" w:oddHBand="0" w:evenHBand="0" w:firstRowFirstColumn="0" w:firstRowLastColumn="0" w:lastRowFirstColumn="0" w:lastRowLastColumn="0"/>
            </w:pPr>
            <w:r>
              <w:t>TP</w:t>
            </w:r>
          </w:p>
        </w:tc>
        <w:tc>
          <w:tcPr>
            <w:tcW w:w="0" w:type="auto"/>
          </w:tcPr>
          <w:p w14:paraId="1120F7FB" w14:textId="77777777" w:rsidR="004A7DA1" w:rsidRPr="00513F53" w:rsidRDefault="004A7DA1" w:rsidP="00F12A23">
            <w:pPr>
              <w:pStyle w:val="Tabletextnormal"/>
              <w:cnfStyle w:val="000000000000" w:firstRow="0" w:lastRow="0" w:firstColumn="0" w:lastColumn="0" w:oddVBand="0" w:evenVBand="0" w:oddHBand="0" w:evenHBand="0" w:firstRowFirstColumn="0" w:firstRowLastColumn="0" w:lastRowFirstColumn="0" w:lastRowLastColumn="0"/>
            </w:pPr>
            <w:r w:rsidRPr="00513F53">
              <w:t>Non-native PBP required for PG synthesis</w:t>
            </w:r>
            <w:r>
              <w:t>. Provides</w:t>
            </w:r>
            <w:r w:rsidRPr="00513F53">
              <w:t xml:space="preserve"> β-lactam resistance</w:t>
            </w:r>
          </w:p>
        </w:tc>
        <w:tc>
          <w:tcPr>
            <w:tcW w:w="0" w:type="auto"/>
          </w:tcPr>
          <w:p w14:paraId="38D6243D" w14:textId="34983E16" w:rsidR="004A7DA1" w:rsidRPr="00575526" w:rsidRDefault="004A7DA1" w:rsidP="00F12A23">
            <w:pPr>
              <w:pStyle w:val="Tabletextnormal"/>
              <w:cnfStyle w:val="000000000000" w:firstRow="0" w:lastRow="0" w:firstColumn="0" w:lastColumn="0" w:oddVBand="0" w:evenVBand="0" w:oddHBand="0" w:evenHBand="0" w:firstRowFirstColumn="0" w:firstRowLastColumn="0" w:lastRowFirstColumn="0" w:lastRowLastColumn="0"/>
              <w:rPr>
                <w:sz w:val="21"/>
                <w:szCs w:val="21"/>
              </w:rPr>
            </w:pPr>
            <w:r w:rsidRPr="00575526">
              <w:rPr>
                <w:sz w:val="21"/>
                <w:szCs w:val="21"/>
              </w:rPr>
              <w:t xml:space="preserve">Pinho </w:t>
            </w:r>
            <w:r w:rsidRPr="00575526">
              <w:rPr>
                <w:i/>
                <w:iCs/>
                <w:sz w:val="21"/>
                <w:szCs w:val="21"/>
              </w:rPr>
              <w:t>et al</w:t>
            </w:r>
            <w:r w:rsidRPr="00575526">
              <w:rPr>
                <w:sz w:val="21"/>
                <w:szCs w:val="21"/>
              </w:rPr>
              <w:t xml:space="preserve">., (2001) </w:t>
            </w:r>
            <w:r w:rsidRPr="00575526">
              <w:rPr>
                <w:sz w:val="21"/>
                <w:szCs w:val="21"/>
              </w:rPr>
              <w:fldChar w:fldCharType="begin" w:fldLock="1"/>
            </w:r>
            <w:r w:rsidR="00260ACA">
              <w:rPr>
                <w:sz w:val="21"/>
                <w:szCs w:val="21"/>
              </w:rPr>
              <w:instrText>ADDIN CSL_CITATION {"citationItems":[{"id":"ITEM-1","itemData":{"DOI":"10.1073/pnas.191260798","ISSN":"00278424","PMID":"11517340","abstract":"The blanket resistance of methicillin-resistant Staphylococcus aureus to all β-lactam antibiotics - which had such a devastating impact on chemotherapy of staphylococcal infections - is related to the properties of the key component of this resistance mechanism: the \"acquired\" penicillin-binding protein (PBP)-2A, which has unusual low affinity for all β-lactam antibiotics. Until now, the accepted model of resistance implied that in the presence of β-lactam antibiotics in the surrounding medium, PBP2A must take over the biosynthesis of staphylococcal cell wall from the four native staphylococcal PBPs because the latter become rapidly acylated and inactivated at even low concentrations of the antibiotic. However, recent observations indicate that this model requires revision. Inactivation of the transglycosylase domain, but not the transpeptidase domain, of PBP2 of S. aureus prevents expression of β-lactam resistance, despite the presence of the low-affinity PBP2A. The observations suggest that cell-wall synthesis in the presence of β-lactam antibiotics requires the cooperative functioning of the transglycosylase domain of the native staphylococcal PBP2 and the transpeptidase domain of the PBP2A, a protein imported by S. aureus from an extra species source.","author":[{"dropping-particle":"","family":"Pinho","given":"Mariana G","non-dropping-particle":"","parse-names":false,"suffix":""},{"dropping-particle":"","family":"Lencastre","given":"Hermínia","non-dropping-particle":"De","parse-names":false,"suffix":""},{"dropping-particle":"","family":"Tomasz","given":"Alexander","non-dropping-particle":"","parse-names":false,"suffix":""}],"container-title":"Proceedings of the National Academy of Sciences of the United States of America","id":"ITEM-1","issue":"19","issued":{"date-parts":[["2001"]]},"page":"10886-10891","title":"An acquired and a native penicillin-binding protein cooperate in building the cell wall of drug-resistant staphylococci","type":"article-journal","volume":"98"},"uris":["http://www.mendeley.com/documents/?uuid=bf60aaaa-0f0b-354e-ad4b-5e4e12ff883a"]}],"mendeley":{"formattedCitation":"&lt;sup&gt;[40]&lt;/sup&gt;","plainTextFormattedCitation":"[40]","previouslyFormattedCitation":"&lt;sup&gt;[40]&lt;/sup&gt;"},"properties":{"noteIndex":0},"schema":"https://github.com/citation-style-language/schema/raw/master/csl-citation.json"}</w:instrText>
            </w:r>
            <w:r w:rsidRPr="00575526">
              <w:rPr>
                <w:sz w:val="21"/>
                <w:szCs w:val="21"/>
              </w:rPr>
              <w:fldChar w:fldCharType="separate"/>
            </w:r>
            <w:r w:rsidR="00C825F9" w:rsidRPr="00C825F9">
              <w:rPr>
                <w:noProof/>
                <w:sz w:val="21"/>
                <w:szCs w:val="21"/>
                <w:vertAlign w:val="superscript"/>
              </w:rPr>
              <w:t>[40]</w:t>
            </w:r>
            <w:r w:rsidRPr="00575526">
              <w:rPr>
                <w:sz w:val="21"/>
                <w:szCs w:val="21"/>
              </w:rPr>
              <w:fldChar w:fldCharType="end"/>
            </w:r>
          </w:p>
        </w:tc>
      </w:tr>
    </w:tbl>
    <w:p w14:paraId="46CE25B4" w14:textId="6015B271" w:rsidR="004A7DA1" w:rsidRDefault="004A7DA1" w:rsidP="004A7DA1">
      <w:pPr>
        <w:pStyle w:val="Caption"/>
      </w:pPr>
      <w:bookmarkStart w:id="54" w:name="_Ref76630856"/>
      <w:bookmarkStart w:id="55" w:name="_Toc90217043"/>
      <w:r>
        <w:t xml:space="preserve">Table </w:t>
      </w:r>
      <w:fldSimple w:instr=" STYLEREF 1 \s ">
        <w:r w:rsidR="00183CC8">
          <w:rPr>
            <w:noProof/>
          </w:rPr>
          <w:t>1</w:t>
        </w:r>
      </w:fldSimple>
      <w:r>
        <w:t>.</w:t>
      </w:r>
      <w:fldSimple w:instr=" SEQ Table \* ARABIC \s 1 ">
        <w:r w:rsidR="00183CC8">
          <w:rPr>
            <w:noProof/>
          </w:rPr>
          <w:t>1</w:t>
        </w:r>
      </w:fldSimple>
      <w:bookmarkEnd w:id="54"/>
      <w:r>
        <w:t xml:space="preserve"> List of </w:t>
      </w:r>
      <w:r>
        <w:rPr>
          <w:i/>
        </w:rPr>
        <w:t>Staphylococcus aureus</w:t>
      </w:r>
      <w:r>
        <w:t xml:space="preserve"> PBPs.</w:t>
      </w:r>
      <w:bookmarkEnd w:id="55"/>
    </w:p>
    <w:p w14:paraId="6D894068" w14:textId="77777777" w:rsidR="004A7DA1" w:rsidRPr="00B246F3" w:rsidRDefault="004A7DA1" w:rsidP="004A7DA1">
      <w:pPr>
        <w:pStyle w:val="NoSpacing"/>
        <w:sectPr w:rsidR="004A7DA1" w:rsidRPr="00B246F3" w:rsidSect="004D0E05">
          <w:pgSz w:w="11906" w:h="16838"/>
          <w:pgMar w:top="1191" w:right="1247" w:bottom="1191" w:left="1247" w:header="709" w:footer="709" w:gutter="0"/>
          <w:cols w:space="708"/>
          <w:titlePg/>
          <w:docGrid w:linePitch="360"/>
        </w:sectPr>
      </w:pPr>
      <w:r>
        <w:t xml:space="preserve">PBPs found in </w:t>
      </w:r>
      <w:r>
        <w:rPr>
          <w:i/>
          <w:iCs/>
        </w:rPr>
        <w:t>S. aureus</w:t>
      </w:r>
      <w:r w:rsidRPr="005E6183">
        <w:t>,</w:t>
      </w:r>
      <w:r>
        <w:rPr>
          <w:i/>
          <w:iCs/>
        </w:rPr>
        <w:t xml:space="preserve"> </w:t>
      </w:r>
      <w:r>
        <w:t>with t</w:t>
      </w:r>
      <w:r w:rsidRPr="00C80850">
        <w:t>ransglycosylase</w:t>
      </w:r>
      <w:r>
        <w:t xml:space="preserve"> (TG) and/or transpeptidase (TP) activity. Modified from Panchal (2018) </w:t>
      </w:r>
      <w:r>
        <w:fldChar w:fldCharType="begin" w:fldLock="1"/>
      </w:r>
      <w:r>
        <w:instrText>ADDIN CSL_CITATION {"citationItems":[{"id":"ITEM-1","itemData":{"author":[{"dropping-particle":"","family":"Panchal","given":"Viralkumar Vijaybhai","non-dropping-particle":"","parse-names":false,"suffix":""}],"id":"ITEM-1","issue":"July","issued":{"date-parts":[["2018"]]},"publisher":"The University of Sheffield","title":"The molecular basis of high-level methicillin resistance in Staphylococcus aureus","type":"thesis"},"uris":["http://www.mendeley.com/documents/?uuid=46732959-acb6-4cc1-ae23-7b0cbfe2b3e4"]}],"mendeley":{"formattedCitation":"&lt;sup&gt;[51]&lt;/sup&gt;","plainTextFormattedCitation":"[51]","previouslyFormattedCitation":"&lt;sup&gt;[51]&lt;/sup&gt;"},"properties":{"noteIndex":0},"schema":"https://github.com/citation-style-language/schema/raw/master/csl-citation.json"}</w:instrText>
      </w:r>
      <w:r>
        <w:fldChar w:fldCharType="separate"/>
      </w:r>
      <w:r w:rsidRPr="001F5541">
        <w:rPr>
          <w:noProof/>
          <w:vertAlign w:val="superscript"/>
        </w:rPr>
        <w:t>[51]</w:t>
      </w:r>
      <w:r>
        <w:fldChar w:fldCharType="end"/>
      </w:r>
      <w:r>
        <w:t xml:space="preserve"> and Sutton (2020) </w:t>
      </w:r>
      <w:r>
        <w:fldChar w:fldCharType="begin" w:fldLock="1"/>
      </w:r>
      <w:r>
        <w:instrText>ADDIN CSL_CITATION {"citationItems":[{"id":"ITEM-1","itemData":{"author":[{"dropping-particle":"","family":"Sutton","given":"Josh","non-dropping-particle":"","parse-names":false,"suffix":""}],"id":"ITEM-1","issue":"April","issued":{"date-parts":[["2020"]]},"publisher":"The University of Sheffield","title":"Murine murein: The role of Staphylococcus aureus cell wall structure during host-pathogen interaction","type":"thesis"},"uris":["http://www.mendeley.com/documents/?uuid=68e77c70-38ab-413c-8dd1-5f7f742e3332"]}],"mendeley":{"formattedCitation":"&lt;sup&gt;[52]&lt;/sup&gt;","plainTextFormattedCitation":"[52]","previouslyFormattedCitation":"&lt;sup&gt;[52]&lt;/sup&gt;"},"properties":{"noteIndex":0},"schema":"https://github.com/citation-style-language/schema/raw/master/csl-citation.json"}</w:instrText>
      </w:r>
      <w:r>
        <w:fldChar w:fldCharType="separate"/>
      </w:r>
      <w:r w:rsidRPr="001F5541">
        <w:rPr>
          <w:noProof/>
          <w:vertAlign w:val="superscript"/>
        </w:rPr>
        <w:t>[52]</w:t>
      </w:r>
      <w:r>
        <w:fldChar w:fldCharType="end"/>
      </w:r>
      <w:r>
        <w:t>.</w:t>
      </w:r>
    </w:p>
    <w:p w14:paraId="6CCED08D" w14:textId="4AD6C2DD" w:rsidR="005824E2" w:rsidRDefault="005824E2" w:rsidP="005824E2">
      <w:pPr>
        <w:pStyle w:val="Heading3"/>
      </w:pPr>
      <w:bookmarkStart w:id="56" w:name="_Ref76139660"/>
      <w:bookmarkStart w:id="57" w:name="_Toc90216730"/>
      <w:r>
        <w:lastRenderedPageBreak/>
        <w:t>Peptidoglycan hydrol</w:t>
      </w:r>
      <w:bookmarkEnd w:id="56"/>
      <w:r w:rsidR="005A4952">
        <w:t>ases</w:t>
      </w:r>
      <w:r w:rsidR="002E27B3">
        <w:t xml:space="preserve"> of </w:t>
      </w:r>
      <w:r w:rsidR="002E27B3">
        <w:rPr>
          <w:i/>
          <w:iCs/>
        </w:rPr>
        <w:t>S. aureus</w:t>
      </w:r>
      <w:r w:rsidR="007006CC">
        <w:rPr>
          <w:i/>
          <w:iCs/>
        </w:rPr>
        <w:t>.</w:t>
      </w:r>
      <w:bookmarkEnd w:id="57"/>
    </w:p>
    <w:p w14:paraId="24A09CA6" w14:textId="4C5B4656" w:rsidR="005824E2" w:rsidRDefault="005824E2" w:rsidP="005824E2">
      <w:r>
        <w:t>In order to make space for newly synthesised PG, autolysins</w:t>
      </w:r>
      <w:r w:rsidRPr="00E47A41">
        <w:t xml:space="preserve"> </w:t>
      </w:r>
      <w:r>
        <w:t xml:space="preserve">carry out a controlled hydrolysis of pre-existing PG by breaking its bonds. </w:t>
      </w:r>
      <w:r w:rsidRPr="00DA466C">
        <w:t>PG hydrolases (PGH)</w:t>
      </w:r>
      <w:r>
        <w:t xml:space="preserve"> can be divided into </w:t>
      </w:r>
      <w:r w:rsidRPr="00DA466C">
        <w:t>amidases (PGAs), glycosidases (PGGs)</w:t>
      </w:r>
      <w:r w:rsidRPr="002B49AA">
        <w:rPr>
          <w:b/>
          <w:bCs/>
        </w:rPr>
        <w:t xml:space="preserve"> </w:t>
      </w:r>
      <w:r w:rsidRPr="002B49AA">
        <w:t>and</w:t>
      </w:r>
      <w:r w:rsidRPr="002B49AA">
        <w:rPr>
          <w:b/>
          <w:bCs/>
        </w:rPr>
        <w:t xml:space="preserve"> </w:t>
      </w:r>
      <w:r w:rsidRPr="00DA466C">
        <w:t>peptidases (PGPs)</w:t>
      </w:r>
      <w:r w:rsidR="006724D2">
        <w:t xml:space="preserve"> </w:t>
      </w:r>
      <w:r w:rsidR="006724D2">
        <w:fldChar w:fldCharType="begin" w:fldLock="1"/>
      </w:r>
      <w:r w:rsidR="00260ACA">
        <w:instrText>ADDIN CSL_CITATION {"citationItems":[{"id":"ITEM-1","itemData":{"DOI":"10.3389/fmicb.2019.00331","ISSN":"1664302X","abstract":"The cell wall (CW) of bacteria is an intricate arrangement of macromolecules, at least constituted of peptidoglycan (PG) but also of (lipo)teichoic acids, various polysaccharides, polyglutamate and/or proteins. During bacterial growth and division, there is a constant balance between CW degradation and biosynthesis. The CW is remodeled by bacterial hydrolases, whose activities are carefully regulated to maintain cell integrity or lead to bacterial death. Each cell wall hydrolase (CWH) has a specific role regarding the PG: (i) cell wall amidase (CWA) cleaves the amide bond between N-acetylmuramic acid and L-alanine residue at the N-terminal of the stem peptide, (ii) cell wall glycosidase (CWG) catalyses the hydrolysis of the glycosidic linkages, whereas (iii) cell wall peptidase (CWP) cleaves amide bonds between amino acids within the PG chain. After an exhaustive overview of all known conserved catalytic domains responsible for CWA, CWG, and CWP activities, this review stresses that the CWHs frequently display a modular architecture combining multiple and/or different catalytic domains, including some lytic transglycosylases as well as CW binding domains. From there, direct physiological and collateral roles of CWHs in bacterial cells are further discussed.","author":[{"dropping-particle":"","family":"Vermassen","given":"Aurore","non-dropping-particle":"","parse-names":false,"suffix":""},{"dropping-particle":"","family":"Leroy","given":"Sabine","non-dropping-particle":"","parse-names":false,"suffix":""},{"dropping-particle":"","family":"Talon","given":"Régine","non-dropping-particle":"","parse-names":false,"suffix":""},{"dropping-particle":"","family":"Provot","given":"Christian","non-dropping-particle":"","parse-names":false,"suffix":""},{"dropping-particle":"","family":"Popowska","given":"Magdalena","non-dropping-particle":"","parse-names":false,"suffix":""},{"dropping-particle":"","family":"Desvaux","given":"Mickaël","non-dropping-particle":"","parse-names":false,"suffix":""}],"container-title":"Frontiers in Microbiology","id":"ITEM-1","issue":"FEB","issued":{"date-parts":[["2019"]]},"title":"Cell wall hydrolases in bacteria: Insight on the diversity of cell wall amidases, glycosidases and peptidases toward peptidoglycan","type":"article-journal","volume":"10"},"uris":["http://www.mendeley.com/documents/?uuid=1a96685d-bc08-4d83-8c50-d9a126623ce6"]},{"id":"ITEM-2","itemData":{"DOI":"10.1074/jbc.REV119.010155","ISSN":"1083351X","PMID":"31974163","abstract":"Bacteria account for 1000-fold more biomass than humans. They vary widely in shape and size. The morphological diversity of bacteria is due largely to the different peptidoglycan-based cell wall structures that encase bacterial cells. Although the basic structure of peptidoglycan is highly conserved, consisting of long glycan strands that are cross-linked by short peptide chains, the mature cell wall is chemically diverse. Peptidoglycan hydrolases and cell wall-tailoring enzymes that regulate glycan strand length, the degree of cross-linking, and the addition of other modifications to peptidoglycan are central in determining the final architecture of the bacterial cell wall. Historically, it has been difficult to biochemically characterize these enzymes that act on peptidoglycan because suitable peptidoglycan substrates were inaccessible. In this review, we discuss fundamental aspects of bacterial cell wall synthesis, describe the regulation and diverse biochemical and functional activities of peptidoglycan hydrolases, and highlight recently developed methods to make and label defined peptidoglycan substrates. We also review how access to these substrates has now enabled biochemical studies that deepen our understanding of how bacterial cell wall enzymes cooperate to build a mature cell wall. Such improved understanding is critical to the development of new antibiotics that disrupt cell wall biogenesis, a process essential to the survival of bacteria.","author":[{"dropping-particle":"","family":"Do","given":"Truc","non-dropping-particle":"","parse-names":false,"suffix":""},{"dropping-particle":"","family":"Page","given":"Julia E.","non-dropping-particle":"","parse-names":false,"suffix":""},{"dropping-particle":"","family":"Walker","given":"Suzanne","non-dropping-particle":"","parse-names":false,"suffix":""}],"container-title":"Journal of Biological Chemistry","id":"ITEM-2","issue":"10","issued":{"date-parts":[["2020","3","6"]]},"page":"3347-3361","publisher":"American Society for Biochemistry and Molecular Biology Inc.","title":"Uncovering the activities, biological roles, and regulation of bacterial cell wall hydrolases and tailoring enzymes","type":"article","volume":"295"},"uris":["http://www.mendeley.com/documents/?uuid=e9506ce5-8aa0-32cb-bc39-0ab86631910e"]}],"mendeley":{"formattedCitation":"&lt;sup&gt;[22,44]&lt;/sup&gt;","plainTextFormattedCitation":"[22,44]","previouslyFormattedCitation":"&lt;sup&gt;[22,44]&lt;/sup&gt;"},"properties":{"noteIndex":0},"schema":"https://github.com/citation-style-language/schema/raw/master/csl-citation.json"}</w:instrText>
      </w:r>
      <w:r w:rsidR="006724D2">
        <w:fldChar w:fldCharType="separate"/>
      </w:r>
      <w:r w:rsidR="00C825F9" w:rsidRPr="00C825F9">
        <w:rPr>
          <w:noProof/>
          <w:vertAlign w:val="superscript"/>
        </w:rPr>
        <w:t>[22,44]</w:t>
      </w:r>
      <w:r w:rsidR="006724D2">
        <w:fldChar w:fldCharType="end"/>
      </w:r>
      <w:r w:rsidRPr="00DA466C">
        <w:t>.</w:t>
      </w:r>
      <w:r>
        <w:t xml:space="preserve"> PGAs hydrol</w:t>
      </w:r>
      <w:r w:rsidR="00C10570">
        <w:t>y</w:t>
      </w:r>
      <w:r>
        <w:t>se the amide bond between Mur</w:t>
      </w:r>
      <w:r>
        <w:rPr>
          <w:i/>
          <w:iCs/>
        </w:rPr>
        <w:t>N</w:t>
      </w:r>
      <w:r>
        <w:t>Ac–L-alanine; PGPs</w:t>
      </w:r>
      <w:r w:rsidRPr="009D13A2">
        <w:t xml:space="preserve"> </w:t>
      </w:r>
      <w:r>
        <w:t xml:space="preserve">cleave the amide bond between amino acids of the peptide side chain; while PGGs hydrolyse the glycosidic bond </w:t>
      </w:r>
      <w:r w:rsidRPr="009D13A2">
        <w:t>between Mur</w:t>
      </w:r>
      <w:r w:rsidRPr="009D13A2">
        <w:rPr>
          <w:i/>
          <w:iCs/>
        </w:rPr>
        <w:t>N</w:t>
      </w:r>
      <w:r w:rsidRPr="009D13A2">
        <w:t>Ac</w:t>
      </w:r>
      <w:r w:rsidR="00C10570">
        <w:t xml:space="preserve"> and </w:t>
      </w:r>
      <w:r w:rsidRPr="009D13A2">
        <w:t>Gluc</w:t>
      </w:r>
      <w:r w:rsidRPr="009D13A2">
        <w:rPr>
          <w:i/>
          <w:iCs/>
        </w:rPr>
        <w:t>N</w:t>
      </w:r>
      <w:r w:rsidRPr="009D13A2">
        <w:t>Ac</w:t>
      </w:r>
      <w:r>
        <w:t xml:space="preserve"> </w:t>
      </w:r>
      <w:r w:rsidRPr="00CC062E">
        <w:t>(</w:t>
      </w:r>
      <w:r>
        <w:rPr>
          <w:lang w:val="es-ES"/>
        </w:rPr>
        <w:fldChar w:fldCharType="begin"/>
      </w:r>
      <w:r w:rsidRPr="00CC062E">
        <w:instrText xml:space="preserve"> REF _Ref71423310 \h </w:instrText>
      </w:r>
      <w:r>
        <w:rPr>
          <w:lang w:val="es-ES"/>
        </w:rPr>
      </w:r>
      <w:r>
        <w:rPr>
          <w:lang w:val="es-ES"/>
        </w:rPr>
        <w:fldChar w:fldCharType="separate"/>
      </w:r>
      <w:r w:rsidR="00183CC8">
        <w:t xml:space="preserve">Figure </w:t>
      </w:r>
      <w:r w:rsidR="00183CC8">
        <w:rPr>
          <w:noProof/>
        </w:rPr>
        <w:t>1</w:t>
      </w:r>
      <w:r w:rsidR="00183CC8">
        <w:t>.</w:t>
      </w:r>
      <w:r w:rsidR="00183CC8">
        <w:rPr>
          <w:noProof/>
        </w:rPr>
        <w:t>4</w:t>
      </w:r>
      <w:r>
        <w:rPr>
          <w:lang w:val="es-ES"/>
        </w:rPr>
        <w:fldChar w:fldCharType="end"/>
      </w:r>
      <w:r w:rsidR="00973241">
        <w:t xml:space="preserve">) </w:t>
      </w:r>
      <w:r w:rsidR="00973241">
        <w:fldChar w:fldCharType="begin" w:fldLock="1"/>
      </w:r>
      <w:r w:rsidR="00260ACA">
        <w:instrText>ADDIN CSL_CITATION {"citationItems":[{"id":"ITEM-1","itemData":{"DOI":"10.3389/fmicb.2019.00331","ISSN":"1664302X","abstract":"The cell wall (CW) of bacteria is an intricate arrangement of macromolecules, at least constituted of peptidoglycan (PG) but also of (lipo)teichoic acids, various polysaccharides, polyglutamate and/or proteins. During bacterial growth and division, there is a constant balance between CW degradation and biosynthesis. The CW is remodeled by bacterial hydrolases, whose activities are carefully regulated to maintain cell integrity or lead to bacterial death. Each cell wall hydrolase (CWH) has a specific role regarding the PG: (i) cell wall amidase (CWA) cleaves the amide bond between N-acetylmuramic acid and L-alanine residue at the N-terminal of the stem peptide, (ii) cell wall glycosidase (CWG) catalyses the hydrolysis of the glycosidic linkages, whereas (iii) cell wall peptidase (CWP) cleaves amide bonds between amino acids within the PG chain. After an exhaustive overview of all known conserved catalytic domains responsible for CWA, CWG, and CWP activities, this review stresses that the CWHs frequently display a modular architecture combining multiple and/or different catalytic domains, including some lytic transglycosylases as well as CW binding domains. From there, direct physiological and collateral roles of CWHs in bacterial cells are further discussed.","author":[{"dropping-particle":"","family":"Vermassen","given":"Aurore","non-dropping-particle":"","parse-names":false,"suffix":""},{"dropping-particle":"","family":"Leroy","given":"Sabine","non-dropping-particle":"","parse-names":false,"suffix":""},{"dropping-particle":"","family":"Talon","given":"Régine","non-dropping-particle":"","parse-names":false,"suffix":""},{"dropping-particle":"","family":"Provot","given":"Christian","non-dropping-particle":"","parse-names":false,"suffix":""},{"dropping-particle":"","family":"Popowska","given":"Magdalena","non-dropping-particle":"","parse-names":false,"suffix":""},{"dropping-particle":"","family":"Desvaux","given":"Mickaël","non-dropping-particle":"","parse-names":false,"suffix":""}],"container-title":"Frontiers in Microbiology","id":"ITEM-1","issue":"FEB","issued":{"date-parts":[["2019"]]},"title":"Cell wall hydrolases in bacteria: Insight on the diversity of cell wall amidases, glycosidases and peptidases toward peptidoglycan","type":"article-journal","volume":"10"},"uris":["http://www.mendeley.com/documents/?uuid=1a96685d-bc08-4d83-8c50-d9a126623ce6"]},{"id":"ITEM-2","itemData":{"DOI":"10.1074/jbc.REV119.010155","ISSN":"1083351X","PMID":"31974163","abstract":"Bacteria account for 1000-fold more biomass than humans. They vary widely in shape and size. The morphological diversity of bacteria is due largely to the different peptidoglycan-based cell wall structures that encase bacterial cells. Although the basic structure of peptidoglycan is highly conserved, consisting of long glycan strands that are cross-linked by short peptide chains, the mature cell wall is chemically diverse. Peptidoglycan hydrolases and cell wall-tailoring enzymes that regulate glycan strand length, the degree of cross-linking, and the addition of other modifications to peptidoglycan are central in determining the final architecture of the bacterial cell wall. Historically, it has been difficult to biochemically characterize these enzymes that act on peptidoglycan because suitable peptidoglycan substrates were inaccessible. In this review, we discuss fundamental aspects of bacterial cell wall synthesis, describe the regulation and diverse biochemical and functional activities of peptidoglycan hydrolases, and highlight recently developed methods to make and label defined peptidoglycan substrates. We also review how access to these substrates has now enabled biochemical studies that deepen our understanding of how bacterial cell wall enzymes cooperate to build a mature cell wall. Such improved understanding is critical to the development of new antibiotics that disrupt cell wall biogenesis, a process essential to the survival of bacteria.","author":[{"dropping-particle":"","family":"Do","given":"Truc","non-dropping-particle":"","parse-names":false,"suffix":""},{"dropping-particle":"","family":"Page","given":"Julia E.","non-dropping-particle":"","parse-names":false,"suffix":""},{"dropping-particle":"","family":"Walker","given":"Suzanne","non-dropping-particle":"","parse-names":false,"suffix":""}],"container-title":"Journal of Biological Chemistry","id":"ITEM-2","issue":"10","issued":{"date-parts":[["2020","3","6"]]},"page":"3347-3361","publisher":"American Society for Biochemistry and Molecular Biology Inc.","title":"Uncovering the activities, biological roles, and regulation of bacterial cell wall hydrolases and tailoring enzymes","type":"article","volume":"295"},"uris":["http://www.mendeley.com/documents/?uuid=e9506ce5-8aa0-32cb-bc39-0ab86631910e"]}],"mendeley":{"formattedCitation":"&lt;sup&gt;[22,44]&lt;/sup&gt;","plainTextFormattedCitation":"[22,44]","previouslyFormattedCitation":"&lt;sup&gt;[22,44]&lt;/sup&gt;"},"properties":{"noteIndex":0},"schema":"https://github.com/citation-style-language/schema/raw/master/csl-citation.json"}</w:instrText>
      </w:r>
      <w:r w:rsidR="00973241">
        <w:fldChar w:fldCharType="separate"/>
      </w:r>
      <w:r w:rsidR="00C825F9" w:rsidRPr="00C825F9">
        <w:rPr>
          <w:noProof/>
          <w:vertAlign w:val="superscript"/>
        </w:rPr>
        <w:t>[22,44]</w:t>
      </w:r>
      <w:r w:rsidR="00973241">
        <w:fldChar w:fldCharType="end"/>
      </w:r>
      <w:r>
        <w:t>.</w:t>
      </w:r>
      <w:r w:rsidR="002B49AA">
        <w:t xml:space="preserve"> PGPs can be classified as carboxypeptidases and endopeptidases, with the former attacking the peptide side chain </w:t>
      </w:r>
      <w:r w:rsidR="00F41941">
        <w:t xml:space="preserve">terminus </w:t>
      </w:r>
      <w:r w:rsidR="002B49AA">
        <w:t xml:space="preserve">and the latter the </w:t>
      </w:r>
      <w:r w:rsidR="00F41941">
        <w:t>cross</w:t>
      </w:r>
      <w:r w:rsidR="002B49AA">
        <w:t>bridge</w:t>
      </w:r>
      <w:r w:rsidR="004814EA">
        <w:t xml:space="preserve"> </w:t>
      </w:r>
      <w:r w:rsidR="004814EA">
        <w:fldChar w:fldCharType="begin" w:fldLock="1"/>
      </w:r>
      <w:r w:rsidR="00260ACA">
        <w:instrText>ADDIN CSL_CITATION {"citationItems":[{"id":"ITEM-1","itemData":{"DOI":"10.3389/fmicb.2019.00331","ISSN":"1664302X","abstract":"The cell wall (CW) of bacteria is an intricate arrangement of macromolecules, at least constituted of peptidoglycan (PG) but also of (lipo)teichoic acids, various polysaccharides, polyglutamate and/or proteins. During bacterial growth and division, there is a constant balance between CW degradation and biosynthesis. The CW is remodeled by bacterial hydrolases, whose activities are carefully regulated to maintain cell integrity or lead to bacterial death. Each cell wall hydrolase (CWH) has a specific role regarding the PG: (i) cell wall amidase (CWA) cleaves the amide bond between N-acetylmuramic acid and L-alanine residue at the N-terminal of the stem peptide, (ii) cell wall glycosidase (CWG) catalyses the hydrolysis of the glycosidic linkages, whereas (iii) cell wall peptidase (CWP) cleaves amide bonds between amino acids within the PG chain. After an exhaustive overview of all known conserved catalytic domains responsible for CWA, CWG, and CWP activities, this review stresses that the CWHs frequently display a modular architecture combining multiple and/or different catalytic domains, including some lytic transglycosylases as well as CW binding domains. From there, direct physiological and collateral roles of CWHs in bacterial cells are further discussed.","author":[{"dropping-particle":"","family":"Vermassen","given":"Aurore","non-dropping-particle":"","parse-names":false,"suffix":""},{"dropping-particle":"","family":"Leroy","given":"Sabine","non-dropping-particle":"","parse-names":false,"suffix":""},{"dropping-particle":"","family":"Talon","given":"Régine","non-dropping-particle":"","parse-names":false,"suffix":""},{"dropping-particle":"","family":"Provot","given":"Christian","non-dropping-particle":"","parse-names":false,"suffix":""},{"dropping-particle":"","family":"Popowska","given":"Magdalena","non-dropping-particle":"","parse-names":false,"suffix":""},{"dropping-particle":"","family":"Desvaux","given":"Mickaël","non-dropping-particle":"","parse-names":false,"suffix":""}],"container-title":"Frontiers in Microbiology","id":"ITEM-1","issue":"FEB","issued":{"date-parts":[["2019"]]},"title":"Cell wall hydrolases in bacteria: Insight on the diversity of cell wall amidases, glycosidases and peptidases toward peptidoglycan","type":"article-journal","volume":"10"},"uris":["http://www.mendeley.com/documents/?uuid=1a96685d-bc08-4d83-8c50-d9a126623ce6"]},{"id":"ITEM-2","itemData":{"DOI":"10.1074/jbc.REV119.010155","ISSN":"1083351X","PMID":"31974163","abstract":"Bacteria account for 1000-fold more biomass than humans. They vary widely in shape and size. The morphological diversity of bacteria is due largely to the different peptidoglycan-based cell wall structures that encase bacterial cells. Although the basic structure of peptidoglycan is highly conserved, consisting of long glycan strands that are cross-linked by short peptide chains, the mature cell wall is chemically diverse. Peptidoglycan hydrolases and cell wall-tailoring enzymes that regulate glycan strand length, the degree of cross-linking, and the addition of other modifications to peptidoglycan are central in determining the final architecture of the bacterial cell wall. Historically, it has been difficult to biochemically characterize these enzymes that act on peptidoglycan because suitable peptidoglycan substrates were inaccessible. In this review, we discuss fundamental aspects of bacterial cell wall synthesis, describe the regulation and diverse biochemical and functional activities of peptidoglycan hydrolases, and highlight recently developed methods to make and label defined peptidoglycan substrates. We also review how access to these substrates has now enabled biochemical studies that deepen our understanding of how bacterial cell wall enzymes cooperate to build a mature cell wall. Such improved understanding is critical to the development of new antibiotics that disrupt cell wall biogenesis, a process essential to the survival of bacteria.","author":[{"dropping-particle":"","family":"Do","given":"Truc","non-dropping-particle":"","parse-names":false,"suffix":""},{"dropping-particle":"","family":"Page","given":"Julia E.","non-dropping-particle":"","parse-names":false,"suffix":""},{"dropping-particle":"","family":"Walker","given":"Suzanne","non-dropping-particle":"","parse-names":false,"suffix":""}],"container-title":"Journal of Biological Chemistry","id":"ITEM-2","issue":"10","issued":{"date-parts":[["2020","3","6"]]},"page":"3347-3361","publisher":"American Society for Biochemistry and Molecular Biology Inc.","title":"Uncovering the activities, biological roles, and regulation of bacterial cell wall hydrolases and tailoring enzymes","type":"article","volume":"295"},"uris":["http://www.mendeley.com/documents/?uuid=e9506ce5-8aa0-32cb-bc39-0ab86631910e"]}],"mendeley":{"formattedCitation":"&lt;sup&gt;[22,44]&lt;/sup&gt;","plainTextFormattedCitation":"[22,44]","previouslyFormattedCitation":"&lt;sup&gt;[22,44]&lt;/sup&gt;"},"properties":{"noteIndex":0},"schema":"https://github.com/citation-style-language/schema/raw/master/csl-citation.json"}</w:instrText>
      </w:r>
      <w:r w:rsidR="004814EA">
        <w:fldChar w:fldCharType="separate"/>
      </w:r>
      <w:r w:rsidR="00C825F9" w:rsidRPr="00C825F9">
        <w:rPr>
          <w:noProof/>
          <w:vertAlign w:val="superscript"/>
        </w:rPr>
        <w:t>[22,44]</w:t>
      </w:r>
      <w:r w:rsidR="004814EA">
        <w:fldChar w:fldCharType="end"/>
      </w:r>
      <w:r w:rsidR="002B49AA">
        <w:t>.</w:t>
      </w:r>
      <w:r>
        <w:t xml:space="preserve"> </w:t>
      </w:r>
      <w:r w:rsidR="002B49AA">
        <w:t>PGGs</w:t>
      </w:r>
      <w:r w:rsidRPr="009D13A2">
        <w:t xml:space="preserve"> can further be categorised</w:t>
      </w:r>
      <w:r>
        <w:t xml:space="preserve"> into </w:t>
      </w:r>
      <w:r>
        <w:rPr>
          <w:i/>
          <w:iCs/>
        </w:rPr>
        <w:t>N</w:t>
      </w:r>
      <w:r>
        <w:t>-acetylglucosaminidases</w:t>
      </w:r>
      <w:r w:rsidR="009D5EFD">
        <w:t xml:space="preserve">, </w:t>
      </w:r>
      <w:r>
        <w:rPr>
          <w:i/>
          <w:iCs/>
        </w:rPr>
        <w:t>N</w:t>
      </w:r>
      <w:r w:rsidRPr="009D13A2">
        <w:t>-acetylmuramidases</w:t>
      </w:r>
      <w:r w:rsidR="009D5EFD">
        <w:t xml:space="preserve"> and</w:t>
      </w:r>
      <w:r w:rsidR="00FB61B6">
        <w:t xml:space="preserve"> l</w:t>
      </w:r>
      <w:r w:rsidR="009D5EFD">
        <w:t>ytic transglycosylases</w:t>
      </w:r>
      <w:r w:rsidR="00AE7CCD">
        <w:t xml:space="preserve">, </w:t>
      </w:r>
      <w:r w:rsidR="002D25E2">
        <w:t>which</w:t>
      </w:r>
      <w:r w:rsidR="00AE7CCD">
        <w:t xml:space="preserve"> are </w:t>
      </w:r>
      <w:r>
        <w:t xml:space="preserve">responsible for </w:t>
      </w:r>
      <w:r w:rsidR="009D5EFD">
        <w:t>cleaving</w:t>
      </w:r>
      <w:r>
        <w:t xml:space="preserve"> the </w:t>
      </w:r>
      <w:r>
        <w:rPr>
          <w:lang w:val="el-GR"/>
        </w:rPr>
        <w:t>β</w:t>
      </w:r>
      <w:r>
        <w:t>1,4-glycosidic bond</w:t>
      </w:r>
      <w:r w:rsidR="008C1D48">
        <w:t>s</w:t>
      </w:r>
      <w:r>
        <w:t xml:space="preserve"> that bind Mur</w:t>
      </w:r>
      <w:r>
        <w:rPr>
          <w:i/>
          <w:iCs/>
        </w:rPr>
        <w:t>N</w:t>
      </w:r>
      <w:r>
        <w:t>Ac and Gluc</w:t>
      </w:r>
      <w:r>
        <w:rPr>
          <w:i/>
          <w:iCs/>
        </w:rPr>
        <w:t>N</w:t>
      </w:r>
      <w:r>
        <w:t xml:space="preserve">Ac </w:t>
      </w:r>
      <w:r>
        <w:fldChar w:fldCharType="begin" w:fldLock="1"/>
      </w:r>
      <w:r w:rsidR="00260ACA">
        <w:instrText>ADDIN CSL_CITATION {"citationItems":[{"id":"ITEM-1","itemData":{"DOI":"10.3389/fmicb.2019.00331","ISSN":"1664302X","abstract":"The cell wall (CW) of bacteria is an intricate arrangement of macromolecules, at least constituted of peptidoglycan (PG) but also of (lipo)teichoic acids, various polysaccharides, polyglutamate and/or proteins. During bacterial growth and division, there is a constant balance between CW degradation and biosynthesis. The CW is remodeled by bacterial hydrolases, whose activities are carefully regulated to maintain cell integrity or lead to bacterial death. Each cell wall hydrolase (CWH) has a specific role regarding the PG: (i) cell wall amidase (CWA) cleaves the amide bond between N-acetylmuramic acid and L-alanine residue at the N-terminal of the stem peptide, (ii) cell wall glycosidase (CWG) catalyses the hydrolysis of the glycosidic linkages, whereas (iii) cell wall peptidase (CWP) cleaves amide bonds between amino acids within the PG chain. After an exhaustive overview of all known conserved catalytic domains responsible for CWA, CWG, and CWP activities, this review stresses that the CWHs frequently display a modular architecture combining multiple and/or different catalytic domains, including some lytic transglycosylases as well as CW binding domains. From there, direct physiological and collateral roles of CWHs in bacterial cells are further discussed.","author":[{"dropping-particle":"","family":"Vermassen","given":"Aurore","non-dropping-particle":"","parse-names":false,"suffix":""},{"dropping-particle":"","family":"Leroy","given":"Sabine","non-dropping-particle":"","parse-names":false,"suffix":""},{"dropping-particle":"","family":"Talon","given":"Régine","non-dropping-particle":"","parse-names":false,"suffix":""},{"dropping-particle":"","family":"Provot","given":"Christian","non-dropping-particle":"","parse-names":false,"suffix":""},{"dropping-particle":"","family":"Popowska","given":"Magdalena","non-dropping-particle":"","parse-names":false,"suffix":""},{"dropping-particle":"","family":"Desvaux","given":"Mickaël","non-dropping-particle":"","parse-names":false,"suffix":""}],"container-title":"Frontiers in Microbiology","id":"ITEM-1","issue":"FEB","issued":{"date-parts":[["2019"]]},"title":"Cell wall hydrolases in bacteria: Insight on the diversity of cell wall amidases, glycosidases and peptidases toward peptidoglycan","type":"article-journal","volume":"10"},"uris":["http://www.mendeley.com/documents/?uuid=1a96685d-bc08-4d83-8c50-d9a126623ce6"]},{"id":"ITEM-2","itemData":{"DOI":"10.1074/jbc.REV119.010155","ISSN":"1083351X","PMID":"31974163","abstract":"Bacteria account for 1000-fold more biomass than humans. They vary widely in shape and size. The morphological diversity of bacteria is due largely to the different peptidoglycan-based cell wall structures that encase bacterial cells. Although the basic structure of peptidoglycan is highly conserved, consisting of long glycan strands that are cross-linked by short peptide chains, the mature cell wall is chemically diverse. Peptidoglycan hydrolases and cell wall-tailoring enzymes that regulate glycan strand length, the degree of cross-linking, and the addition of other modifications to peptidoglycan are central in determining the final architecture of the bacterial cell wall. Historically, it has been difficult to biochemically characterize these enzymes that act on peptidoglycan because suitable peptidoglycan substrates were inaccessible. In this review, we discuss fundamental aspects of bacterial cell wall synthesis, describe the regulation and diverse biochemical and functional activities of peptidoglycan hydrolases, and highlight recently developed methods to make and label defined peptidoglycan substrates. We also review how access to these substrates has now enabled biochemical studies that deepen our understanding of how bacterial cell wall enzymes cooperate to build a mature cell wall. Such improved understanding is critical to the development of new antibiotics that disrupt cell wall biogenesis, a process essential to the survival of bacteria.","author":[{"dropping-particle":"","family":"Do","given":"Truc","non-dropping-particle":"","parse-names":false,"suffix":""},{"dropping-particle":"","family":"Page","given":"Julia E.","non-dropping-particle":"","parse-names":false,"suffix":""},{"dropping-particle":"","family":"Walker","given":"Suzanne","non-dropping-particle":"","parse-names":false,"suffix":""}],"container-title":"Journal of Biological Chemistry","id":"ITEM-2","issue":"10","issued":{"date-parts":[["2020","3","6"]]},"page":"3347-3361","publisher":"American Society for Biochemistry and Molecular Biology Inc.","title":"Uncovering the activities, biological roles, and regulation of bacterial cell wall hydrolases and tailoring enzymes","type":"article","volume":"295"},"uris":["http://www.mendeley.com/documents/?uuid=e9506ce5-8aa0-32cb-bc39-0ab86631910e"]}],"mendeley":{"formattedCitation":"&lt;sup&gt;[22,44]&lt;/sup&gt;","plainTextFormattedCitation":"[22,44]","previouslyFormattedCitation":"&lt;sup&gt;[22,44]&lt;/sup&gt;"},"properties":{"noteIndex":0},"schema":"https://github.com/citation-style-language/schema/raw/master/csl-citation.json"}</w:instrText>
      </w:r>
      <w:r>
        <w:fldChar w:fldCharType="separate"/>
      </w:r>
      <w:r w:rsidR="00C825F9" w:rsidRPr="00C825F9">
        <w:rPr>
          <w:noProof/>
          <w:vertAlign w:val="superscript"/>
        </w:rPr>
        <w:t>[22,44]</w:t>
      </w:r>
      <w:r>
        <w:fldChar w:fldCharType="end"/>
      </w:r>
      <w:r w:rsidRPr="00CC062E">
        <w:t xml:space="preserve">. </w:t>
      </w:r>
    </w:p>
    <w:p w14:paraId="4086B7CA" w14:textId="0C46D983" w:rsidR="002B68E5" w:rsidRDefault="002B68E5" w:rsidP="002B68E5">
      <w:r w:rsidRPr="00BB3A37">
        <w:t>Given the importance an</w:t>
      </w:r>
      <w:r>
        <w:t>d</w:t>
      </w:r>
      <w:r w:rsidRPr="00BB3A37">
        <w:t xml:space="preserve"> complexity of</w:t>
      </w:r>
      <w:r>
        <w:t xml:space="preserve"> PGH, it is not surprising that there is a high level of redundancy in function. At present there are nineteen putative PGH in </w:t>
      </w:r>
      <w:r>
        <w:rPr>
          <w:i/>
          <w:iCs/>
        </w:rPr>
        <w:t>S. aureus</w:t>
      </w:r>
      <w:r>
        <w:t xml:space="preserve"> (</w:t>
      </w:r>
      <w:r>
        <w:fldChar w:fldCharType="begin"/>
      </w:r>
      <w:r>
        <w:instrText xml:space="preserve"> REF _Ref71373589 \h </w:instrText>
      </w:r>
      <w:r>
        <w:fldChar w:fldCharType="separate"/>
      </w:r>
      <w:r w:rsidR="00183CC8">
        <w:t xml:space="preserve">Table </w:t>
      </w:r>
      <w:r w:rsidR="00183CC8">
        <w:rPr>
          <w:noProof/>
        </w:rPr>
        <w:t>1</w:t>
      </w:r>
      <w:r w:rsidR="00183CC8">
        <w:t>.</w:t>
      </w:r>
      <w:r w:rsidR="00183CC8">
        <w:rPr>
          <w:noProof/>
        </w:rPr>
        <w:t>2</w:t>
      </w:r>
      <w:r>
        <w:fldChar w:fldCharType="end"/>
      </w:r>
      <w:r>
        <w:t xml:space="preserve">). Atl, SagA, ScaH and SagB have been identified as four major PGH involved in cell growth </w:t>
      </w:r>
      <w:r>
        <w:fldChar w:fldCharType="begin" w:fldLock="1"/>
      </w:r>
      <w:r>
        <w:instrText>ADDIN CSL_CITATION {"citationItems":[{"id":"ITEM-1","itemData":{"DOI":"10.1128/mBio.00660-15","ISSN":"21507511","PMID":"26220963","abstract":"UNLABELLED: Most bacterial cells are enclosed in a single macromolecule of the cell wall polymer, peptidoglycan, which is required for shape determination and maintenance of viability, while peptidoglycan biosynthesis is an important antibiotic target. It is hypothesized that cellular enlargement requires regional expansion of the cell wall through coordinated insertion and hydrolysis of peptidoglycan. Here, a group of (apparent glucosaminidase) peptidoglycan hydrolases are identified that are together required for cell enlargement and correct cellular morphology of Staphylococcus aureus, demonstrating the overall importance of this enzyme activity. These are Atl, SagA, ScaH, and SagB. The major advance here is the explanation of the observed morphological defects in terms of the mechanical and biochemical properties of peptidoglycan. It was shown that cells lacking groups of these hydrolases have increased surface stiffness and, in the absence of SagB, substantially increased glycan chain length. This indicates that, beyond their established roles (for example in cell separation), some hydrolases enable cellular enlargement by making peptidoglycan easier to stretch, providing the first direct evidence demonstrating that cellular enlargement occurs via modulation of the mechanical properties of peptidoglycan.\\n\\nIMPORTANCE: Understanding bacterial growth and division is a fundamental problem, and knowledge in this area underlies the treatment of many infectious diseases. Almost all bacteria are surrounded by a macromolecule of peptidoglycan that encloses the cell and maintains shape, and bacterial cells must increase the size of this molecule in order to enlarge themselves. This requires not only the insertion of new peptidoglycan monomers, a process targeted by antibiotics, including penicillin, but also breakage of existing bonds, a potentially hazardous activity for the cell. Using Staphylococcus aureus, we have identified a set of enzymes that are critical for cellular enlargement. We show that these enzymes are required for normal growth and define the mechanism through which cellular enlargement is accomplished, i.e., by breaking bonds in the peptidoglycan, which reduces the stiffness of the cell wall, enabling it to stretch and expand, a process that is likely to be fundamental to many bacteria.","author":[{"dropping-particle":"","family":"Wheeler","given":"Richard","non-dropping-particle":"","parse-names":false,"suffix":""},{"dropping-particle":"","family":"Turner","given":"Robert D.","non-dropping-particle":"","parse-names":false,"suffix":""},{"dropping-particle":"","family":"Bailey","given":"Richard G.","non-dropping-particle":"","parse-names":false,"suffix":""},{"dropping-particle":"","family":"Salamaga","given":"Bartłomiej","non-dropping-particle":"","parse-names":false,"suffix":""},{"dropping-particle":"","family":"Mesnage","given":"Stéphane","non-dropping-particle":"","parse-names":false,"suffix":""},{"dropping-particle":"","family":"Mohamad","given":"Sharifah A.S.","non-dropping-particle":"","parse-names":false,"suffix":""},{"dropping-particle":"","family":"Hayhurst","given":"Emma J.","non-dropping-particle":"","parse-names":false,"suffix":""},{"dropping-particle":"","family":"Horsburgh","given":"Malcolm","non-dropping-particle":"","parse-names":false,"suffix":""},{"dropping-particle":"","family":"Hobbs","given":"Jamie K.","non-dropping-particle":"","parse-names":false,"suffix":""},{"dropping-particle":"","family":"Foster","given":"Simon J.","non-dropping-particle":"","parse-names":false,"suffix":""}],"container-title":"mBio","id":"ITEM-1","issue":"4","issued":{"date-parts":[["2015"]]},"page":"1-10","title":"Bacterial cell enlargement requires control of cell wall stiffness mediated by peptidoglycan hydrolases","type":"article-journal","volume":"6"},"uris":["http://www.mendeley.com/documents/?uuid=d2ac9efd-feb5-4e30-a1e2-88eccd09b8af"]}],"mendeley":{"formattedCitation":"&lt;sup&gt;[53]&lt;/sup&gt;","plainTextFormattedCitation":"[53]","previouslyFormattedCitation":"&lt;sup&gt;[53]&lt;/sup&gt;"},"properties":{"noteIndex":0},"schema":"https://github.com/citation-style-language/schema/raw/master/csl-citation.json"}</w:instrText>
      </w:r>
      <w:r>
        <w:fldChar w:fldCharType="separate"/>
      </w:r>
      <w:r w:rsidRPr="00DA0A83">
        <w:rPr>
          <w:noProof/>
          <w:vertAlign w:val="superscript"/>
        </w:rPr>
        <w:t>[53]</w:t>
      </w:r>
      <w:r>
        <w:fldChar w:fldCharType="end"/>
      </w:r>
      <w:r>
        <w:t>.</w:t>
      </w:r>
    </w:p>
    <w:p w14:paraId="06E672A0" w14:textId="77777777" w:rsidR="00A70DB5" w:rsidRDefault="002B68E5" w:rsidP="002B68E5">
      <w:pPr>
        <w:sectPr w:rsidR="00A70DB5" w:rsidSect="004D0E05">
          <w:pgSz w:w="11906" w:h="16838"/>
          <w:pgMar w:top="1191" w:right="1247" w:bottom="1191" w:left="1247" w:header="709" w:footer="709" w:gutter="0"/>
          <w:cols w:space="708"/>
          <w:titlePg/>
          <w:docGrid w:linePitch="360"/>
        </w:sectPr>
      </w:pPr>
      <w:r w:rsidRPr="00DA466C">
        <w:t>Atl</w:t>
      </w:r>
      <w:r>
        <w:t xml:space="preserve">, also known as AtlA in </w:t>
      </w:r>
      <w:r>
        <w:rPr>
          <w:i/>
          <w:iCs/>
        </w:rPr>
        <w:t>S. aureus</w:t>
      </w:r>
      <w:r>
        <w:t xml:space="preserve">, is a major bifunctional PGH composed of an N-terminal domain with amidase activity (AmiA) and a C-terminal domain with glucosaminidase activity (GlcA) </w:t>
      </w:r>
      <w:r>
        <w:fldChar w:fldCharType="begin" w:fldLock="1"/>
      </w:r>
      <w:r>
        <w:instrText>ADDIN CSL_CITATION {"citationItems":[{"id":"ITEM-1","itemData":{"DOI":"10.1128/jb.177.19.5723-5725.1995","ISSN":"00219193","PMID":"7559367","abstract":"The gene encoding the major autolysin of Staphylococcus aureus 8325/4 has been cloned, sequenced, and insertionally inactivated. The three-domain, 137,384-Da protein has a C-terminal glucosaminidase active site and is involved in cell separation, generalized cell lysis, and release of wall material at the cell surface. Expression occurs throughout growth and is stimulated by low temperatures and in the presence of 1 M NaCl.","author":[{"dropping-particle":"","family":"Foster","given":"S. J.","non-dropping-particle":"","parse-names":false,"suffix":""}],"container-title":"Journal of Bacteriology","id":"ITEM-1","issue":"19","issued":{"date-parts":[["1995"]]},"page":"5723-5725","title":"Molecular characterization and functional analysis of the major autolysin of Staphylococcus aureus 8325/4","type":"article-journal","volume":"177"},"uris":["http://www.mendeley.com/documents/?uuid=c57e09ba-65b7-4e33-881f-19de2085ac4a"]},{"id":"ITEM-2","itemData":{"DOI":"10.1073/pnas.92.1.285","ISSN":"00278424","PMID":"7816834","abstract":"The Tn551 insertion site of the autolysis-deficient Staphylococcus aureus mutant RUSAL2 was cloned and used to identify the autolysis gene atl in the parent strain, RN450. The open reading frame for atl was 3768 bp in length, encoding a deduced protein of 1256 amino acids and molecular size of 137,381 Da. The atl gene product is a bifunctional protein that has an amidase domain and an endo-β-N-acetylglucosaminidase domain which must undergo proteolytic processing to generate the two extracellular lyric enzymes found in the culture broth of S. aureus.","author":[{"dropping-particle":"","family":"Oshida","given":"Tadahiro","non-dropping-particle":"","parse-names":false,"suffix":""},{"dropping-particle":"","family":"Sugai","given":"Motoyuki","non-dropping-particle":"","parse-names":false,"suffix":""},{"dropping-particle":"","family":"Komatsuzawa","given":"Hitoshi","non-dropping-particle":"","parse-names":false,"suffix":""},{"dropping-particle":"","family":"Hong","given":"Yeong Man","non-dropping-particle":"","parse-names":false,"suffix":""},{"dropping-particle":"","family":"Suginaka","given":"Hidekazu","non-dropping-particle":"","parse-names":false,"suffix":""},{"dropping-particle":"","family":"Tomasz","given":"Alexander","non-dropping-particle":"","parse-names":false,"suffix":""}],"container-title":"Proceedings of the National Academy of Sciences of the United States of America","id":"ITEM-2","issue":"1","issued":{"date-parts":[["1995"]]},"page":"285-289","title":"A Staphylococcus aureus autolysin that has an N-acetylmuramoyl-L-alanine amidase domain and an endo-β-N-acetylglucosaminidase domain: Cloning, sequence analysis, and characterization","type":"article-journal","volume":"92"},"uris":["http://www.mendeley.com/documents/?uuid=8be6e18b-817c-43a9-8b7f-e4ce35a834f6"]},{"id":"ITEM-3","itemData":{"DOI":"10.1038/s42003-020-01405-2","ISSN":"23993642","PMID":"33219282","abstract":"After bacterial cell division, the daughter cells are still covalently interlinked by the peptidoglycan network which is resolved by specific hydrolases (autolysins) to release the daughter cells. In staphylococci, the major autolysin (Atl) with its two domain enzymes, N-acetylmuramyl-L-alanine amidase (AmiA) and β-N-acetylglucosaminidase (GlcA), resolves the peptidoglycan to release the daughter cells. Internal deletions in each of the enzyme domains revealed defined morphological alterations such as cell cluster formation in ΔamiA, ΔglcA and Δatl, and asymmetric cell division in the ΔglcA. A most important finding was that GlcA activity requires the prior removal of the stem peptide by AmiA for its activity thus the naked glycan strand is its substrate. Furthermore, GlcA is not an endo-β-N-acetylglucosaminidase but an exo-enzyme that cuts the glycan backbone to disaccharides independent of its O-acetylation modification. Our results shed new light into the sequential peptidoglycan hydrolysis by AmiA and GlcA during cell division in staphylococci.","author":[{"dropping-particle":"","family":"Nega","given":"Mulugeta","non-dropping-particle":"","parse-names":false,"suffix":""},{"dropping-particle":"","family":"Tribelli","given":"Paula Maria","non-dropping-particle":"","parse-names":false,"suffix":""},{"dropping-particle":"","family":"Hipp","given":"Katharina","non-dropping-particle":"","parse-names":false,"suffix":""},{"dropping-particle":"","family":"Stahl","given":"Mark","non-dropping-particle":"","parse-names":false,"suffix":""},{"dropping-particle":"","family":"Götz","given":"Friedrich","non-dropping-particle":"","parse-names":false,"suffix":""}],"container-title":"Communications Biology","id":"ITEM-3","issue":"1","issued":{"date-parts":[["2020"]]},"page":"1-10","publisher":"Springer US","title":"New insights in the coordinated amidase and glucosaminidase activity of the major autolysin (Atl) in Staphylococcus aureus","type":"article-journal","volume":"3"},"uris":["http://www.mendeley.com/documents/?uuid=576d7b44-e4eb-466c-9bdb-6b90bb6f1770"]}],"mendeley":{"formattedCitation":"&lt;sup&gt;[54–56]&lt;/sup&gt;","plainTextFormattedCitation":"[54–56]","previouslyFormattedCitation":"&lt;sup&gt;[54–56]&lt;/sup&gt;"},"properties":{"noteIndex":0},"schema":"https://github.com/citation-style-language/schema/raw/master/csl-citation.json"}</w:instrText>
      </w:r>
      <w:r>
        <w:fldChar w:fldCharType="separate"/>
      </w:r>
      <w:r w:rsidRPr="00DA0A83">
        <w:rPr>
          <w:noProof/>
          <w:vertAlign w:val="superscript"/>
        </w:rPr>
        <w:t>[54–56]</w:t>
      </w:r>
      <w:r>
        <w:fldChar w:fldCharType="end"/>
      </w:r>
      <w:r>
        <w:t xml:space="preserve">. Studies with </w:t>
      </w:r>
      <w:r>
        <w:rPr>
          <w:i/>
          <w:iCs/>
        </w:rPr>
        <w:t>atl</w:t>
      </w:r>
      <w:r>
        <w:t xml:space="preserve"> mutants show that it is involved in biofilm formation and cell separation </w:t>
      </w:r>
      <w:r>
        <w:fldChar w:fldCharType="begin" w:fldLock="1"/>
      </w:r>
      <w:r>
        <w:instrText>ADDIN CSL_CITATION {"citationItems":[{"id":"ITEM-1","itemData":{"DOI":"10.1111/j.1574-6968.2006.00281.x","ISSN":"03781097","PMID":"16734789","abstract":"The major autolysin of Staphylococcus aureus (AtlA) and of Staphylococcus epidermidis (AtlE) are well-studied enzymes. Here we created an atlA deletion mutant in S. aureus that formed large cell clusters and was biofilm-negative. In electron micrographs, the mutant cells were distinguished by rough outer cell surface. The mutant could be complemented using the atlE gene from S. epidermidis. To study the role of the repetitive sequences of atlE, we expressed in Escherichia coli the amidase domain encoded by the gene, carrying no repeat regions (amiE) or two repeat regions (amiE-R1,2), or the three repeat regions alone (R1,2,3) as N-terminal His-tag fusion proteins. Only slight differences in the cell wall lytic activity between AmiE and AmiE-R1,2 were observed. The repetitive sequences exhibit a good binding affinity to isolated peptidoglycan and might contribute to the targeting of the amidase to the substrate. AmiE and AmiE-R1,2 have a broad substrate specificity as shown by similar activities with peptidoglycan lacking wall teichoic acid, O-acetylation, or both. As the amidase activity of AtlA and AtlE has not been proved biochemically, we used purified AmiE-R1,2 to determine the exact peptidoglycan cleavage site. We provide the first evidence that the amidase indeed cleaves the amide bond between N-acetyl muramic acid and l-alanine. © 2006 Federation of European Microbiological Societies Published by Blackwell Publishing Ltd. All rights reserved.","author":[{"dropping-particle":"","family":"Biswas","given":"Raja","non-dropping-particle":"","parse-names":false,"suffix":""},{"dropping-particle":"","family":"Voggu","given":"Lalitha","non-dropping-particle":"","parse-names":false,"suffix":""},{"dropping-particle":"","family":"Simon","given":"Uwe Karsten","non-dropping-particle":"","parse-names":false,"suffix":""},{"dropping-particle":"","family":"Hentschel","given":"Petra","non-dropping-particle":"","parse-names":false,"suffix":""},{"dropping-particle":"","family":"Thumm","given":"Günther","non-dropping-particle":"","parse-names":false,"suffix":""},{"dropping-particle":"","family":"Götz","given":"Friedrich","non-dropping-particle":"","parse-names":false,"suffix":""}],"container-title":"FEMS Microbiology Letters","id":"ITEM-1","issue":"2","issued":{"date-parts":[["2006"]]},"page":"260-268","title":"Activity of the major staphylococcal autolysin Atl","type":"article-journal","volume":"259"},"uris":["http://www.mendeley.com/documents/?uuid=a2a445f5-7b60-4fbd-8ad7-de77d5fa750e"]},{"id":"ITEM-2","itemData":{"DOI":"10.1128/jb.177.19.5723-5725.1995","ISSN":"00219193","PMID":"7559367","abstract":"The gene encoding the major autolysin of Staphylococcus aureus 8325/4 has been cloned, sequenced, and insertionally inactivated. The three-domain, 137,384-Da protein has a C-terminal glucosaminidase active site and is involved in cell separation, generalized cell lysis, and release of wall material at the cell surface. Expression occurs throughout growth and is stimulated by low temperatures and in the presence of 1 M NaCl.","author":[{"dropping-particle":"","family":"Foster","given":"S. J.","non-dropping-particle":"","parse-names":false,"suffix":""}],"container-title":"Journal of Bacteriology","id":"ITEM-2","issue":"19","issued":{"date-parts":[["1995"]]},"page":"5723-5725","title":"Molecular characterization and functional analysis of the major autolysin of Staphylococcus aureus 8325/4","type":"article-journal","volume":"177"},"uris":["http://www.mendeley.com/documents/?uuid=c57e09ba-65b7-4e33-881f-19de2085ac4a"]},{"id":"ITEM-3","itemData":{"DOI":"10.1128/mBio.00660-15","ISSN":"21507511","PMID":"26220963","abstract":"UNLABELLED: Most bacterial cells are enclosed in a single macromolecule of the cell wall polymer, peptidoglycan, which is required for shape determination and maintenance of viability, while peptidoglycan biosynthesis is an important antibiotic target. It is hypothesized that cellular enlargement requires regional expansion of the cell wall through coordinated insertion and hydrolysis of peptidoglycan. Here, a group of (apparent glucosaminidase) peptidoglycan hydrolases are identified that are together required for cell enlargement and correct cellular morphology of Staphylococcus aureus, demonstrating the overall importance of this enzyme activity. These are Atl, SagA, ScaH, and SagB. The major advance here is the explanation of the observed morphological defects in terms of the mechanical and biochemical properties of peptidoglycan. It was shown that cells lacking groups of these hydrolases have increased surface stiffness and, in the absence of SagB, substantially increased glycan chain length. This indicates that, beyond their established roles (for example in cell separation), some hydrolases enable cellular enlargement by making peptidoglycan easier to stretch, providing the first direct evidence demonstrating that cellular enlargement occurs via modulation of the mechanical properties of peptidoglycan.\\n\\nIMPORTANCE: Understanding bacterial growth and division is a fundamental problem, and knowledge in this area underlies the treatment of many infectious diseases. Almost all bacteria are surrounded by a macromolecule of peptidoglycan that encloses the cell and maintains shape, and bacterial cells must increase the size of this molecule in order to enlarge themselves. This requires not only the insertion of new peptidoglycan monomers, a process targeted by antibiotics, including penicillin, but also breakage of existing bonds, a potentially hazardous activity for the cell. Using Staphylococcus aureus, we have identified a set of enzymes that are critical for cellular enlargement. We show that these enzymes are required for normal growth and define the mechanism through which cellular enlargement is accomplished, i.e., by breaking bonds in the peptidoglycan, which reduces the stiffness of the cell wall, enabling it to stretch and expand, a process that is likely to be fundamental to many bacteria.","author":[{"dropping-particle":"","family":"Wheeler","given":"Richard","non-dropping-particle":"","parse-names":false,"suffix":""},{"dropping-particle":"","family":"Turner","given":"Robert D.","non-dropping-particle":"","parse-names":false,"suffix":""},{"dropping-particle":"","family":"Bailey","given":"Richard G.","non-dropping-particle":"","parse-names":false,"suffix":""},{"dropping-particle":"","family":"Salamaga","given":"Bartłomiej","non-dropping-particle":"","parse-names":false,"suffix":""},{"dropping-particle":"","family":"Mesnage","given":"Stéphane","non-dropping-particle":"","parse-names":false,"suffix":""},{"dropping-particle":"","family":"Mohamad","given":"Sharifah A.S.","non-dropping-particle":"","parse-names":false,"suffix":""},{"dropping-particle":"","family":"Hayhurst","given":"Emma J.","non-dropping-particle":"","parse-names":false,"suffix":""},{"dropping-particle":"","family":"Horsburgh","given":"Malcolm","non-dropping-particle":"","parse-names":false,"suffix":""},{"dropping-particle":"","family":"Hobbs","given":"Jamie K.","non-dropping-particle":"","parse-names":false,"suffix":""},{"dropping-particle":"","family":"Foster","given":"Simon J.","non-dropping-particle":"","parse-names":false,"suffix":""}],"container-title":"mBio","id":"ITEM-3","issue":"4","issued":{"date-parts":[["2015"]]},"page":"1-10","title":"Bacterial cell enlargement requires control of cell wall stiffness mediated by peptidoglycan hydrolases","type":"article-journal","volume":"6"},"uris":["http://www.mendeley.com/documents/?uuid=d2ac9efd-feb5-4e30-a1e2-88eccd09b8af"]}],"mendeley":{"formattedCitation":"&lt;sup&gt;[53,54,57]&lt;/sup&gt;","plainTextFormattedCitation":"[53,54,57]","previouslyFormattedCitation":"&lt;sup&gt;[53,54,57]&lt;/sup&gt;"},"properties":{"noteIndex":0},"schema":"https://github.com/citation-style-language/schema/raw/master/csl-citation.json"}</w:instrText>
      </w:r>
      <w:r>
        <w:fldChar w:fldCharType="separate"/>
      </w:r>
      <w:r w:rsidRPr="00DA0A83">
        <w:rPr>
          <w:noProof/>
          <w:vertAlign w:val="superscript"/>
        </w:rPr>
        <w:t>[53,54,57]</w:t>
      </w:r>
      <w:r>
        <w:fldChar w:fldCharType="end"/>
      </w:r>
      <w:r>
        <w:t xml:space="preserve">. Cells lacking this major PGH present a fuzzy surface appearance and are seen in big cell clusters, consistent with the release of PG at the cell surface and Atl’s role in cell separation respectively </w:t>
      </w:r>
      <w:r>
        <w:fldChar w:fldCharType="begin" w:fldLock="1"/>
      </w:r>
      <w:r>
        <w:instrText>ADDIN CSL_CITATION {"citationItems":[{"id":"ITEM-1","itemData":{"DOI":"10.1128/jb.177.19.5723-5725.1995","ISSN":"00219193","PMID":"7559367","abstract":"The gene encoding the major autolysin of Staphylococcus aureus 8325/4 has been cloned, sequenced, and insertionally inactivated. The three-domain, 137,384-Da protein has a C-terminal glucosaminidase active site and is involved in cell separation, generalized cell lysis, and release of wall material at the cell surface. Expression occurs throughout growth and is stimulated by low temperatures and in the presence of 1 M NaCl.","author":[{"dropping-particle":"","family":"Foster","given":"S. J.","non-dropping-particle":"","parse-names":false,"suffix":""}],"container-title":"Journal of Bacteriology","id":"ITEM-1","issue":"19","issued":{"date-parts":[["1995"]]},"page":"5723-5725","title":"Molecular characterization and functional analysis of the major autolysin of Staphylococcus aureus 8325/4","type":"article-journal","volume":"177"},"uris":["http://www.mendeley.com/documents/?uuid=c57e09ba-65b7-4e33-881f-19de2085ac4a"]},{"id":"ITEM-2","itemData":{"DOI":"10.1111/j.1574-6968.2006.00281.x","ISSN":"03781097","PMID":"16734789","abstract":"The major autolysin of Staphylococcus aureus (AtlA) and of Staphylococcus epidermidis (AtlE) are well-studied enzymes. Here we created an atlA deletion mutant in S. aureus that formed large cell clusters and was biofilm-negative. In electron micrographs, the mutant cells were distinguished by rough outer cell surface. The mutant could be complemented using the atlE gene from S. epidermidis. To study the role of the repetitive sequences of atlE, we expressed in Escherichia coli the amidase domain encoded by the gene, carrying no repeat regions (amiE) or two repeat regions (amiE-R1,2), or the three repeat regions alone (R1,2,3) as N-terminal His-tag fusion proteins. Only slight differences in the cell wall lytic activity between AmiE and AmiE-R1,2 were observed. The repetitive sequences exhibit a good binding affinity to isolated peptidoglycan and might contribute to the targeting of the amidase to the substrate. AmiE and AmiE-R1,2 have a broad substrate specificity as shown by similar activities with peptidoglycan lacking wall teichoic acid, O-acetylation, or both. As the amidase activity of AtlA and AtlE has not been proved biochemically, we used purified AmiE-R1,2 to determine the exact peptidoglycan cleavage site. We provide the first evidence that the amidase indeed cleaves the amide bond between N-acetyl muramic acid and l-alanine. © 2006 Federation of European Microbiological Societies Published by Blackwell Publishing Ltd. All rights reserved.","author":[{"dropping-particle":"","family":"Biswas","given":"Raja","non-dropping-particle":"","parse-names":false,"suffix":""},{"dropping-particle":"","family":"Voggu","given":"Lalitha","non-dropping-particle":"","parse-names":false,"suffix":""},{"dropping-particle":"","family":"Simon","given":"Uwe Karsten","non-dropping-particle":"","parse-names":false,"suffix":""},{"dropping-particle":"","family":"Hentschel","given":"Petra","non-dropping-particle":"","parse-names":false,"suffix":""},{"dropping-particle":"","family":"Thumm","given":"Günther","non-dropping-particle":"","parse-names":false,"suffix":""},{"dropping-particle":"","family":"Götz","given":"Friedrich","non-dropping-particle":"","parse-names":false,"suffix":""}],"container-title":"FEMS Microbiology Letters","id":"ITEM-2","issue":"2","issued":{"date-parts":[["2006"]]},"page":"260-268","title":"Activity of the major staphylococcal autolysin Atl","type":"article-journal","volume":"259"},"uris":["http://www.mendeley.com/documents/?uuid=a2a445f5-7b60-4fbd-8ad7-de77d5fa750e"]}],"mendeley":{"formattedCitation":"&lt;sup&gt;[54,57]&lt;/sup&gt;","plainTextFormattedCitation":"[54,57]","previouslyFormattedCitation":"&lt;sup&gt;[54,57]&lt;/sup&gt;"},"properties":{"noteIndex":0},"schema":"https://github.com/citation-style-language/schema/raw/master/csl-citation.json"}</w:instrText>
      </w:r>
      <w:r>
        <w:fldChar w:fldCharType="separate"/>
      </w:r>
      <w:r w:rsidRPr="00DA0A83">
        <w:rPr>
          <w:noProof/>
          <w:vertAlign w:val="superscript"/>
        </w:rPr>
        <w:t>[54,57]</w:t>
      </w:r>
      <w:r>
        <w:fldChar w:fldCharType="end"/>
      </w:r>
      <w:r>
        <w:t xml:space="preserve">. Despite these extreme morphological faults, cell growth is not affected and it is believed that Aaa, another PGH, could be compensating for the lack of Atl to some extent </w:t>
      </w:r>
      <w:r>
        <w:fldChar w:fldCharType="begin" w:fldLock="1"/>
      </w:r>
      <w:r>
        <w:instrText>ADDIN CSL_CITATION {"citationItems":[{"id":"ITEM-1","itemData":{"DOI":"10.1111/j.1574-6968.2006.00281.x","ISSN":"03781097","PMID":"16734789","abstract":"The major autolysin of Staphylococcus aureus (AtlA) and of Staphylococcus epidermidis (AtlE) are well-studied enzymes. Here we created an atlA deletion mutant in S. aureus that formed large cell clusters and was biofilm-negative. In electron micrographs, the mutant cells were distinguished by rough outer cell surface. The mutant could be complemented using the atlE gene from S. epidermidis. To study the role of the repetitive sequences of atlE, we expressed in Escherichia coli the amidase domain encoded by the gene, carrying no repeat regions (amiE) or two repeat regions (amiE-R1,2), or the three repeat regions alone (R1,2,3) as N-terminal His-tag fusion proteins. Only slight differences in the cell wall lytic activity between AmiE and AmiE-R1,2 were observed. The repetitive sequences exhibit a good binding affinity to isolated peptidoglycan and might contribute to the targeting of the amidase to the substrate. AmiE and AmiE-R1,2 have a broad substrate specificity as shown by similar activities with peptidoglycan lacking wall teichoic acid, O-acetylation, or both. As the amidase activity of AtlA and AtlE has not been proved biochemically, we used purified AmiE-R1,2 to determine the exact peptidoglycan cleavage site. We provide the first evidence that the amidase indeed cleaves the amide bond between N-acetyl muramic acid and l-alanine. © 2006 Federation of European Microbiological Societies Published by Blackwell Publishing Ltd. All rights reserved.","author":[{"dropping-particle":"","family":"Biswas","given":"Raja","non-dropping-particle":"","parse-names":false,"suffix":""},{"dropping-particle":"","family":"Voggu","given":"Lalitha","non-dropping-particle":"","parse-names":false,"suffix":""},{"dropping-particle":"","family":"Simon","given":"Uwe Karsten","non-dropping-particle":"","parse-names":false,"suffix":""},{"dropping-particle":"","family":"Hentschel","given":"Petra","non-dropping-particle":"","parse-names":false,"suffix":""},{"dropping-particle":"","family":"Thumm","given":"Günther","non-dropping-particle":"","parse-names":false,"suffix":""},{"dropping-particle":"","family":"Götz","given":"Friedrich","non-dropping-particle":"","parse-names":false,"suffix":""}],"container-title":"FEMS Microbiology Letters","id":"ITEM-1","issue":"2","issued":{"date-parts":[["2006"]]},"page":"260-268","title":"Activity of the major staphylococcal autolysin Atl","type":"article-journal","volume":"259"},"uris":["http://www.mendeley.com/documents/?uuid=a2a445f5-7b60-4fbd-8ad7-de77d5fa750e"]},{"id":"ITEM-2","itemData":{"DOI":"10.1128/IAI.73.8.4793-4802.2005","ISSN":"00199567","PMID":"16040992","abstract":"Staphylococci can cause a wide spectrum of infections, including endocarditis, osteomyelitis, and sepsis, which is reflected by the numerous virulence factors they produce, among them a recently identified new class of adhesins, namely, the multifunctional autolysins/adhesins. Here we report the identification and molecular characterization of Aaa, a novel autolysin/adhesin from Staphylococcus aureus. The gene encoding Aaa was cloned from the clinical isolate Staphylococcus aureus 4074. DNA sequence analysis revealed that aaa encodes a deduced protein of 334 amino acids with a predicted molecular mass of 35.8 kDa. Aaa contains three N-terminal repetitive sequences that comprise features of a peptidoglycan-binding domain, the LysM domain. The expression of aaa by Escherichia coli and its subsequent characterization revealed that Aaa possesses bacteriolytic activity as well as adhesive properties, such as binding to extracellular matrix proteins. Real-time biomolecular interaction analysis demonstrated that the interaction of Aaa with fibrinogen, fibronectin, and vitronectin is dose dependent and saturable and occurs with a high affinity. Furthermore, we demonstrate that Aaa binds to the Aα and Bβ chains of fragment D of fibrinogen. Immunofluorescence microscopy revealed that Aaa is located at the cell surface. Finally, an aaa knockout mutant showed reduced adherence to surface-adsorbed fibrinogen and fibronectin, strongly suggesting a role for Aaa in the colonization of host factor-coated polymer surfaces and/or host tissue. Copyright © 2005, American Society for Microbiology. All Rights Reserved.","author":[{"dropping-particle":"","family":"Heilmann","given":"Christine","non-dropping-particle":"","parse-names":false,"suffix":""},{"dropping-particle":"","family":"Hartleib","given":"Jörg","non-dropping-particle":"","parse-names":false,"suffix":""},{"dropping-particle":"","family":"Hussain","given":"Muzaffar S.","non-dropping-particle":"","parse-names":false,"suffix":""},{"dropping-particle":"","family":"Peters","given":"Georg","non-dropping-particle":"","parse-names":false,"suffix":""}],"container-title":"Infection and Immunity","id":"ITEM-2","issue":"8","issued":{"date-parts":[["2005"]]},"page":"4793-4802","title":"The multifunctional Staphylococcus aureus autolysin Aaa mediates adherence to immobilized fibrinogen and fibronectin","type":"article-journal","volume":"73"},"uris":["http://www.mendeley.com/documents/?uuid=50159b13-b9b8-4001-9e69-8f3fd613c461"]}],"mendeley":{"formattedCitation":"&lt;sup&gt;[57,58]&lt;/sup&gt;","plainTextFormattedCitation":"[57,58]","previouslyFormattedCitation":"&lt;sup&gt;[57,58]&lt;/sup&gt;"},"properties":{"noteIndex":0},"schema":"https://github.com/citation-style-language/schema/raw/master/csl-citation.json"}</w:instrText>
      </w:r>
      <w:r>
        <w:fldChar w:fldCharType="separate"/>
      </w:r>
      <w:r w:rsidRPr="00DA0A83">
        <w:rPr>
          <w:noProof/>
          <w:vertAlign w:val="superscript"/>
        </w:rPr>
        <w:t>[57,58]</w:t>
      </w:r>
      <w:r>
        <w:fldChar w:fldCharType="end"/>
      </w:r>
      <w:r>
        <w:t>. As expected for their role in cell separation, Atl is located at the equatorial ring of the division site, and it has been hypothesised that this location might be dictated by the lack of</w:t>
      </w:r>
      <w:r w:rsidR="00C20E48">
        <w:t xml:space="preserve"> wall teichoic acids</w:t>
      </w:r>
      <w:r>
        <w:t xml:space="preserve"> </w:t>
      </w:r>
      <w:r w:rsidR="00C20E48">
        <w:t>(</w:t>
      </w:r>
      <w:r>
        <w:t>WTA</w:t>
      </w:r>
      <w:r w:rsidR="00C20E48">
        <w:t>)</w:t>
      </w:r>
      <w:r>
        <w:t xml:space="preserve"> </w:t>
      </w:r>
      <w:r>
        <w:fldChar w:fldCharType="begin" w:fldLock="1"/>
      </w:r>
      <w:r>
        <w:instrText>ADDIN CSL_CITATION {"citationItems":[{"id":"ITEM-1","itemData":{"DOI":"10.1111/j.1365-2958.2009.07007.x","ISSN":"0950382X","PMID":"20105277","abstract":"Staphylococcal cell separation depends largely on the bifunctional autolysin Atl that is processed to amidase-R1,2 and R 3-glucosaminidase. These murein hydrolases are targeted via repeat domains (R) to the septal region of the cell surface, thereby allowing localized peptidoglycan hydrolysis and separation of the dividing cells. Here we show that targeting of the amidase repeats is based on an exclusion strategy mediated by wall teichoic acid (WTA). In Staphylococcus aureus wild-type, externally applied repeats (R1,2) or endogenously expressed amidase were localized exclusively at the cross-wall region, while in δtagO mutant that lacks WTA binding was evenly distributed on the cell surface, which explains the increased fragility and autolysis susceptibility of the mutant. WTA prevented binding of Atl to the old cell wall but not to the cross-wall region suggesting a lower WTA content. In binding studies with ConcanavalinA- fluorescein (ConA-FITC) conjugate that binds preferentially to teichoic acids, ConA-FITC was bound throughout the cell surface with the exception of the cross wall. ConA binding suggest that either content or polymerization of WTA gradually increases with distance from the cross-wall. By preventing binding of Atl, WTA directs Atl to the cross-wall to perform the last step of cell division, namely separation of the daughter cells. © 2010 Blackwell Publishing Ltd.","author":[{"dropping-particle":"","family":"Schlag","given":"Martin","non-dropping-particle":"","parse-names":false,"suffix":""},{"dropping-particle":"","family":"Biswas","given":"Raja","non-dropping-particle":"","parse-names":false,"suffix":""},{"dropping-particle":"","family":"Krismer","given":"Bernhard","non-dropping-particle":"","parse-names":false,"suffix":""},{"dropping-particle":"","family":"Kohler","given":"Thomas","non-dropping-particle":"","parse-names":false,"suffix":""},{"dropping-particle":"","family":"Zoll","given":"Sebastian","non-dropping-particle":"","parse-names":false,"suffix":""},{"dropping-particle":"","family":"Yu","given":"Wenqi","non-dropping-particle":"","parse-names":false,"suffix":""},{"dropping-particle":"","family":"Schwarz","given":"Heinz","non-dropping-particle":"","parse-names":false,"suffix":""},{"dropping-particle":"","family":"Peschel","given":"Andreas","non-dropping-particle":"","parse-names":false,"suffix":""},{"dropping-particle":"","family":"Götz","given":"Friedrich","non-dropping-particle":"","parse-names":false,"suffix":""}],"container-title":"Molecular Microbiology","id":"ITEM-1","issue":"4","issued":{"date-parts":[["2010"]]},"page":"864-873","title":"Role of staphylococcal wall teichoic acid in targeting the major autolysin Atl","type":"article-journal","volume":"75"},"uris":["http://www.mendeley.com/documents/?uuid=e8df656f-cf4a-48d7-8351-878706af9c66"]},{"id":"ITEM-2","itemData":{"DOI":"10.1128/jb.178.6.1565-1571.1996","ISSN":"00219193","abstract":"atl is a newly discovered autolysin gene in Staphylococcus aureus. The gene product, ATL, is a unique, bifunctional protein that has an amidase domain and a glucosaminidase domain. It undergoes proteolytic processing to generate two extracellular peptidoglycan hydrolases, a 59-kDa endo-beta-N-acetylglucosaminidase and a 62-kDa N-acetylmuramyl-L-alanine amidase. It has been suggested that these enzymes are involved in the separation of daughter cells after cell division. We recently demonstrated that atl gene products are cell associated (unpublished data). The cell surface localization of the atl gene products was investigated by immunoelectron microscopy using anti-62-kDa N-acetylmuramyl-L-alanine amidase or anti-51-kDa endo-beta-N-acetylglucosaminidase immunoglobulin G. Protein A-gold particles reacting with the antigen-antibody complex were found to form a ring structure on the cell surface at the septal region for the next cell division site. Electron microscopic examination of an ultrathin section of the preembedded sample revealed preferential distribution of the gold particles at the presumptive sites for cell separation where the new septa had not been completed. The distribution of the gold particles on the surface of protoplast cells and the association of the gold particles with fibrous materials extending from the cells suggested that some atl gene products were associated with a cellular component extending from the cell membrane, such as lipoteichoic acid. The formation of a ring structure of atl gene products may be required for efficient partitioning of daughter cells after cell division.","author":[{"dropping-particle":"","family":"Yamada","given":"Sakuo","non-dropping-particle":"","parse-names":false,"suffix":""},{"dropping-particle":"","family":"Sugai","given":"Motoyuki","non-dropping-particle":"","parse-names":false,"suffix":""},{"dropping-particle":"","family":"Komatsuzawa","given":"Hitoshi","non-dropping-particle":"","parse-names":false,"suffix":""},{"dropping-particle":"","family":"Nakashima","given":"Seiji","non-dropping-particle":"","parse-names":false,"suffix":""},{"dropping-particle":"","family":"Oshida","given":"Tadahiro","non-dropping-particle":"","parse-names":false,"suffix":""},{"dropping-particle":"","family":"Matsumoto","given":"Akira","non-dropping-particle":"","parse-names":false,"suffix":""},{"dropping-particle":"","family":"Suginaka","given":"Hidekazu","non-dropping-particle":"","parse-names":false,"suffix":""}],"container-title":"Journal of Bacteriology","id":"ITEM-2","issue":"6","issued":{"date-parts":[["1996"]]},"page":"1565-1571","title":"An autolysin ring associated with cell separation of Staphylococcus aureus","type":"article-journal","volume":"178"},"uris":["http://www.mendeley.com/documents/?uuid=6ee8fcb1-a2c9-4ce2-90d8-3d36208c999d"]}],"mendeley":{"formattedCitation":"&lt;sup&gt;[59,60]&lt;/sup&gt;","plainTextFormattedCitation":"[59,60]","previouslyFormattedCitation":"&lt;sup&gt;[59,60]&lt;/sup&gt;"},"properties":{"noteIndex":0},"schema":"https://github.com/citation-style-language/schema/raw/master/csl-citation.json"}</w:instrText>
      </w:r>
      <w:r>
        <w:fldChar w:fldCharType="separate"/>
      </w:r>
      <w:r w:rsidRPr="00DA0A83">
        <w:rPr>
          <w:noProof/>
          <w:vertAlign w:val="superscript"/>
        </w:rPr>
        <w:t>[59,60]</w:t>
      </w:r>
      <w:r>
        <w:fldChar w:fldCharType="end"/>
      </w:r>
      <w:r>
        <w:t xml:space="preserve">. However, further studies have shown that the absence of WTA at the septal plate might have been the result of the labelling lectin being unable to access the site </w:t>
      </w:r>
      <w:r>
        <w:fldChar w:fldCharType="begin" w:fldLock="1"/>
      </w:r>
      <w:r>
        <w:instrText>ADDIN CSL_CITATION {"citationItems":[{"id":"ITEM-1","itemData":{"author":[{"dropping-particle":"","family":"Kent","given":"Victoria L","non-dropping-particle":"","parse-names":false,"suffix":""}],"id":"ITEM-1","issue":"April","issued":{"date-parts":[["2013"]]},"title":"Cell wall architecture and the role of wall teichoic acid in Staphylococcus aureus By","type":"thesis"},"uris":["http://www.mendeley.com/documents/?uuid=aba4222c-2117-44a5-b939-d833a041eb89"]}],"mendeley":{"formattedCitation":"&lt;sup&gt;[61]&lt;/sup&gt;","plainTextFormattedCitation":"[61]","previouslyFormattedCitation":"&lt;sup&gt;[61]&lt;/sup&gt;"},"properties":{"noteIndex":0},"schema":"https://github.com/citation-style-language/schema/raw/master/csl-citation.json"}</w:instrText>
      </w:r>
      <w:r>
        <w:fldChar w:fldCharType="separate"/>
      </w:r>
      <w:r w:rsidRPr="00DA0A83">
        <w:rPr>
          <w:noProof/>
          <w:vertAlign w:val="superscript"/>
        </w:rPr>
        <w:t>[61]</w:t>
      </w:r>
      <w:r>
        <w:fldChar w:fldCharType="end"/>
      </w:r>
      <w:r>
        <w:t xml:space="preserve">. Nevertheless, Atl is delocalised in WTA lacking strains </w:t>
      </w:r>
      <w:r>
        <w:fldChar w:fldCharType="begin" w:fldLock="1"/>
      </w:r>
      <w:r>
        <w:instrText>ADDIN CSL_CITATION {"citationItems":[{"id":"ITEM-1","itemData":{"author":[{"dropping-particle":"","family":"Kent","given":"Victoria L","non-dropping-particle":"","parse-names":false,"suffix":""}],"id":"ITEM-1","issue":"April","issued":{"date-parts":[["2013"]]},"title":"Cell wall architecture and the role of wall teichoic acid in Staphylococcus aureus By","type":"thesis"},"uris":["http://www.mendeley.com/documents/?uuid=aba4222c-2117-44a5-b939-d833a041eb89"]},{"id":"ITEM-2","itemData":{"DOI":"10.1111/j.1365-2958.2009.07007.x","ISSN":"0950382X","PMID":"20105277","abstract":"Staphylococcal cell separation depends largely on the bifunctional autolysin Atl that is processed to amidase-R1,2 and R 3-glucosaminidase. These murein hydrolases are targeted via repeat domains (R) to the septal region of the cell surface, thereby allowing localized peptidoglycan hydrolysis and separation of the dividing cells. Here we show that targeting of the amidase repeats is based on an exclusion strategy mediated by wall teichoic acid (WTA). In Staphylococcus aureus wild-type, externally applied repeats (R1,2) or endogenously expressed amidase were localized exclusively at the cross-wall region, while in δtagO mutant that lacks WTA binding was evenly distributed on the cell surface, which explains the increased fragility and autolysis susceptibility of the mutant. WTA prevented binding of Atl to the old cell wall but not to the cross-wall region suggesting a lower WTA content. In binding studies with ConcanavalinA- fluorescein (ConA-FITC) conjugate that binds preferentially to teichoic acids, ConA-FITC was bound throughout the cell surface with the exception of the cross wall. ConA binding suggest that either content or polymerization of WTA gradually increases with distance from the cross-wall. By preventing binding of Atl, WTA directs Atl to the cross-wall to perform the last step of cell division, namely separation of the daughter cells. © 2010 Blackwell Publishing Ltd.","author":[{"dropping-particle":"","family":"Schlag","given":"Martin","non-dropping-particle":"","parse-names":false,"suffix":""},{"dropping-particle":"","family":"Biswas","given":"Raja","non-dropping-particle":"","parse-names":false,"suffix":""},{"dropping-particle":"","family":"Krismer","given":"Bernhard","non-dropping-particle":"","parse-names":false,"suffix":""},{"dropping-particle":"","family":"Kohler","given":"Thomas","non-dropping-particle":"","parse-names":false,"suffix":""},{"dropping-particle":"","family":"Zoll","given":"Sebastian","non-dropping-particle":"","parse-names":false,"suffix":""},{"dropping-particle":"","family":"Yu","given":"Wenqi","non-dropping-particle":"","parse-names":false,"suffix":""},{"dropping-particle":"","family":"Schwarz","given":"Heinz","non-dropping-particle":"","parse-names":false,"suffix":""},{"dropping-particle":"","family":"Peschel","given":"Andreas","non-dropping-particle":"","parse-names":false,"suffix":""},{"dropping-particle":"","family":"Götz","given":"Friedrich","non-dropping-particle":"","parse-names":false,"suffix":""}],"container-title":"Molecular Microbiology","id":"ITEM-2","issue":"4","issued":{"date-parts":[["2010"]]},"page":"864-873","title":"Role of staphylococcal wall teichoic acid in targeting the major autolysin Atl","type":"article-journal","volume":"75"},"uris":["http://www.mendeley.com/documents/?uuid=e8df656f-cf4a-48d7-8351-878706af9c66"]}],"mendeley":{"formattedCitation":"&lt;sup&gt;[59,61]&lt;/sup&gt;","plainTextFormattedCitation":"[59,61]","previouslyFormattedCitation":"&lt;sup&gt;[59,61]&lt;/sup&gt;"},"properties":{"noteIndex":0},"schema":"https://github.com/citation-style-language/schema/raw/master/csl-citation.json"}</w:instrText>
      </w:r>
      <w:r>
        <w:fldChar w:fldCharType="separate"/>
      </w:r>
      <w:r w:rsidRPr="00DA0A83">
        <w:rPr>
          <w:noProof/>
          <w:vertAlign w:val="superscript"/>
        </w:rPr>
        <w:t>[59,61]</w:t>
      </w:r>
      <w:r>
        <w:fldChar w:fldCharType="end"/>
      </w:r>
      <w:r>
        <w:t xml:space="preserve">. Later studies have also shown its ability to bind to both </w:t>
      </w:r>
      <w:r w:rsidR="00A13D10">
        <w:t>lipoteichoic acids (</w:t>
      </w:r>
      <w:r>
        <w:t>LTA</w:t>
      </w:r>
      <w:r w:rsidR="00A13D10">
        <w:t>)</w:t>
      </w:r>
      <w:r>
        <w:t xml:space="preserve"> and PG, with the former allowing this enzyme to rebind and change conformation to facilitate PG cleavage </w:t>
      </w:r>
      <w:r>
        <w:fldChar w:fldCharType="begin" w:fldLock="1"/>
      </w:r>
      <w:r>
        <w:instrText>ADDIN CSL_CITATION {"citationItems":[{"id":"ITEM-1","itemData":{"DOI":"10.1128/JB.00331-12","ISSN":"00219193","PMID":"22609916","abstract":"The bifunctional major autolysin Atl plays a key role in staphylococcal cell separation. Processing of Atl yields catalytically active amidase (AM) and glucosaminidase (GL) domains that are each fused to repeating units. The two repeats of AM (R1 and R2) target the enzyme to the septum, where it cleaves murein between dividing cells. We have determined the crystal structure of R2, which reveals that each repeat folds into two half-open β-barrel subunits. We further demonstrate that lipoteichoic acid serves as a receptor for the repeats and that this interaction depends on conserved surfaces in each subunit. Small-angle X-ray scattering of the mature amidase reveals the presence of flexible linkers separating the AM, R1, and R2 units. Different levels of flexibility for each linker provide mechanistic insights into the conformational dynamics of the full-length protein and the roles of its components in cell wall association and catalysis. Our analysis supports a model in which the repeats direct the catalytic AM domain to the septum, where it can optimally perform the final step of cell division. © 2012, American Society for Microbiology.","author":[{"dropping-particle":"","family":"Zoll","given":"Sebastian","non-dropping-particle":"","parse-names":false,"suffix":""},{"dropping-particle":"","family":"Schlag","given":"Martin","non-dropping-particle":"","parse-names":false,"suffix":""},{"dropping-particle":"V.","family":"Shkumatov","given":"Alexander","non-dropping-particle":"","parse-names":false,"suffix":""},{"dropping-particle":"","family":"Rautenberg","given":"Maren","non-dropping-particle":"","parse-names":false,"suffix":""},{"dropping-particle":"","family":"Svergun","given":"Dmitri I.","non-dropping-particle":"","parse-names":false,"suffix":""},{"dropping-particle":"","family":"Götz","given":"Friedrich","non-dropping-particle":"","parse-names":false,"suffix":""},{"dropping-particle":"","family":"Stehle","given":"Thilo","non-dropping-particle":"","parse-names":false,"suffix":""}],"container-title":"Journal of Bacteriology","id":"ITEM-1","issue":"15","issued":{"date-parts":[["2012"]]},"page":"3789-3802","title":"Ligand-binding properties and conformational dynamics of autolysin repeat domains in staphylococcal cell wall recognition","type":"article-journal","volume":"194"},"uris":["http://www.mendeley.com/documents/?uuid=dbcb12cf-dc43-495c-ba81-179965a1afff"]}],"mendeley":{"formattedCitation":"&lt;sup&gt;[62]&lt;/sup&gt;","plainTextFormattedCitation":"[62]","previouslyFormattedCitation":"&lt;sup&gt;[62]&lt;/sup&gt;"},"properties":{"noteIndex":0},"schema":"https://github.com/citation-style-language/schema/raw/master/csl-citation.json"}</w:instrText>
      </w:r>
      <w:r>
        <w:fldChar w:fldCharType="separate"/>
      </w:r>
      <w:r w:rsidRPr="00DA0A83">
        <w:rPr>
          <w:noProof/>
          <w:vertAlign w:val="superscript"/>
        </w:rPr>
        <w:t>[62]</w:t>
      </w:r>
      <w:r>
        <w:fldChar w:fldCharType="end"/>
      </w:r>
      <w:r>
        <w:t xml:space="preserve">. This coincides with LTA being involved in regulating autolysin levels </w:t>
      </w:r>
      <w:r>
        <w:fldChar w:fldCharType="begin" w:fldLock="1"/>
      </w:r>
      <w:r>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mendeley":{"formattedCitation":"&lt;sup&gt;[63]&lt;/sup&gt;","plainTextFormattedCitation":"[63]","previouslyFormattedCitation":"&lt;sup&gt;[63]&lt;/sup&gt;"},"properties":{"noteIndex":0},"schema":"https://github.com/citation-style-language/schema/raw/master/csl-citation.json"}</w:instrText>
      </w:r>
      <w:r>
        <w:fldChar w:fldCharType="separate"/>
      </w:r>
      <w:r w:rsidRPr="00DA0A83">
        <w:rPr>
          <w:noProof/>
          <w:vertAlign w:val="superscript"/>
        </w:rPr>
        <w:t>[63]</w:t>
      </w:r>
      <w:r>
        <w:fldChar w:fldCharType="end"/>
      </w:r>
      <w:r>
        <w:t>.</w:t>
      </w:r>
    </w:p>
    <w:p w14:paraId="51C8095D" w14:textId="77777777" w:rsidR="00A70DB5" w:rsidRDefault="00A70DB5" w:rsidP="00A70DB5">
      <w:pPr>
        <w:keepNext/>
        <w:jc w:val="center"/>
      </w:pPr>
      <w:r>
        <w:rPr>
          <w:noProof/>
        </w:rPr>
        <w:lastRenderedPageBreak/>
        <w:drawing>
          <wp:inline distT="0" distB="0" distL="0" distR="0" wp14:anchorId="164B80A1" wp14:editId="69925BC1">
            <wp:extent cx="5872607" cy="3305908"/>
            <wp:effectExtent l="0" t="0" r="0" b="0"/>
            <wp:docPr id="41" name="Picture 41" descr="A picture contain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schematic&#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88545" cy="3314880"/>
                    </a:xfrm>
                    <a:prstGeom prst="rect">
                      <a:avLst/>
                    </a:prstGeom>
                  </pic:spPr>
                </pic:pic>
              </a:graphicData>
            </a:graphic>
          </wp:inline>
        </w:drawing>
      </w:r>
    </w:p>
    <w:p w14:paraId="021C1931" w14:textId="6B539269" w:rsidR="00A70DB5" w:rsidRDefault="00A70DB5" w:rsidP="00A70DB5">
      <w:pPr>
        <w:pStyle w:val="Caption"/>
      </w:pPr>
      <w:bookmarkStart w:id="58" w:name="_Ref71423310"/>
      <w:bookmarkStart w:id="59" w:name="_Toc90216929"/>
      <w:r>
        <w:t xml:space="preserve">Figure </w:t>
      </w:r>
      <w:fldSimple w:instr=" STYLEREF 1 \s ">
        <w:r w:rsidR="00183CC8">
          <w:rPr>
            <w:noProof/>
          </w:rPr>
          <w:t>1</w:t>
        </w:r>
      </w:fldSimple>
      <w:r>
        <w:t>.</w:t>
      </w:r>
      <w:fldSimple w:instr=" SEQ Figure \* ARABIC \s 1 ">
        <w:r w:rsidR="00183CC8">
          <w:rPr>
            <w:noProof/>
          </w:rPr>
          <w:t>4</w:t>
        </w:r>
      </w:fldSimple>
      <w:bookmarkEnd w:id="58"/>
      <w:r>
        <w:t xml:space="preserve"> Cleavage sites for peptidoglycan hydrolases (PGH).</w:t>
      </w:r>
      <w:bookmarkEnd w:id="59"/>
    </w:p>
    <w:p w14:paraId="0AFF2F91" w14:textId="21FBF616" w:rsidR="00A70DB5" w:rsidRPr="001D60F8" w:rsidRDefault="00A70DB5" w:rsidP="00A70DB5">
      <w:pPr>
        <w:pStyle w:val="NoSpacing"/>
        <w:sectPr w:rsidR="00A70DB5" w:rsidRPr="001D60F8" w:rsidSect="004D0E05">
          <w:pgSz w:w="11906" w:h="16838"/>
          <w:pgMar w:top="1191" w:right="1247" w:bottom="1191" w:left="1247" w:header="709" w:footer="709" w:gutter="0"/>
          <w:cols w:space="708"/>
          <w:titlePg/>
          <w:docGrid w:linePitch="360"/>
        </w:sectPr>
      </w:pPr>
      <w:r>
        <w:t>PGH can be categorised as amidases (PGA– green), glycosidases (PGG– blue) and peptidases (PGP– pink)</w:t>
      </w:r>
      <w:r w:rsidRPr="003F037A">
        <w:t>.</w:t>
      </w:r>
      <w:r>
        <w:t xml:space="preserve"> PGA hydrolyse the bond between the L-Ala and Mur</w:t>
      </w:r>
      <w:r>
        <w:rPr>
          <w:i/>
          <w:iCs/>
        </w:rPr>
        <w:t>N</w:t>
      </w:r>
      <w:r>
        <w:t>Ac. PGG cleave the glycosidic bond between Mur</w:t>
      </w:r>
      <w:r>
        <w:rPr>
          <w:i/>
          <w:iCs/>
        </w:rPr>
        <w:t>N</w:t>
      </w:r>
      <w:r>
        <w:t>Ac and Glc</w:t>
      </w:r>
      <w:r>
        <w:rPr>
          <w:i/>
          <w:iCs/>
        </w:rPr>
        <w:t>N</w:t>
      </w:r>
      <w:r>
        <w:t xml:space="preserve">Ac. PGP cleave the peptide crosslinks and side chain. Figure modified from Do </w:t>
      </w:r>
      <w:r>
        <w:rPr>
          <w:i/>
          <w:iCs/>
        </w:rPr>
        <w:t>et al.,</w:t>
      </w:r>
      <w:r>
        <w:t xml:space="preserve"> (2020) </w:t>
      </w:r>
      <w:r>
        <w:fldChar w:fldCharType="begin" w:fldLock="1"/>
      </w:r>
      <w:r w:rsidR="00260ACA">
        <w:instrText>ADDIN CSL_CITATION {"citationItems":[{"id":"ITEM-1","itemData":{"DOI":"10.1074/jbc.REV119.010155","ISSN":"1083351X","PMID":"31974163","abstract":"Bacteria account for 1000-fold more biomass than humans. They vary widely in shape and size. The morphological diversity of bacteria is due largely to the different peptidoglycan-based cell wall structures that encase bacterial cells. Although the basic structure of peptidoglycan is highly conserved, consisting of long glycan strands that are cross-linked by short peptide chains, the mature cell wall is chemically diverse. Peptidoglycan hydrolases and cell wall-tailoring enzymes that regulate glycan strand length, the degree of cross-linking, and the addition of other modifications to peptidoglycan are central in determining the final architecture of the bacterial cell wall. Historically, it has been difficult to biochemically characterize these enzymes that act on peptidoglycan because suitable peptidoglycan substrates were inaccessible. In this review, we discuss fundamental aspects of bacterial cell wall synthesis, describe the regulation and diverse biochemical and functional activities of peptidoglycan hydrolases, and highlight recently developed methods to make and label defined peptidoglycan substrates. We also review how access to these substrates has now enabled biochemical studies that deepen our understanding of how bacterial cell wall enzymes cooperate to build a mature cell wall. Such improved understanding is critical to the development of new antibiotics that disrupt cell wall biogenesis, a process essential to the survival of bacteria.","author":[{"dropping-particle":"","family":"Do","given":"Truc","non-dropping-particle":"","parse-names":false,"suffix":""},{"dropping-particle":"","family":"Page","given":"Julia E.","non-dropping-particle":"","parse-names":false,"suffix":""},{"dropping-particle":"","family":"Walker","given":"Suzanne","non-dropping-particle":"","parse-names":false,"suffix":""}],"container-title":"Journal of Biological Chemistry","id":"ITEM-1","issue":"10","issued":{"date-parts":[["2020","3","6"]]},"page":"3347-3361","publisher":"American Society for Biochemistry and Molecular Biology Inc.","title":"Uncovering the activities, biological roles, and regulation of bacterial cell wall hydrolases and tailoring enzymes","type":"article","volume":"295"},"uris":["http://www.mendeley.com/documents/?uuid=e9506ce5-8aa0-32cb-bc39-0ab86631910e"]}],"mendeley":{"formattedCitation":"&lt;sup&gt;[44]&lt;/sup&gt;","plainTextFormattedCitation":"[44]","previouslyFormattedCitation":"&lt;sup&gt;[44]&lt;/sup&gt;"},"properties":{"noteIndex":0},"schema":"https://github.com/citation-style-language/schema/raw/master/csl-citation.json"}</w:instrText>
      </w:r>
      <w:r>
        <w:fldChar w:fldCharType="separate"/>
      </w:r>
      <w:r w:rsidR="00C825F9" w:rsidRPr="00C825F9">
        <w:rPr>
          <w:noProof/>
          <w:vertAlign w:val="superscript"/>
        </w:rPr>
        <w:t>[44]</w:t>
      </w:r>
      <w:r>
        <w:fldChar w:fldCharType="end"/>
      </w:r>
      <w:r w:rsidRPr="001D60F8">
        <w:t xml:space="preserve"> </w:t>
      </w:r>
    </w:p>
    <w:tbl>
      <w:tblPr>
        <w:tblStyle w:val="GridTable1Light"/>
        <w:tblW w:w="0" w:type="auto"/>
        <w:jc w:val="center"/>
        <w:tblLook w:val="04A0" w:firstRow="1" w:lastRow="0" w:firstColumn="1" w:lastColumn="0" w:noHBand="0" w:noVBand="1"/>
      </w:tblPr>
      <w:tblGrid>
        <w:gridCol w:w="1574"/>
        <w:gridCol w:w="3231"/>
        <w:gridCol w:w="4597"/>
      </w:tblGrid>
      <w:tr w:rsidR="00A70DB5" w14:paraId="0DD2B3EE" w14:textId="77777777" w:rsidTr="00F12A2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bottom w:val="double" w:sz="4" w:space="0" w:color="auto"/>
            </w:tcBorders>
          </w:tcPr>
          <w:p w14:paraId="7AD07B15" w14:textId="77777777" w:rsidR="00A70DB5" w:rsidRDefault="00A70DB5" w:rsidP="00F12A23">
            <w:pPr>
              <w:pStyle w:val="Tabletextnormal"/>
            </w:pPr>
            <w:r>
              <w:lastRenderedPageBreak/>
              <w:t>Name</w:t>
            </w:r>
          </w:p>
        </w:tc>
        <w:tc>
          <w:tcPr>
            <w:tcW w:w="0" w:type="auto"/>
            <w:tcBorders>
              <w:bottom w:val="double" w:sz="4" w:space="0" w:color="auto"/>
            </w:tcBorders>
          </w:tcPr>
          <w:p w14:paraId="2B0EC84F" w14:textId="77777777" w:rsidR="00A70DB5" w:rsidRDefault="00A70DB5" w:rsidP="00F12A23">
            <w:pPr>
              <w:pStyle w:val="Tabletextnormal"/>
              <w:cnfStyle w:val="100000000000" w:firstRow="1" w:lastRow="0" w:firstColumn="0" w:lastColumn="0" w:oddVBand="0" w:evenVBand="0" w:oddHBand="0" w:evenHBand="0" w:firstRowFirstColumn="0" w:firstRowLastColumn="0" w:lastRowFirstColumn="0" w:lastRowLastColumn="0"/>
            </w:pPr>
            <w:r>
              <w:t>Hydrolase activity</w:t>
            </w:r>
          </w:p>
        </w:tc>
        <w:tc>
          <w:tcPr>
            <w:tcW w:w="0" w:type="auto"/>
            <w:tcBorders>
              <w:bottom w:val="double" w:sz="4" w:space="0" w:color="auto"/>
            </w:tcBorders>
          </w:tcPr>
          <w:p w14:paraId="71275AC9" w14:textId="77777777" w:rsidR="00A70DB5" w:rsidRDefault="00A70DB5" w:rsidP="00F12A23">
            <w:pPr>
              <w:pStyle w:val="Tabletextnormal"/>
              <w:cnfStyle w:val="100000000000" w:firstRow="1" w:lastRow="0" w:firstColumn="0" w:lastColumn="0" w:oddVBand="0" w:evenVBand="0" w:oddHBand="0" w:evenHBand="0" w:firstRowFirstColumn="0" w:firstRowLastColumn="0" w:lastRowFirstColumn="0" w:lastRowLastColumn="0"/>
            </w:pPr>
            <w:r>
              <w:t>References</w:t>
            </w:r>
          </w:p>
        </w:tc>
      </w:tr>
      <w:tr w:rsidR="00A70DB5" w14:paraId="37961BF5"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Borders>
              <w:top w:val="double" w:sz="4" w:space="0" w:color="auto"/>
            </w:tcBorders>
          </w:tcPr>
          <w:p w14:paraId="674D5BF1" w14:textId="77777777" w:rsidR="00A70DB5" w:rsidRPr="001E1436" w:rsidRDefault="00A70DB5" w:rsidP="00F12A23">
            <w:pPr>
              <w:pStyle w:val="Tabletextnormal"/>
              <w:rPr>
                <w:b/>
                <w:bCs w:val="0"/>
              </w:rPr>
            </w:pPr>
            <w:r w:rsidRPr="001E1436">
              <w:rPr>
                <w:b/>
                <w:bCs w:val="0"/>
              </w:rPr>
              <w:t>Atl</w:t>
            </w:r>
          </w:p>
        </w:tc>
        <w:tc>
          <w:tcPr>
            <w:tcW w:w="0" w:type="auto"/>
            <w:tcBorders>
              <w:top w:val="double" w:sz="4" w:space="0" w:color="auto"/>
            </w:tcBorders>
          </w:tcPr>
          <w:p w14:paraId="1DCD2C61" w14:textId="77777777"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Amidase (PGA), glucosaminidase (PGG)</w:t>
            </w:r>
          </w:p>
        </w:tc>
        <w:tc>
          <w:tcPr>
            <w:tcW w:w="0" w:type="auto"/>
            <w:tcBorders>
              <w:top w:val="double" w:sz="4" w:space="0" w:color="auto"/>
            </w:tcBorders>
          </w:tcPr>
          <w:p w14:paraId="632C5A6E" w14:textId="77777777" w:rsidR="00A70DB5" w:rsidRPr="001C296B"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 xml:space="preserve">Foster (1995) </w:t>
            </w:r>
            <w:r>
              <w:fldChar w:fldCharType="begin" w:fldLock="1"/>
            </w:r>
            <w:r>
              <w:instrText>ADDIN CSL_CITATION {"citationItems":[{"id":"ITEM-1","itemData":{"DOI":"10.1128/jb.177.19.5723-5725.1995","ISSN":"00219193","PMID":"7559367","abstract":"The gene encoding the major autolysin of Staphylococcus aureus 8325/4 has been cloned, sequenced, and insertionally inactivated. The three-domain, 137,384-Da protein has a C-terminal glucosaminidase active site and is involved in cell separation, generalized cell lysis, and release of wall material at the cell surface. Expression occurs throughout growth and is stimulated by low temperatures and in the presence of 1 M NaCl.","author":[{"dropping-particle":"","family":"Foster","given":"S. J.","non-dropping-particle":"","parse-names":false,"suffix":""}],"container-title":"Journal of Bacteriology","id":"ITEM-1","issue":"19","issued":{"date-parts":[["1995"]]},"page":"5723-5725","title":"Molecular characterization and functional analysis of the major autolysin of Staphylococcus aureus 8325/4","type":"article-journal","volume":"177"},"uris":["http://www.mendeley.com/documents/?uuid=c57e09ba-65b7-4e33-881f-19de2085ac4a"]}],"mendeley":{"formattedCitation":"&lt;sup&gt;[54]&lt;/sup&gt;","plainTextFormattedCitation":"[54]","previouslyFormattedCitation":"&lt;sup&gt;[54]&lt;/sup&gt;"},"properties":{"noteIndex":0},"schema":"https://github.com/citation-style-language/schema/raw/master/csl-citation.json"}</w:instrText>
            </w:r>
            <w:r>
              <w:fldChar w:fldCharType="separate"/>
            </w:r>
            <w:r w:rsidRPr="00DA0A83">
              <w:rPr>
                <w:noProof/>
                <w:vertAlign w:val="superscript"/>
              </w:rPr>
              <w:t>[54]</w:t>
            </w:r>
            <w:r>
              <w:fldChar w:fldCharType="end"/>
            </w:r>
            <w:r>
              <w:t xml:space="preserve">, Wheeler </w:t>
            </w:r>
            <w:r>
              <w:rPr>
                <w:i/>
                <w:iCs/>
              </w:rPr>
              <w:t>et al</w:t>
            </w:r>
            <w:r>
              <w:t xml:space="preserve">., (2015) </w:t>
            </w:r>
            <w:r>
              <w:fldChar w:fldCharType="begin" w:fldLock="1"/>
            </w:r>
            <w:r>
              <w:instrText>ADDIN CSL_CITATION {"citationItems":[{"id":"ITEM-1","itemData":{"DOI":"10.1128/mBio.00660-15","ISSN":"21507511","PMID":"26220963","abstract":"UNLABELLED: Most bacterial cells are enclosed in a single macromolecule of the cell wall polymer, peptidoglycan, which is required for shape determination and maintenance of viability, while peptidoglycan biosynthesis is an important antibiotic target. It is hypothesized that cellular enlargement requires regional expansion of the cell wall through coordinated insertion and hydrolysis of peptidoglycan. Here, a group of (apparent glucosaminidase) peptidoglycan hydrolases are identified that are together required for cell enlargement and correct cellular morphology of Staphylococcus aureus, demonstrating the overall importance of this enzyme activity. These are Atl, SagA, ScaH, and SagB. The major advance here is the explanation of the observed morphological defects in terms of the mechanical and biochemical properties of peptidoglycan. It was shown that cells lacking groups of these hydrolases have increased surface stiffness and, in the absence of SagB, substantially increased glycan chain length. This indicates that, beyond their established roles (for example in cell separation), some hydrolases enable cellular enlargement by making peptidoglycan easier to stretch, providing the first direct evidence demonstrating that cellular enlargement occurs via modulation of the mechanical properties of peptidoglycan.\\n\\nIMPORTANCE: Understanding bacterial growth and division is a fundamental problem, and knowledge in this area underlies the treatment of many infectious diseases. Almost all bacteria are surrounded by a macromolecule of peptidoglycan that encloses the cell and maintains shape, and bacterial cells must increase the size of this molecule in order to enlarge themselves. This requires not only the insertion of new peptidoglycan monomers, a process targeted by antibiotics, including penicillin, but also breakage of existing bonds, a potentially hazardous activity for the cell. Using Staphylococcus aureus, we have identified a set of enzymes that are critical for cellular enlargement. We show that these enzymes are required for normal growth and define the mechanism through which cellular enlargement is accomplished, i.e., by breaking bonds in the peptidoglycan, which reduces the stiffness of the cell wall, enabling it to stretch and expand, a process that is likely to be fundamental to many bacteria.","author":[{"dropping-particle":"","family":"Wheeler","given":"Richard","non-dropping-particle":"","parse-names":false,"suffix":""},{"dropping-particle":"","family":"Turner","given":"Robert D.","non-dropping-particle":"","parse-names":false,"suffix":""},{"dropping-particle":"","family":"Bailey","given":"Richard G.","non-dropping-particle":"","parse-names":false,"suffix":""},{"dropping-particle":"","family":"Salamaga","given":"Bartłomiej","non-dropping-particle":"","parse-names":false,"suffix":""},{"dropping-particle":"","family":"Mesnage","given":"Stéphane","non-dropping-particle":"","parse-names":false,"suffix":""},{"dropping-particle":"","family":"Mohamad","given":"Sharifah A.S.","non-dropping-particle":"","parse-names":false,"suffix":""},{"dropping-particle":"","family":"Hayhurst","given":"Emma J.","non-dropping-particle":"","parse-names":false,"suffix":""},{"dropping-particle":"","family":"Horsburgh","given":"Malcolm","non-dropping-particle":"","parse-names":false,"suffix":""},{"dropping-particle":"","family":"Hobbs","given":"Jamie K.","non-dropping-particle":"","parse-names":false,"suffix":""},{"dropping-particle":"","family":"Foster","given":"Simon J.","non-dropping-particle":"","parse-names":false,"suffix":""}],"container-title":"mBio","id":"ITEM-1","issue":"4","issued":{"date-parts":[["2015"]]},"page":"1-10","title":"Bacterial cell enlargement requires control of cell wall stiffness mediated by peptidoglycan hydrolases","type":"article-journal","volume":"6"},"uris":["http://www.mendeley.com/documents/?uuid=d2ac9efd-feb5-4e30-a1e2-88eccd09b8af"]}],"mendeley":{"formattedCitation":"&lt;sup&gt;[53]&lt;/sup&gt;","plainTextFormattedCitation":"[53]","previouslyFormattedCitation":"&lt;sup&gt;[53]&lt;/sup&gt;"},"properties":{"noteIndex":0},"schema":"https://github.com/citation-style-language/schema/raw/master/csl-citation.json"}</w:instrText>
            </w:r>
            <w:r>
              <w:fldChar w:fldCharType="separate"/>
            </w:r>
            <w:r w:rsidRPr="00DA0A83">
              <w:rPr>
                <w:noProof/>
                <w:vertAlign w:val="superscript"/>
              </w:rPr>
              <w:t>[53]</w:t>
            </w:r>
            <w:r>
              <w:fldChar w:fldCharType="end"/>
            </w:r>
            <w:r>
              <w:t xml:space="preserve">, Oshid </w:t>
            </w:r>
            <w:r>
              <w:rPr>
                <w:i/>
                <w:iCs/>
              </w:rPr>
              <w:t>et al</w:t>
            </w:r>
            <w:r>
              <w:t xml:space="preserve">., (1995) </w:t>
            </w:r>
            <w:r>
              <w:fldChar w:fldCharType="begin" w:fldLock="1"/>
            </w:r>
            <w:r>
              <w:instrText>ADDIN CSL_CITATION {"citationItems":[{"id":"ITEM-1","itemData":{"DOI":"10.1073/pnas.92.1.285","ISSN":"00278424","PMID":"7816834","abstract":"The Tn551 insertion site of the autolysis-deficient Staphylococcus aureus mutant RUSAL2 was cloned and used to identify the autolysis gene atl in the parent strain, RN450. The open reading frame for atl was 3768 bp in length, encoding a deduced protein of 1256 amino acids and molecular size of 137,381 Da. The atl gene product is a bifunctional protein that has an amidase domain and an endo-β-N-acetylglucosaminidase domain which must undergo proteolytic processing to generate the two extracellular lyric enzymes found in the culture broth of S. aureus.","author":[{"dropping-particle":"","family":"Oshida","given":"Tadahiro","non-dropping-particle":"","parse-names":false,"suffix":""},{"dropping-particle":"","family":"Sugai","given":"Motoyuki","non-dropping-particle":"","parse-names":false,"suffix":""},{"dropping-particle":"","family":"Komatsuzawa","given":"Hitoshi","non-dropping-particle":"","parse-names":false,"suffix":""},{"dropping-particle":"","family":"Hong","given":"Yeong Man","non-dropping-particle":"","parse-names":false,"suffix":""},{"dropping-particle":"","family":"Suginaka","given":"Hidekazu","non-dropping-particle":"","parse-names":false,"suffix":""},{"dropping-particle":"","family":"Tomasz","given":"Alexander","non-dropping-particle":"","parse-names":false,"suffix":""}],"container-title":"Proceedings of the National Academy of Sciences of the United States of America","id":"ITEM-1","issue":"1","issued":{"date-parts":[["1995"]]},"page":"285-289","title":"A Staphylococcus aureus autolysin that has an N-acetylmuramoyl-L-alanine amidase domain and an endo-β-N-acetylglucosaminidase domain: Cloning, sequence analysis, and characterization","type":"article-journal","volume":"92"},"uris":["http://www.mendeley.com/documents/?uuid=8be6e18b-817c-43a9-8b7f-e4ce35a834f6"]}],"mendeley":{"formattedCitation":"&lt;sup&gt;[55]&lt;/sup&gt;","plainTextFormattedCitation":"[55]","previouslyFormattedCitation":"&lt;sup&gt;[55]&lt;/sup&gt;"},"properties":{"noteIndex":0},"schema":"https://github.com/citation-style-language/schema/raw/master/csl-citation.json"}</w:instrText>
            </w:r>
            <w:r>
              <w:fldChar w:fldCharType="separate"/>
            </w:r>
            <w:r w:rsidRPr="00DA0A83">
              <w:rPr>
                <w:noProof/>
                <w:vertAlign w:val="superscript"/>
              </w:rPr>
              <w:t>[55]</w:t>
            </w:r>
            <w:r>
              <w:fldChar w:fldCharType="end"/>
            </w:r>
          </w:p>
        </w:tc>
      </w:tr>
      <w:tr w:rsidR="00A70DB5" w14:paraId="6E167665"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4BB525C" w14:textId="77777777" w:rsidR="00A70DB5" w:rsidRPr="001E1436" w:rsidRDefault="00A70DB5" w:rsidP="00F12A23">
            <w:pPr>
              <w:pStyle w:val="Tabletextnormal"/>
              <w:rPr>
                <w:b/>
                <w:bCs w:val="0"/>
              </w:rPr>
            </w:pPr>
            <w:r w:rsidRPr="001E1436">
              <w:rPr>
                <w:b/>
                <w:bCs w:val="0"/>
              </w:rPr>
              <w:t>SagA</w:t>
            </w:r>
          </w:p>
        </w:tc>
        <w:tc>
          <w:tcPr>
            <w:tcW w:w="0" w:type="auto"/>
          </w:tcPr>
          <w:p w14:paraId="71534A6B" w14:textId="77777777"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Glucosaminidase (PGG)</w:t>
            </w:r>
          </w:p>
        </w:tc>
        <w:tc>
          <w:tcPr>
            <w:tcW w:w="0" w:type="auto"/>
          </w:tcPr>
          <w:p w14:paraId="235AD126" w14:textId="3BC75728"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 xml:space="preserve">Wheeler </w:t>
            </w:r>
            <w:r>
              <w:rPr>
                <w:i/>
                <w:iCs/>
              </w:rPr>
              <w:t>et al</w:t>
            </w:r>
            <w:r>
              <w:t xml:space="preserve">., (2015) </w:t>
            </w:r>
            <w:r>
              <w:fldChar w:fldCharType="begin" w:fldLock="1"/>
            </w:r>
            <w:r>
              <w:instrText>ADDIN CSL_CITATION {"citationItems":[{"id":"ITEM-1","itemData":{"DOI":"10.1128/mBio.00660-15","ISSN":"21507511","PMID":"26220963","abstract":"UNLABELLED: Most bacterial cells are enclosed in a single macromolecule of the cell wall polymer, peptidoglycan, which is required for shape determination and maintenance of viability, while peptidoglycan biosynthesis is an important antibiotic target. It is hypothesized that cellular enlargement requires regional expansion of the cell wall through coordinated insertion and hydrolysis of peptidoglycan. Here, a group of (apparent glucosaminidase) peptidoglycan hydrolases are identified that are together required for cell enlargement and correct cellular morphology of Staphylococcus aureus, demonstrating the overall importance of this enzyme activity. These are Atl, SagA, ScaH, and SagB. The major advance here is the explanation of the observed morphological defects in terms of the mechanical and biochemical properties of peptidoglycan. It was shown that cells lacking groups of these hydrolases have increased surface stiffness and, in the absence of SagB, substantially increased glycan chain length. This indicates that, beyond their established roles (for example in cell separation), some hydrolases enable cellular enlargement by making peptidoglycan easier to stretch, providing the first direct evidence demonstrating that cellular enlargement occurs via modulation of the mechanical properties of peptidoglycan.\\n\\nIMPORTANCE: Understanding bacterial growth and division is a fundamental problem, and knowledge in this area underlies the treatment of many infectious diseases. Almost all bacteria are surrounded by a macromolecule of peptidoglycan that encloses the cell and maintains shape, and bacterial cells must increase the size of this molecule in order to enlarge themselves. This requires not only the insertion of new peptidoglycan monomers, a process targeted by antibiotics, including penicillin, but also breakage of existing bonds, a potentially hazardous activity for the cell. Using Staphylococcus aureus, we have identified a set of enzymes that are critical for cellular enlargement. We show that these enzymes are required for normal growth and define the mechanism through which cellular enlargement is accomplished, i.e., by breaking bonds in the peptidoglycan, which reduces the stiffness of the cell wall, enabling it to stretch and expand, a process that is likely to be fundamental to many bacteria.","author":[{"dropping-particle":"","family":"Wheeler","given":"Richard","non-dropping-particle":"","parse-names":false,"suffix":""},{"dropping-particle":"","family":"Turner","given":"Robert D.","non-dropping-particle":"","parse-names":false,"suffix":""},{"dropping-particle":"","family":"Bailey","given":"Richard G.","non-dropping-particle":"","parse-names":false,"suffix":""},{"dropping-particle":"","family":"Salamaga","given":"Bartłomiej","non-dropping-particle":"","parse-names":false,"suffix":""},{"dropping-particle":"","family":"Mesnage","given":"Stéphane","non-dropping-particle":"","parse-names":false,"suffix":""},{"dropping-particle":"","family":"Mohamad","given":"Sharifah A.S.","non-dropping-particle":"","parse-names":false,"suffix":""},{"dropping-particle":"","family":"Hayhurst","given":"Emma J.","non-dropping-particle":"","parse-names":false,"suffix":""},{"dropping-particle":"","family":"Horsburgh","given":"Malcolm","non-dropping-particle":"","parse-names":false,"suffix":""},{"dropping-particle":"","family":"Hobbs","given":"Jamie K.","non-dropping-particle":"","parse-names":false,"suffix":""},{"dropping-particle":"","family":"Foster","given":"Simon J.","non-dropping-particle":"","parse-names":false,"suffix":""}],"container-title":"mBio","id":"ITEM-1","issue":"4","issued":{"date-parts":[["2015"]]},"page":"1-10","title":"Bacterial cell enlargement requires control of cell wall stiffness mediated by peptidoglycan hydrolases","type":"article-journal","volume":"6"},"uris":["http://www.mendeley.com/documents/?uuid=d2ac9efd-feb5-4e30-a1e2-88eccd09b8af"]}],"mendeley":{"formattedCitation":"&lt;sup&gt;[53]&lt;/sup&gt;","plainTextFormattedCitation":"[53]","previouslyFormattedCitation":"&lt;sup&gt;[53]&lt;/sup&gt;"},"properties":{"noteIndex":0},"schema":"https://github.com/citation-style-language/schema/raw/master/csl-citation.json"}</w:instrText>
            </w:r>
            <w:r>
              <w:fldChar w:fldCharType="separate"/>
            </w:r>
            <w:r w:rsidRPr="00DA0A83">
              <w:rPr>
                <w:noProof/>
                <w:vertAlign w:val="superscript"/>
              </w:rPr>
              <w:t>[53]</w:t>
            </w:r>
            <w:r>
              <w:fldChar w:fldCharType="end"/>
            </w:r>
            <w:r>
              <w:t xml:space="preserve"> Chan </w:t>
            </w:r>
            <w:r>
              <w:rPr>
                <w:i/>
                <w:iCs/>
              </w:rPr>
              <w:t>et al</w:t>
            </w:r>
            <w:r>
              <w:t xml:space="preserve">., (2016) </w:t>
            </w:r>
            <w:r>
              <w:fldChar w:fldCharType="begin" w:fldLock="1"/>
            </w:r>
            <w:r w:rsidR="00260ACA">
              <w:instrText>ADDIN CSL_CITATION {"citationItems":[{"id":"ITEM-1","itemData":{"DOI":"10.1128/JB.00983-15","ISSN":"10985530","PMID":"26811319","abstract":"The envelope of Staphylococcus aureus is comprised of peptidoglycan and its attached secondary polymers, teichoic acid, capsular polysaccharide, and protein. Peptidoglycan synthesis involves polymerization of lipid II precursors into glycan strands that are cross-linked at wall peptides. It is not clear whether peptidoglycan structure is principally determined during polymerization or whether processive enzymes affect cell wall structure and function, for example, by generating conduits for protein secretion. We show here that S. aureus lacking SagB, a membrane-associated N-acetylglucosaminidase, displays growth and cell-morphological defects caused by the exaggerated length of peptidoglycan strands. SagB cleaves polymerized glycan strands to their physiological length and modulates antibiotic resistance in methicillin-resistant S. aureus (MRSA). Deletion of sagB perturbs protein trafficking into and across the envelope, conferring defects in cell wall anchoring and secretion, as well as aberrant excretion of cytoplasmic proteins.","author":[{"dropping-particle":"","family":"Chan","given":"Yvonne G.Y.","non-dropping-particle":"","parse-names":false,"suffix":""},{"dropping-particle":"","family":"Frankel","given":"Matthew B.","non-dropping-particle":"","parse-names":false,"suffix":""},{"dropping-particle":"","family":"Missiakas","given":"Dominique","non-dropping-particle":"","parse-names":false,"suffix":""},{"dropping-particle":"","family":"Schneewind","given":"Olaf","non-dropping-particle":"","parse-names":false,"suffix":""}],"container-title":"Journal of Bacteriology","id":"ITEM-1","issue":"7","issued":{"date-parts":[["2016"]]},"page":"1123-1136","title":"SagB glucosaminidase is a determinant of Staphylococcus aureus glycan chain length, antibiotic susceptibility, and protein secretion","type":"article-journal","volume":"198"},"uris":["http://www.mendeley.com/documents/?uuid=8673fac0-9728-42f3-ac20-3816c68ebc1e"]}],"mendeley":{"formattedCitation":"&lt;sup&gt;[64]&lt;/sup&gt;","plainTextFormattedCitation":"[64]","previouslyFormattedCitation":"&lt;sup&gt;[64]&lt;/sup&gt;"},"properties":{"noteIndex":0},"schema":"https://github.com/citation-style-language/schema/raw/master/csl-citation.json"}</w:instrText>
            </w:r>
            <w:r>
              <w:fldChar w:fldCharType="separate"/>
            </w:r>
            <w:r w:rsidR="00C825F9" w:rsidRPr="00C825F9">
              <w:rPr>
                <w:noProof/>
                <w:vertAlign w:val="superscript"/>
              </w:rPr>
              <w:t>[64]</w:t>
            </w:r>
            <w:r>
              <w:fldChar w:fldCharType="end"/>
            </w:r>
          </w:p>
        </w:tc>
      </w:tr>
      <w:tr w:rsidR="00A70DB5" w14:paraId="2380D335"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EC8E77E" w14:textId="77777777" w:rsidR="00A70DB5" w:rsidRPr="001E1436" w:rsidRDefault="00A70DB5" w:rsidP="00F12A23">
            <w:pPr>
              <w:pStyle w:val="Tabletextnormal"/>
              <w:rPr>
                <w:b/>
                <w:bCs w:val="0"/>
              </w:rPr>
            </w:pPr>
            <w:r w:rsidRPr="001E1436">
              <w:rPr>
                <w:b/>
                <w:bCs w:val="0"/>
              </w:rPr>
              <w:t>SagB</w:t>
            </w:r>
          </w:p>
        </w:tc>
        <w:tc>
          <w:tcPr>
            <w:tcW w:w="0" w:type="auto"/>
          </w:tcPr>
          <w:p w14:paraId="2C65AEB5" w14:textId="77777777"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Glucosaminidase (PGG)</w:t>
            </w:r>
          </w:p>
        </w:tc>
        <w:tc>
          <w:tcPr>
            <w:tcW w:w="0" w:type="auto"/>
          </w:tcPr>
          <w:p w14:paraId="53EC18D0" w14:textId="47ECE150" w:rsidR="00A70DB5" w:rsidRPr="001C296B"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 xml:space="preserve">Wheeler </w:t>
            </w:r>
            <w:r>
              <w:rPr>
                <w:i/>
                <w:iCs/>
              </w:rPr>
              <w:t>et al</w:t>
            </w:r>
            <w:r>
              <w:t xml:space="preserve">., (2015) </w:t>
            </w:r>
            <w:r>
              <w:fldChar w:fldCharType="begin" w:fldLock="1"/>
            </w:r>
            <w:r>
              <w:instrText>ADDIN CSL_CITATION {"citationItems":[{"id":"ITEM-1","itemData":{"DOI":"10.1128/mBio.00660-15","ISSN":"21507511","PMID":"26220963","abstract":"UNLABELLED: Most bacterial cells are enclosed in a single macromolecule of the cell wall polymer, peptidoglycan, which is required for shape determination and maintenance of viability, while peptidoglycan biosynthesis is an important antibiotic target. It is hypothesized that cellular enlargement requires regional expansion of the cell wall through coordinated insertion and hydrolysis of peptidoglycan. Here, a group of (apparent glucosaminidase) peptidoglycan hydrolases are identified that are together required for cell enlargement and correct cellular morphology of Staphylococcus aureus, demonstrating the overall importance of this enzyme activity. These are Atl, SagA, ScaH, and SagB. The major advance here is the explanation of the observed morphological defects in terms of the mechanical and biochemical properties of peptidoglycan. It was shown that cells lacking groups of these hydrolases have increased surface stiffness and, in the absence of SagB, substantially increased glycan chain length. This indicates that, beyond their established roles (for example in cell separation), some hydrolases enable cellular enlargement by making peptidoglycan easier to stretch, providing the first direct evidence demonstrating that cellular enlargement occurs via modulation of the mechanical properties of peptidoglycan.\\n\\nIMPORTANCE: Understanding bacterial growth and division is a fundamental problem, and knowledge in this area underlies the treatment of many infectious diseases. Almost all bacteria are surrounded by a macromolecule of peptidoglycan that encloses the cell and maintains shape, and bacterial cells must increase the size of this molecule in order to enlarge themselves. This requires not only the insertion of new peptidoglycan monomers, a process targeted by antibiotics, including penicillin, but also breakage of existing bonds, a potentially hazardous activity for the cell. Using Staphylococcus aureus, we have identified a set of enzymes that are critical for cellular enlargement. We show that these enzymes are required for normal growth and define the mechanism through which cellular enlargement is accomplished, i.e., by breaking bonds in the peptidoglycan, which reduces the stiffness of the cell wall, enabling it to stretch and expand, a process that is likely to be fundamental to many bacteria.","author":[{"dropping-particle":"","family":"Wheeler","given":"Richard","non-dropping-particle":"","parse-names":false,"suffix":""},{"dropping-particle":"","family":"Turner","given":"Robert D.","non-dropping-particle":"","parse-names":false,"suffix":""},{"dropping-particle":"","family":"Bailey","given":"Richard G.","non-dropping-particle":"","parse-names":false,"suffix":""},{"dropping-particle":"","family":"Salamaga","given":"Bartłomiej","non-dropping-particle":"","parse-names":false,"suffix":""},{"dropping-particle":"","family":"Mesnage","given":"Stéphane","non-dropping-particle":"","parse-names":false,"suffix":""},{"dropping-particle":"","family":"Mohamad","given":"Sharifah A.S.","non-dropping-particle":"","parse-names":false,"suffix":""},{"dropping-particle":"","family":"Hayhurst","given":"Emma J.","non-dropping-particle":"","parse-names":false,"suffix":""},{"dropping-particle":"","family":"Horsburgh","given":"Malcolm","non-dropping-particle":"","parse-names":false,"suffix":""},{"dropping-particle":"","family":"Hobbs","given":"Jamie K.","non-dropping-particle":"","parse-names":false,"suffix":""},{"dropping-particle":"","family":"Foster","given":"Simon J.","non-dropping-particle":"","parse-names":false,"suffix":""}],"container-title":"mBio","id":"ITEM-1","issue":"4","issued":{"date-parts":[["2015"]]},"page":"1-10","title":"Bacterial cell enlargement requires control of cell wall stiffness mediated by peptidoglycan hydrolases","type":"article-journal","volume":"6"},"uris":["http://www.mendeley.com/documents/?uuid=d2ac9efd-feb5-4e30-a1e2-88eccd09b8af"]}],"mendeley":{"formattedCitation":"&lt;sup&gt;[53]&lt;/sup&gt;","plainTextFormattedCitation":"[53]","previouslyFormattedCitation":"&lt;sup&gt;[53]&lt;/sup&gt;"},"properties":{"noteIndex":0},"schema":"https://github.com/citation-style-language/schema/raw/master/csl-citation.json"}</w:instrText>
            </w:r>
            <w:r>
              <w:fldChar w:fldCharType="separate"/>
            </w:r>
            <w:r w:rsidRPr="00DA0A83">
              <w:rPr>
                <w:noProof/>
                <w:vertAlign w:val="superscript"/>
              </w:rPr>
              <w:t>[53]</w:t>
            </w:r>
            <w:r>
              <w:fldChar w:fldCharType="end"/>
            </w:r>
            <w:r>
              <w:t xml:space="preserve">, Chan </w:t>
            </w:r>
            <w:r>
              <w:rPr>
                <w:i/>
                <w:iCs/>
              </w:rPr>
              <w:t>et al</w:t>
            </w:r>
            <w:r>
              <w:t xml:space="preserve">., (2016) </w:t>
            </w:r>
            <w:r>
              <w:fldChar w:fldCharType="begin" w:fldLock="1"/>
            </w:r>
            <w:r w:rsidR="00260ACA">
              <w:instrText>ADDIN CSL_CITATION {"citationItems":[{"id":"ITEM-1","itemData":{"DOI":"10.1128/JB.00983-15","ISSN":"10985530","PMID":"26811319","abstract":"The envelope of Staphylococcus aureus is comprised of peptidoglycan and its attached secondary polymers, teichoic acid, capsular polysaccharide, and protein. Peptidoglycan synthesis involves polymerization of lipid II precursors into glycan strands that are cross-linked at wall peptides. It is not clear whether peptidoglycan structure is principally determined during polymerization or whether processive enzymes affect cell wall structure and function, for example, by generating conduits for protein secretion. We show here that S. aureus lacking SagB, a membrane-associated N-acetylglucosaminidase, displays growth and cell-morphological defects caused by the exaggerated length of peptidoglycan strands. SagB cleaves polymerized glycan strands to their physiological length and modulates antibiotic resistance in methicillin-resistant S. aureus (MRSA). Deletion of sagB perturbs protein trafficking into and across the envelope, conferring defects in cell wall anchoring and secretion, as well as aberrant excretion of cytoplasmic proteins.","author":[{"dropping-particle":"","family":"Chan","given":"Yvonne G.Y.","non-dropping-particle":"","parse-names":false,"suffix":""},{"dropping-particle":"","family":"Frankel","given":"Matthew B.","non-dropping-particle":"","parse-names":false,"suffix":""},{"dropping-particle":"","family":"Missiakas","given":"Dominique","non-dropping-particle":"","parse-names":false,"suffix":""},{"dropping-particle":"","family":"Schneewind","given":"Olaf","non-dropping-particle":"","parse-names":false,"suffix":""}],"container-title":"Journal of Bacteriology","id":"ITEM-1","issue":"7","issued":{"date-parts":[["2016"]]},"page":"1123-1136","title":"SagB glucosaminidase is a determinant of Staphylococcus aureus glycan chain length, antibiotic susceptibility, and protein secretion","type":"article-journal","volume":"198"},"uris":["http://www.mendeley.com/documents/?uuid=8673fac0-9728-42f3-ac20-3816c68ebc1e"]}],"mendeley":{"formattedCitation":"&lt;sup&gt;[64]&lt;/sup&gt;","plainTextFormattedCitation":"[64]","previouslyFormattedCitation":"&lt;sup&gt;[64]&lt;/sup&gt;"},"properties":{"noteIndex":0},"schema":"https://github.com/citation-style-language/schema/raw/master/csl-citation.json"}</w:instrText>
            </w:r>
            <w:r>
              <w:fldChar w:fldCharType="separate"/>
            </w:r>
            <w:r w:rsidR="00C825F9" w:rsidRPr="00C825F9">
              <w:rPr>
                <w:noProof/>
                <w:vertAlign w:val="superscript"/>
              </w:rPr>
              <w:t>[64]</w:t>
            </w:r>
            <w:r>
              <w:fldChar w:fldCharType="end"/>
            </w:r>
          </w:p>
        </w:tc>
      </w:tr>
      <w:tr w:rsidR="00A70DB5" w14:paraId="79D8313D"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0336475" w14:textId="77777777" w:rsidR="00A70DB5" w:rsidRPr="001E1436" w:rsidRDefault="00A70DB5" w:rsidP="00F12A23">
            <w:pPr>
              <w:pStyle w:val="Tabletextnormal"/>
              <w:rPr>
                <w:b/>
                <w:bCs w:val="0"/>
              </w:rPr>
            </w:pPr>
            <w:r w:rsidRPr="001E1436">
              <w:rPr>
                <w:b/>
                <w:bCs w:val="0"/>
              </w:rPr>
              <w:t>ScaA/Sle1/Aaa</w:t>
            </w:r>
          </w:p>
        </w:tc>
        <w:tc>
          <w:tcPr>
            <w:tcW w:w="0" w:type="auto"/>
          </w:tcPr>
          <w:p w14:paraId="6EA1ABED" w14:textId="77777777"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Amidase (PGA), CHAP domain (PGP)</w:t>
            </w:r>
          </w:p>
        </w:tc>
        <w:tc>
          <w:tcPr>
            <w:tcW w:w="0" w:type="auto"/>
          </w:tcPr>
          <w:p w14:paraId="4B4D919E" w14:textId="48B6A62E"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Heilmann e</w:t>
            </w:r>
            <w:r>
              <w:rPr>
                <w:i/>
                <w:iCs/>
              </w:rPr>
              <w:t>t a</w:t>
            </w:r>
            <w:r w:rsidRPr="0030513F">
              <w:rPr>
                <w:i/>
                <w:iCs/>
              </w:rPr>
              <w:t>l</w:t>
            </w:r>
            <w:r>
              <w:t xml:space="preserve">., (2005) </w:t>
            </w:r>
            <w:r>
              <w:fldChar w:fldCharType="begin" w:fldLock="1"/>
            </w:r>
            <w:r>
              <w:instrText>ADDIN CSL_CITATION {"citationItems":[{"id":"ITEM-1","itemData":{"DOI":"10.1128/IAI.73.8.4793-4802.2005","ISSN":"00199567","PMID":"16040992","abstract":"Staphylococci can cause a wide spectrum of infections, including endocarditis, osteomyelitis, and sepsis, which is reflected by the numerous virulence factors they produce, among them a recently identified new class of adhesins, namely, the multifunctional autolysins/adhesins. Here we report the identification and molecular characterization of Aaa, a novel autolysin/adhesin from Staphylococcus aureus. The gene encoding Aaa was cloned from the clinical isolate Staphylococcus aureus 4074. DNA sequence analysis revealed that aaa encodes a deduced protein of 334 amino acids with a predicted molecular mass of 35.8 kDa. Aaa contains three N-terminal repetitive sequences that comprise features of a peptidoglycan-binding domain, the LysM domain. The expression of aaa by Escherichia coli and its subsequent characterization revealed that Aaa possesses bacteriolytic activity as well as adhesive properties, such as binding to extracellular matrix proteins. Real-time biomolecular interaction analysis demonstrated that the interaction of Aaa with fibrinogen, fibronectin, and vitronectin is dose dependent and saturable and occurs with a high affinity. Furthermore, we demonstrate that Aaa binds to the Aα and Bβ chains of fragment D of fibrinogen. Immunofluorescence microscopy revealed that Aaa is located at the cell surface. Finally, an aaa knockout mutant showed reduced adherence to surface-adsorbed fibrinogen and fibronectin, strongly suggesting a role for Aaa in the colonization of host factor-coated polymer surfaces and/or host tissue. Copyright © 2005, American Society for Microbiology. All Rights Reserved.","author":[{"dropping-particle":"","family":"Heilmann","given":"Christine","non-dropping-particle":"","parse-names":false,"suffix":""},{"dropping-particle":"","family":"Hartleib","given":"Jörg","non-dropping-particle":"","parse-names":false,"suffix":""},{"dropping-particle":"","family":"Hussain","given":"Muzaffar S.","non-dropping-particle":"","parse-names":false,"suffix":""},{"dropping-particle":"","family":"Peters","given":"Georg","non-dropping-particle":"","parse-names":false,"suffix":""}],"container-title":"Infection and Immunity","id":"ITEM-1","issue":"8","issued":{"date-parts":[["2005"]]},"page":"4793-4802","title":"The multifunctional Staphylococcus aureus autolysin Aaa mediates adherence to immobilized fibrinogen and fibronectin","type":"article-journal","volume":"73"},"uris":["http://www.mendeley.com/documents/?uuid=50159b13-b9b8-4001-9e69-8f3fd613c461"]}],"mendeley":{"formattedCitation":"&lt;sup&gt;[58]&lt;/sup&gt;","plainTextFormattedCitation":"[58]","previouslyFormattedCitation":"&lt;sup&gt;[58]&lt;/sup&gt;"},"properties":{"noteIndex":0},"schema":"https://github.com/citation-style-language/schema/raw/master/csl-citation.json"}</w:instrText>
            </w:r>
            <w:r>
              <w:fldChar w:fldCharType="separate"/>
            </w:r>
            <w:r w:rsidRPr="00DA0A83">
              <w:rPr>
                <w:noProof/>
                <w:vertAlign w:val="superscript"/>
              </w:rPr>
              <w:t>[58]</w:t>
            </w:r>
            <w:r>
              <w:fldChar w:fldCharType="end"/>
            </w:r>
            <w:r>
              <w:t xml:space="preserve">, </w:t>
            </w:r>
            <w:r w:rsidRPr="001C296B">
              <w:t>Pourmand</w:t>
            </w:r>
            <w:r>
              <w:t xml:space="preserve"> </w:t>
            </w:r>
            <w:r w:rsidRPr="001C296B">
              <w:rPr>
                <w:i/>
                <w:iCs/>
              </w:rPr>
              <w:t>et al.</w:t>
            </w:r>
            <w:r w:rsidRPr="001C296B">
              <w:t xml:space="preserve">, </w:t>
            </w:r>
            <w:r>
              <w:t>(</w:t>
            </w:r>
            <w:r w:rsidRPr="001C296B">
              <w:t>2006</w:t>
            </w:r>
            <w:r>
              <w:t xml:space="preserve">) </w:t>
            </w:r>
            <w:r>
              <w:fldChar w:fldCharType="begin" w:fldLock="1"/>
            </w:r>
            <w:r w:rsidR="00260ACA">
              <w:instrText>ADDIN CSL_CITATION {"citationItems":[{"id":"ITEM-1","itemData":{"DOI":"10.1128/IAI.00521-06","ISSN":"00199567","PMID":"16861652","abstract":"A spectrum of in vivo-expressed Staphylococcus epidermidis antigens was identified by probing a bacteriophage lambda library of S. epidermidis genomic DNA with human serum from infected and uninfected individuals. This analysis resulted in identification of 53 antigen-encoding loci. Six antigenic polypeptides were expressed from these loci and purified. These polypeptides were the propeptide, mature amidase, and repeat sequence domains of the major autolysin AtlE, GehD (lipase), and two members of a conserved family of surface proteins (ScaA [AaE] and ScaB). AtlE, ScaA, and ScaB all exhibit human ligand binding capacity. Screening a bank of human serum samples revealed that there were significant increases in the amounts of reactive immunoglobulin G in infected individuals compared to the amounts in healthy individuals for the repeat sequence and mature amidase domains of AtlE, ScaB, and GehD. Vaccination of mice with recombinant antigens stimulated an immune response which in vitro opsonized S. epidermidis. In this study we identified prospective candidate antigens for prophylaxis or immunotherapy to control disease. Copyright © 2006, American Society for Microbiology. All Rights Reserved.","author":[{"dropping-particle":"","family":"Pourmand","given":"Mohammad R.","non-dropping-particle":"","parse-names":false,"suffix":""},{"dropping-particle":"","family":"Clarke","given":"Simon R.","non-dropping-particle":"","parse-names":false,"suffix":""},{"dropping-particle":"","family":"Schuman","given":"Richard F.","non-dropping-particle":"","parse-names":false,"suffix":""},{"dropping-particle":"","family":"Mond","given":"James J.","non-dropping-particle":"","parse-names":false,"suffix":""},{"dropping-particle":"","family":"Foster","given":"Simon J.","non-dropping-particle":"","parse-names":false,"suffix":""}],"container-title":"Infection and Immunity","id":"ITEM-1","issue":"8","issued":{"date-parts":[["2006","8"]]},"page":"4644-4654","publisher":"American Society for Microbiology (ASM)","title":"Identification of antigenic components of Staphylococcus epidermidis expressed during human infection","type":"article-journal","volume":"74"},"uris":["http://www.mendeley.com/documents/?uuid=30087db5-2782-3121-b90c-613a0ed13265"]}],"mendeley":{"formattedCitation":"&lt;sup&gt;[65]&lt;/sup&gt;","plainTextFormattedCitation":"[65]","previouslyFormattedCitation":"&lt;sup&gt;[65]&lt;/sup&gt;"},"properties":{"noteIndex":0},"schema":"https://github.com/citation-style-language/schema/raw/master/csl-citation.json"}</w:instrText>
            </w:r>
            <w:r>
              <w:fldChar w:fldCharType="separate"/>
            </w:r>
            <w:r w:rsidR="00C825F9" w:rsidRPr="00C825F9">
              <w:rPr>
                <w:noProof/>
                <w:vertAlign w:val="superscript"/>
              </w:rPr>
              <w:t>[65]</w:t>
            </w:r>
            <w:r>
              <w:fldChar w:fldCharType="end"/>
            </w:r>
          </w:p>
        </w:tc>
      </w:tr>
      <w:tr w:rsidR="00A70DB5" w14:paraId="48698C64"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75E5DF01" w14:textId="77777777" w:rsidR="00A70DB5" w:rsidRPr="001E1436" w:rsidRDefault="00A70DB5" w:rsidP="00F12A23">
            <w:pPr>
              <w:pStyle w:val="Tabletextnormal"/>
              <w:rPr>
                <w:b/>
                <w:bCs w:val="0"/>
              </w:rPr>
            </w:pPr>
            <w:r w:rsidRPr="001E1436">
              <w:rPr>
                <w:b/>
                <w:bCs w:val="0"/>
              </w:rPr>
              <w:t>ScaB</w:t>
            </w:r>
          </w:p>
        </w:tc>
        <w:tc>
          <w:tcPr>
            <w:tcW w:w="0" w:type="auto"/>
          </w:tcPr>
          <w:p w14:paraId="0EA90E4C" w14:textId="77777777"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CHAP domain (PGP)</w:t>
            </w:r>
          </w:p>
        </w:tc>
        <w:tc>
          <w:tcPr>
            <w:tcW w:w="0" w:type="auto"/>
          </w:tcPr>
          <w:p w14:paraId="06962080" w14:textId="4AD8B5A3" w:rsidR="00A70DB5" w:rsidRPr="001C296B" w:rsidRDefault="00A70DB5" w:rsidP="00F12A23">
            <w:pPr>
              <w:pStyle w:val="Tabletextnormal"/>
              <w:ind w:left="720" w:hanging="720"/>
              <w:cnfStyle w:val="000000000000" w:firstRow="0" w:lastRow="0" w:firstColumn="0" w:lastColumn="0" w:oddVBand="0" w:evenVBand="0" w:oddHBand="0" w:evenHBand="0" w:firstRowFirstColumn="0" w:firstRowLastColumn="0" w:lastRowFirstColumn="0" w:lastRowLastColumn="0"/>
              <w:rPr>
                <w:i/>
                <w:iCs/>
              </w:rPr>
            </w:pPr>
            <w:r>
              <w:t xml:space="preserve">Pourmand </w:t>
            </w:r>
            <w:r w:rsidRPr="001C296B">
              <w:rPr>
                <w:i/>
                <w:iCs/>
              </w:rPr>
              <w:t>et al.</w:t>
            </w:r>
            <w:r w:rsidRPr="001C296B">
              <w:t xml:space="preserve">, </w:t>
            </w:r>
            <w:r>
              <w:t>(</w:t>
            </w:r>
            <w:r w:rsidRPr="001C296B">
              <w:t>2006</w:t>
            </w:r>
            <w:r>
              <w:t xml:space="preserve">) </w:t>
            </w:r>
            <w:r>
              <w:fldChar w:fldCharType="begin" w:fldLock="1"/>
            </w:r>
            <w:r w:rsidR="00260ACA">
              <w:instrText>ADDIN CSL_CITATION {"citationItems":[{"id":"ITEM-1","itemData":{"DOI":"10.1128/IAI.00521-06","ISSN":"00199567","PMID":"16861652","abstract":"A spectrum of in vivo-expressed Staphylococcus epidermidis antigens was identified by probing a bacteriophage lambda library of S. epidermidis genomic DNA with human serum from infected and uninfected individuals. This analysis resulted in identification of 53 antigen-encoding loci. Six antigenic polypeptides were expressed from these loci and purified. These polypeptides were the propeptide, mature amidase, and repeat sequence domains of the major autolysin AtlE, GehD (lipase), and two members of a conserved family of surface proteins (ScaA [AaE] and ScaB). AtlE, ScaA, and ScaB all exhibit human ligand binding capacity. Screening a bank of human serum samples revealed that there were significant increases in the amounts of reactive immunoglobulin G in infected individuals compared to the amounts in healthy individuals for the repeat sequence and mature amidase domains of AtlE, ScaB, and GehD. Vaccination of mice with recombinant antigens stimulated an immune response which in vitro opsonized S. epidermidis. In this study we identified prospective candidate antigens for prophylaxis or immunotherapy to control disease. Copyright © 2006, American Society for Microbiology. All Rights Reserved.","author":[{"dropping-particle":"","family":"Pourmand","given":"Mohammad R.","non-dropping-particle":"","parse-names":false,"suffix":""},{"dropping-particle":"","family":"Clarke","given":"Simon R.","non-dropping-particle":"","parse-names":false,"suffix":""},{"dropping-particle":"","family":"Schuman","given":"Richard F.","non-dropping-particle":"","parse-names":false,"suffix":""},{"dropping-particle":"","family":"Mond","given":"James J.","non-dropping-particle":"","parse-names":false,"suffix":""},{"dropping-particle":"","family":"Foster","given":"Simon J.","non-dropping-particle":"","parse-names":false,"suffix":""}],"container-title":"Infection and Immunity","id":"ITEM-1","issue":"8","issued":{"date-parts":[["2006","8"]]},"page":"4644-4654","publisher":"American Society for Microbiology (ASM)","title":"Identification of antigenic components of Staphylococcus epidermidis expressed during human infection","type":"article-journal","volume":"74"},"uris":["http://www.mendeley.com/documents/?uuid=30087db5-2782-3121-b90c-613a0ed13265"]}],"mendeley":{"formattedCitation":"&lt;sup&gt;[65]&lt;/sup&gt;","plainTextFormattedCitation":"[65]","previouslyFormattedCitation":"&lt;sup&gt;[65]&lt;/sup&gt;"},"properties":{"noteIndex":0},"schema":"https://github.com/citation-style-language/schema/raw/master/csl-citation.json"}</w:instrText>
            </w:r>
            <w:r>
              <w:fldChar w:fldCharType="separate"/>
            </w:r>
            <w:r w:rsidR="00C825F9" w:rsidRPr="00C825F9">
              <w:rPr>
                <w:noProof/>
                <w:vertAlign w:val="superscript"/>
              </w:rPr>
              <w:t>[65]</w:t>
            </w:r>
            <w:r>
              <w:fldChar w:fldCharType="end"/>
            </w:r>
          </w:p>
        </w:tc>
      </w:tr>
      <w:tr w:rsidR="00A70DB5" w14:paraId="7757F216"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43BB385" w14:textId="77777777" w:rsidR="00A70DB5" w:rsidRPr="001E1436" w:rsidRDefault="00A70DB5" w:rsidP="00F12A23">
            <w:pPr>
              <w:pStyle w:val="Tabletextnormal"/>
              <w:rPr>
                <w:b/>
                <w:bCs w:val="0"/>
              </w:rPr>
            </w:pPr>
            <w:r w:rsidRPr="001E1436">
              <w:rPr>
                <w:b/>
                <w:bCs w:val="0"/>
              </w:rPr>
              <w:t>ScaC</w:t>
            </w:r>
          </w:p>
        </w:tc>
        <w:tc>
          <w:tcPr>
            <w:tcW w:w="0" w:type="auto"/>
          </w:tcPr>
          <w:p w14:paraId="5162AAF7" w14:textId="77777777"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CHAP domain (PGP)</w:t>
            </w:r>
          </w:p>
        </w:tc>
        <w:tc>
          <w:tcPr>
            <w:tcW w:w="0" w:type="auto"/>
          </w:tcPr>
          <w:p w14:paraId="5145A1AB" w14:textId="6DB2D811"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 xml:space="preserve">Pourmand </w:t>
            </w:r>
            <w:r w:rsidRPr="001C296B">
              <w:rPr>
                <w:i/>
                <w:iCs/>
              </w:rPr>
              <w:t>et al.</w:t>
            </w:r>
            <w:r w:rsidRPr="001C296B">
              <w:t xml:space="preserve">, </w:t>
            </w:r>
            <w:r>
              <w:t>(</w:t>
            </w:r>
            <w:r w:rsidRPr="001C296B">
              <w:t>2006</w:t>
            </w:r>
            <w:r>
              <w:t xml:space="preserve">) </w:t>
            </w:r>
            <w:r>
              <w:fldChar w:fldCharType="begin" w:fldLock="1"/>
            </w:r>
            <w:r w:rsidR="00260ACA">
              <w:instrText>ADDIN CSL_CITATION {"citationItems":[{"id":"ITEM-1","itemData":{"DOI":"10.1128/IAI.00521-06","ISSN":"00199567","PMID":"16861652","abstract":"A spectrum of in vivo-expressed Staphylococcus epidermidis antigens was identified by probing a bacteriophage lambda library of S. epidermidis genomic DNA with human serum from infected and uninfected individuals. This analysis resulted in identification of 53 antigen-encoding loci. Six antigenic polypeptides were expressed from these loci and purified. These polypeptides were the propeptide, mature amidase, and repeat sequence domains of the major autolysin AtlE, GehD (lipase), and two members of a conserved family of surface proteins (ScaA [AaE] and ScaB). AtlE, ScaA, and ScaB all exhibit human ligand binding capacity. Screening a bank of human serum samples revealed that there were significant increases in the amounts of reactive immunoglobulin G in infected individuals compared to the amounts in healthy individuals for the repeat sequence and mature amidase domains of AtlE, ScaB, and GehD. Vaccination of mice with recombinant antigens stimulated an immune response which in vitro opsonized S. epidermidis. In this study we identified prospective candidate antigens for prophylaxis or immunotherapy to control disease. Copyright © 2006, American Society for Microbiology. All Rights Reserved.","author":[{"dropping-particle":"","family":"Pourmand","given":"Mohammad R.","non-dropping-particle":"","parse-names":false,"suffix":""},{"dropping-particle":"","family":"Clarke","given":"Simon R.","non-dropping-particle":"","parse-names":false,"suffix":""},{"dropping-particle":"","family":"Schuman","given":"Richard F.","non-dropping-particle":"","parse-names":false,"suffix":""},{"dropping-particle":"","family":"Mond","given":"James J.","non-dropping-particle":"","parse-names":false,"suffix":""},{"dropping-particle":"","family":"Foster","given":"Simon J.","non-dropping-particle":"","parse-names":false,"suffix":""}],"container-title":"Infection and Immunity","id":"ITEM-1","issue":"8","issued":{"date-parts":[["2006","8"]]},"page":"4644-4654","publisher":"American Society for Microbiology (ASM)","title":"Identification of antigenic components of Staphylococcus epidermidis expressed during human infection","type":"article-journal","volume":"74"},"uris":["http://www.mendeley.com/documents/?uuid=30087db5-2782-3121-b90c-613a0ed13265"]}],"mendeley":{"formattedCitation":"&lt;sup&gt;[65]&lt;/sup&gt;","plainTextFormattedCitation":"[65]","previouslyFormattedCitation":"&lt;sup&gt;[65]&lt;/sup&gt;"},"properties":{"noteIndex":0},"schema":"https://github.com/citation-style-language/schema/raw/master/csl-citation.json"}</w:instrText>
            </w:r>
            <w:r>
              <w:fldChar w:fldCharType="separate"/>
            </w:r>
            <w:r w:rsidR="00C825F9" w:rsidRPr="00C825F9">
              <w:rPr>
                <w:noProof/>
                <w:vertAlign w:val="superscript"/>
              </w:rPr>
              <w:t>[65]</w:t>
            </w:r>
            <w:r>
              <w:fldChar w:fldCharType="end"/>
            </w:r>
          </w:p>
        </w:tc>
      </w:tr>
      <w:tr w:rsidR="00A70DB5" w14:paraId="1CB1A271"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3EF3573" w14:textId="77777777" w:rsidR="00A70DB5" w:rsidRPr="001E1436" w:rsidRDefault="00A70DB5" w:rsidP="00F12A23">
            <w:pPr>
              <w:pStyle w:val="Tabletextnormal"/>
              <w:rPr>
                <w:b/>
                <w:bCs w:val="0"/>
              </w:rPr>
            </w:pPr>
            <w:r w:rsidRPr="001E1436">
              <w:rPr>
                <w:b/>
                <w:bCs w:val="0"/>
              </w:rPr>
              <w:t>ScaD</w:t>
            </w:r>
          </w:p>
        </w:tc>
        <w:tc>
          <w:tcPr>
            <w:tcW w:w="0" w:type="auto"/>
          </w:tcPr>
          <w:p w14:paraId="0AE22F35" w14:textId="77777777"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CHAP domain (PGP)</w:t>
            </w:r>
          </w:p>
        </w:tc>
        <w:tc>
          <w:tcPr>
            <w:tcW w:w="0" w:type="auto"/>
          </w:tcPr>
          <w:p w14:paraId="2239C119" w14:textId="5D3076E3"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 xml:space="preserve">Pourmand </w:t>
            </w:r>
            <w:r w:rsidRPr="001C296B">
              <w:rPr>
                <w:i/>
                <w:iCs/>
              </w:rPr>
              <w:t>et al.</w:t>
            </w:r>
            <w:r w:rsidRPr="001C296B">
              <w:t xml:space="preserve">, </w:t>
            </w:r>
            <w:r>
              <w:t>(</w:t>
            </w:r>
            <w:r w:rsidRPr="001C296B">
              <w:t>2006</w:t>
            </w:r>
            <w:r>
              <w:t xml:space="preserve">) </w:t>
            </w:r>
            <w:r>
              <w:fldChar w:fldCharType="begin" w:fldLock="1"/>
            </w:r>
            <w:r w:rsidR="00260ACA">
              <w:instrText>ADDIN CSL_CITATION {"citationItems":[{"id":"ITEM-1","itemData":{"DOI":"10.1128/IAI.00521-06","ISSN":"00199567","PMID":"16861652","abstract":"A spectrum of in vivo-expressed Staphylococcus epidermidis antigens was identified by probing a bacteriophage lambda library of S. epidermidis genomic DNA with human serum from infected and uninfected individuals. This analysis resulted in identification of 53 antigen-encoding loci. Six antigenic polypeptides were expressed from these loci and purified. These polypeptides were the propeptide, mature amidase, and repeat sequence domains of the major autolysin AtlE, GehD (lipase), and two members of a conserved family of surface proteins (ScaA [AaE] and ScaB). AtlE, ScaA, and ScaB all exhibit human ligand binding capacity. Screening a bank of human serum samples revealed that there were significant increases in the amounts of reactive immunoglobulin G in infected individuals compared to the amounts in healthy individuals for the repeat sequence and mature amidase domains of AtlE, ScaB, and GehD. Vaccination of mice with recombinant antigens stimulated an immune response which in vitro opsonized S. epidermidis. In this study we identified prospective candidate antigens for prophylaxis or immunotherapy to control disease. Copyright © 2006, American Society for Microbiology. All Rights Reserved.","author":[{"dropping-particle":"","family":"Pourmand","given":"Mohammad R.","non-dropping-particle":"","parse-names":false,"suffix":""},{"dropping-particle":"","family":"Clarke","given":"Simon R.","non-dropping-particle":"","parse-names":false,"suffix":""},{"dropping-particle":"","family":"Schuman","given":"Richard F.","non-dropping-particle":"","parse-names":false,"suffix":""},{"dropping-particle":"","family":"Mond","given":"James J.","non-dropping-particle":"","parse-names":false,"suffix":""},{"dropping-particle":"","family":"Foster","given":"Simon J.","non-dropping-particle":"","parse-names":false,"suffix":""}],"container-title":"Infection and Immunity","id":"ITEM-1","issue":"8","issued":{"date-parts":[["2006","8"]]},"page":"4644-4654","publisher":"American Society for Microbiology (ASM)","title":"Identification of antigenic components of Staphylococcus epidermidis expressed during human infection","type":"article-journal","volume":"74"},"uris":["http://www.mendeley.com/documents/?uuid=30087db5-2782-3121-b90c-613a0ed13265"]}],"mendeley":{"formattedCitation":"&lt;sup&gt;[65]&lt;/sup&gt;","plainTextFormattedCitation":"[65]","previouslyFormattedCitation":"&lt;sup&gt;[65]&lt;/sup&gt;"},"properties":{"noteIndex":0},"schema":"https://github.com/citation-style-language/schema/raw/master/csl-citation.json"}</w:instrText>
            </w:r>
            <w:r>
              <w:fldChar w:fldCharType="separate"/>
            </w:r>
            <w:r w:rsidR="00C825F9" w:rsidRPr="00C825F9">
              <w:rPr>
                <w:noProof/>
                <w:vertAlign w:val="superscript"/>
              </w:rPr>
              <w:t>[65]</w:t>
            </w:r>
            <w:r>
              <w:fldChar w:fldCharType="end"/>
            </w:r>
          </w:p>
        </w:tc>
      </w:tr>
      <w:tr w:rsidR="00A70DB5" w14:paraId="25C10C6F"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5B19207" w14:textId="77777777" w:rsidR="00A70DB5" w:rsidRPr="001E1436" w:rsidRDefault="00A70DB5" w:rsidP="00F12A23">
            <w:pPr>
              <w:pStyle w:val="Tabletextnormal"/>
              <w:rPr>
                <w:b/>
                <w:bCs w:val="0"/>
              </w:rPr>
            </w:pPr>
            <w:r w:rsidRPr="001E1436">
              <w:rPr>
                <w:b/>
                <w:bCs w:val="0"/>
              </w:rPr>
              <w:t>ScaE</w:t>
            </w:r>
          </w:p>
        </w:tc>
        <w:tc>
          <w:tcPr>
            <w:tcW w:w="0" w:type="auto"/>
          </w:tcPr>
          <w:p w14:paraId="683C1399" w14:textId="77777777"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CHAP domain, LysM domain (PGP)</w:t>
            </w:r>
          </w:p>
        </w:tc>
        <w:tc>
          <w:tcPr>
            <w:tcW w:w="0" w:type="auto"/>
          </w:tcPr>
          <w:p w14:paraId="63C8B47D" w14:textId="02476A6D"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 xml:space="preserve">Pourmand </w:t>
            </w:r>
            <w:r w:rsidRPr="001C296B">
              <w:rPr>
                <w:i/>
                <w:iCs/>
              </w:rPr>
              <w:t>et al.</w:t>
            </w:r>
            <w:r w:rsidRPr="001C296B">
              <w:t xml:space="preserve">, </w:t>
            </w:r>
            <w:r>
              <w:t>(</w:t>
            </w:r>
            <w:r w:rsidRPr="001C296B">
              <w:t>2006</w:t>
            </w:r>
            <w:r>
              <w:t xml:space="preserve">) </w:t>
            </w:r>
            <w:r>
              <w:fldChar w:fldCharType="begin" w:fldLock="1"/>
            </w:r>
            <w:r w:rsidR="00260ACA">
              <w:instrText>ADDIN CSL_CITATION {"citationItems":[{"id":"ITEM-1","itemData":{"DOI":"10.1128/IAI.00521-06","ISSN":"00199567","PMID":"16861652","abstract":"A spectrum of in vivo-expressed Staphylococcus epidermidis antigens was identified by probing a bacteriophage lambda library of S. epidermidis genomic DNA with human serum from infected and uninfected individuals. This analysis resulted in identification of 53 antigen-encoding loci. Six antigenic polypeptides were expressed from these loci and purified. These polypeptides were the propeptide, mature amidase, and repeat sequence domains of the major autolysin AtlE, GehD (lipase), and two members of a conserved family of surface proteins (ScaA [AaE] and ScaB). AtlE, ScaA, and ScaB all exhibit human ligand binding capacity. Screening a bank of human serum samples revealed that there were significant increases in the amounts of reactive immunoglobulin G in infected individuals compared to the amounts in healthy individuals for the repeat sequence and mature amidase domains of AtlE, ScaB, and GehD. Vaccination of mice with recombinant antigens stimulated an immune response which in vitro opsonized S. epidermidis. In this study we identified prospective candidate antigens for prophylaxis or immunotherapy to control disease. Copyright © 2006, American Society for Microbiology. All Rights Reserved.","author":[{"dropping-particle":"","family":"Pourmand","given":"Mohammad R.","non-dropping-particle":"","parse-names":false,"suffix":""},{"dropping-particle":"","family":"Clarke","given":"Simon R.","non-dropping-particle":"","parse-names":false,"suffix":""},{"dropping-particle":"","family":"Schuman","given":"Richard F.","non-dropping-particle":"","parse-names":false,"suffix":""},{"dropping-particle":"","family":"Mond","given":"James J.","non-dropping-particle":"","parse-names":false,"suffix":""},{"dropping-particle":"","family":"Foster","given":"Simon J.","non-dropping-particle":"","parse-names":false,"suffix":""}],"container-title":"Infection and Immunity","id":"ITEM-1","issue":"8","issued":{"date-parts":[["2006","8"]]},"page":"4644-4654","publisher":"American Society for Microbiology (ASM)","title":"Identification of antigenic components of Staphylococcus epidermidis expressed during human infection","type":"article-journal","volume":"74"},"uris":["http://www.mendeley.com/documents/?uuid=30087db5-2782-3121-b90c-613a0ed13265"]}],"mendeley":{"formattedCitation":"&lt;sup&gt;[65]&lt;/sup&gt;","plainTextFormattedCitation":"[65]","previouslyFormattedCitation":"&lt;sup&gt;[65]&lt;/sup&gt;"},"properties":{"noteIndex":0},"schema":"https://github.com/citation-style-language/schema/raw/master/csl-citation.json"}</w:instrText>
            </w:r>
            <w:r>
              <w:fldChar w:fldCharType="separate"/>
            </w:r>
            <w:r w:rsidR="00C825F9" w:rsidRPr="00C825F9">
              <w:rPr>
                <w:noProof/>
                <w:vertAlign w:val="superscript"/>
              </w:rPr>
              <w:t>[65]</w:t>
            </w:r>
            <w:r>
              <w:fldChar w:fldCharType="end"/>
            </w:r>
          </w:p>
        </w:tc>
      </w:tr>
      <w:tr w:rsidR="00A70DB5" w14:paraId="0002CA5C"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7A06BCD0" w14:textId="77777777" w:rsidR="00A70DB5" w:rsidRPr="001E1436" w:rsidRDefault="00A70DB5" w:rsidP="00F12A23">
            <w:pPr>
              <w:pStyle w:val="Tabletextnormal"/>
              <w:rPr>
                <w:b/>
                <w:bCs w:val="0"/>
              </w:rPr>
            </w:pPr>
            <w:r w:rsidRPr="001E1436">
              <w:rPr>
                <w:b/>
                <w:bCs w:val="0"/>
              </w:rPr>
              <w:t>ScaF</w:t>
            </w:r>
          </w:p>
        </w:tc>
        <w:tc>
          <w:tcPr>
            <w:tcW w:w="0" w:type="auto"/>
          </w:tcPr>
          <w:p w14:paraId="6F866422" w14:textId="77777777"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CHAP domain (PGP)</w:t>
            </w:r>
          </w:p>
        </w:tc>
        <w:tc>
          <w:tcPr>
            <w:tcW w:w="0" w:type="auto"/>
          </w:tcPr>
          <w:p w14:paraId="11BC4DD6" w14:textId="6BA078C7"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 xml:space="preserve">Pourmand </w:t>
            </w:r>
            <w:r w:rsidRPr="001C296B">
              <w:rPr>
                <w:i/>
                <w:iCs/>
              </w:rPr>
              <w:t>et al.</w:t>
            </w:r>
            <w:r w:rsidRPr="001C296B">
              <w:t xml:space="preserve">, </w:t>
            </w:r>
            <w:r>
              <w:t>(</w:t>
            </w:r>
            <w:r w:rsidRPr="001C296B">
              <w:t>2006</w:t>
            </w:r>
            <w:r>
              <w:t xml:space="preserve">) </w:t>
            </w:r>
            <w:r>
              <w:fldChar w:fldCharType="begin" w:fldLock="1"/>
            </w:r>
            <w:r w:rsidR="00260ACA">
              <w:instrText>ADDIN CSL_CITATION {"citationItems":[{"id":"ITEM-1","itemData":{"DOI":"10.1128/IAI.00521-06","ISSN":"00199567","PMID":"16861652","abstract":"A spectrum of in vivo-expressed Staphylococcus epidermidis antigens was identified by probing a bacteriophage lambda library of S. epidermidis genomic DNA with human serum from infected and uninfected individuals. This analysis resulted in identification of 53 antigen-encoding loci. Six antigenic polypeptides were expressed from these loci and purified. These polypeptides were the propeptide, mature amidase, and repeat sequence domains of the major autolysin AtlE, GehD (lipase), and two members of a conserved family of surface proteins (ScaA [AaE] and ScaB). AtlE, ScaA, and ScaB all exhibit human ligand binding capacity. Screening a bank of human serum samples revealed that there were significant increases in the amounts of reactive immunoglobulin G in infected individuals compared to the amounts in healthy individuals for the repeat sequence and mature amidase domains of AtlE, ScaB, and GehD. Vaccination of mice with recombinant antigens stimulated an immune response which in vitro opsonized S. epidermidis. In this study we identified prospective candidate antigens for prophylaxis or immunotherapy to control disease. Copyright © 2006, American Society for Microbiology. All Rights Reserved.","author":[{"dropping-particle":"","family":"Pourmand","given":"Mohammad R.","non-dropping-particle":"","parse-names":false,"suffix":""},{"dropping-particle":"","family":"Clarke","given":"Simon R.","non-dropping-particle":"","parse-names":false,"suffix":""},{"dropping-particle":"","family":"Schuman","given":"Richard F.","non-dropping-particle":"","parse-names":false,"suffix":""},{"dropping-particle":"","family":"Mond","given":"James J.","non-dropping-particle":"","parse-names":false,"suffix":""},{"dropping-particle":"","family":"Foster","given":"Simon J.","non-dropping-particle":"","parse-names":false,"suffix":""}],"container-title":"Infection and Immunity","id":"ITEM-1","issue":"8","issued":{"date-parts":[["2006","8"]]},"page":"4644-4654","publisher":"American Society for Microbiology (ASM)","title":"Identification of antigenic components of Staphylococcus epidermidis expressed during human infection","type":"article-journal","volume":"74"},"uris":["http://www.mendeley.com/documents/?uuid=30087db5-2782-3121-b90c-613a0ed13265"]}],"mendeley":{"formattedCitation":"&lt;sup&gt;[65]&lt;/sup&gt;","plainTextFormattedCitation":"[65]","previouslyFormattedCitation":"&lt;sup&gt;[65]&lt;/sup&gt;"},"properties":{"noteIndex":0},"schema":"https://github.com/citation-style-language/schema/raw/master/csl-citation.json"}</w:instrText>
            </w:r>
            <w:r>
              <w:fldChar w:fldCharType="separate"/>
            </w:r>
            <w:r w:rsidR="00C825F9" w:rsidRPr="00C825F9">
              <w:rPr>
                <w:noProof/>
                <w:vertAlign w:val="superscript"/>
              </w:rPr>
              <w:t>[65]</w:t>
            </w:r>
            <w:r>
              <w:fldChar w:fldCharType="end"/>
            </w:r>
          </w:p>
        </w:tc>
      </w:tr>
      <w:tr w:rsidR="00A70DB5" w14:paraId="13F52050"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619E712" w14:textId="77777777" w:rsidR="00A70DB5" w:rsidRPr="001E1436" w:rsidRDefault="00A70DB5" w:rsidP="00F12A23">
            <w:pPr>
              <w:pStyle w:val="Tabletextnormal"/>
              <w:rPr>
                <w:b/>
                <w:bCs w:val="0"/>
              </w:rPr>
            </w:pPr>
            <w:r w:rsidRPr="001E1436">
              <w:rPr>
                <w:b/>
                <w:bCs w:val="0"/>
              </w:rPr>
              <w:t>ScaG</w:t>
            </w:r>
          </w:p>
        </w:tc>
        <w:tc>
          <w:tcPr>
            <w:tcW w:w="0" w:type="auto"/>
          </w:tcPr>
          <w:p w14:paraId="2AC24122" w14:textId="77777777"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CHAP domain (PGP)</w:t>
            </w:r>
          </w:p>
        </w:tc>
        <w:tc>
          <w:tcPr>
            <w:tcW w:w="0" w:type="auto"/>
          </w:tcPr>
          <w:p w14:paraId="7949815F" w14:textId="24592A8D"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 xml:space="preserve">Pourmand </w:t>
            </w:r>
            <w:r w:rsidRPr="001C296B">
              <w:rPr>
                <w:i/>
                <w:iCs/>
              </w:rPr>
              <w:t>et al.</w:t>
            </w:r>
            <w:r w:rsidRPr="001C296B">
              <w:t xml:space="preserve">, </w:t>
            </w:r>
            <w:r>
              <w:t>(</w:t>
            </w:r>
            <w:r w:rsidRPr="001C296B">
              <w:t>2006</w:t>
            </w:r>
            <w:r>
              <w:t xml:space="preserve">) </w:t>
            </w:r>
            <w:r>
              <w:fldChar w:fldCharType="begin" w:fldLock="1"/>
            </w:r>
            <w:r w:rsidR="00260ACA">
              <w:instrText>ADDIN CSL_CITATION {"citationItems":[{"id":"ITEM-1","itemData":{"DOI":"10.1128/IAI.00521-06","ISSN":"00199567","PMID":"16861652","abstract":"A spectrum of in vivo-expressed Staphylococcus epidermidis antigens was identified by probing a bacteriophage lambda library of S. epidermidis genomic DNA with human serum from infected and uninfected individuals. This analysis resulted in identification of 53 antigen-encoding loci. Six antigenic polypeptides were expressed from these loci and purified. These polypeptides were the propeptide, mature amidase, and repeat sequence domains of the major autolysin AtlE, GehD (lipase), and two members of a conserved family of surface proteins (ScaA [AaE] and ScaB). AtlE, ScaA, and ScaB all exhibit human ligand binding capacity. Screening a bank of human serum samples revealed that there were significant increases in the amounts of reactive immunoglobulin G in infected individuals compared to the amounts in healthy individuals for the repeat sequence and mature amidase domains of AtlE, ScaB, and GehD. Vaccination of mice with recombinant antigens stimulated an immune response which in vitro opsonized S. epidermidis. In this study we identified prospective candidate antigens for prophylaxis or immunotherapy to control disease. Copyright © 2006, American Society for Microbiology. All Rights Reserved.","author":[{"dropping-particle":"","family":"Pourmand","given":"Mohammad R.","non-dropping-particle":"","parse-names":false,"suffix":""},{"dropping-particle":"","family":"Clarke","given":"Simon R.","non-dropping-particle":"","parse-names":false,"suffix":""},{"dropping-particle":"","family":"Schuman","given":"Richard F.","non-dropping-particle":"","parse-names":false,"suffix":""},{"dropping-particle":"","family":"Mond","given":"James J.","non-dropping-particle":"","parse-names":false,"suffix":""},{"dropping-particle":"","family":"Foster","given":"Simon J.","non-dropping-particle":"","parse-names":false,"suffix":""}],"container-title":"Infection and Immunity","id":"ITEM-1","issue":"8","issued":{"date-parts":[["2006","8"]]},"page":"4644-4654","publisher":"American Society for Microbiology (ASM)","title":"Identification of antigenic components of Staphylococcus epidermidis expressed during human infection","type":"article-journal","volume":"74"},"uris":["http://www.mendeley.com/documents/?uuid=30087db5-2782-3121-b90c-613a0ed13265"]}],"mendeley":{"formattedCitation":"&lt;sup&gt;[65]&lt;/sup&gt;","plainTextFormattedCitation":"[65]","previouslyFormattedCitation":"&lt;sup&gt;[65]&lt;/sup&gt;"},"properties":{"noteIndex":0},"schema":"https://github.com/citation-style-language/schema/raw/master/csl-citation.json"}</w:instrText>
            </w:r>
            <w:r>
              <w:fldChar w:fldCharType="separate"/>
            </w:r>
            <w:r w:rsidR="00C825F9" w:rsidRPr="00C825F9">
              <w:rPr>
                <w:noProof/>
                <w:vertAlign w:val="superscript"/>
              </w:rPr>
              <w:t>[65]</w:t>
            </w:r>
            <w:r>
              <w:fldChar w:fldCharType="end"/>
            </w:r>
          </w:p>
        </w:tc>
      </w:tr>
      <w:tr w:rsidR="00A70DB5" w14:paraId="0DBD46C7"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DE547D9" w14:textId="77777777" w:rsidR="00A70DB5" w:rsidRPr="001E1436" w:rsidRDefault="00A70DB5" w:rsidP="00F12A23">
            <w:pPr>
              <w:pStyle w:val="Tabletextnormal"/>
              <w:rPr>
                <w:b/>
                <w:bCs w:val="0"/>
              </w:rPr>
            </w:pPr>
            <w:r w:rsidRPr="001E1436">
              <w:rPr>
                <w:b/>
                <w:bCs w:val="0"/>
              </w:rPr>
              <w:t>ScaH</w:t>
            </w:r>
          </w:p>
        </w:tc>
        <w:tc>
          <w:tcPr>
            <w:tcW w:w="0" w:type="auto"/>
          </w:tcPr>
          <w:p w14:paraId="20021ECF" w14:textId="77777777"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Glucosaminidase (PGG), CHAP domain (PGP)</w:t>
            </w:r>
          </w:p>
        </w:tc>
        <w:tc>
          <w:tcPr>
            <w:tcW w:w="0" w:type="auto"/>
          </w:tcPr>
          <w:p w14:paraId="0C64AFE9" w14:textId="49A86969"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 xml:space="preserve">Wheeler </w:t>
            </w:r>
            <w:r>
              <w:rPr>
                <w:i/>
                <w:iCs/>
              </w:rPr>
              <w:t>et al</w:t>
            </w:r>
            <w:r>
              <w:t xml:space="preserve">., (2015) </w:t>
            </w:r>
            <w:r>
              <w:fldChar w:fldCharType="begin" w:fldLock="1"/>
            </w:r>
            <w:r>
              <w:instrText>ADDIN CSL_CITATION {"citationItems":[{"id":"ITEM-1","itemData":{"DOI":"10.1128/mBio.00660-15","ISSN":"21507511","PMID":"26220963","abstract":"UNLABELLED: Most bacterial cells are enclosed in a single macromolecule of the cell wall polymer, peptidoglycan, which is required for shape determination and maintenance of viability, while peptidoglycan biosynthesis is an important antibiotic target. It is hypothesized that cellular enlargement requires regional expansion of the cell wall through coordinated insertion and hydrolysis of peptidoglycan. Here, a group of (apparent glucosaminidase) peptidoglycan hydrolases are identified that are together required for cell enlargement and correct cellular morphology of Staphylococcus aureus, demonstrating the overall importance of this enzyme activity. These are Atl, SagA, ScaH, and SagB. The major advance here is the explanation of the observed morphological defects in terms of the mechanical and biochemical properties of peptidoglycan. It was shown that cells lacking groups of these hydrolases have increased surface stiffness and, in the absence of SagB, substantially increased glycan chain length. This indicates that, beyond their established roles (for example in cell separation), some hydrolases enable cellular enlargement by making peptidoglycan easier to stretch, providing the first direct evidence demonstrating that cellular enlargement occurs via modulation of the mechanical properties of peptidoglycan.\\n\\nIMPORTANCE: Understanding bacterial growth and division is a fundamental problem, and knowledge in this area underlies the treatment of many infectious diseases. Almost all bacteria are surrounded by a macromolecule of peptidoglycan that encloses the cell and maintains shape, and bacterial cells must increase the size of this molecule in order to enlarge themselves. This requires not only the insertion of new peptidoglycan monomers, a process targeted by antibiotics, including penicillin, but also breakage of existing bonds, a potentially hazardous activity for the cell. Using Staphylococcus aureus, we have identified a set of enzymes that are critical for cellular enlargement. We show that these enzymes are required for normal growth and define the mechanism through which cellular enlargement is accomplished, i.e., by breaking bonds in the peptidoglycan, which reduces the stiffness of the cell wall, enabling it to stretch and expand, a process that is likely to be fundamental to many bacteria.","author":[{"dropping-particle":"","family":"Wheeler","given":"Richard","non-dropping-particle":"","parse-names":false,"suffix":""},{"dropping-particle":"","family":"Turner","given":"Robert D.","non-dropping-particle":"","parse-names":false,"suffix":""},{"dropping-particle":"","family":"Bailey","given":"Richard G.","non-dropping-particle":"","parse-names":false,"suffix":""},{"dropping-particle":"","family":"Salamaga","given":"Bartłomiej","non-dropping-particle":"","parse-names":false,"suffix":""},{"dropping-particle":"","family":"Mesnage","given":"Stéphane","non-dropping-particle":"","parse-names":false,"suffix":""},{"dropping-particle":"","family":"Mohamad","given":"Sharifah A.S.","non-dropping-particle":"","parse-names":false,"suffix":""},{"dropping-particle":"","family":"Hayhurst","given":"Emma J.","non-dropping-particle":"","parse-names":false,"suffix":""},{"dropping-particle":"","family":"Horsburgh","given":"Malcolm","non-dropping-particle":"","parse-names":false,"suffix":""},{"dropping-particle":"","family":"Hobbs","given":"Jamie K.","non-dropping-particle":"","parse-names":false,"suffix":""},{"dropping-particle":"","family":"Foster","given":"Simon J.","non-dropping-particle":"","parse-names":false,"suffix":""}],"container-title":"mBio","id":"ITEM-1","issue":"4","issued":{"date-parts":[["2015"]]},"page":"1-10","title":"Bacterial cell enlargement requires control of cell wall stiffness mediated by peptidoglycan hydrolases","type":"article-journal","volume":"6"},"uris":["http://www.mendeley.com/documents/?uuid=d2ac9efd-feb5-4e30-a1e2-88eccd09b8af"]}],"mendeley":{"formattedCitation":"&lt;sup&gt;[53]&lt;/sup&gt;","plainTextFormattedCitation":"[53]","previouslyFormattedCitation":"&lt;sup&gt;[53]&lt;/sup&gt;"},"properties":{"noteIndex":0},"schema":"https://github.com/citation-style-language/schema/raw/master/csl-citation.json"}</w:instrText>
            </w:r>
            <w:r>
              <w:fldChar w:fldCharType="separate"/>
            </w:r>
            <w:r w:rsidRPr="00DA0A83">
              <w:rPr>
                <w:noProof/>
                <w:vertAlign w:val="superscript"/>
              </w:rPr>
              <w:t>[53]</w:t>
            </w:r>
            <w:r>
              <w:fldChar w:fldCharType="end"/>
            </w:r>
            <w:r>
              <w:t xml:space="preserve">, Pourmand </w:t>
            </w:r>
            <w:r w:rsidRPr="001C296B">
              <w:rPr>
                <w:i/>
                <w:iCs/>
              </w:rPr>
              <w:t>et al.</w:t>
            </w:r>
            <w:r w:rsidRPr="001C296B">
              <w:t xml:space="preserve">, </w:t>
            </w:r>
            <w:r>
              <w:t>(</w:t>
            </w:r>
            <w:r w:rsidRPr="001C296B">
              <w:t>2006</w:t>
            </w:r>
            <w:r>
              <w:t xml:space="preserve">) </w:t>
            </w:r>
            <w:r>
              <w:fldChar w:fldCharType="begin" w:fldLock="1"/>
            </w:r>
            <w:r w:rsidR="00260ACA">
              <w:instrText>ADDIN CSL_CITATION {"citationItems":[{"id":"ITEM-1","itemData":{"DOI":"10.1128/IAI.00521-06","ISSN":"00199567","PMID":"16861652","abstract":"A spectrum of in vivo-expressed Staphylococcus epidermidis antigens was identified by probing a bacteriophage lambda library of S. epidermidis genomic DNA with human serum from infected and uninfected individuals. This analysis resulted in identification of 53 antigen-encoding loci. Six antigenic polypeptides were expressed from these loci and purified. These polypeptides were the propeptide, mature amidase, and repeat sequence domains of the major autolysin AtlE, GehD (lipase), and two members of a conserved family of surface proteins (ScaA [AaE] and ScaB). AtlE, ScaA, and ScaB all exhibit human ligand binding capacity. Screening a bank of human serum samples revealed that there were significant increases in the amounts of reactive immunoglobulin G in infected individuals compared to the amounts in healthy individuals for the repeat sequence and mature amidase domains of AtlE, ScaB, and GehD. Vaccination of mice with recombinant antigens stimulated an immune response which in vitro opsonized S. epidermidis. In this study we identified prospective candidate antigens for prophylaxis or immunotherapy to control disease. Copyright © 2006, American Society for Microbiology. All Rights Reserved.","author":[{"dropping-particle":"","family":"Pourmand","given":"Mohammad R.","non-dropping-particle":"","parse-names":false,"suffix":""},{"dropping-particle":"","family":"Clarke","given":"Simon R.","non-dropping-particle":"","parse-names":false,"suffix":""},{"dropping-particle":"","family":"Schuman","given":"Richard F.","non-dropping-particle":"","parse-names":false,"suffix":""},{"dropping-particle":"","family":"Mond","given":"James J.","non-dropping-particle":"","parse-names":false,"suffix":""},{"dropping-particle":"","family":"Foster","given":"Simon J.","non-dropping-particle":"","parse-names":false,"suffix":""}],"container-title":"Infection and Immunity","id":"ITEM-1","issue":"8","issued":{"date-parts":[["2006","8"]]},"page":"4644-4654","publisher":"American Society for Microbiology (ASM)","title":"Identification of antigenic components of Staphylococcus epidermidis expressed during human infection","type":"article-journal","volume":"74"},"uris":["http://www.mendeley.com/documents/?uuid=30087db5-2782-3121-b90c-613a0ed13265"]}],"mendeley":{"formattedCitation":"&lt;sup&gt;[65]&lt;/sup&gt;","plainTextFormattedCitation":"[65]","previouslyFormattedCitation":"&lt;sup&gt;[65]&lt;/sup&gt;"},"properties":{"noteIndex":0},"schema":"https://github.com/citation-style-language/schema/raw/master/csl-citation.json"}</w:instrText>
            </w:r>
            <w:r>
              <w:fldChar w:fldCharType="separate"/>
            </w:r>
            <w:r w:rsidR="00C825F9" w:rsidRPr="00C825F9">
              <w:rPr>
                <w:noProof/>
                <w:vertAlign w:val="superscript"/>
              </w:rPr>
              <w:t>[65]</w:t>
            </w:r>
            <w:r>
              <w:fldChar w:fldCharType="end"/>
            </w:r>
          </w:p>
        </w:tc>
      </w:tr>
      <w:tr w:rsidR="00A70DB5" w14:paraId="0D8003A6"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150FE8F" w14:textId="77777777" w:rsidR="00A70DB5" w:rsidRPr="001E1436" w:rsidRDefault="00A70DB5" w:rsidP="00F12A23">
            <w:pPr>
              <w:pStyle w:val="Tabletextnormal"/>
              <w:rPr>
                <w:b/>
                <w:bCs w:val="0"/>
              </w:rPr>
            </w:pPr>
            <w:r w:rsidRPr="001E1436">
              <w:rPr>
                <w:b/>
                <w:bCs w:val="0"/>
              </w:rPr>
              <w:t>ScaI</w:t>
            </w:r>
          </w:p>
        </w:tc>
        <w:tc>
          <w:tcPr>
            <w:tcW w:w="0" w:type="auto"/>
          </w:tcPr>
          <w:p w14:paraId="0B428B9E" w14:textId="77777777"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Unknown</w:t>
            </w:r>
          </w:p>
        </w:tc>
        <w:tc>
          <w:tcPr>
            <w:tcW w:w="0" w:type="auto"/>
          </w:tcPr>
          <w:p w14:paraId="12F2F3CF" w14:textId="650682F8"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 xml:space="preserve">Pourmand </w:t>
            </w:r>
            <w:r w:rsidRPr="001C296B">
              <w:rPr>
                <w:i/>
                <w:iCs/>
              </w:rPr>
              <w:t>et al.</w:t>
            </w:r>
            <w:r w:rsidRPr="001C296B">
              <w:t xml:space="preserve">, </w:t>
            </w:r>
            <w:r>
              <w:t>(</w:t>
            </w:r>
            <w:r w:rsidRPr="001C296B">
              <w:t>2006</w:t>
            </w:r>
            <w:r>
              <w:t xml:space="preserve">) </w:t>
            </w:r>
            <w:r>
              <w:fldChar w:fldCharType="begin" w:fldLock="1"/>
            </w:r>
            <w:r w:rsidR="00260ACA">
              <w:instrText>ADDIN CSL_CITATION {"citationItems":[{"id":"ITEM-1","itemData":{"DOI":"10.1128/IAI.00521-06","ISSN":"00199567","PMID":"16861652","abstract":"A spectrum of in vivo-expressed Staphylococcus epidermidis antigens was identified by probing a bacteriophage lambda library of S. epidermidis genomic DNA with human serum from infected and uninfected individuals. This analysis resulted in identification of 53 antigen-encoding loci. Six antigenic polypeptides were expressed from these loci and purified. These polypeptides were the propeptide, mature amidase, and repeat sequence domains of the major autolysin AtlE, GehD (lipase), and two members of a conserved family of surface proteins (ScaA [AaE] and ScaB). AtlE, ScaA, and ScaB all exhibit human ligand binding capacity. Screening a bank of human serum samples revealed that there were significant increases in the amounts of reactive immunoglobulin G in infected individuals compared to the amounts in healthy individuals for the repeat sequence and mature amidase domains of AtlE, ScaB, and GehD. Vaccination of mice with recombinant antigens stimulated an immune response which in vitro opsonized S. epidermidis. In this study we identified prospective candidate antigens for prophylaxis or immunotherapy to control disease. Copyright © 2006, American Society for Microbiology. All Rights Reserved.","author":[{"dropping-particle":"","family":"Pourmand","given":"Mohammad R.","non-dropping-particle":"","parse-names":false,"suffix":""},{"dropping-particle":"","family":"Clarke","given":"Simon R.","non-dropping-particle":"","parse-names":false,"suffix":""},{"dropping-particle":"","family":"Schuman","given":"Richard F.","non-dropping-particle":"","parse-names":false,"suffix":""},{"dropping-particle":"","family":"Mond","given":"James J.","non-dropping-particle":"","parse-names":false,"suffix":""},{"dropping-particle":"","family":"Foster","given":"Simon J.","non-dropping-particle":"","parse-names":false,"suffix":""}],"container-title":"Infection and Immunity","id":"ITEM-1","issue":"8","issued":{"date-parts":[["2006","8"]]},"page":"4644-4654","publisher":"American Society for Microbiology (ASM)","title":"Identification of antigenic components of Staphylococcus epidermidis expressed during human infection","type":"article-journal","volume":"74"},"uris":["http://www.mendeley.com/documents/?uuid=30087db5-2782-3121-b90c-613a0ed13265"]}],"mendeley":{"formattedCitation":"&lt;sup&gt;[65]&lt;/sup&gt;","plainTextFormattedCitation":"[65]","previouslyFormattedCitation":"&lt;sup&gt;[65]&lt;/sup&gt;"},"properties":{"noteIndex":0},"schema":"https://github.com/citation-style-language/schema/raw/master/csl-citation.json"}</w:instrText>
            </w:r>
            <w:r>
              <w:fldChar w:fldCharType="separate"/>
            </w:r>
            <w:r w:rsidR="00C825F9" w:rsidRPr="00C825F9">
              <w:rPr>
                <w:noProof/>
                <w:vertAlign w:val="superscript"/>
              </w:rPr>
              <w:t>[65]</w:t>
            </w:r>
            <w:r>
              <w:fldChar w:fldCharType="end"/>
            </w:r>
          </w:p>
        </w:tc>
      </w:tr>
      <w:tr w:rsidR="00A70DB5" w14:paraId="091F5380"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318BAAB" w14:textId="77777777" w:rsidR="00A70DB5" w:rsidRPr="001E1436" w:rsidRDefault="00A70DB5" w:rsidP="00F12A23">
            <w:pPr>
              <w:pStyle w:val="Tabletextnormal"/>
              <w:rPr>
                <w:b/>
                <w:bCs w:val="0"/>
              </w:rPr>
            </w:pPr>
            <w:r w:rsidRPr="001E1436">
              <w:rPr>
                <w:b/>
                <w:bCs w:val="0"/>
              </w:rPr>
              <w:t>ScaJ</w:t>
            </w:r>
          </w:p>
        </w:tc>
        <w:tc>
          <w:tcPr>
            <w:tcW w:w="0" w:type="auto"/>
          </w:tcPr>
          <w:p w14:paraId="66BDF0E9" w14:textId="77777777"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CHAP domain (PGP)</w:t>
            </w:r>
          </w:p>
        </w:tc>
        <w:tc>
          <w:tcPr>
            <w:tcW w:w="0" w:type="auto"/>
          </w:tcPr>
          <w:p w14:paraId="1FCFFCBB" w14:textId="574D2809"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 xml:space="preserve">Pourmand </w:t>
            </w:r>
            <w:r w:rsidRPr="001C296B">
              <w:rPr>
                <w:i/>
                <w:iCs/>
              </w:rPr>
              <w:t>et al.</w:t>
            </w:r>
            <w:r w:rsidRPr="001C296B">
              <w:t xml:space="preserve">, </w:t>
            </w:r>
            <w:r>
              <w:t>(</w:t>
            </w:r>
            <w:r w:rsidRPr="001C296B">
              <w:t>2006</w:t>
            </w:r>
            <w:r>
              <w:t xml:space="preserve">) </w:t>
            </w:r>
            <w:r>
              <w:fldChar w:fldCharType="begin" w:fldLock="1"/>
            </w:r>
            <w:r w:rsidR="00260ACA">
              <w:instrText>ADDIN CSL_CITATION {"citationItems":[{"id":"ITEM-1","itemData":{"DOI":"10.1128/IAI.00521-06","ISSN":"00199567","PMID":"16861652","abstract":"A spectrum of in vivo-expressed Staphylococcus epidermidis antigens was identified by probing a bacteriophage lambda library of S. epidermidis genomic DNA with human serum from infected and uninfected individuals. This analysis resulted in identification of 53 antigen-encoding loci. Six antigenic polypeptides were expressed from these loci and purified. These polypeptides were the propeptide, mature amidase, and repeat sequence domains of the major autolysin AtlE, GehD (lipase), and two members of a conserved family of surface proteins (ScaA [AaE] and ScaB). AtlE, ScaA, and ScaB all exhibit human ligand binding capacity. Screening a bank of human serum samples revealed that there were significant increases in the amounts of reactive immunoglobulin G in infected individuals compared to the amounts in healthy individuals for the repeat sequence and mature amidase domains of AtlE, ScaB, and GehD. Vaccination of mice with recombinant antigens stimulated an immune response which in vitro opsonized S. epidermidis. In this study we identified prospective candidate antigens for prophylaxis or immunotherapy to control disease. Copyright © 2006, American Society for Microbiology. All Rights Reserved.","author":[{"dropping-particle":"","family":"Pourmand","given":"Mohammad R.","non-dropping-particle":"","parse-names":false,"suffix":""},{"dropping-particle":"","family":"Clarke","given":"Simon R.","non-dropping-particle":"","parse-names":false,"suffix":""},{"dropping-particle":"","family":"Schuman","given":"Richard F.","non-dropping-particle":"","parse-names":false,"suffix":""},{"dropping-particle":"","family":"Mond","given":"James J.","non-dropping-particle":"","parse-names":false,"suffix":""},{"dropping-particle":"","family":"Foster","given":"Simon J.","non-dropping-particle":"","parse-names":false,"suffix":""}],"container-title":"Infection and Immunity","id":"ITEM-1","issue":"8","issued":{"date-parts":[["2006","8"]]},"page":"4644-4654","publisher":"American Society for Microbiology (ASM)","title":"Identification of antigenic components of Staphylococcus epidermidis expressed during human infection","type":"article-journal","volume":"74"},"uris":["http://www.mendeley.com/documents/?uuid=30087db5-2782-3121-b90c-613a0ed13265"]}],"mendeley":{"formattedCitation":"&lt;sup&gt;[65]&lt;/sup&gt;","plainTextFormattedCitation":"[65]","previouslyFormattedCitation":"&lt;sup&gt;[65]&lt;/sup&gt;"},"properties":{"noteIndex":0},"schema":"https://github.com/citation-style-language/schema/raw/master/csl-citation.json"}</w:instrText>
            </w:r>
            <w:r>
              <w:fldChar w:fldCharType="separate"/>
            </w:r>
            <w:r w:rsidR="00C825F9" w:rsidRPr="00C825F9">
              <w:rPr>
                <w:noProof/>
                <w:vertAlign w:val="superscript"/>
              </w:rPr>
              <w:t>[65]</w:t>
            </w:r>
            <w:r>
              <w:fldChar w:fldCharType="end"/>
            </w:r>
          </w:p>
        </w:tc>
      </w:tr>
      <w:tr w:rsidR="00A70DB5" w14:paraId="3F8761CB"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1D30682" w14:textId="77777777" w:rsidR="00A70DB5" w:rsidRPr="001E1436" w:rsidRDefault="00A70DB5" w:rsidP="00F12A23">
            <w:pPr>
              <w:pStyle w:val="Tabletextnormal"/>
              <w:rPr>
                <w:b/>
                <w:bCs w:val="0"/>
              </w:rPr>
            </w:pPr>
            <w:r w:rsidRPr="001E1436">
              <w:rPr>
                <w:b/>
                <w:bCs w:val="0"/>
              </w:rPr>
              <w:t>IsaA</w:t>
            </w:r>
          </w:p>
        </w:tc>
        <w:tc>
          <w:tcPr>
            <w:tcW w:w="0" w:type="auto"/>
          </w:tcPr>
          <w:p w14:paraId="67AD54C2" w14:textId="77777777"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Lytic transglycosylase (LTG) (PGG)</w:t>
            </w:r>
          </w:p>
        </w:tc>
        <w:tc>
          <w:tcPr>
            <w:tcW w:w="0" w:type="auto"/>
          </w:tcPr>
          <w:p w14:paraId="7F9984C4" w14:textId="4B28A0AF" w:rsidR="00A70DB5" w:rsidRDefault="00A70DB5" w:rsidP="00F12A23">
            <w:pPr>
              <w:pStyle w:val="Tabletextnormal"/>
              <w:ind w:left="1440" w:hanging="1440"/>
              <w:cnfStyle w:val="000000000000" w:firstRow="0" w:lastRow="0" w:firstColumn="0" w:lastColumn="0" w:oddVBand="0" w:evenVBand="0" w:oddHBand="0" w:evenHBand="0" w:firstRowFirstColumn="0" w:firstRowLastColumn="0" w:lastRowFirstColumn="0" w:lastRowLastColumn="0"/>
            </w:pPr>
            <w:r>
              <w:t xml:space="preserve">Stapleton </w:t>
            </w:r>
            <w:r w:rsidRPr="00B0452E">
              <w:rPr>
                <w:i/>
                <w:iCs/>
              </w:rPr>
              <w:t>et al</w:t>
            </w:r>
            <w:r>
              <w:t xml:space="preserve">., (2007) </w:t>
            </w:r>
            <w:r>
              <w:fldChar w:fldCharType="begin" w:fldLock="1"/>
            </w:r>
            <w:r w:rsidR="00260ACA">
              <w:instrText>ADDIN CSL_CITATION {"citationItems":[{"id":"ITEM-1","itemData":{"DOI":"10.1128/JB.00734-07","ISSN":"00219193","PMID":"17675373","abstract":"Bacterial cell wall peptidoglycan is a dynamic structure requiring hydrolysis to allow cell wall growth and division. Staphylococcus aureus has many known and putative peptidoglycan hydrolases, including two likely lytic transglycosylases. These two proteins, IsaA and SceD, were both found to have autolytic activity. Regulatory studies showed that the isaA and sceD genes are partially mutually compensatory and that the production of SceD is upregulated in an isaA mutant. The expression of sceD is also greatly upregulated by the presence of NaCl. Several regulators of isaA and sceD expression were identified. Inactivation of sceD resulted in impaired cell separation, as shown by light microscopy, and \"clumping\" of bacterial cultures. An isaA sceD mutant is attenuated for virulence, while SceD is essential for nasal colonization in cotton rats, thus demonstrating the importance of cell wall dynamics in host-pathogen interactions. Copyright © 2007, American Society for Microbiology. All Rights Reserved.","author":[{"dropping-particle":"","family":"Stapleton","given":"Melanie R.","non-dropping-particle":"","parse-names":false,"suffix":""},{"dropping-particle":"","family":"Horsburgh","given":"Malcolm J.","non-dropping-particle":"","parse-names":false,"suffix":""},{"dropping-particle":"","family":"Hayhurst","given":"Emma J.","non-dropping-particle":"","parse-names":false,"suffix":""},{"dropping-particle":"","family":"Wright","given":"Lynda","non-dropping-particle":"","parse-names":false,"suffix":""},{"dropping-particle":"","family":"Jonsson","given":"Ing Marie","non-dropping-particle":"","parse-names":false,"suffix":""},{"dropping-particle":"","family":"Tarkowski","given":"Andrej","non-dropping-particle":"","parse-names":false,"suffix":""},{"dropping-particle":"","family":"Kokai-Kun","given":"John F.","non-dropping-particle":"","parse-names":false,"suffix":""},{"dropping-particle":"","family":"Mond","given":"James J.","non-dropping-particle":"","parse-names":false,"suffix":""},{"dropping-particle":"","family":"Foster","given":"Simon J.","non-dropping-particle":"","parse-names":false,"suffix":""}],"container-title":"Journal of Bacteriology","id":"ITEM-1","issue":"20","issued":{"date-parts":[["2007","10"]]},"page":"7316-7325","publisher":"American Society for Microbiology (ASM)","title":"Characterization of IsaA and SceD, two putative lytic transglycosylases of Staphylococcus aureus","type":"article-journal","volume":"189"},"uris":["http://www.mendeley.com/documents/?uuid=b5221e94-4797-3421-b0bc-127f3811ba3a"]}],"mendeley":{"formattedCitation":"&lt;sup&gt;[66]&lt;/sup&gt;","plainTextFormattedCitation":"[66]","previouslyFormattedCitation":"&lt;sup&gt;[66]&lt;/sup&gt;"},"properties":{"noteIndex":0},"schema":"https://github.com/citation-style-language/schema/raw/master/csl-citation.json"}</w:instrText>
            </w:r>
            <w:r>
              <w:fldChar w:fldCharType="separate"/>
            </w:r>
            <w:r w:rsidR="00C825F9" w:rsidRPr="00C825F9">
              <w:rPr>
                <w:noProof/>
                <w:vertAlign w:val="superscript"/>
              </w:rPr>
              <w:t>[66]</w:t>
            </w:r>
            <w:r>
              <w:fldChar w:fldCharType="end"/>
            </w:r>
          </w:p>
        </w:tc>
      </w:tr>
      <w:tr w:rsidR="00A70DB5" w14:paraId="4D4C15A7"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7BF75B3" w14:textId="77777777" w:rsidR="00A70DB5" w:rsidRPr="001E1436" w:rsidRDefault="00A70DB5" w:rsidP="00F12A23">
            <w:pPr>
              <w:pStyle w:val="Tabletextnormal"/>
              <w:rPr>
                <w:b/>
                <w:bCs w:val="0"/>
              </w:rPr>
            </w:pPr>
            <w:r w:rsidRPr="001E1436">
              <w:rPr>
                <w:b/>
                <w:bCs w:val="0"/>
              </w:rPr>
              <w:t>LytM</w:t>
            </w:r>
          </w:p>
        </w:tc>
        <w:tc>
          <w:tcPr>
            <w:tcW w:w="0" w:type="auto"/>
          </w:tcPr>
          <w:p w14:paraId="17131C69" w14:textId="77777777"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Lysostaphin (PGP)</w:t>
            </w:r>
          </w:p>
        </w:tc>
        <w:tc>
          <w:tcPr>
            <w:tcW w:w="0" w:type="auto"/>
          </w:tcPr>
          <w:p w14:paraId="5335AD74" w14:textId="3BBE2700" w:rsidR="00A70DB5" w:rsidRPr="00EE3F44"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 xml:space="preserve">Lioliou </w:t>
            </w:r>
            <w:r>
              <w:rPr>
                <w:i/>
                <w:iCs/>
              </w:rPr>
              <w:t>et al</w:t>
            </w:r>
            <w:r>
              <w:t xml:space="preserve">., (2016) </w:t>
            </w:r>
            <w:r>
              <w:fldChar w:fldCharType="begin" w:fldLock="1"/>
            </w:r>
            <w:r w:rsidR="00260ACA">
              <w:instrText>ADDIN CSL_CITATION {"citationItems":[{"id":"ITEM-1","itemData":{"DOI":"10.1080/15476286.2016.1153209","ISSN":"15558584","PMID":"26901414","abstract":"In Staphylococcus aureus, peptidoglycan metabolism plays a role in the host inflammatory response and pathogenesis. Transcription of the peptidoglycan hydrolases is activated by the essential 2-component system WalKR at low cell density. During stationary growth phase, WalKR is not active and transcription of the peptidoglycan hydrolase genes is repressed. In this work, we studied regulation of expression of the glycylglycine endopeptidase LytM. We show that, in addition to the transcriptional regulation mediated by WalKR, the synthesis of LytM is negatively controlled by a unique mechanism at the stationary growth phase. We have identified 2 different mRNAs encoding lytM, which vary in the length of their 5′ untranslated (5′UTR) regions. LytM is predominantly produced from the WalKR-regulated mRNA transcript carrying a short 5′UTR. The lytM mRNA is also transcribed as part of a polycistronic operon with the upstream SA0264 gene and is constitutively expressed. Although SA0264 protein can be synthesized from the longer operon transcript, lytM cannot be translated because its ribosome-binding site is sequestered into a translationally inactive secondary structure. In addition, the effector of the agr system, RNAIII, can inhibit translation of lytM present on the operon without altering the transcript level but does not have an effect on the translation of the upstream gene. We propose that this dual regulation of lytM expression, at the transcriptional and post-transcriptional levels, contributes to prevent cell wall damage during the stationary phase of growth.","author":[{"dropping-particle":"","family":"Lioliou","given":"Efthimia","non-dropping-particle":"","parse-names":false,"suffix":""},{"dropping-particle":"","family":"Fechter","given":"Pierre","non-dropping-particle":"","parse-names":false,"suffix":""},{"dropping-particle":"","family":"Caldelari","given":"Isabelle","non-dropping-particle":"","parse-names":false,"suffix":""},{"dropping-particle":"","family":"Jester","given":"Brian C.","non-dropping-particle":"","parse-names":false,"suffix":""},{"dropping-particle":"","family":"Dubrac","given":"Sarah","non-dropping-particle":"","parse-names":false,"suffix":""},{"dropping-particle":"","family":"Helfer","given":"Anne Catherine","non-dropping-particle":"","parse-names":false,"suffix":""},{"dropping-particle":"","family":"Boisset","given":"Sandrine","non-dropping-particle":"","parse-names":false,"suffix":""},{"dropping-particle":"","family":"Vandenesch","given":"François","non-dropping-particle":"","parse-names":false,"suffix":""},{"dropping-particle":"","family":"Romby","given":"Pascale","non-dropping-particle":"","parse-names":false,"suffix":""},{"dropping-particle":"","family":"Geissmann","given":"Thomas","non-dropping-particle":"","parse-names":false,"suffix":""}],"container-title":"RNA Biology","id":"ITEM-1","issue":"4","issued":{"date-parts":[["2016","4","2"]]},"page":"427-440","publisher":"Taylor and Francis Inc.","title":"Various checkpoints prevent the synthesis of Staphylococcus aureus peptidoglycan hydrolase LytM in the stationary growth phase","type":"article-journal","volume":"13"},"uris":["http://www.mendeley.com/documents/?uuid=fdb19031-6f47-3117-ba9f-7732b13f7b1a"]}],"mendeley":{"formattedCitation":"&lt;sup&gt;[67]&lt;/sup&gt;","plainTextFormattedCitation":"[67]","previouslyFormattedCitation":"&lt;sup&gt;[67]&lt;/sup&gt;"},"properties":{"noteIndex":0},"schema":"https://github.com/citation-style-language/schema/raw/master/csl-citation.json"}</w:instrText>
            </w:r>
            <w:r>
              <w:fldChar w:fldCharType="separate"/>
            </w:r>
            <w:r w:rsidR="00C825F9" w:rsidRPr="00C825F9">
              <w:rPr>
                <w:noProof/>
                <w:vertAlign w:val="superscript"/>
              </w:rPr>
              <w:t>[67]</w:t>
            </w:r>
            <w:r>
              <w:fldChar w:fldCharType="end"/>
            </w:r>
            <w:r>
              <w:t xml:space="preserve">, </w:t>
            </w:r>
          </w:p>
        </w:tc>
      </w:tr>
      <w:tr w:rsidR="00A70DB5" w14:paraId="386FBEAE"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7AE791B0" w14:textId="77777777" w:rsidR="00A70DB5" w:rsidRPr="001E1436" w:rsidRDefault="00A70DB5" w:rsidP="00F12A23">
            <w:pPr>
              <w:pStyle w:val="Tabletextnormal"/>
              <w:rPr>
                <w:b/>
                <w:bCs w:val="0"/>
              </w:rPr>
            </w:pPr>
            <w:r w:rsidRPr="001E1436">
              <w:rPr>
                <w:b/>
                <w:bCs w:val="0"/>
              </w:rPr>
              <w:t>LytN</w:t>
            </w:r>
          </w:p>
        </w:tc>
        <w:tc>
          <w:tcPr>
            <w:tcW w:w="0" w:type="auto"/>
          </w:tcPr>
          <w:p w14:paraId="20CD0DF7" w14:textId="77777777"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Amidase (PGA), endopeptidase (PGP)</w:t>
            </w:r>
          </w:p>
        </w:tc>
        <w:tc>
          <w:tcPr>
            <w:tcW w:w="0" w:type="auto"/>
          </w:tcPr>
          <w:p w14:paraId="759D8E79" w14:textId="3BFD698C" w:rsidR="00A70DB5" w:rsidRPr="00E33183"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 xml:space="preserve">Sugai </w:t>
            </w:r>
            <w:r>
              <w:rPr>
                <w:i/>
                <w:iCs/>
              </w:rPr>
              <w:t>et al</w:t>
            </w:r>
            <w:r>
              <w:t xml:space="preserve">., (1998) </w:t>
            </w:r>
            <w:r>
              <w:fldChar w:fldCharType="begin" w:fldLock="1"/>
            </w:r>
            <w:r w:rsidR="00260ACA">
              <w:instrText>ADDIN CSL_CITATION {"citationItems":[{"id":"ITEM-1","itemData":{"DOI":"10.1016/S0378-1119(98)00508-3","ISSN":"03781119","PMID":"9931440","abstract":"Certain Staphylococci possess a gene called epr or lif that renders the cells resistant to lysis by glycylglycine endopeptidase. The resistance is conferred by modifying the amino acid composition of interpeptide chains in cell-wall peptidoglycan by increasing serine content and decreasing glycine content. A gene homologous to epr/lif was cloned from S. aureus RN450 genomic libraries and designated eprh. eprh was found to localize 27 bp downstream of a novel cell-wall hydrolase gene lytN, which is in the same orientation with eprh. By analogy with epr/lif, eprh is suggested to be involved in the transfer of certain amino acids, possibly serine or amino acids other than glycine, to interpeptide chains of cell-wall peptidoglycan. Unlike epr/lif, overexpression of eprh in S. aureus did not result in an increased resistance to lysostaphin. Insertional inactivation of eprh or lytN by Campbell-type integration did not affect the susceptibility of the cells to lysostaphin, either. These results suggest that eprh and lytN are not essential genes for S. aureus growth. The physiological function of eprh remains unknown.","author":[{"dropping-particle":"","family":"Sugai","given":"Motoyuki","non-dropping-particle":"","parse-names":false,"suffix":""},{"dropping-particle":"","family":"Fujiwara","given":"Tamaki","non-dropping-particle":"","parse-names":false,"suffix":""},{"dropping-particle":"","family":"Komatsuzawa","given":"Hitoshi","non-dropping-particle":"","parse-names":false,"suffix":""},{"dropping-particle":"","family":"Hidekazu Suginaka","given":"","non-dropping-particle":"","parse-names":false,"suffix":""}],"container-title":"Gene","id":"ITEM-1","issue":"1-2","issued":{"date-parts":[["1998","12","11"]]},"page":"67-75","publisher":"Elsevier","title":"Identification and molecular characterization of a gene homologous to epr (endopeptidase resistance gene) in Staphylococcus aureus","type":"article-journal","volume":"224"},"uris":["http://www.mendeley.com/documents/?uuid=5db0a83f-d44a-39a8-b5e3-9254b844089e"]}],"mendeley":{"formattedCitation":"&lt;sup&gt;[68]&lt;/sup&gt;","plainTextFormattedCitation":"[68]","previouslyFormattedCitation":"&lt;sup&gt;[68]&lt;/sup&gt;"},"properties":{"noteIndex":0},"schema":"https://github.com/citation-style-language/schema/raw/master/csl-citation.json"}</w:instrText>
            </w:r>
            <w:r>
              <w:fldChar w:fldCharType="separate"/>
            </w:r>
            <w:r w:rsidR="00C825F9" w:rsidRPr="00C825F9">
              <w:rPr>
                <w:noProof/>
                <w:vertAlign w:val="superscript"/>
              </w:rPr>
              <w:t>[68]</w:t>
            </w:r>
            <w:r>
              <w:fldChar w:fldCharType="end"/>
            </w:r>
          </w:p>
        </w:tc>
      </w:tr>
      <w:tr w:rsidR="00A70DB5" w14:paraId="5F83F8AD"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1F2E377" w14:textId="77777777" w:rsidR="00A70DB5" w:rsidRPr="001E1436" w:rsidRDefault="00A70DB5" w:rsidP="00F12A23">
            <w:pPr>
              <w:pStyle w:val="Tabletextnormal"/>
              <w:rPr>
                <w:b/>
                <w:bCs w:val="0"/>
              </w:rPr>
            </w:pPr>
            <w:r w:rsidRPr="001E1436">
              <w:rPr>
                <w:b/>
                <w:bCs w:val="0"/>
              </w:rPr>
              <w:t>SceD</w:t>
            </w:r>
          </w:p>
        </w:tc>
        <w:tc>
          <w:tcPr>
            <w:tcW w:w="0" w:type="auto"/>
          </w:tcPr>
          <w:p w14:paraId="4E0D264B" w14:textId="77777777"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Lytic transglycosylase (LTG) (PGG)</w:t>
            </w:r>
          </w:p>
        </w:tc>
        <w:tc>
          <w:tcPr>
            <w:tcW w:w="0" w:type="auto"/>
          </w:tcPr>
          <w:p w14:paraId="6982F1D2" w14:textId="385BEB59"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 xml:space="preserve">Stapleton </w:t>
            </w:r>
            <w:r w:rsidRPr="00B0452E">
              <w:rPr>
                <w:i/>
                <w:iCs/>
              </w:rPr>
              <w:t>et al</w:t>
            </w:r>
            <w:r>
              <w:t xml:space="preserve">., (2007) </w:t>
            </w:r>
            <w:r>
              <w:fldChar w:fldCharType="begin" w:fldLock="1"/>
            </w:r>
            <w:r w:rsidR="00260ACA">
              <w:instrText>ADDIN CSL_CITATION {"citationItems":[{"id":"ITEM-1","itemData":{"DOI":"10.1128/JB.00734-07","ISSN":"00219193","PMID":"17675373","abstract":"Bacterial cell wall peptidoglycan is a dynamic structure requiring hydrolysis to allow cell wall growth and division. Staphylococcus aureus has many known and putative peptidoglycan hydrolases, including two likely lytic transglycosylases. These two proteins, IsaA and SceD, were both found to have autolytic activity. Regulatory studies showed that the isaA and sceD genes are partially mutually compensatory and that the production of SceD is upregulated in an isaA mutant. The expression of sceD is also greatly upregulated by the presence of NaCl. Several regulators of isaA and sceD expression were identified. Inactivation of sceD resulted in impaired cell separation, as shown by light microscopy, and \"clumping\" of bacterial cultures. An isaA sceD mutant is attenuated for virulence, while SceD is essential for nasal colonization in cotton rats, thus demonstrating the importance of cell wall dynamics in host-pathogen interactions. Copyright © 2007, American Society for Microbiology. All Rights Reserved.","author":[{"dropping-particle":"","family":"Stapleton","given":"Melanie R.","non-dropping-particle":"","parse-names":false,"suffix":""},{"dropping-particle":"","family":"Horsburgh","given":"Malcolm J.","non-dropping-particle":"","parse-names":false,"suffix":""},{"dropping-particle":"","family":"Hayhurst","given":"Emma J.","non-dropping-particle":"","parse-names":false,"suffix":""},{"dropping-particle":"","family":"Wright","given":"Lynda","non-dropping-particle":"","parse-names":false,"suffix":""},{"dropping-particle":"","family":"Jonsson","given":"Ing Marie","non-dropping-particle":"","parse-names":false,"suffix":""},{"dropping-particle":"","family":"Tarkowski","given":"Andrej","non-dropping-particle":"","parse-names":false,"suffix":""},{"dropping-particle":"","family":"Kokai-Kun","given":"John F.","non-dropping-particle":"","parse-names":false,"suffix":""},{"dropping-particle":"","family":"Mond","given":"James J.","non-dropping-particle":"","parse-names":false,"suffix":""},{"dropping-particle":"","family":"Foster","given":"Simon J.","non-dropping-particle":"","parse-names":false,"suffix":""}],"container-title":"Journal of Bacteriology","id":"ITEM-1","issue":"20","issued":{"date-parts":[["2007","10"]]},"page":"7316-7325","publisher":"American Society for Microbiology (ASM)","title":"Characterization of IsaA and SceD, two putative lytic transglycosylases of Staphylococcus aureus","type":"article-journal","volume":"189"},"uris":["http://www.mendeley.com/documents/?uuid=b5221e94-4797-3421-b0bc-127f3811ba3a"]}],"mendeley":{"formattedCitation":"&lt;sup&gt;[66]&lt;/sup&gt;","plainTextFormattedCitation":"[66]","previouslyFormattedCitation":"&lt;sup&gt;[66]&lt;/sup&gt;"},"properties":{"noteIndex":0},"schema":"https://github.com/citation-style-language/schema/raw/master/csl-citation.json"}</w:instrText>
            </w:r>
            <w:r>
              <w:fldChar w:fldCharType="separate"/>
            </w:r>
            <w:r w:rsidR="00C825F9" w:rsidRPr="00C825F9">
              <w:rPr>
                <w:noProof/>
                <w:vertAlign w:val="superscript"/>
              </w:rPr>
              <w:t>[66]</w:t>
            </w:r>
            <w:r>
              <w:fldChar w:fldCharType="end"/>
            </w:r>
          </w:p>
        </w:tc>
      </w:tr>
      <w:tr w:rsidR="00A70DB5" w14:paraId="0AA2A078"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4E7FA8F" w14:textId="77777777" w:rsidR="00A70DB5" w:rsidRPr="001E1436" w:rsidRDefault="00A70DB5" w:rsidP="00F12A23">
            <w:pPr>
              <w:pStyle w:val="Tabletextnormal"/>
              <w:rPr>
                <w:b/>
                <w:bCs w:val="0"/>
              </w:rPr>
            </w:pPr>
            <w:r w:rsidRPr="001E1436">
              <w:rPr>
                <w:b/>
                <w:bCs w:val="0"/>
              </w:rPr>
              <w:t>SA0191</w:t>
            </w:r>
          </w:p>
        </w:tc>
        <w:tc>
          <w:tcPr>
            <w:tcW w:w="0" w:type="auto"/>
          </w:tcPr>
          <w:p w14:paraId="32842780" w14:textId="77777777"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Lysostaphin (PGP)</w:t>
            </w:r>
          </w:p>
        </w:tc>
        <w:tc>
          <w:tcPr>
            <w:tcW w:w="0" w:type="auto"/>
          </w:tcPr>
          <w:p w14:paraId="12EC3464" w14:textId="30A60EA2"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 xml:space="preserve">Wheeler, (2012) </w:t>
            </w:r>
            <w:r>
              <w:fldChar w:fldCharType="begin" w:fldLock="1"/>
            </w:r>
            <w:r w:rsidR="00260ACA">
              <w:instrText>ADDIN CSL_CITATION {"citationItems":[{"id":"ITEM-1","itemData":{"abstract":"The major structural determinant of most bacterial cells is the peptidoglycan layer, a network (the sacculus) of glycan strands cross-linked by short peptide stems which encompasses the entire bacterium. However the architecture of peptidoglycan, which must accommodate both the structural requirements of the cell and the dynamic processes of growth and division, is poorly understood. Most architectural studies have addressed the peptidoglycan of rod-shaped bacteria. The architecture in Gram-positive cocci and ovococci is largely uncharacterised,\\r\\nIn this study, atomic force microscopy (AFM) of purified sacculi of three species of ovococcus was combined with biochemical analysis and super resolution fluorescence microscopy. A model was developed in which incorporation of long glycan strands from a single mid-cell focus results in preferential orientation, parallel to the short axis of the cell. AFM and fluorescence microscopy of the coccoid bacterium Staphylococcus aureus revealed a dynamic peptidoglycan architecture of rings and knobbles, growth by peptidoglycan maturation, and a system of heritable peptidoglycan ribs. Ribs may provide a structural mechanism for coordinating orthogonal division on three planes. We hypothesised cell wall growth occurs via the activity of N-acetyl-β-D-glucosaminidases. Four putative glucosaminidases were identified, with SagB found to have a major role in glycan strand length determination. Hydrolysis of the septal cross-wall by glucosaminidase activity was required for spherical shape, suggesting a novel mechanism of growth by hydrolysis.\\r\\nMy work has highlighted diverse and elegant peptidoglycan architectures, adapted to meet the unique mechanical requirements of bacteria with different morphologies and strategies for growth and division.","author":[{"dropping-particle":"","family":"Wheeler","given":"Richard","non-dropping-particle":"","parse-names":false,"suffix":""}],"id":"ITEM-1","issue":"July","issued":{"date-parts":[["2012"]]},"publisher":"The University of Sheffield","title":"Peptidoglycan architecture and dynamics in Gram-positive bacteria","type":"thesis"},"uris":["http://www.mendeley.com/documents/?uuid=701e5141-ddc0-4104-9d61-ea2d8414fcd1"]}],"mendeley":{"formattedCitation":"&lt;sup&gt;[69]&lt;/sup&gt;","plainTextFormattedCitation":"[69]","previouslyFormattedCitation":"&lt;sup&gt;[69]&lt;/sup&gt;"},"properties":{"noteIndex":0},"schema":"https://github.com/citation-style-language/schema/raw/master/csl-citation.json"}</w:instrText>
            </w:r>
            <w:r>
              <w:fldChar w:fldCharType="separate"/>
            </w:r>
            <w:r w:rsidR="00C825F9" w:rsidRPr="00C825F9">
              <w:rPr>
                <w:noProof/>
                <w:vertAlign w:val="superscript"/>
              </w:rPr>
              <w:t>[69]</w:t>
            </w:r>
            <w:r>
              <w:fldChar w:fldCharType="end"/>
            </w:r>
          </w:p>
        </w:tc>
      </w:tr>
      <w:tr w:rsidR="00A70DB5" w14:paraId="4975093D"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BF2E1A7" w14:textId="77777777" w:rsidR="00A70DB5" w:rsidRPr="001E1436" w:rsidRDefault="00A70DB5" w:rsidP="00F12A23">
            <w:pPr>
              <w:pStyle w:val="Tabletextnormal"/>
              <w:rPr>
                <w:b/>
                <w:bCs w:val="0"/>
              </w:rPr>
            </w:pPr>
            <w:r w:rsidRPr="001E1436">
              <w:rPr>
                <w:b/>
                <w:bCs w:val="0"/>
              </w:rPr>
              <w:t>LytH</w:t>
            </w:r>
          </w:p>
        </w:tc>
        <w:tc>
          <w:tcPr>
            <w:tcW w:w="0" w:type="auto"/>
          </w:tcPr>
          <w:p w14:paraId="4FC79723" w14:textId="77777777"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Amidase (PGA)</w:t>
            </w:r>
          </w:p>
        </w:tc>
        <w:tc>
          <w:tcPr>
            <w:tcW w:w="0" w:type="auto"/>
          </w:tcPr>
          <w:p w14:paraId="36FE00E4" w14:textId="6598EF24"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 xml:space="preserve">Do </w:t>
            </w:r>
            <w:r>
              <w:rPr>
                <w:i/>
                <w:iCs/>
              </w:rPr>
              <w:t>et al.</w:t>
            </w:r>
            <w:r>
              <w:t xml:space="preserve">, (2020) </w:t>
            </w:r>
            <w:r>
              <w:fldChar w:fldCharType="begin" w:fldLock="1"/>
            </w:r>
            <w:r w:rsidR="00260ACA">
              <w:instrText>ADDIN CSL_CITATION {"citationItems":[{"id":"ITEM-1","itemData":{"DOI":"10.1038/s41564-019-0632-1","ISBN":"4156401906321","ISSN":"20585276","PMID":"31932712","abstract":"Bacteria are protected by a polymer of peptidoglycan that serves as an exoskeleton1. In Staphylococcus aureus, the peptidoglycan assembly enzymes relocate during the cell cycle from the periphery, where they are active during growth, to the division site where they build the partition between daughter cells2–4. But how peptidoglycan synthesis is regulated throughout the cell cycle is poorly understood5,6. Here, we used a transposon screen to identify a membrane protein complex that spatially regulates S. aureus peptidoglycan synthesis. This complex consists of an amidase that removes stem peptides from uncrosslinked peptidoglycan and a partner protein that controls its activity. Amidases typically hydrolyse crosslinked peptidoglycan between daughter cells so that they can separate7. However, this amidase controls cell growth. In its absence, peptidoglycan synthesis becomes spatially dysregulated, which causes cells to grow so large that cell division is defective. We show that the cell growth and division defects due to loss of this amidase can be mitigated by attenuating the polymerase activity of the major S. aureus peptidoglycan synthase. Our findings lead to a model wherein the amidase complex regulates the density of peptidoglycan assembly sites to control peptidoglycan synthase activity at a given subcellular location. Removal of stem peptides from peptidoglycan at the cell periphery promotes peptidoglycan synthase relocation to midcell during cell division. This mechanism ensures that cell expansion is properly coordinated with cell division.","author":[{"dropping-particle":"","family":"Do","given":"Truc","non-dropping-particle":"","parse-names":false,"suffix":""},{"dropping-particle":"","family":"Schaefer","given":"Kaitlin","non-dropping-particle":"","parse-names":false,"suffix":""},{"dropping-particle":"","family":"Santiago","given":"Ace George","non-dropping-particle":"","parse-names":false,"suffix":""},{"dropping-particle":"","family":"Coe","given":"Kathryn A.","non-dropping-particle":"","parse-names":false,"suffix":""},{"dropping-particle":"","family":"Fernandes","given":"Pedro B.","non-dropping-particle":"","parse-names":false,"suffix":""},{"dropping-particle":"","family":"Kahne","given":"Daniel","non-dropping-particle":"","parse-names":false,"suffix":""},{"dropping-particle":"","family":"Pinho","given":"Mariana G.","non-dropping-particle":"","parse-names":false,"suffix":""},{"dropping-particle":"","family":"Walker","given":"Suzanne","non-dropping-particle":"","parse-names":false,"suffix":""}],"container-title":"Nature Microbiology","id":"ITEM-1","issue":"2","issued":{"date-parts":[["2020"]]},"page":"291-303","publisher":"Springer US","title":"Staphylococcus aureus cell growth and division are regulated by an amidase that trims peptides from uncrosslinked peptidoglycan","type":"article-journal","volume":"5"},"uris":["http://www.mendeley.com/documents/?uuid=4dd4360c-4e90-4154-a083-5f86646e124d"]}],"mendeley":{"formattedCitation":"&lt;sup&gt;[70]&lt;/sup&gt;","plainTextFormattedCitation":"[70]","previouslyFormattedCitation":"&lt;sup&gt;[70]&lt;/sup&gt;"},"properties":{"noteIndex":0},"schema":"https://github.com/citation-style-language/schema/raw/master/csl-citation.json"}</w:instrText>
            </w:r>
            <w:r>
              <w:fldChar w:fldCharType="separate"/>
            </w:r>
            <w:r w:rsidR="00C825F9" w:rsidRPr="00C825F9">
              <w:rPr>
                <w:noProof/>
                <w:vertAlign w:val="superscript"/>
              </w:rPr>
              <w:t>[70]</w:t>
            </w:r>
            <w:r>
              <w:fldChar w:fldCharType="end"/>
            </w:r>
            <w:r>
              <w:t xml:space="preserve">, Wheeler, (2012) </w:t>
            </w:r>
            <w:r>
              <w:fldChar w:fldCharType="begin" w:fldLock="1"/>
            </w:r>
            <w:r w:rsidR="00260ACA">
              <w:instrText>ADDIN CSL_CITATION {"citationItems":[{"id":"ITEM-1","itemData":{"abstract":"The major structural determinant of most bacterial cells is the peptidoglycan layer, a network (the sacculus) of glycan strands cross-linked by short peptide stems which encompasses the entire bacterium. However the architecture of peptidoglycan, which must accommodate both the structural requirements of the cell and the dynamic processes of growth and division, is poorly understood. Most architectural studies have addressed the peptidoglycan of rod-shaped bacteria. The architecture in Gram-positive cocci and ovococci is largely uncharacterised,\\r\\nIn this study, atomic force microscopy (AFM) of purified sacculi of three species of ovococcus was combined with biochemical analysis and super resolution fluorescence microscopy. A model was developed in which incorporation of long glycan strands from a single mid-cell focus results in preferential orientation, parallel to the short axis of the cell. AFM and fluorescence microscopy of the coccoid bacterium Staphylococcus aureus revealed a dynamic peptidoglycan architecture of rings and knobbles, growth by peptidoglycan maturation, and a system of heritable peptidoglycan ribs. Ribs may provide a structural mechanism for coordinating orthogonal division on three planes. We hypothesised cell wall growth occurs via the activity of N-acetyl-β-D-glucosaminidases. Four putative glucosaminidases were identified, with SagB found to have a major role in glycan strand length determination. Hydrolysis of the septal cross-wall by glucosaminidase activity was required for spherical shape, suggesting a novel mechanism of growth by hydrolysis.\\r\\nMy work has highlighted diverse and elegant peptidoglycan architectures, adapted to meet the unique mechanical requirements of bacteria with different morphologies and strategies for growth and division.","author":[{"dropping-particle":"","family":"Wheeler","given":"Richard","non-dropping-particle":"","parse-names":false,"suffix":""}],"id":"ITEM-1","issue":"July","issued":{"date-parts":[["2012"]]},"publisher":"The University of Sheffield","title":"Peptidoglycan architecture and dynamics in Gram-positive bacteria","type":"thesis"},"uris":["http://www.mendeley.com/documents/?uuid=701e5141-ddc0-4104-9d61-ea2d8414fcd1"]}],"mendeley":{"formattedCitation":"&lt;sup&gt;[69]&lt;/sup&gt;","plainTextFormattedCitation":"[69]","previouslyFormattedCitation":"&lt;sup&gt;[69]&lt;/sup&gt;"},"properties":{"noteIndex":0},"schema":"https://github.com/citation-style-language/schema/raw/master/csl-citation.json"}</w:instrText>
            </w:r>
            <w:r>
              <w:fldChar w:fldCharType="separate"/>
            </w:r>
            <w:r w:rsidR="00C825F9" w:rsidRPr="00C825F9">
              <w:rPr>
                <w:noProof/>
                <w:vertAlign w:val="superscript"/>
              </w:rPr>
              <w:t>[69]</w:t>
            </w:r>
            <w:r>
              <w:fldChar w:fldCharType="end"/>
            </w:r>
          </w:p>
        </w:tc>
      </w:tr>
      <w:tr w:rsidR="00A70DB5" w14:paraId="34F13CD0"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9F03DE8" w14:textId="77777777" w:rsidR="00A70DB5" w:rsidRPr="001E1436" w:rsidRDefault="00A70DB5" w:rsidP="00F12A23">
            <w:pPr>
              <w:pStyle w:val="Tabletextnormal"/>
              <w:rPr>
                <w:b/>
                <w:bCs w:val="0"/>
              </w:rPr>
            </w:pPr>
            <w:r w:rsidRPr="001E1436">
              <w:rPr>
                <w:b/>
                <w:bCs w:val="0"/>
              </w:rPr>
              <w:t>SA2195</w:t>
            </w:r>
          </w:p>
        </w:tc>
        <w:tc>
          <w:tcPr>
            <w:tcW w:w="0" w:type="auto"/>
          </w:tcPr>
          <w:p w14:paraId="0083B178" w14:textId="77777777"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Lysostaphin (PGP)</w:t>
            </w:r>
          </w:p>
        </w:tc>
        <w:tc>
          <w:tcPr>
            <w:tcW w:w="0" w:type="auto"/>
          </w:tcPr>
          <w:p w14:paraId="573C074F" w14:textId="1E6770BF" w:rsidR="00A70DB5" w:rsidRDefault="00A70DB5" w:rsidP="00F12A23">
            <w:pPr>
              <w:pStyle w:val="Tabletextnormal"/>
              <w:keepNext/>
              <w:cnfStyle w:val="000000000000" w:firstRow="0" w:lastRow="0" w:firstColumn="0" w:lastColumn="0" w:oddVBand="0" w:evenVBand="0" w:oddHBand="0" w:evenHBand="0" w:firstRowFirstColumn="0" w:firstRowLastColumn="0" w:lastRowFirstColumn="0" w:lastRowLastColumn="0"/>
            </w:pPr>
            <w:r>
              <w:t xml:space="preserve">Wheeler, (2012) </w:t>
            </w:r>
            <w:r>
              <w:fldChar w:fldCharType="begin" w:fldLock="1"/>
            </w:r>
            <w:r w:rsidR="00260ACA">
              <w:instrText>ADDIN CSL_CITATION {"citationItems":[{"id":"ITEM-1","itemData":{"abstract":"The major structural determinant of most bacterial cells is the peptidoglycan layer, a network (the sacculus) of glycan strands cross-linked by short peptide stems which encompasses the entire bacterium. However the architecture of peptidoglycan, which must accommodate both the structural requirements of the cell and the dynamic processes of growth and division, is poorly understood. Most architectural studies have addressed the peptidoglycan of rod-shaped bacteria. The architecture in Gram-positive cocci and ovococci is largely uncharacterised,\\r\\nIn this study, atomic force microscopy (AFM) of purified sacculi of three species of ovococcus was combined with biochemical analysis and super resolution fluorescence microscopy. A model was developed in which incorporation of long glycan strands from a single mid-cell focus results in preferential orientation, parallel to the short axis of the cell. AFM and fluorescence microscopy of the coccoid bacterium Staphylococcus aureus revealed a dynamic peptidoglycan architecture of rings and knobbles, growth by peptidoglycan maturation, and a system of heritable peptidoglycan ribs. Ribs may provide a structural mechanism for coordinating orthogonal division on three planes. We hypothesised cell wall growth occurs via the activity of N-acetyl-β-D-glucosaminidases. Four putative glucosaminidases were identified, with SagB found to have a major role in glycan strand length determination. Hydrolysis of the septal cross-wall by glucosaminidase activity was required for spherical shape, suggesting a novel mechanism of growth by hydrolysis.\\r\\nMy work has highlighted diverse and elegant peptidoglycan architectures, adapted to meet the unique mechanical requirements of bacteria with different morphologies and strategies for growth and division.","author":[{"dropping-particle":"","family":"Wheeler","given":"Richard","non-dropping-particle":"","parse-names":false,"suffix":""}],"id":"ITEM-1","issue":"July","issued":{"date-parts":[["2012"]]},"publisher":"The University of Sheffield","title":"Peptidoglycan architecture and dynamics in Gram-positive bacteria","type":"thesis"},"uris":["http://www.mendeley.com/documents/?uuid=701e5141-ddc0-4104-9d61-ea2d8414fcd1"]}],"mendeley":{"formattedCitation":"&lt;sup&gt;[69]&lt;/sup&gt;","plainTextFormattedCitation":"[69]","previouslyFormattedCitation":"&lt;sup&gt;[69]&lt;/sup&gt;"},"properties":{"noteIndex":0},"schema":"https://github.com/citation-style-language/schema/raw/master/csl-citation.json"}</w:instrText>
            </w:r>
            <w:r>
              <w:fldChar w:fldCharType="separate"/>
            </w:r>
            <w:r w:rsidR="00C825F9" w:rsidRPr="00C825F9">
              <w:rPr>
                <w:noProof/>
                <w:vertAlign w:val="superscript"/>
              </w:rPr>
              <w:t>[69]</w:t>
            </w:r>
            <w:r>
              <w:fldChar w:fldCharType="end"/>
            </w:r>
          </w:p>
        </w:tc>
      </w:tr>
      <w:tr w:rsidR="00A70DB5" w14:paraId="77C4ACCE"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5B6D812" w14:textId="77777777" w:rsidR="00A70DB5" w:rsidRPr="001E1436" w:rsidRDefault="00A70DB5" w:rsidP="00F12A23">
            <w:pPr>
              <w:pStyle w:val="Tabletextnormal"/>
              <w:rPr>
                <w:b/>
                <w:bCs w:val="0"/>
              </w:rPr>
            </w:pPr>
            <w:r w:rsidRPr="001E1436">
              <w:rPr>
                <w:b/>
                <w:bCs w:val="0"/>
              </w:rPr>
              <w:t>SA1687</w:t>
            </w:r>
          </w:p>
        </w:tc>
        <w:tc>
          <w:tcPr>
            <w:tcW w:w="0" w:type="auto"/>
          </w:tcPr>
          <w:p w14:paraId="728C0294" w14:textId="77777777" w:rsidR="00A70DB5" w:rsidRDefault="00A70DB5" w:rsidP="00F12A23">
            <w:pPr>
              <w:pStyle w:val="Tabletextnormal"/>
              <w:cnfStyle w:val="000000000000" w:firstRow="0" w:lastRow="0" w:firstColumn="0" w:lastColumn="0" w:oddVBand="0" w:evenVBand="0" w:oddHBand="0" w:evenHBand="0" w:firstRowFirstColumn="0" w:firstRowLastColumn="0" w:lastRowFirstColumn="0" w:lastRowLastColumn="0"/>
            </w:pPr>
            <w:r>
              <w:t>Amidase (PGA)</w:t>
            </w:r>
          </w:p>
        </w:tc>
        <w:tc>
          <w:tcPr>
            <w:tcW w:w="0" w:type="auto"/>
          </w:tcPr>
          <w:p w14:paraId="004BD205" w14:textId="40485D41" w:rsidR="00A70DB5" w:rsidRDefault="00A70DB5" w:rsidP="00F12A23">
            <w:pPr>
              <w:pStyle w:val="Tabletextnormal"/>
              <w:keepNext/>
              <w:cnfStyle w:val="000000000000" w:firstRow="0" w:lastRow="0" w:firstColumn="0" w:lastColumn="0" w:oddVBand="0" w:evenVBand="0" w:oddHBand="0" w:evenHBand="0" w:firstRowFirstColumn="0" w:firstRowLastColumn="0" w:lastRowFirstColumn="0" w:lastRowLastColumn="0"/>
            </w:pPr>
            <w:r>
              <w:t xml:space="preserve">Wheeler, (2012) </w:t>
            </w:r>
            <w:r>
              <w:fldChar w:fldCharType="begin" w:fldLock="1"/>
            </w:r>
            <w:r w:rsidR="00260ACA">
              <w:instrText>ADDIN CSL_CITATION {"citationItems":[{"id":"ITEM-1","itemData":{"abstract":"The major structural determinant of most bacterial cells is the peptidoglycan layer, a network (the sacculus) of glycan strands cross-linked by short peptide stems which encompasses the entire bacterium. However the architecture of peptidoglycan, which must accommodate both the structural requirements of the cell and the dynamic processes of growth and division, is poorly understood. Most architectural studies have addressed the peptidoglycan of rod-shaped bacteria. The architecture in Gram-positive cocci and ovococci is largely uncharacterised,\\r\\nIn this study, atomic force microscopy (AFM) of purified sacculi of three species of ovococcus was combined with biochemical analysis and super resolution fluorescence microscopy. A model was developed in which incorporation of long glycan strands from a single mid-cell focus results in preferential orientation, parallel to the short axis of the cell. AFM and fluorescence microscopy of the coccoid bacterium Staphylococcus aureus revealed a dynamic peptidoglycan architecture of rings and knobbles, growth by peptidoglycan maturation, and a system of heritable peptidoglycan ribs. Ribs may provide a structural mechanism for coordinating orthogonal division on three planes. We hypothesised cell wall growth occurs via the activity of N-acetyl-β-D-glucosaminidases. Four putative glucosaminidases were identified, with SagB found to have a major role in glycan strand length determination. Hydrolysis of the septal cross-wall by glucosaminidase activity was required for spherical shape, suggesting a novel mechanism of growth by hydrolysis.\\r\\nMy work has highlighted diverse and elegant peptidoglycan architectures, adapted to meet the unique mechanical requirements of bacteria with different morphologies and strategies for growth and division.","author":[{"dropping-particle":"","family":"Wheeler","given":"Richard","non-dropping-particle":"","parse-names":false,"suffix":""}],"id":"ITEM-1","issue":"July","issued":{"date-parts":[["2012"]]},"publisher":"The University of Sheffield","title":"Peptidoglycan architecture and dynamics in Gram-positive bacteria","type":"thesis"},"uris":["http://www.mendeley.com/documents/?uuid=701e5141-ddc0-4104-9d61-ea2d8414fcd1"]}],"mendeley":{"formattedCitation":"&lt;sup&gt;[69]&lt;/sup&gt;","plainTextFormattedCitation":"[69]","previouslyFormattedCitation":"&lt;sup&gt;[69]&lt;/sup&gt;"},"properties":{"noteIndex":0},"schema":"https://github.com/citation-style-language/schema/raw/master/csl-citation.json"}</w:instrText>
            </w:r>
            <w:r>
              <w:fldChar w:fldCharType="separate"/>
            </w:r>
            <w:r w:rsidR="00C825F9" w:rsidRPr="00C825F9">
              <w:rPr>
                <w:noProof/>
                <w:vertAlign w:val="superscript"/>
              </w:rPr>
              <w:t>[69]</w:t>
            </w:r>
            <w:r>
              <w:fldChar w:fldCharType="end"/>
            </w:r>
          </w:p>
        </w:tc>
      </w:tr>
    </w:tbl>
    <w:p w14:paraId="4F26545F" w14:textId="02ECBD9D" w:rsidR="00A70DB5" w:rsidRDefault="00A70DB5" w:rsidP="00A70DB5">
      <w:pPr>
        <w:pStyle w:val="Caption"/>
      </w:pPr>
      <w:bookmarkStart w:id="60" w:name="_Ref71373589"/>
      <w:bookmarkStart w:id="61" w:name="_Toc90217044"/>
      <w:r>
        <w:t xml:space="preserve">Table </w:t>
      </w:r>
      <w:fldSimple w:instr=" STYLEREF 1 \s ">
        <w:r w:rsidR="00183CC8">
          <w:rPr>
            <w:noProof/>
          </w:rPr>
          <w:t>1</w:t>
        </w:r>
      </w:fldSimple>
      <w:r>
        <w:t>.</w:t>
      </w:r>
      <w:fldSimple w:instr=" SEQ Table \* ARABIC \s 1 ">
        <w:r w:rsidR="00183CC8">
          <w:rPr>
            <w:noProof/>
          </w:rPr>
          <w:t>2</w:t>
        </w:r>
      </w:fldSimple>
      <w:bookmarkEnd w:id="60"/>
      <w:r>
        <w:t xml:space="preserve"> List of known </w:t>
      </w:r>
      <w:r>
        <w:rPr>
          <w:i/>
        </w:rPr>
        <w:t>Staphylococcus aureus</w:t>
      </w:r>
      <w:r>
        <w:t xml:space="preserve"> hydrolases.</w:t>
      </w:r>
      <w:bookmarkEnd w:id="61"/>
    </w:p>
    <w:p w14:paraId="0C7F9A34" w14:textId="2B94F79F" w:rsidR="00A70DB5" w:rsidRPr="00B75CC1" w:rsidRDefault="00B366B0" w:rsidP="00A70DB5">
      <w:pPr>
        <w:pStyle w:val="NoSpacing"/>
        <w:sectPr w:rsidR="00A70DB5" w:rsidRPr="00B75CC1" w:rsidSect="004D0E05">
          <w:pgSz w:w="11906" w:h="16838"/>
          <w:pgMar w:top="1191" w:right="1247" w:bottom="1191" w:left="1247" w:header="709" w:footer="709" w:gutter="0"/>
          <w:cols w:space="708"/>
          <w:titlePg/>
          <w:docGrid w:linePitch="360"/>
        </w:sectPr>
      </w:pPr>
      <w:r>
        <w:t>M</w:t>
      </w:r>
      <w:r w:rsidR="00A70DB5">
        <w:t xml:space="preserve">odified from </w:t>
      </w:r>
      <w:r w:rsidR="00A70DB5">
        <w:fldChar w:fldCharType="begin" w:fldLock="1"/>
      </w:r>
      <w:r w:rsidR="00A70DB5">
        <w:instrText>ADDIN CSL_CITATION {"citationItems":[{"id":"ITEM-1","itemData":{"DOI":"10.1128/mBio.00660-15","ISSN":"21507511","PMID":"26220963","abstract":"UNLABELLED: Most bacterial cells are enclosed in a single macromolecule of the cell wall polymer, peptidoglycan, which is required for shape determination and maintenance of viability, while peptidoglycan biosynthesis is an important antibiotic target. It is hypothesized that cellular enlargement requires regional expansion of the cell wall through coordinated insertion and hydrolysis of peptidoglycan. Here, a group of (apparent glucosaminidase) peptidoglycan hydrolases are identified that are together required for cell enlargement and correct cellular morphology of Staphylococcus aureus, demonstrating the overall importance of this enzyme activity. These are Atl, SagA, ScaH, and SagB. The major advance here is the explanation of the observed morphological defects in terms of the mechanical and biochemical properties of peptidoglycan. It was shown that cells lacking groups of these hydrolases have increased surface stiffness and, in the absence of SagB, substantially increased glycan chain length. This indicates that, beyond their established roles (for example in cell separation), some hydrolases enable cellular enlargement by making peptidoglycan easier to stretch, providing the first direct evidence demonstrating that cellular enlargement occurs via modulation of the mechanical properties of peptidoglycan.\\n\\nIMPORTANCE: Understanding bacterial growth and division is a fundamental problem, and knowledge in this area underlies the treatment of many infectious diseases. Almost all bacteria are surrounded by a macromolecule of peptidoglycan that encloses the cell and maintains shape, and bacterial cells must increase the size of this molecule in order to enlarge themselves. This requires not only the insertion of new peptidoglycan monomers, a process targeted by antibiotics, including penicillin, but also breakage of existing bonds, a potentially hazardous activity for the cell. Using Staphylococcus aureus, we have identified a set of enzymes that are critical for cellular enlargement. We show that these enzymes are required for normal growth and define the mechanism through which cellular enlargement is accomplished, i.e., by breaking bonds in the peptidoglycan, which reduces the stiffness of the cell wall, enabling it to stretch and expand, a process that is likely to be fundamental to many bacteria.","author":[{"dropping-particle":"","family":"Wheeler","given":"Richard","non-dropping-particle":"","parse-names":false,"suffix":""},{"dropping-particle":"","family":"Turner","given":"Robert D.","non-dropping-particle":"","parse-names":false,"suffix":""},{"dropping-particle":"","family":"Bailey","given":"Richard G.","non-dropping-particle":"","parse-names":false,"suffix":""},{"dropping-particle":"","family":"Salamaga","given":"Bartłomiej","non-dropping-particle":"","parse-names":false,"suffix":""},{"dropping-particle":"","family":"Mesnage","given":"Stéphane","non-dropping-particle":"","parse-names":false,"suffix":""},{"dropping-particle":"","family":"Mohamad","given":"Sharifah A.S.","non-dropping-particle":"","parse-names":false,"suffix":""},{"dropping-particle":"","family":"Hayhurst","given":"Emma J.","non-dropping-particle":"","parse-names":false,"suffix":""},{"dropping-particle":"","family":"Horsburgh","given":"Malcolm","non-dropping-particle":"","parse-names":false,"suffix":""},{"dropping-particle":"","family":"Hobbs","given":"Jamie K.","non-dropping-particle":"","parse-names":false,"suffix":""},{"dropping-particle":"","family":"Foster","given":"Simon J.","non-dropping-particle":"","parse-names":false,"suffix":""}],"container-title":"mBio","id":"ITEM-1","issue":"4","issued":{"date-parts":[["2015"]]},"page":"1-10","title":"Bacterial cell enlargement requires control of cell wall stiffness mediated by peptidoglycan hydrolases","type":"article-journal","volume":"6"},"uris":["http://www.mendeley.com/documents/?uuid=d2ac9efd-feb5-4e30-a1e2-88eccd09b8af"]}],"mendeley":{"formattedCitation":"&lt;sup&gt;[53]&lt;/sup&gt;","manualFormatting":"Wheeler et al., (2015).","plainTextFormattedCitation":"[53]","previouslyFormattedCitation":"&lt;sup&gt;[53]&lt;/sup&gt;"},"properties":{"noteIndex":0},"schema":"https://github.com/citation-style-language/schema/raw/master/csl-citation.json"}</w:instrText>
      </w:r>
      <w:r w:rsidR="00A70DB5">
        <w:fldChar w:fldCharType="separate"/>
      </w:r>
      <w:r w:rsidR="00A70DB5" w:rsidRPr="00B75CC1">
        <w:rPr>
          <w:noProof/>
        </w:rPr>
        <w:t xml:space="preserve">Wheeler </w:t>
      </w:r>
      <w:r w:rsidR="00A70DB5" w:rsidRPr="00B0452E">
        <w:rPr>
          <w:i/>
          <w:iCs/>
          <w:noProof/>
        </w:rPr>
        <w:t>et al</w:t>
      </w:r>
      <w:r w:rsidR="00A70DB5" w:rsidRPr="00B75CC1">
        <w:rPr>
          <w:noProof/>
        </w:rPr>
        <w:t xml:space="preserve">., </w:t>
      </w:r>
      <w:r w:rsidR="00A70DB5">
        <w:rPr>
          <w:noProof/>
        </w:rPr>
        <w:t>(</w:t>
      </w:r>
      <w:r w:rsidR="00A70DB5" w:rsidRPr="00B75CC1">
        <w:rPr>
          <w:noProof/>
        </w:rPr>
        <w:t>2015</w:t>
      </w:r>
      <w:r w:rsidR="00A70DB5">
        <w:rPr>
          <w:noProof/>
        </w:rPr>
        <w:t>).</w:t>
      </w:r>
      <w:r w:rsidR="00A70DB5">
        <w:fldChar w:fldCharType="end"/>
      </w:r>
    </w:p>
    <w:p w14:paraId="21CABD5C" w14:textId="2F63595F" w:rsidR="00F77D1A" w:rsidRPr="007A40DD" w:rsidRDefault="00F77D1A" w:rsidP="00F77D1A">
      <w:r>
        <w:rPr>
          <w:i/>
          <w:iCs/>
        </w:rPr>
        <w:lastRenderedPageBreak/>
        <w:t>S. aureus</w:t>
      </w:r>
      <w:r>
        <w:t xml:space="preserve"> glucosaminidase B, better known as </w:t>
      </w:r>
      <w:r w:rsidRPr="00DA466C">
        <w:t>SagB</w:t>
      </w:r>
      <w:r>
        <w:t>, is the second major PGH in this species</w:t>
      </w:r>
      <w:r w:rsidR="00EB55A9">
        <w:t xml:space="preserve"> </w:t>
      </w:r>
      <w:r w:rsidR="00EB55A9">
        <w:fldChar w:fldCharType="begin" w:fldLock="1"/>
      </w:r>
      <w:r w:rsidR="002659E5">
        <w:instrText>ADDIN CSL_CITATION {"citationItems":[{"id":"ITEM-1","itemData":{"DOI":"10.1128/mBio.00660-15","ISSN":"21507511","PMID":"26220963","abstract":"UNLABELLED: Most bacterial cells are enclosed in a single macromolecule of the cell wall polymer, peptidoglycan, which is required for shape determination and maintenance of viability, while peptidoglycan biosynthesis is an important antibiotic target. It is hypothesized that cellular enlargement requires regional expansion of the cell wall through coordinated insertion and hydrolysis of peptidoglycan. Here, a group of (apparent glucosaminidase) peptidoglycan hydrolases are identified that are together required for cell enlargement and correct cellular morphology of Staphylococcus aureus, demonstrating the overall importance of this enzyme activity. These are Atl, SagA, ScaH, and SagB. The major advance here is the explanation of the observed morphological defects in terms of the mechanical and biochemical properties of peptidoglycan. It was shown that cells lacking groups of these hydrolases have increased surface stiffness and, in the absence of SagB, substantially increased glycan chain length. This indicates that, beyond their established roles (for example in cell separation), some hydrolases enable cellular enlargement by making peptidoglycan easier to stretch, providing the first direct evidence demonstrating that cellular enlargement occurs via modulation of the mechanical properties of peptidoglycan.\\n\\nIMPORTANCE: Understanding bacterial growth and division is a fundamental problem, and knowledge in this area underlies the treatment of many infectious diseases. Almost all bacteria are surrounded by a macromolecule of peptidoglycan that encloses the cell and maintains shape, and bacterial cells must increase the size of this molecule in order to enlarge themselves. This requires not only the insertion of new peptidoglycan monomers, a process targeted by antibiotics, including penicillin, but also breakage of existing bonds, a potentially hazardous activity for the cell. Using Staphylococcus aureus, we have identified a set of enzymes that are critical for cellular enlargement. We show that these enzymes are required for normal growth and define the mechanism through which cellular enlargement is accomplished, i.e., by breaking bonds in the peptidoglycan, which reduces the stiffness of the cell wall, enabling it to stretch and expand, a process that is likely to be fundamental to many bacteria.","author":[{"dropping-particle":"","family":"Wheeler","given":"Richard","non-dropping-particle":"","parse-names":false,"suffix":""},{"dropping-particle":"","family":"Turner","given":"Robert D.","non-dropping-particle":"","parse-names":false,"suffix":""},{"dropping-particle":"","family":"Bailey","given":"Richard G.","non-dropping-particle":"","parse-names":false,"suffix":""},{"dropping-particle":"","family":"Salamaga","given":"Bartłomiej","non-dropping-particle":"","parse-names":false,"suffix":""},{"dropping-particle":"","family":"Mesnage","given":"Stéphane","non-dropping-particle":"","parse-names":false,"suffix":""},{"dropping-particle":"","family":"Mohamad","given":"Sharifah A.S.","non-dropping-particle":"","parse-names":false,"suffix":""},{"dropping-particle":"","family":"Hayhurst","given":"Emma J.","non-dropping-particle":"","parse-names":false,"suffix":""},{"dropping-particle":"","family":"Horsburgh","given":"Malcolm","non-dropping-particle":"","parse-names":false,"suffix":""},{"dropping-particle":"","family":"Hobbs","given":"Jamie K.","non-dropping-particle":"","parse-names":false,"suffix":""},{"dropping-particle":"","family":"Foster","given":"Simon J.","non-dropping-particle":"","parse-names":false,"suffix":""}],"container-title":"mBio","id":"ITEM-1","issue":"4","issued":{"date-parts":[["2015"]]},"page":"1-10","title":"Bacterial cell enlargement requires control of cell wall stiffness mediated by peptidoglycan hydrolases","type":"article-journal","volume":"6"},"uris":["http://www.mendeley.com/documents/?uuid=d2ac9efd-feb5-4e30-a1e2-88eccd09b8af"]}],"mendeley":{"formattedCitation":"&lt;sup&gt;[53]&lt;/sup&gt;","plainTextFormattedCitation":"[53]","previouslyFormattedCitation":"&lt;sup&gt;[53]&lt;/sup&gt;"},"properties":{"noteIndex":0},"schema":"https://github.com/citation-style-language/schema/raw/master/csl-citation.json"}</w:instrText>
      </w:r>
      <w:r w:rsidR="00EB55A9">
        <w:fldChar w:fldCharType="separate"/>
      </w:r>
      <w:r w:rsidR="00EB55A9" w:rsidRPr="00EB55A9">
        <w:rPr>
          <w:noProof/>
          <w:vertAlign w:val="superscript"/>
        </w:rPr>
        <w:t>[53]</w:t>
      </w:r>
      <w:r w:rsidR="00EB55A9">
        <w:fldChar w:fldCharType="end"/>
      </w:r>
      <w:r>
        <w:t xml:space="preserve">. The lack of SagB is manifested by very long strands of PG and increased cell surface stiffness, that cause both growth and morphological defects </w:t>
      </w:r>
      <w:r>
        <w:fldChar w:fldCharType="begin" w:fldLock="1"/>
      </w:r>
      <w:r>
        <w:instrText>ADDIN CSL_CITATION {"citationItems":[{"id":"ITEM-1","itemData":{"DOI":"10.1128/mBio.00660-15","ISSN":"21507511","PMID":"26220963","abstract":"UNLABELLED: Most bacterial cells are enclosed in a single macromolecule of the cell wall polymer, peptidoglycan, which is required for shape determination and maintenance of viability, while peptidoglycan biosynthesis is an important antibiotic target. It is hypothesized that cellular enlargement requires regional expansion of the cell wall through coordinated insertion and hydrolysis of peptidoglycan. Here, a group of (apparent glucosaminidase) peptidoglycan hydrolases are identified that are together required for cell enlargement and correct cellular morphology of Staphylococcus aureus, demonstrating the overall importance of this enzyme activity. These are Atl, SagA, ScaH, and SagB. The major advance here is the explanation of the observed morphological defects in terms of the mechanical and biochemical properties of peptidoglycan. It was shown that cells lacking groups of these hydrolases have increased surface stiffness and, in the absence of SagB, substantially increased glycan chain length. This indicates that, beyond their established roles (for example in cell separation), some hydrolases enable cellular enlargement by making peptidoglycan easier to stretch, providing the first direct evidence demonstrating that cellular enlargement occurs via modulation of the mechanical properties of peptidoglycan.\\n\\nIMPORTANCE: Understanding bacterial growth and division is a fundamental problem, and knowledge in this area underlies the treatment of many infectious diseases. Almost all bacteria are surrounded by a macromolecule of peptidoglycan that encloses the cell and maintains shape, and bacterial cells must increase the size of this molecule in order to enlarge themselves. This requires not only the insertion of new peptidoglycan monomers, a process targeted by antibiotics, including penicillin, but also breakage of existing bonds, a potentially hazardous activity for the cell. Using Staphylococcus aureus, we have identified a set of enzymes that are critical for cellular enlargement. We show that these enzymes are required for normal growth and define the mechanism through which cellular enlargement is accomplished, i.e., by breaking bonds in the peptidoglycan, which reduces the stiffness of the cell wall, enabling it to stretch and expand, a process that is likely to be fundamental to many bacteria.","author":[{"dropping-particle":"","family":"Wheeler","given":"Richard","non-dropping-particle":"","parse-names":false,"suffix":""},{"dropping-particle":"","family":"Turner","given":"Robert D.","non-dropping-particle":"","parse-names":false,"suffix":""},{"dropping-particle":"","family":"Bailey","given":"Richard G.","non-dropping-particle":"","parse-names":false,"suffix":""},{"dropping-particle":"","family":"Salamaga","given":"Bartłomiej","non-dropping-particle":"","parse-names":false,"suffix":""},{"dropping-particle":"","family":"Mesnage","given":"Stéphane","non-dropping-particle":"","parse-names":false,"suffix":""},{"dropping-particle":"","family":"Mohamad","given":"Sharifah A.S.","non-dropping-particle":"","parse-names":false,"suffix":""},{"dropping-particle":"","family":"Hayhurst","given":"Emma J.","non-dropping-particle":"","parse-names":false,"suffix":""},{"dropping-particle":"","family":"Horsburgh","given":"Malcolm","non-dropping-particle":"","parse-names":false,"suffix":""},{"dropping-particle":"","family":"Hobbs","given":"Jamie K.","non-dropping-particle":"","parse-names":false,"suffix":""},{"dropping-particle":"","family":"Foster","given":"Simon J.","non-dropping-particle":"","parse-names":false,"suffix":""}],"container-title":"mBio","id":"ITEM-1","issue":"4","issued":{"date-parts":[["2015"]]},"page":"1-10","title":"Bacterial cell enlargement requires control of cell wall stiffness mediated by peptidoglycan hydrolases","type":"article-journal","volume":"6"},"uris":["http://www.mendeley.com/documents/?uuid=d2ac9efd-feb5-4e30-a1e2-88eccd09b8af"]}],"mendeley":{"formattedCitation":"&lt;sup&gt;[53]&lt;/sup&gt;","plainTextFormattedCitation":"[53]","previouslyFormattedCitation":"&lt;sup&gt;[53]&lt;/sup&gt;"},"properties":{"noteIndex":0},"schema":"https://github.com/citation-style-language/schema/raw/master/csl-citation.json"}</w:instrText>
      </w:r>
      <w:r>
        <w:fldChar w:fldCharType="separate"/>
      </w:r>
      <w:r w:rsidRPr="00DA0A83">
        <w:rPr>
          <w:noProof/>
          <w:vertAlign w:val="superscript"/>
        </w:rPr>
        <w:t>[53]</w:t>
      </w:r>
      <w:r>
        <w:fldChar w:fldCharType="end"/>
      </w:r>
      <w:r>
        <w:t xml:space="preserve">. It has also been suggested that </w:t>
      </w:r>
      <w:r w:rsidRPr="0009502B">
        <w:t>SagB</w:t>
      </w:r>
      <w:r>
        <w:rPr>
          <w:i/>
          <w:iCs/>
        </w:rPr>
        <w:t xml:space="preserve"> </w:t>
      </w:r>
      <w:r>
        <w:t xml:space="preserve">might play an important role in the cell size increase associated with methicillin treatment </w:t>
      </w:r>
      <w:r>
        <w:fldChar w:fldCharType="begin" w:fldLock="1"/>
      </w:r>
      <w:r w:rsidR="00260ACA">
        <w:instrText>ADDIN CSL_CITATION {"citationItems":[{"id":"ITEM-1","itemData":{"author":[{"dropping-particle":"","family":"und zur Mühlen","given":"Milena Louise","non-dropping-particle":"von","parse-names":false,"suffix":""}],"id":"ITEM-1","issued":{"date-parts":[["2019"]]},"publisher":"The University of Sheffield","title":"Life and Death: Cell Wall Antibiotic killing of Staphylococcus aureus","type":"thesis"},"uris":["http://www.mendeley.com/documents/?uuid=940981bd-d042-4bac-9611-160139e29821"]}],"mendeley":{"formattedCitation":"&lt;sup&gt;[71]&lt;/sup&gt;","plainTextFormattedCitation":"[71]","previouslyFormattedCitation":"&lt;sup&gt;[71]&lt;/sup&gt;"},"properties":{"noteIndex":0},"schema":"https://github.com/citation-style-language/schema/raw/master/csl-citation.json"}</w:instrText>
      </w:r>
      <w:r>
        <w:fldChar w:fldCharType="separate"/>
      </w:r>
      <w:r w:rsidR="00C825F9" w:rsidRPr="00C825F9">
        <w:rPr>
          <w:noProof/>
          <w:vertAlign w:val="superscript"/>
        </w:rPr>
        <w:t>[71]</w:t>
      </w:r>
      <w:r>
        <w:fldChar w:fldCharType="end"/>
      </w:r>
      <w:r>
        <w:t xml:space="preserve">. This correlates with glycan strand length and number of crosslinks affecting the CW stiffness and the ability to grow or increase in size </w:t>
      </w:r>
      <w:r>
        <w:fldChar w:fldCharType="begin" w:fldLock="1"/>
      </w:r>
      <w:r>
        <w:instrText>ADDIN CSL_CITATION {"citationItems":[{"id":"ITEM-1","itemData":{"DOI":"10.1128/mBio.00660-15","ISSN":"21507511","PMID":"26220963","abstract":"UNLABELLED: Most bacterial cells are enclosed in a single macromolecule of the cell wall polymer, peptidoglycan, which is required for shape determination and maintenance of viability, while peptidoglycan biosynthesis is an important antibiotic target. It is hypothesized that cellular enlargement requires regional expansion of the cell wall through coordinated insertion and hydrolysis of peptidoglycan. Here, a group of (apparent glucosaminidase) peptidoglycan hydrolases are identified that are together required for cell enlargement and correct cellular morphology of Staphylococcus aureus, demonstrating the overall importance of this enzyme activity. These are Atl, SagA, ScaH, and SagB. The major advance here is the explanation of the observed morphological defects in terms of the mechanical and biochemical properties of peptidoglycan. It was shown that cells lacking groups of these hydrolases have increased surface stiffness and, in the absence of SagB, substantially increased glycan chain length. This indicates that, beyond their established roles (for example in cell separation), some hydrolases enable cellular enlargement by making peptidoglycan easier to stretch, providing the first direct evidence demonstrating that cellular enlargement occurs via modulation of the mechanical properties of peptidoglycan.\\n\\nIMPORTANCE: Understanding bacterial growth and division is a fundamental problem, and knowledge in this area underlies the treatment of many infectious diseases. Almost all bacteria are surrounded by a macromolecule of peptidoglycan that encloses the cell and maintains shape, and bacterial cells must increase the size of this molecule in order to enlarge themselves. This requires not only the insertion of new peptidoglycan monomers, a process targeted by antibiotics, including penicillin, but also breakage of existing bonds, a potentially hazardous activity for the cell. Using Staphylococcus aureus, we have identified a set of enzymes that are critical for cellular enlargement. We show that these enzymes are required for normal growth and define the mechanism through which cellular enlargement is accomplished, i.e., by breaking bonds in the peptidoglycan, which reduces the stiffness of the cell wall, enabling it to stretch and expand, a process that is likely to be fundamental to many bacteria.","author":[{"dropping-particle":"","family":"Wheeler","given":"Richard","non-dropping-particle":"","parse-names":false,"suffix":""},{"dropping-particle":"","family":"Turner","given":"Robert D.","non-dropping-particle":"","parse-names":false,"suffix":""},{"dropping-particle":"","family":"Bailey","given":"Richard G.","non-dropping-particle":"","parse-names":false,"suffix":""},{"dropping-particle":"","family":"Salamaga","given":"Bartłomiej","non-dropping-particle":"","parse-names":false,"suffix":""},{"dropping-particle":"","family":"Mesnage","given":"Stéphane","non-dropping-particle":"","parse-names":false,"suffix":""},{"dropping-particle":"","family":"Mohamad","given":"Sharifah A.S.","non-dropping-particle":"","parse-names":false,"suffix":""},{"dropping-particle":"","family":"Hayhurst","given":"Emma J.","non-dropping-particle":"","parse-names":false,"suffix":""},{"dropping-particle":"","family":"Horsburgh","given":"Malcolm","non-dropping-particle":"","parse-names":false,"suffix":""},{"dropping-particle":"","family":"Hobbs","given":"Jamie K.","non-dropping-particle":"","parse-names":false,"suffix":""},{"dropping-particle":"","family":"Foster","given":"Simon J.","non-dropping-particle":"","parse-names":false,"suffix":""}],"container-title":"mBio","id":"ITEM-1","issue":"4","issued":{"date-parts":[["2015"]]},"page":"1-10","title":"Bacterial cell enlargement requires control of cell wall stiffness mediated by peptidoglycan hydrolases","type":"article-journal","volume":"6"},"uris":["http://www.mendeley.com/documents/?uuid=d2ac9efd-feb5-4e30-a1e2-88eccd09b8af"]}],"mendeley":{"formattedCitation":"&lt;sup&gt;[53]&lt;/sup&gt;","plainTextFormattedCitation":"[53]","previouslyFormattedCitation":"&lt;sup&gt;[53]&lt;/sup&gt;"},"properties":{"noteIndex":0},"schema":"https://github.com/citation-style-language/schema/raw/master/csl-citation.json"}</w:instrText>
      </w:r>
      <w:r>
        <w:fldChar w:fldCharType="separate"/>
      </w:r>
      <w:r w:rsidRPr="00DA0A83">
        <w:rPr>
          <w:noProof/>
          <w:vertAlign w:val="superscript"/>
        </w:rPr>
        <w:t>[53]</w:t>
      </w:r>
      <w:r>
        <w:fldChar w:fldCharType="end"/>
      </w:r>
      <w:r>
        <w:t xml:space="preserve">. SagB is localised in a punctate pattern across the cell surface, and, similarly to Atl, its localisation seems to be dependent on WTA </w:t>
      </w:r>
      <w:r>
        <w:fldChar w:fldCharType="begin" w:fldLock="1"/>
      </w:r>
      <w:r>
        <w:instrText>ADDIN CSL_CITATION {"citationItems":[{"id":"ITEM-1","itemData":{"author":[{"dropping-particle":"","family":"Kent","given":"Victoria L","non-dropping-particle":"","parse-names":false,"suffix":""}],"id":"ITEM-1","issue":"April","issued":{"date-parts":[["2013"]]},"title":"Cell wall architecture and the role of wall teichoic acid in Staphylococcus aureus By","type":"thesis"},"uris":["http://www.mendeley.com/documents/?uuid=aba4222c-2117-44a5-b939-d833a041eb89"]}],"mendeley":{"formattedCitation":"&lt;sup&gt;[61]&lt;/sup&gt;","plainTextFormattedCitation":"[61]","previouslyFormattedCitation":"&lt;sup&gt;[61]&lt;/sup&gt;"},"properties":{"noteIndex":0},"schema":"https://github.com/citation-style-language/schema/raw/master/csl-citation.json"}</w:instrText>
      </w:r>
      <w:r>
        <w:fldChar w:fldCharType="separate"/>
      </w:r>
      <w:r w:rsidRPr="00DA0A83">
        <w:rPr>
          <w:noProof/>
          <w:vertAlign w:val="superscript"/>
        </w:rPr>
        <w:t>[61]</w:t>
      </w:r>
      <w:r>
        <w:fldChar w:fldCharType="end"/>
      </w:r>
      <w:r>
        <w:t>.</w:t>
      </w:r>
    </w:p>
    <w:p w14:paraId="79CF2B97" w14:textId="67964DDC" w:rsidR="00F77D1A" w:rsidRPr="00B31060" w:rsidRDefault="00F77D1A" w:rsidP="00F77D1A">
      <w:pPr>
        <w:rPr>
          <w:i/>
          <w:iCs/>
        </w:rPr>
      </w:pPr>
      <w:r>
        <w:t xml:space="preserve">PGH are highly regulated and an essential controlling mechanism in </w:t>
      </w:r>
      <w:r>
        <w:rPr>
          <w:i/>
          <w:iCs/>
        </w:rPr>
        <w:t>S. aureus</w:t>
      </w:r>
      <w:r>
        <w:t xml:space="preserve"> is </w:t>
      </w:r>
      <w:r w:rsidRPr="00DA466C">
        <w:t>WalKR</w:t>
      </w:r>
      <w:r>
        <w:rPr>
          <w:b/>
          <w:bCs/>
        </w:rPr>
        <w:t>.</w:t>
      </w:r>
      <w:r>
        <w:t xml:space="preserve"> Also known as YycFG </w:t>
      </w:r>
      <w:r>
        <w:fldChar w:fldCharType="begin" w:fldLock="1"/>
      </w:r>
      <w:r w:rsidR="00260ACA">
        <w:instrText>ADDIN CSL_CITATION {"citationItems":[{"id":"ITEM-1","itemData":{"DOI":"10.1128/.180.23.6375-6383.1998","ISSN":"00219193","PMID":"9829949","abstract":"A two-component signal transduction system encoded by the yycF and yycG genes is part of an operon containing three genes, yycH, yycI, and yycJ, with no known function and a gene, yycK, coding for an HtrA-like protease. This operon was transcribed during growth, and its transcription shut down as the cells approached stationary phase. This decreased transcription was not Spo0A dependent. The HtrA protease gene was separately controlled during sporulation from a σ(G) promoter. Studies using insertional inactivation plasmids revealed that neither yycF nor yycG could be inactivated, whereas the other genes were inactivated without loss of viability. A temperature- sensitive YycF response regulator mutant was isolated and shown to have an H215P mutation in a putative DNA-binding domain which is closely related to the OmpR family of response regulators. At the nonpermissive temperature, cultures of the mutant strain stopped growth within 30 min, and this was followed by a decrease in optical density. Microscopically, many of the cells appeared to retain their structure while being empty of their contents. The essential processes regulated by this two-component system remain unknown. A search of the genome databases revealed YycF, YycG, and YycJ homologues encoded by three linked genes in Streptococcus pyogenes. The high level of identity of these proteins (71% for YycF) suggests that this system may play a similar role in gram-positive pathogens.","author":[{"dropping-particle":"","family":"Fabret","given":"Céline","non-dropping-particle":"","parse-names":false,"suffix":""},{"dropping-particle":"","family":"Hoch","given":"James A.","non-dropping-particle":"","parse-names":false,"suffix":""}],"container-title":"Journal of Bacteriology","id":"ITEM-1","issue":"23","issued":{"date-parts":[["1998"]]},"page":"6375-6383","title":"A two-component signal transduction system essential for growth of Bacillus subtilis: Implications for anti-infective therapy","type":"article-journal","volume":"180"},"uris":["http://www.mendeley.com/documents/?uuid=3b8b4e1f-d8ad-4907-9872-05ca5b2c5574"]},{"id":"ITEM-2","itemData":{"DOI":"10.1128/jb.181.7.1975-1983.1999","ISSN":"00219193","PMID":"10094672","author":[{"dropping-particle":"","family":"Fabret","given":"Céline","non-dropping-particle":"","parse-names":false,"suffix":""},{"dropping-particle":"","family":"Feher","given":"Victoria A.","non-dropping-particle":"","parse-names":false,"suffix":""},{"dropping-particle":"","family":"Hoch","given":"James A.","non-dropping-particle":"","parse-names":false,"suffix":""}],"container-title":"Journal of Bacteriology","id":"ITEM-2","issue":"7","issued":{"date-parts":[["1999"]]},"page":"1975-1983","title":"Two-component signal transduction in Bacillus subtilis: How one organism sees its world","type":"article-journal","volume":"181"},"uris":["http://www.mendeley.com/documents/?uuid=f2712d96-1767-466c-897e-398e1b738803"]}],"mendeley":{"formattedCitation":"&lt;sup&gt;[72,73]&lt;/sup&gt;","plainTextFormattedCitation":"[72,73]","previouslyFormattedCitation":"&lt;sup&gt;[72,73]&lt;/sup&gt;"},"properties":{"noteIndex":0},"schema":"https://github.com/citation-style-language/schema/raw/master/csl-citation.json"}</w:instrText>
      </w:r>
      <w:r>
        <w:fldChar w:fldCharType="separate"/>
      </w:r>
      <w:r w:rsidR="00C825F9" w:rsidRPr="00C825F9">
        <w:rPr>
          <w:noProof/>
          <w:vertAlign w:val="superscript"/>
        </w:rPr>
        <w:t>[72,73]</w:t>
      </w:r>
      <w:r>
        <w:fldChar w:fldCharType="end"/>
      </w:r>
      <w:r>
        <w:t xml:space="preserve">, WalKR is a two-component signal transduction system (TCS) which regulates nine putative PGH: ScaB, ScaC, ScaD (SsaA), ScaE, ScaJ, SceD, Atl, IsaA, and LytM </w:t>
      </w:r>
      <w:r w:rsidRPr="00343E3E">
        <w:t>(</w:t>
      </w:r>
      <w:r>
        <w:fldChar w:fldCharType="begin"/>
      </w:r>
      <w:r>
        <w:instrText xml:space="preserve"> REF _Ref71373589 \h </w:instrText>
      </w:r>
      <w:r>
        <w:fldChar w:fldCharType="separate"/>
      </w:r>
      <w:r w:rsidR="00183CC8">
        <w:t xml:space="preserve">Table </w:t>
      </w:r>
      <w:r w:rsidR="00183CC8">
        <w:rPr>
          <w:noProof/>
        </w:rPr>
        <w:t>1</w:t>
      </w:r>
      <w:r w:rsidR="00183CC8">
        <w:t>.</w:t>
      </w:r>
      <w:r w:rsidR="00183CC8">
        <w:rPr>
          <w:noProof/>
        </w:rPr>
        <w:t>2</w:t>
      </w:r>
      <w:r>
        <w:fldChar w:fldCharType="end"/>
      </w:r>
      <w:r w:rsidRPr="00343E3E">
        <w:t>)</w:t>
      </w:r>
      <w:r w:rsidRPr="001C5BFE">
        <w:t xml:space="preserve"> </w:t>
      </w:r>
      <w:r>
        <w:fldChar w:fldCharType="begin" w:fldLock="1"/>
      </w:r>
      <w:r w:rsidR="00260ACA">
        <w:instrText>ADDIN CSL_CITATION {"citationItems":[{"id":"ITEM-1","itemData":{"DOI":"10.1128/JB.186.4.1175-1181.2004","ISSN":"00219193","PMID":"14762013","abstract":"The YycG/YycF essential two-component system (TCS), originally identified in Bacillus subtilis, is very highly conserved and appears to be specific to low-G+C gram-positive bacteria, including several pathogens such as Staphylococcus aureus. By studying growth of S. aureus cells where the yyc operon is controlled by an isopropyl-β-D-thiogalactopyranoside (IPTG)-inducible promoter, we have shown that this system is essential in S. aureus during growth at 37°C and that starvation for the YycG/YycF regulatory system leads to cell death. During a previous study of the YycG/YycF TCS of B. subtilis, we defined a potential YycF consensus recognition sequence, consisting of two hexanucleotide direct repeats, separated by five nucleotides [5′TGT(A/T)A(A/T/C)-N5-TGT (A/T)A(A/T/C)-3′]. A detailed DNA motif analysis of the S. aureus genome indicates that there are potentially 12 genes preceded by this sequence, 5 of which are involved in virulence. An in vitro approach was undertaken to determine which of these genes are controlled by YycF. The YycG and YycF proteins of S. aureus were overproduced in Escherichia coli and purified. Autophosphorylation of the YycG kinase and phosphotransfer to YycF were shown in vitro. Gel mobility shift and DNase I footprinting assays were used to show direct binding in vitro of purified YycF to the promoter region of the ssaA gene, encoding a major antigen and previously suggested to be controlled by YycF. YycF was also shown to bind specifically to the promoter regions of two genes, encoding the IsaA antigen and the LytM peptidoglycan hydrolase, in agreement with the proposed role of this system in controlling virulence and cell wall metabolism.","author":[{"dropping-particle":"","family":"Dubrac","given":"Sarah","non-dropping-particle":"","parse-names":false,"suffix":""},{"dropping-particle":"","family":"Msadek","given":"Tarek","non-dropping-particle":"","parse-names":false,"suffix":""}],"container-title":"Journal of Bacteriology","id":"ITEM-1","issue":"4","issued":{"date-parts":[["2004"]]},"page":"1175-1181","title":"Identification of Genes Controlled by the Essential YycG/YycF Two-Component System of Staphylococcus aureus","type":"article-journal","volume":"186"},"uris":["http://www.mendeley.com/documents/?uuid=7cb412eb-2f5c-48de-afa7-5a183d0ddbb2"]},{"id":"ITEM-2","itemData":{"DOI":"10.1128/JB.00645-07","ISSN":"00219193","PMID":"17827301","abstract":"The highly conserved WalK/WalR (also known as YycG/YycF) two-component system is specific to low-G+C gram-positive bacteria. While this system is essential for cell viability, both the nature of its regulon and its physiological role have remained mostly uncharacterized. We observed that, unexpectedly, Staphylococcus aureus cell death induced by WalKR depletion was not followed by lysis. We show that WalKR positively controls autolytic activity, in particular that of the two major S. aureus autolysins, AtIA and LytM. By using our previously characterized consensus WalR binding site and carefully reexamining the genome annotations, we identified nine genes potentially belonging to the WalKR regulon that appeared to be involved in S. aureus cell wall degradation. Expression of all of these genes was positively controlled by WalKR levels in the cell, leading to high resistance to Triton X-100-induced lysis when the cells were starved for WalKR. Cells lacking WalKR were also more resistant to lysostaphin-induced lysis, suggesting modifications in cell wall structure. Indeed, lowered levels of WalKR led to a significant decrease in peptidoglycan biosynthesis and turnover and to cell wall modifications, which included increased peptidoglycan cross-linking and glycan chain length. We also demonstrated a direct relationship between WalKR levels and the ability to form biofilms. This is the first example in S. aureus of a regulatory system positively controlling autolysin synthesis and biofilm formation. Taken together, our results now define this signal transduction pathway as a master regulatory system for cell wall metabolism, which we have accordingly renamed WalK/WalR to reflect its true function. Copyright © 2007, American Society for Microbiology. All Rights Reserved.","author":[{"dropping-particle":"","family":"Dubrac","given":"Sarah","non-dropping-particle":"","parse-names":false,"suffix":""},{"dropping-particle":"","family":"Boneca","given":"Ivo Gomperts","non-dropping-particle":"","parse-names":false,"suffix":""},{"dropping-particle":"","family":"Poupel","given":"Olivier","non-dropping-particle":"","parse-names":false,"suffix":""},{"dropping-particle":"","family":"Msadek","given":"Tarek","non-dropping-particle":"","parse-names":false,"suffix":""}],"container-title":"Journal of Bacteriology","id":"ITEM-2","issue":"22","issued":{"date-parts":[["2007"]]},"page":"8257-8269","title":"New insights into the WalK/WalR (YycG/YycF) essential signal transduction pathway reveal a major role in controlling cell wall metabolism and biofilm formation in Staphylococcus aureus","type":"article-journal","volume":"189"},"uris":["http://www.mendeley.com/documents/?uuid=431c38bd-4d2a-4665-b3f6-4bcab6d86817"]}],"mendeley":{"formattedCitation":"&lt;sup&gt;[74,75]&lt;/sup&gt;","plainTextFormattedCitation":"[74,75]","previouslyFormattedCitation":"&lt;sup&gt;[74,75]&lt;/sup&gt;"},"properties":{"noteIndex":0},"schema":"https://github.com/citation-style-language/schema/raw/master/csl-citation.json"}</w:instrText>
      </w:r>
      <w:r>
        <w:fldChar w:fldCharType="separate"/>
      </w:r>
      <w:r w:rsidR="00C825F9" w:rsidRPr="00C825F9">
        <w:rPr>
          <w:noProof/>
          <w:vertAlign w:val="superscript"/>
        </w:rPr>
        <w:t>[74,75]</w:t>
      </w:r>
      <w:r>
        <w:fldChar w:fldCharType="end"/>
      </w:r>
      <w:r w:rsidRPr="009348E6">
        <w:t xml:space="preserve">. </w:t>
      </w:r>
      <w:r>
        <w:t xml:space="preserve">Originally described in </w:t>
      </w:r>
      <w:r>
        <w:rPr>
          <w:i/>
          <w:iCs/>
        </w:rPr>
        <w:t>B. subtilis</w:t>
      </w:r>
      <w:r>
        <w:t xml:space="preserve">, this TCS has been shown to be essential for CW homoeostasis, and in some species also for membrane and exopolysaccharide synthesis, division and oxidative stress </w:t>
      </w:r>
      <w:r>
        <w:fldChar w:fldCharType="begin" w:fldLock="1"/>
      </w:r>
      <w:r w:rsidR="00260ACA">
        <w:instrText>ADDIN CSL_CITATION {"citationItems":[{"id":"ITEM-1","itemData":{"DOI":"10.1111/j.1365-2958.2008.06483.x","ISSN":"0950382X","PMID":"19019149","abstract":"The WalK/WalR (aka YycG/YycF) two-component system (TCS), originally identified in Bacillus subtilis, is very highly conserved and specific to low G+C Gram-positive bacteria, including a number of important pathogens. An unusual feature is that this system is essential for viability in most of these bacteria. Recent studies have revealed conserved functions for this system, defining this signal transduction pathway as a crucial regulatory system for cell wall metabolism, that we have accordingly renamed WalK/WalR. Here we review the cellular role of the WalK/WalR TCS in different bacterial species, focusing on the function of genes in its regulon, as well as variations in walRK operon structure and the composition of its regulon. We also discuss the nature of its essentiality and the potential type of signal being sensed. The WalK histidine kinase of B. subtilis has been shown to localize to the divisome and we suggest that the WalKR system acts as an information conduit between extracytoplasmic cellular structures and intracellular processes required for their synthesis, playing a vital role in effectively co-ordinating peptidoglycan plasticity with the cell division process. © 2008 The Authors.","author":[{"dropping-particle":"","family":"Dubrac","given":"Sarah","non-dropping-particle":"","parse-names":false,"suffix":""},{"dropping-particle":"","family":"Bisicchia","given":"Paola","non-dropping-particle":"","parse-names":false,"suffix":""},{"dropping-particle":"","family":"Devine","given":"Kevin M.","non-dropping-particle":"","parse-names":false,"suffix":""},{"dropping-particle":"","family":"Msadek","given":"Tarek","non-dropping-particle":"","parse-names":false,"suffix":""}],"container-title":"Molecular Microbiology","id":"ITEM-1","issue":"6","issued":{"date-parts":[["2008"]]},"page":"1307-1322","title":"A matter of life and death: Cell wall homeostasis and the WalKR (YycGF) essential signal transduction pathway","type":"article-journal","volume":"70"},"uris":["http://www.mendeley.com/documents/?uuid=2247ef1c-d47b-4eab-96c9-8ed3729929e4"]}],"mendeley":{"formattedCitation":"&lt;sup&gt;[76]&lt;/sup&gt;","plainTextFormattedCitation":"[76]","previouslyFormattedCitation":"&lt;sup&gt;[76]&lt;/sup&gt;"},"properties":{"noteIndex":0},"schema":"https://github.com/citation-style-language/schema/raw/master/csl-citation.json"}</w:instrText>
      </w:r>
      <w:r>
        <w:fldChar w:fldCharType="separate"/>
      </w:r>
      <w:r w:rsidR="00C825F9" w:rsidRPr="00C825F9">
        <w:rPr>
          <w:noProof/>
          <w:vertAlign w:val="superscript"/>
        </w:rPr>
        <w:t>[76]</w:t>
      </w:r>
      <w:r>
        <w:fldChar w:fldCharType="end"/>
      </w:r>
      <w:r>
        <w:t xml:space="preserve">. </w:t>
      </w:r>
      <w:r>
        <w:rPr>
          <w:i/>
          <w:iCs/>
        </w:rPr>
        <w:t xml:space="preserve">S. aureus </w:t>
      </w:r>
      <w:r w:rsidRPr="004C6B5A">
        <w:rPr>
          <w:i/>
          <w:iCs/>
        </w:rPr>
        <w:t>walKR</w:t>
      </w:r>
      <w:r>
        <w:t xml:space="preserve"> is a 5-cistron operon consisting of</w:t>
      </w:r>
      <w:r>
        <w:rPr>
          <w:i/>
          <w:iCs/>
        </w:rPr>
        <w:t xml:space="preserve"> walR, walK, yycH, yycI,</w:t>
      </w:r>
      <w:r>
        <w:t xml:space="preserve"> and</w:t>
      </w:r>
      <w:r>
        <w:rPr>
          <w:i/>
          <w:iCs/>
        </w:rPr>
        <w:t xml:space="preserve"> yycJ. </w:t>
      </w:r>
      <w:r>
        <w:t xml:space="preserve">WalK is a membrane-bound histidine kinase, WalR is its response regulator, and the remaining genes code for three accessory proteins </w:t>
      </w:r>
      <w:r>
        <w:fldChar w:fldCharType="begin" w:fldLock="1"/>
      </w:r>
      <w:r w:rsidR="00260ACA">
        <w:instrText>ADDIN CSL_CITATION {"citationItems":[{"id":"ITEM-1","itemData":{"DOI":"10.1111/j.1365-2958.2008.06483.x","ISSN":"0950382X","PMID":"19019149","abstract":"The WalK/WalR (aka YycG/YycF) two-component system (TCS), originally identified in Bacillus subtilis, is very highly conserved and specific to low G+C Gram-positive bacteria, including a number of important pathogens. An unusual feature is that this system is essential for viability in most of these bacteria. Recent studies have revealed conserved functions for this system, defining this signal transduction pathway as a crucial regulatory system for cell wall metabolism, that we have accordingly renamed WalK/WalR. Here we review the cellular role of the WalK/WalR TCS in different bacterial species, focusing on the function of genes in its regulon, as well as variations in walRK operon structure and the composition of its regulon. We also discuss the nature of its essentiality and the potential type of signal being sensed. The WalK histidine kinase of B. subtilis has been shown to localize to the divisome and we suggest that the WalKR system acts as an information conduit between extracytoplasmic cellular structures and intracellular processes required for their synthesis, playing a vital role in effectively co-ordinating peptidoglycan plasticity with the cell division process. © 2008 The Authors.","author":[{"dropping-particle":"","family":"Dubrac","given":"Sarah","non-dropping-particle":"","parse-names":false,"suffix":""},{"dropping-particle":"","family":"Bisicchia","given":"Paola","non-dropping-particle":"","parse-names":false,"suffix":""},{"dropping-particle":"","family":"Devine","given":"Kevin M.","non-dropping-particle":"","parse-names":false,"suffix":""},{"dropping-particle":"","family":"Msadek","given":"Tarek","non-dropping-particle":"","parse-names":false,"suffix":""}],"container-title":"Molecular Microbiology","id":"ITEM-1","issue":"6","issued":{"date-parts":[["2008"]]},"page":"1307-1322","title":"A matter of life and death: Cell wall homeostasis and the WalKR (YycGF) essential signal transduction pathway","type":"article-journal","volume":"70"},"uris":["http://www.mendeley.com/documents/?uuid=2247ef1c-d47b-4eab-96c9-8ed3729929e4"]}],"mendeley":{"formattedCitation":"&lt;sup&gt;[76]&lt;/sup&gt;","plainTextFormattedCitation":"[76]","previouslyFormattedCitation":"&lt;sup&gt;[76]&lt;/sup&gt;"},"properties":{"noteIndex":0},"schema":"https://github.com/citation-style-language/schema/raw/master/csl-citation.json"}</w:instrText>
      </w:r>
      <w:r>
        <w:fldChar w:fldCharType="separate"/>
      </w:r>
      <w:r w:rsidR="00C825F9" w:rsidRPr="00C825F9">
        <w:rPr>
          <w:noProof/>
          <w:vertAlign w:val="superscript"/>
        </w:rPr>
        <w:t>[76]</w:t>
      </w:r>
      <w:r>
        <w:fldChar w:fldCharType="end"/>
      </w:r>
      <w:r>
        <w:t>. Activated WalK leads to phosphorylation of the WalR response regulator, which thereafter binds to the promoters and positively regulates the expression of multiple</w:t>
      </w:r>
      <w:r w:rsidR="00F73BCE">
        <w:t xml:space="preserve"> autolysins</w:t>
      </w:r>
      <w:r>
        <w:t xml:space="preserve"> </w:t>
      </w:r>
      <w:r>
        <w:fldChar w:fldCharType="begin" w:fldLock="1"/>
      </w:r>
      <w:r w:rsidR="00260ACA">
        <w:instrText>ADDIN CSL_CITATION {"citationItems":[{"id":"ITEM-1","itemData":{"DOI":"10.1128/JB.00645-07","ISSN":"00219193","PMID":"17827301","abstract":"The highly conserved WalK/WalR (also known as YycG/YycF) two-component system is specific to low-G+C gram-positive bacteria. While this system is essential for cell viability, both the nature of its regulon and its physiological role have remained mostly uncharacterized. We observed that, unexpectedly, Staphylococcus aureus cell death induced by WalKR depletion was not followed by lysis. We show that WalKR positively controls autolytic activity, in particular that of the two major S. aureus autolysins, AtIA and LytM. By using our previously characterized consensus WalR binding site and carefully reexamining the genome annotations, we identified nine genes potentially belonging to the WalKR regulon that appeared to be involved in S. aureus cell wall degradation. Expression of all of these genes was positively controlled by WalKR levels in the cell, leading to high resistance to Triton X-100-induced lysis when the cells were starved for WalKR. Cells lacking WalKR were also more resistant to lysostaphin-induced lysis, suggesting modifications in cell wall structure. Indeed, lowered levels of WalKR led to a significant decrease in peptidoglycan biosynthesis and turnover and to cell wall modifications, which included increased peptidoglycan cross-linking and glycan chain length. We also demonstrated a direct relationship between WalKR levels and the ability to form biofilms. This is the first example in S. aureus of a regulatory system positively controlling autolysin synthesis and biofilm formation. Taken together, our results now define this signal transduction pathway as a master regulatory system for cell wall metabolism, which we have accordingly renamed WalK/WalR to reflect its true function. Copyright © 2007, American Society for Microbiology. All Rights Reserved.","author":[{"dropping-particle":"","family":"Dubrac","given":"Sarah","non-dropping-particle":"","parse-names":false,"suffix":""},{"dropping-particle":"","family":"Boneca","given":"Ivo Gomperts","non-dropping-particle":"","parse-names":false,"suffix":""},{"dropping-particle":"","family":"Poupel","given":"Olivier","non-dropping-particle":"","parse-names":false,"suffix":""},{"dropping-particle":"","family":"Msadek","given":"Tarek","non-dropping-particle":"","parse-names":false,"suffix":""}],"container-title":"Journal of Bacteriology","id":"ITEM-1","issue":"22","issued":{"date-parts":[["2007"]]},"page":"8257-8269","title":"New insights into the WalK/WalR (YycG/YycF) essential signal transduction pathway reveal a major role in controlling cell wall metabolism and biofilm formation in Staphylococcus aureus","type":"article-journal","volume":"189"},"uris":["http://www.mendeley.com/documents/?uuid=431c38bd-4d2a-4665-b3f6-4bcab6d86817"]},{"id":"ITEM-2","itemData":{"DOI":"10.1128/IAI.00195-12","ISSN":"00199567","PMID":"22825451","abstract":"The WalKR two-component system is essential for the viability of Staphylococcus aureus, playing a central role in controlling cell wall metabolism. We produced a constitutively active form of WalR in S. aureus through a phosphomimetic amino acid replacement (WalRc, D55E). The strain displayed significantly increased biofilm formation and alpha-hemolytic activity. Transcriptome analysis was used to determine the full extent of the WalKR regulon, revealing positive regulation of major virulence genes involved in host matrix interactions (efb, emp, fnbA, and fnbB), cytolysis (hlgACB, hla, and hlb), and innate immune defense evasion (scn, chp, and sbi), through activation of the SaeSR two-component system. The impact on pathogenesis of varying cell envelope dynamics was studied using a murine infection model, showing that strains producing constitutively active WalRc are strongly diminished in their virulence due to early triggering of the host inflammatory response associated with higher levels of released peptidoglycan fragments. Indeed, neutrophil recruitment and proinflammatory cytokine production were significantly increased when the constitutively active walRc allele was expressed, leading to enhanced bacterial clearance. Taken together, our results indicate that WalKR play an important role in virulence and eliciting the host inflammatory response by controlling autolytic activity. © 2012, American Society for Microbiology.","author":[{"dropping-particle":"","family":"Delauné","given":"Aurélia","non-dropping-particle":"","parse-names":false,"suffix":""},{"dropping-particle":"","family":"Dubrac","given":"Sarah","non-dropping-particle":"","parse-names":false,"suffix":""},{"dropping-particle":"","family":"Blanchet","given":"Charlène","non-dropping-particle":"","parse-names":false,"suffix":""},{"dropping-particle":"","family":"Poupel","given":"Olivier","non-dropping-particle":"","parse-names":false,"suffix":""},{"dropping-particle":"","family":"Mäder","given":"Ulrike","non-dropping-particle":"","parse-names":false,"suffix":""},{"dropping-particle":"","family":"Hiron","given":"Aurélia","non-dropping-particle":"","parse-names":false,"suffix":""},{"dropping-particle":"","family":"Leduc","given":"Aurélie","non-dropping-particle":"","parse-names":false,"suffix":""},{"dropping-particle":"","family":"Fitting","given":"Catherine","non-dropping-particle":"","parse-names":false,"suffix":""},{"dropping-particle":"","family":"Nicolas","given":"Pierre","non-dropping-particle":"","parse-names":false,"suffix":""},{"dropping-particle":"","family":"Cavaillon","given":"Jean Marc","non-dropping-particle":"","parse-names":false,"suffix":""},{"dropping-particle":"","family":"Adib-Conquy","given":"Minou","non-dropping-particle":"","parse-names":false,"suffix":""},{"dropping-particle":"","family":"Msadek","given":"Tarek","non-dropping-particle":"","parse-names":false,"suffix":""}],"container-title":"Infection and Immunity","id":"ITEM-2","issue":"10","issued":{"date-parts":[["2012"]]},"page":"3438-3453","title":"The WalKR system controls major staphylococcal virulence genes and is involved in triggering the host inflammatory response","type":"article-journal","volume":"80"},"uris":["http://www.mendeley.com/documents/?uuid=6e5df55c-1ddf-4f4f-be2f-2e9ceb34dabd"]}],"mendeley":{"formattedCitation":"&lt;sup&gt;[75,77]&lt;/sup&gt;","plainTextFormattedCitation":"[75,77]","previouslyFormattedCitation":"&lt;sup&gt;[75,77]&lt;/sup&gt;"},"properties":{"noteIndex":0},"schema":"https://github.com/citation-style-language/schema/raw/master/csl-citation.json"}</w:instrText>
      </w:r>
      <w:r>
        <w:fldChar w:fldCharType="separate"/>
      </w:r>
      <w:r w:rsidR="00C825F9" w:rsidRPr="00C825F9">
        <w:rPr>
          <w:noProof/>
          <w:vertAlign w:val="superscript"/>
        </w:rPr>
        <w:t>[75,77]</w:t>
      </w:r>
      <w:r>
        <w:fldChar w:fldCharType="end"/>
      </w:r>
      <w:r>
        <w:rPr>
          <w:i/>
          <w:iCs/>
        </w:rPr>
        <w:t xml:space="preserve">. </w:t>
      </w:r>
      <w:r>
        <w:t xml:space="preserve">WalKR-lacking cells have diminished hydrolase activity and present a number of growth defects that include thicker cell walls, division aberrations, cell aggregates and an increased resistance to cell lysis </w:t>
      </w:r>
      <w:r>
        <w:fldChar w:fldCharType="begin" w:fldLock="1"/>
      </w:r>
      <w:r w:rsidR="00260ACA">
        <w:instrText>ADDIN CSL_CITATION {"citationItems":[{"id":"ITEM-1","itemData":{"DOI":"10.1128/JB.00645-07","ISSN":"00219193","PMID":"17827301","abstract":"The highly conserved WalK/WalR (also known as YycG/YycF) two-component system is specific to low-G+C gram-positive bacteria. While this system is essential for cell viability, both the nature of its regulon and its physiological role have remained mostly uncharacterized. We observed that, unexpectedly, Staphylococcus aureus cell death induced by WalKR depletion was not followed by lysis. We show that WalKR positively controls autolytic activity, in particular that of the two major S. aureus autolysins, AtIA and LytM. By using our previously characterized consensus WalR binding site and carefully reexamining the genome annotations, we identified nine genes potentially belonging to the WalKR regulon that appeared to be involved in S. aureus cell wall degradation. Expression of all of these genes was positively controlled by WalKR levels in the cell, leading to high resistance to Triton X-100-induced lysis when the cells were starved for WalKR. Cells lacking WalKR were also more resistant to lysostaphin-induced lysis, suggesting modifications in cell wall structure. Indeed, lowered levels of WalKR led to a significant decrease in peptidoglycan biosynthesis and turnover and to cell wall modifications, which included increased peptidoglycan cross-linking and glycan chain length. We also demonstrated a direct relationship between WalKR levels and the ability to form biofilms. This is the first example in S. aureus of a regulatory system positively controlling autolysin synthesis and biofilm formation. Taken together, our results now define this signal transduction pathway as a master regulatory system for cell wall metabolism, which we have accordingly renamed WalK/WalR to reflect its true function. Copyright © 2007, American Society for Microbiology. All Rights Reserved.","author":[{"dropping-particle":"","family":"Dubrac","given":"Sarah","non-dropping-particle":"","parse-names":false,"suffix":""},{"dropping-particle":"","family":"Boneca","given":"Ivo Gomperts","non-dropping-particle":"","parse-names":false,"suffix":""},{"dropping-particle":"","family":"Poupel","given":"Olivier","non-dropping-particle":"","parse-names":false,"suffix":""},{"dropping-particle":"","family":"Msadek","given":"Tarek","non-dropping-particle":"","parse-names":false,"suffix":""}],"container-title":"Journal of Bacteriology","id":"ITEM-1","issue":"22","issued":{"date-parts":[["2007"]]},"page":"8257-8269","title":"New insights into the WalK/WalR (YycG/YycF) essential signal transduction pathway reveal a major role in controlling cell wall metabolism and biofilm formation in Staphylococcus aureus","type":"article-journal","volume":"189"},"uris":["http://www.mendeley.com/documents/?uuid=431c38bd-4d2a-4665-b3f6-4bcab6d86817"]},{"id":"ITEM-2","itemData":{"DOI":"10.1371/journal.pone.0017054","ISSN":"19326203","PMID":"21386961","abstract":"The WalKR two-component system is essential for viability of Staphylococcus aureus, a major pathogen. We have shown that WalKR acts as the master controller of peptidoglycan metabolism, yet none of the identified regulon genes explain its requirement for cell viability. Transmission electron micrographs revealed cell wall thickening and aberrant division septa in the absence of WalKR, suggesting its requirement may be linked to its role in coordinating cell wall metabolism and cell division. We therefore tested whether uncoupling autolysin gene expression from WalKR-dependent regulation could compensate for its essential nature. Uncoupled expression of genes encoding lytic transglycosylases or amidases did not restore growth to a WalKR-depleted strain. We identified only two WalKR-regulon genes whose expression restored cell viability in the absence of WalKR: lytM and ssaA. Neither of these two genes are essential under our conditions and a ΔlytM ΔssaA mutant does not present any growth defect. LytM is a glycyl-glycyl endopeptidase, hydrolyzing the pentaglycine interpeptide crossbridge, and SsaA belongs to the CHAP amidase family, members of which such as LysK and LytA have been shown to have D-alanyl-glycyl endopeptidase activity, cleaving between the crossbridge and the stem peptide. Taken together, our results strongly suggest that peptidoglycan crosslinking relaxation through crossbridge hydrolysis plays a crucial role in the essential requirement of the WalKR system for cell viability. © 2011 Delaune et al.","author":[{"dropping-particle":"","family":"Delaune","given":"Aurelia","non-dropping-particle":"","parse-names":false,"suffix":""},{"dropping-particle":"","family":"Poupel","given":"Olivier","non-dropping-particle":"","parse-names":false,"suffix":""},{"dropping-particle":"","family":"Mallet","given":"Adeline","non-dropping-particle":"","parse-names":false,"suffix":""},{"dropping-particle":"","family":"Coic","given":"Yves Marie","non-dropping-particle":"","parse-names":false,"suffix":""},{"dropping-particle":"","family":"Msadek","given":"Tarek","non-dropping-particle":"","parse-names":false,"suffix":""},{"dropping-particle":"","family":"Dubrac","given":"Sarah","non-dropping-particle":"","parse-names":false,"suffix":""}],"container-title":"PLoS ONE","id":"ITEM-2","issue":"2","issued":{"date-parts":[["2011"]]},"title":"Peptidoglycan crosslinking relaxation plays an important role in staphylococcus aureus walkr-dependent cell viability","type":"article-journal","volume":"6"},"uris":["http://www.mendeley.com/documents/?uuid=211eea7d-ecb4-46df-88e6-d8c2a638da3f"]}],"mendeley":{"formattedCitation":"&lt;sup&gt;[75,78]&lt;/sup&gt;","plainTextFormattedCitation":"[75,78]","previouslyFormattedCitation":"&lt;sup&gt;[75,78]&lt;/sup&gt;"},"properties":{"noteIndex":0},"schema":"https://github.com/citation-style-language/schema/raw/master/csl-citation.json"}</w:instrText>
      </w:r>
      <w:r>
        <w:fldChar w:fldCharType="separate"/>
      </w:r>
      <w:r w:rsidR="00C825F9" w:rsidRPr="00C825F9">
        <w:rPr>
          <w:noProof/>
          <w:vertAlign w:val="superscript"/>
        </w:rPr>
        <w:t>[75,78]</w:t>
      </w:r>
      <w:r>
        <w:fldChar w:fldCharType="end"/>
      </w:r>
      <w:r>
        <w:t xml:space="preserve">. WalKR has proven to be involved in both PG synthesis and degradation </w:t>
      </w:r>
      <w:r>
        <w:fldChar w:fldCharType="begin" w:fldLock="1"/>
      </w:r>
      <w:r w:rsidR="00260ACA">
        <w:instrText>ADDIN CSL_CITATION {"citationItems":[{"id":"ITEM-1","itemData":{"DOI":"10.1128/JB.00645-07","ISSN":"00219193","PMID":"17827301","abstract":"The highly conserved WalK/WalR (also known as YycG/YycF) two-component system is specific to low-G+C gram-positive bacteria. While this system is essential for cell viability, both the nature of its regulon and its physiological role have remained mostly uncharacterized. We observed that, unexpectedly, Staphylococcus aureus cell death induced by WalKR depletion was not followed by lysis. We show that WalKR positively controls autolytic activity, in particular that of the two major S. aureus autolysins, AtIA and LytM. By using our previously characterized consensus WalR binding site and carefully reexamining the genome annotations, we identified nine genes potentially belonging to the WalKR regulon that appeared to be involved in S. aureus cell wall degradation. Expression of all of these genes was positively controlled by WalKR levels in the cell, leading to high resistance to Triton X-100-induced lysis when the cells were starved for WalKR. Cells lacking WalKR were also more resistant to lysostaphin-induced lysis, suggesting modifications in cell wall structure. Indeed, lowered levels of WalKR led to a significant decrease in peptidoglycan biosynthesis and turnover and to cell wall modifications, which included increased peptidoglycan cross-linking and glycan chain length. We also demonstrated a direct relationship between WalKR levels and the ability to form biofilms. This is the first example in S. aureus of a regulatory system positively controlling autolysin synthesis and biofilm formation. Taken together, our results now define this signal transduction pathway as a master regulatory system for cell wall metabolism, which we have accordingly renamed WalK/WalR to reflect its true function. Copyright © 2007, American Society for Microbiology. All Rights Reserved.","author":[{"dropping-particle":"","family":"Dubrac","given":"Sarah","non-dropping-particle":"","parse-names":false,"suffix":""},{"dropping-particle":"","family":"Boneca","given":"Ivo Gomperts","non-dropping-particle":"","parse-names":false,"suffix":""},{"dropping-particle":"","family":"Poupel","given":"Olivier","non-dropping-particle":"","parse-names":false,"suffix":""},{"dropping-particle":"","family":"Msadek","given":"Tarek","non-dropping-particle":"","parse-names":false,"suffix":""}],"container-title":"Journal of Bacteriology","id":"ITEM-1","issue":"22","issued":{"date-parts":[["2007"]]},"page":"8257-8269","title":"New insights into the WalK/WalR (YycG/YycF) essential signal transduction pathway reveal a major role in controlling cell wall metabolism and biofilm formation in Staphylococcus aureus","type":"article-journal","volume":"189"},"uris":["http://www.mendeley.com/documents/?uuid=431c38bd-4d2a-4665-b3f6-4bcab6d86817"]}],"mendeley":{"formattedCitation":"&lt;sup&gt;[75]&lt;/sup&gt;","plainTextFormattedCitation":"[75]","previouslyFormattedCitation":"&lt;sup&gt;[75]&lt;/sup&gt;"},"properties":{"noteIndex":0},"schema":"https://github.com/citation-style-language/schema/raw/master/csl-citation.json"}</w:instrText>
      </w:r>
      <w:r>
        <w:fldChar w:fldCharType="separate"/>
      </w:r>
      <w:r w:rsidR="00C825F9" w:rsidRPr="00C825F9">
        <w:rPr>
          <w:noProof/>
          <w:vertAlign w:val="superscript"/>
        </w:rPr>
        <w:t>[75]</w:t>
      </w:r>
      <w:r>
        <w:fldChar w:fldCharType="end"/>
      </w:r>
      <w:r>
        <w:t>.</w:t>
      </w:r>
    </w:p>
    <w:p w14:paraId="4C49429A" w14:textId="2BFE8755" w:rsidR="001B2441" w:rsidRDefault="001B2441" w:rsidP="001B2441">
      <w:pPr>
        <w:pStyle w:val="Heading2"/>
      </w:pPr>
      <w:bookmarkStart w:id="62" w:name="_Toc64276275"/>
      <w:bookmarkStart w:id="63" w:name="_Toc64276579"/>
      <w:bookmarkStart w:id="64" w:name="_Toc64276791"/>
      <w:bookmarkStart w:id="65" w:name="_Ref71497504"/>
      <w:bookmarkStart w:id="66" w:name="_Toc90216731"/>
      <w:r w:rsidRPr="005B0F81">
        <w:t>Teichoic acids</w:t>
      </w:r>
      <w:bookmarkEnd w:id="62"/>
      <w:bookmarkEnd w:id="63"/>
      <w:bookmarkEnd w:id="64"/>
      <w:bookmarkEnd w:id="65"/>
      <w:r w:rsidR="007006CC">
        <w:t>.</w:t>
      </w:r>
      <w:bookmarkEnd w:id="66"/>
    </w:p>
    <w:p w14:paraId="1022C9DF" w14:textId="0AE55E87" w:rsidR="0033228D" w:rsidRDefault="007C33EC" w:rsidP="00AB24B3">
      <w:pPr>
        <w:sectPr w:rsidR="0033228D" w:rsidSect="004D0E05">
          <w:pgSz w:w="11906" w:h="16838"/>
          <w:pgMar w:top="1191" w:right="1247" w:bottom="1191" w:left="1247" w:header="709" w:footer="709" w:gutter="0"/>
          <w:cols w:space="708"/>
          <w:titlePg/>
          <w:docGrid w:linePitch="360"/>
        </w:sectPr>
      </w:pPr>
      <w:r>
        <w:t>Another key component of the</w:t>
      </w:r>
      <w:r w:rsidR="00DC62D7">
        <w:t xml:space="preserve"> Gram-positive bacteria</w:t>
      </w:r>
      <w:r w:rsidR="009D7F79">
        <w:t>l envelope</w:t>
      </w:r>
      <w:r w:rsidR="00DC62D7">
        <w:t xml:space="preserve"> </w:t>
      </w:r>
      <w:r>
        <w:t xml:space="preserve">are </w:t>
      </w:r>
      <w:r w:rsidRPr="00DA466C">
        <w:t>teichoic acids</w:t>
      </w:r>
      <w:r>
        <w:t xml:space="preserve"> (TA). </w:t>
      </w:r>
      <w:r w:rsidR="00CD15E6">
        <w:t>These</w:t>
      </w:r>
      <w:r w:rsidR="006F0DA4">
        <w:t xml:space="preserve"> anionic </w:t>
      </w:r>
      <w:r w:rsidR="00847A04">
        <w:t xml:space="preserve">glycopolymers </w:t>
      </w:r>
      <w:r w:rsidR="00CD15E6">
        <w:t xml:space="preserve">are </w:t>
      </w:r>
      <w:r>
        <w:t xml:space="preserve">classified </w:t>
      </w:r>
      <w:r w:rsidR="00CD15E6">
        <w:t>into</w:t>
      </w:r>
      <w:r>
        <w:t xml:space="preserve"> wall teichoic acids (WTA) or lipoteichoic acids (LTA). The former are covalently bound to the CW, while the latter are anchored to the plasma membrane and extend into the exoplasm</w:t>
      </w:r>
      <w:r w:rsidR="00ED6737">
        <w:t xml:space="preserve"> (</w:t>
      </w:r>
      <w:r w:rsidR="00ED6737">
        <w:fldChar w:fldCharType="begin"/>
      </w:r>
      <w:r w:rsidR="00ED6737">
        <w:instrText xml:space="preserve"> REF _Ref76833588 \h </w:instrText>
      </w:r>
      <w:r w:rsidR="00ED6737">
        <w:fldChar w:fldCharType="separate"/>
      </w:r>
      <w:r w:rsidR="00183CC8">
        <w:t xml:space="preserve">Figure </w:t>
      </w:r>
      <w:r w:rsidR="00183CC8">
        <w:rPr>
          <w:noProof/>
        </w:rPr>
        <w:t>1</w:t>
      </w:r>
      <w:r w:rsidR="00183CC8">
        <w:t>.</w:t>
      </w:r>
      <w:r w:rsidR="00183CC8">
        <w:rPr>
          <w:noProof/>
        </w:rPr>
        <w:t>5</w:t>
      </w:r>
      <w:r w:rsidR="00ED6737">
        <w:fldChar w:fldCharType="end"/>
      </w:r>
      <w:r w:rsidR="00ED6737">
        <w:t>a)</w:t>
      </w:r>
      <w:r>
        <w:t xml:space="preserve"> </w:t>
      </w:r>
      <w:r>
        <w:fldChar w:fldCharType="begin" w:fldLock="1"/>
      </w:r>
      <w:r w:rsidR="00DA0A83">
        <w:instrText>ADDIN CSL_CITATION {"citationItems":[{"id":"ITEM-1","itemData":{"DOI":"10.1101/cshperspect.a000414","ISBN":"1943-0264 (Electronic)","ISSN":"19430264","PMID":"20452953","abstract":"The bacteria cell envelope is a complex multilayered structure that serves to protect these organisms from their unpredictable and often hostile environment. The cell envelopes of most bacteria fall into one of two major groups. Gram-negative bacteria are surrounded by a thin peptidoglycan cell wall, which itself is surrounded by an outer membrane containing lipopolysaccharide. Gram-positive bacteria lack an outer membrane but are surrounded by layers of peptidoglycan many times thicker than is found in the gram-negatives. Threading through these layers of peptidoglycan are long anionic polymers, called teichoic acids. The composition and organization of these envelope layers and recent insights into the mechanisms of cell envelope assembly are discussed.","author":[{"dropping-particle":"","family":"Silhavy","given":"Thomas","non-dropping-particle":"","parse-names":false,"suffix":""},{"dropping-particle":"","family":"Kahne","given":"Daniel","non-dropping-particle":"","parse-names":false,"suffix":""},{"dropping-particle":"","family":"Walker","given":"Suzanne","non-dropping-particle":"","parse-names":false,"suffix":""}],"container-title":"Cold Spring Harbor perspectives in biology","id":"ITEM-1","issue":"5","issued":{"date-parts":[["2010"]]},"page":"1-16","title":"The bacterial cell envelope.","type":"article-journal","volume":"2"},"uris":["http://www.mendeley.com/documents/?uuid=cabb3e66-261f-40a6-becd-647af3e2f1c7"]},{"id":"ITEM-2","itemData":{"DOI":"10.1016/j.ijmm.2009.10.001","ISBN":"1618-0607 (Electronic)\\n1438-4221 (Linking)","ISSN":"14384221","PMID":"19896895","abstract":"Staphylococci and most other Gram-positive bacteria incorporate complex teichoic acid (TA) polymers into their cell envelopes. Several crucial roles in Staphylococcus aureus fitness and cell wall maintenance have been assigned to these polymers, which are either covalently linked to peptidoglycan (wall teichoic acid, WTA) or to the cytoplasmic membrane (lipoteichoic acid, LTA). However, the exact TA structures, functions, and biosynthetic pathways are only superficially understood. Recently, most of the enzymes mediating TA biosynthesis have been identified and mutants lacking or with defined changes in WTA or LTA have become available. Their characterization has revealed crucial roles of TAs in protection against harmful molecules and environmental stresses; in control of enzymes directing cell division or morphogenesis and of cation homeostasis; and in interaction with host or bacteriophage receptors and biomaterials. Accordingly, several in vivo studies have demonstrated the importance of WTA and LTA in S. aureus colonization, infection, and immune evasion. TAs and enzymes required for TA biosynthesis represent attractive candidates for novel vaccines and antibiotics and are targeted by recently developed antibacterial therapeutics. © 2009 Elsevier GmbH. All rights reserved.","author":[{"dropping-particle":"","family":"Xia","given":"Guoqing","non-dropping-particle":"","parse-names":false,"suffix":""},{"dropping-particle":"","family":"Kohler","given":"Thomas","non-dropping-particle":"","parse-names":false,"suffix":""},{"dropping-particle":"","family":"Peschel","given":"Andreas","non-dropping-particle":"","parse-names":false,"suffix":""}],"container-title":"International Journal of Medical Microbiology","id":"ITEM-2","issue":"2-3","issued":{"date-parts":[["2010"]]},"page":"148-154","publisher":"Elsevier","title":"The wall teichoic acid and lipoteichoic acid polymers of Staphylococcus aureus","type":"article-journal","volume":"300"},"uris":["http://www.mendeley.com/documents/?uuid=ea59f391-0bc2-4ead-a2c8-65f74b3ba449"]},{"id":"ITEM-3","itemData":{"DOI":"10.1039/C6CS00270F","ISSN":"0306-0012","author":[{"dropping-particle":"","family":"Es","given":"Daan","non-dropping-particle":"van der","parse-names":false,"suffix":""},{"dropping-particle":"","family":"Hogendorf","given":"Wouter F. J.","non-dropping-particle":"","parse-names":false,"suffix":""},{"dropping-particle":"","family":"Overkleeft","given":"Herman S.","non-dropping-particle":"","parse-names":false,"suffix":""},{"dropping-particle":"","family":"Marel","given":"Gijsbert A.","non-dropping-particle":"van der","parse-names":false,"suffix":""},{"dropping-particle":"","family":"Codée","given":"Jeroen D. C.","non-dropping-particle":"","parse-names":false,"suffix":""}],"container-title":"Chem. Soc. Rev.","id":"ITEM-3","issue":"5","issued":{"date-parts":[["2017"]]},"page":"1464-1482","title":"Teichoic acids: synthesis and applications","type":"article-journal","volume":"46"},"uris":["http://www.mendeley.com/documents/?uuid=86587d57-be87-4384-a322-683b06e7ce62"]}],"mendeley":{"formattedCitation":"&lt;sup&gt;[14,79,80]&lt;/sup&gt;","plainTextFormattedCitation":"[14,79,80]","previouslyFormattedCitation":"&lt;sup&gt;[14,79,80]&lt;/sup&gt;"},"properties":{"noteIndex":0},"schema":"https://github.com/citation-style-language/schema/raw/master/csl-citation.json"}</w:instrText>
      </w:r>
      <w:r>
        <w:fldChar w:fldCharType="separate"/>
      </w:r>
      <w:r w:rsidR="00DA0A83" w:rsidRPr="00DA0A83">
        <w:rPr>
          <w:noProof/>
          <w:vertAlign w:val="superscript"/>
        </w:rPr>
        <w:t>[14,79,80]</w:t>
      </w:r>
      <w:r>
        <w:fldChar w:fldCharType="end"/>
      </w:r>
      <w:r>
        <w:t xml:space="preserve">. </w:t>
      </w:r>
      <w:r w:rsidR="00935CA2" w:rsidRPr="00DA466C">
        <w:t>WTA</w:t>
      </w:r>
      <w:r w:rsidR="00935CA2">
        <w:t xml:space="preserve"> </w:t>
      </w:r>
      <w:r w:rsidR="00A87C7D">
        <w:t xml:space="preserve">can be </w:t>
      </w:r>
      <w:r w:rsidR="00CE6DB9">
        <w:t>categorised</w:t>
      </w:r>
      <w:r w:rsidR="00A87C7D">
        <w:t xml:space="preserve"> </w:t>
      </w:r>
      <w:r w:rsidR="00935CA2">
        <w:t>in</w:t>
      </w:r>
      <w:r w:rsidR="00A87C7D">
        <w:t>t</w:t>
      </w:r>
      <w:r w:rsidR="00935CA2">
        <w:t xml:space="preserve">o four </w:t>
      </w:r>
      <w:r w:rsidR="00062819">
        <w:t xml:space="preserve">structural </w:t>
      </w:r>
      <w:r w:rsidR="00935CA2">
        <w:t>groups</w:t>
      </w:r>
      <w:r w:rsidR="00062819">
        <w:t xml:space="preserve"> depending</w:t>
      </w:r>
      <w:r w:rsidR="009956EF">
        <w:t>,</w:t>
      </w:r>
      <w:r w:rsidR="00062819">
        <w:t xml:space="preserve"> on the composition of </w:t>
      </w:r>
      <w:r w:rsidR="00732EEC">
        <w:t>the main chai</w:t>
      </w:r>
      <w:r w:rsidR="009956EF">
        <w:t>n</w:t>
      </w:r>
      <w:r w:rsidR="00FB4072">
        <w:t>, and</w:t>
      </w:r>
      <w:r w:rsidR="00062819" w:rsidRPr="00062819">
        <w:t xml:space="preserve"> </w:t>
      </w:r>
      <w:r w:rsidR="00CB6FBB" w:rsidRPr="00DA466C">
        <w:t>LTA</w:t>
      </w:r>
      <w:r w:rsidR="00CB6FBB">
        <w:t xml:space="preserve"> into five</w:t>
      </w:r>
      <w:r w:rsidR="00E52ED5">
        <w:t xml:space="preserve"> types</w:t>
      </w:r>
      <w:r w:rsidR="009956EF">
        <w:t xml:space="preserve"> </w:t>
      </w:r>
      <w:r w:rsidR="00CB6FBB">
        <w:t>(</w:t>
      </w:r>
      <w:r w:rsidR="00CB6FBB">
        <w:fldChar w:fldCharType="begin"/>
      </w:r>
      <w:r w:rsidR="00CB6FBB">
        <w:instrText xml:space="preserve"> REF _Ref76753794 \h </w:instrText>
      </w:r>
      <w:r w:rsidR="00CB6FBB">
        <w:fldChar w:fldCharType="separate"/>
      </w:r>
      <w:r w:rsidR="00183CC8">
        <w:t xml:space="preserve">Figure </w:t>
      </w:r>
      <w:r w:rsidR="00183CC8">
        <w:rPr>
          <w:noProof/>
        </w:rPr>
        <w:t>1</w:t>
      </w:r>
      <w:r w:rsidR="00183CC8">
        <w:t>.</w:t>
      </w:r>
      <w:r w:rsidR="00183CC8">
        <w:rPr>
          <w:noProof/>
        </w:rPr>
        <w:t>6</w:t>
      </w:r>
      <w:r w:rsidR="00CB6FBB">
        <w:fldChar w:fldCharType="end"/>
      </w:r>
      <w:r w:rsidR="00CB6FBB">
        <w:t>)</w:t>
      </w:r>
      <w:r w:rsidR="00B21766" w:rsidRPr="00B21766">
        <w:t xml:space="preserve"> </w:t>
      </w:r>
      <w:r w:rsidR="00B21766">
        <w:fldChar w:fldCharType="begin" w:fldLock="1"/>
      </w:r>
      <w:r w:rsidR="003F7A87">
        <w:instrText>ADDIN CSL_CITATION {"citationItems":[{"id":"ITEM-1","itemData":{"abstract":"Poly(glycerophosphate) lipoteichoic acids from 24 Gram-positive bacteria of the genera Bacillus, Enterococcus, Lactobacillus, Lactococcw, Listeria, Stap~lococcus, and the streptococcal pyogenic and oral group were analyzed. Biochem. Cell Biol. Downloaded from www.nrcresearchpress.com by Western Bank Library on 04/17/18 The 1,3-linked poly(g1ycerophosphate) structure was proved by analysis of glycerol and glycerophosphates after acid and alkaline hydrolysis. Using the molar ratios of glycolipid to phosphorus (A) and phosphomonoester to phosphorus after periodate oxidation followed by hydrazinolysis (B) or 0-elimination (C), we show that all lipoteichoic acids con- tain a single unbranched poly(g1ycerophosphate) chain and that the chain is uniformly phosphodiester-linked to C-6 of the nonreducing hexopyranosyl residue of the glycolipid moiety. On some chains minor phosphate-containing substi- tuents were detected whose structure remains to be clarified. The lipoteichoic acids of enterococci and listeria strains were separated by hydrophobic interaction chromatography into glycolipid- and phosphatidylglycolipid-containing molecular species. The phosphatidylglycolipid moieties were structurally characterized after liberation from lipoteichoic acids with moist acetic acid. After periodate oxidation of lipoteichoic acids @-elimination released both phosphatidic acid and the poly(g1ycerophosphsite) chain. This indicates together with the sequence analysis of the released phosphatidylglycolipid that the phosphatidyl residue is located at C-6 of the reducing hexosyl residue of the glycolipid moiety and the poly(g1ycerophosphate) chain at C-6 of the nonreducing one. Together with earlier observations these results complete the evidence for the structural and possibly biosynthetic relationship between lipoteichoic acids and glyceroghosphoglycolipids.","author":[{"dropping-particle":"","family":"Fischer","given":"Werner","non-dropping-particle":"","parse-names":false,"suffix":""},{"dropping-particle":"","family":"Mannsfeld","given":"Tibor","non-dropping-particle":"","parse-names":false,"suffix":""},{"dropping-particle":"","family":"Hagen","given":"Gerhard","non-dropping-particle":"","parse-names":false,"suffix":""}],"container-title":"Biochemistry and Cell Biology","id":"ITEM-1","issue":"1","issued":{"date-parts":[["1990"]]},"page":"33-43","title":"On the basic structure of poly(glycerophosphate) lipoteichoic acids","type":"article-journal","volume":"68"},"uris":["http://www.mendeley.com/documents/?uuid=1d05d1ac-e77e-405d-9ca1-29583d0c0af2"]},{"id":"ITEM-2","itemData":{"DOI":"10.1007/978-1-4899-2516-9_2","ISBN":"978-1-4899-2516-9","abstract":"Glycoglycerolipids, phosphoglycolipids, and lipoteichoic acids are characteristic constituents of the cytoplasmic membrane of a large number of gram-positive bacteria (Fischer, 1981; Ishizuka and Yamakawa, 1985). These lipid amphiphiles are structurally and biosynthetically related to each other. Glycolipids are the lipid moiety in phosphoglycolipids and lipoteichoic acids. Phosphoglycolipids carry a glycerophosphate, a di(glycerophosphate) or a phosphatidyl residue; the common types of lipoteichoic acid carry a 1,3-phosphodiester-linked poly(glycerophosphate) chain. By contrast, glycophospholipids are derived from phospholipids containing phosphatidylglycerol, cardiolipin, or phosphatidylinositol to which monosaccharides or oligosaccharides are glycosidically linked (for a review, see Ishizuka and Yamakawa, 1985).","author":[{"dropping-particle":"","family":"Fischer","given":"Werner","non-dropping-particle":"","parse-names":false,"suffix":""}],"chapter-number":"Glycolipid","container-title":"Handbook of Lipid Research","editor":[{"dropping-particle":"","family":"Kates","given":"Morris","non-dropping-particle":"","parse-names":false,"suffix":""}],"id":"ITEM-2","issued":{"date-parts":[["1990"]]},"page":"123-234","publisher":"Springer US","publisher-place":"Boston, MA","title":"Bacterial Phosphoglycolipids and Lipoteichoic Acids","type":"chapter"},"uris":["http://www.mendeley.com/documents/?uuid=e31609fa-3b68-4533-9a10-34a8af024680"]},{"id":"ITEM-3","itemData":{"author":[{"dropping-particle":"","family":"Naumova","given":"Irina B","non-dropping-particle":"","parse-names":false,"suffix":""},{"dropping-particle":"","family":"Shashkov","given":"Alexander S","non-dropping-particle":"","parse-names":false,"suffix":""},{"dropping-particle":"","family":"Tul'skaya","given":"Elena M","non-dropping-particle":"","parse-names":false,"suffix":""},{"dropping-particle":"","family":"Streshinskaya","given":"Galina M","non-dropping-particle":"","parse-names":false,"suffix":""},{"dropping-particle":"","family":"Kozlova","given":"Yuliya I","non-dropping-particle":"","parse-names":false,"suffix":""},{"dropping-particle":"V","family":"Potekhina","given":"Nataliya","non-dropping-particle":"","parse-names":false,"suffix":""},{"dropping-particle":"","family":"Evtushenko","given":"Lyudmila I","non-dropping-particle":"","parse-names":false,"suffix":""},{"dropping-particle":"","family":"Stackebrandt","given":"Erko","non-dropping-particle":"","parse-names":false,"suffix":""}],"container-title":"FEMS Microbiology Reviews","id":"ITEM-3","issue":"April","issued":{"date-parts":[["2001"]]},"page":"269-283","title":"Cell wall teichoic acids : structural diversity , species speci ¢ city in the genus Nocardiopsis , and chemotaxonomic perspective","type":"article-journal","volume":"25"},"uris":["http://www.mendeley.com/documents/?uuid=b96c7f06-63b7-4194-8d1d-6b2fb81976de"]}],"mendeley":{"formattedCitation":"&lt;sup&gt;[81–83]&lt;/sup&gt;","plainTextFormattedCitation":"[81–83]","previouslyFormattedCitation":"&lt;sup&gt;[81–83]&lt;/sup&gt;"},"properties":{"noteIndex":0},"schema":"https://github.com/citation-style-language/schema/raw/master/csl-citation.json"}</w:instrText>
      </w:r>
      <w:r w:rsidR="00B21766">
        <w:fldChar w:fldCharType="separate"/>
      </w:r>
      <w:r w:rsidR="00B21766" w:rsidRPr="003D16B5">
        <w:rPr>
          <w:noProof/>
          <w:vertAlign w:val="superscript"/>
        </w:rPr>
        <w:t>[81–83]</w:t>
      </w:r>
      <w:r w:rsidR="00B21766">
        <w:fldChar w:fldCharType="end"/>
      </w:r>
      <w:r w:rsidR="00CB6FBB">
        <w:t xml:space="preserve">. </w:t>
      </w:r>
      <w:r w:rsidR="00CB6FBB">
        <w:rPr>
          <w:i/>
          <w:iCs/>
        </w:rPr>
        <w:t>S. aureus</w:t>
      </w:r>
      <w:r w:rsidR="00CB6FBB">
        <w:t xml:space="preserve"> has type I WTA and type I LTA, comprised of subunits of </w:t>
      </w:r>
      <w:r w:rsidR="002604D6">
        <w:t xml:space="preserve">poly </w:t>
      </w:r>
      <w:r w:rsidR="00CB6FBB">
        <w:t xml:space="preserve">glycerol phosphate (Gro-P) and/or ribitol phosphate (Rbo-P) </w:t>
      </w:r>
      <w:r w:rsidR="00DA0A83">
        <w:t xml:space="preserve">decorated with alanine </w:t>
      </w:r>
      <w:r w:rsidR="00907047">
        <w:t>and</w:t>
      </w:r>
      <w:r w:rsidR="00DA0A83">
        <w:t xml:space="preserve"> carbohydrate residues </w:t>
      </w:r>
      <w:r w:rsidR="00AB24B3">
        <w:t>(</w:t>
      </w:r>
      <w:r w:rsidR="00AB24B3">
        <w:fldChar w:fldCharType="begin"/>
      </w:r>
      <w:r w:rsidR="00AB24B3">
        <w:instrText xml:space="preserve"> REF _Ref76833588 \h </w:instrText>
      </w:r>
      <w:r w:rsidR="00AB24B3">
        <w:fldChar w:fldCharType="separate"/>
      </w:r>
      <w:r w:rsidR="00183CC8">
        <w:t xml:space="preserve">Figure </w:t>
      </w:r>
      <w:r w:rsidR="00183CC8">
        <w:rPr>
          <w:noProof/>
        </w:rPr>
        <w:t>1</w:t>
      </w:r>
      <w:r w:rsidR="00183CC8">
        <w:t>.</w:t>
      </w:r>
      <w:r w:rsidR="00183CC8">
        <w:rPr>
          <w:noProof/>
        </w:rPr>
        <w:t>5</w:t>
      </w:r>
      <w:r w:rsidR="00AB24B3">
        <w:fldChar w:fldCharType="end"/>
      </w:r>
      <w:r w:rsidR="00AB24B3">
        <w:t xml:space="preserve">b) </w:t>
      </w:r>
      <w:r w:rsidR="00DA0A83">
        <w:fldChar w:fldCharType="begin" w:fldLock="1"/>
      </w:r>
      <w:r w:rsidR="006C23C4">
        <w:instrText>ADDIN CSL_CITATION {"citationItems":[{"id":"ITEM-1","itemData":{"DOI":"10.1039/C6CS00270F","ISSN":"0306-0012","author":[{"dropping-particle":"","family":"Es","given":"Daan","non-dropping-particle":"van der","parse-names":false,"suffix":""},{"dropping-particle":"","family":"Hogendorf","given":"Wouter F. J.","non-dropping-particle":"","parse-names":false,"suffix":""},{"dropping-particle":"","family":"Overkleeft","given":"Herman S.","non-dropping-particle":"","parse-names":false,"suffix":""},{"dropping-particle":"","family":"Marel","given":"Gijsbert A.","non-dropping-particle":"van der","parse-names":false,"suffix":""},{"dropping-particle":"","family":"Codée","given":"Jeroen D. C.","non-dropping-particle":"","parse-names":false,"suffix":""}],"container-title":"Chem. Soc. Rev.","id":"ITEM-1","issue":"5","issued":{"date-parts":[["2017"]]},"page":"1464-1482","title":"Teichoic acids: synthesis and applications","type":"article-journal","volume":"46"},"uris":["http://www.mendeley.com/documents/?uuid=86587d57-be87-4384-a322-683b06e7ce62"]},{"id":"ITEM-2","itemData":{"DOI":"10.1146/annurev-micro-091213-112949","abstract":"Lipoteichoic acid (LTA) is an important cell wall polymer found in gram- positive bacteria. Although the exact role of LTA is unknown, mutants dis- play significant growth and physiological defects. Additionally,modification of the LTA backbone structure can provide protection against cationic an- timicrobial peptides. This review provides an overview of the different LTA types and their chemical structures and synthesis pathways. The occurrence and mechanisms of LTA modifications with D-alanyl, glycosyl, and phos- phocholine residueswill be discussed alongwith their functions. Similarities between the production of type I LTA and osmoregulated periplasmic glu- cans in gram-negative bacteria are highlighted, indicating that LTA should perhaps be compared to these polymers rather than lipopolysaccharide, as is presently the case. Lastly, current efforts to use LTAs as vaccine candidates, synthesis proteins as novel antimicrobial targets, and LTAmutant strains as improved probiotics are highlighted. 81","author":[{"dropping-particle":"","family":"Percy","given":"Matthew G","non-dropping-particle":"","parse-names":false,"suffix":""},{"dropping-particle":"","family":"Grundling","given":"Angelika","non-dropping-particle":"","parse-names":false,"suffix":""}],"container-title":"Annual Review of Microbiology","id":"ITEM-2","issued":{"date-parts":[["2014"]]},"note":"LTA gram +\n\nevidence of a direct interaction between cell division proteins and LTA synthesis proteins was recently provided for S. aureus (105). An S. aureus ltaS mutant can only be maintained under osmotically stabilizing conditions in medium with a high concentration of NaCl or sucrose, after acquisition of compensatory mutations, or, for some strains, by lowering the growth temperature (22, 44, 97). The observa- tion that an S. aureus ltaS mutant can be rescued in high-osmolality medium or by an increase in the cellular concentration of cyclic-diadenosine-monophosphate (c-di-AMP), a nucleotide- signaling molecule that has been implicated in the control of potassium and/or other ion trans- port (9, 22–24, 94, 97), might indicate a crucial function of LTA in the osmoprotection of the cell.\nType","page":"81-100","title":"Lipoteichoic Acid Synthesis and Function in Gram-Positive Bacteria","type":"article-journal","volume":"68"},"uris":["http://www.mendeley.com/documents/?uuid=cf9f72fd-73c1-4d80-bfa0-ad9e73dc48f0"]},{"id":"ITEM-3","itemData":{"author":[{"dropping-particle":"","family":"Naumova","given":"Irina B","non-dropping-particle":"","parse-names":false,"suffix":""},{"dropping-particle":"","family":"Shashkov","given":"Alexander S","non-dropping-particle":"","parse-names":false,"suffix":""},{"dropping-particle":"","family":"Tul'skaya","given":"Elena M","non-dropping-particle":"","parse-names":false,"suffix":""},{"dropping-particle":"","family":"Streshinskaya","given":"Galina M","non-dropping-particle":"","parse-names":false,"suffix":""},{"dropping-particle":"","family":"Kozlova","given":"Yuliya I","non-dropping-particle":"","parse-names":false,"suffix":""},{"dropping-particle":"V","family":"Potekhina","given":"Nataliya","non-dropping-particle":"","parse-names":false,"suffix":""},{"dropping-particle":"","family":"Evtushenko","given":"Lyudmila I","non-dropping-particle":"","parse-names":false,"suffix":""},{"dropping-particle":"","family":"Stackebrandt","given":"Erko","non-dropping-particle":"","parse-names":false,"suffix":""}],"container-title":"FEMS Microbiology Reviews","id":"ITEM-3","issue":"April","issued":{"date-parts":[["2001"]]},"page":"269-283","title":"Cell wall teichoic acids : structural diversity , species speci ¢ city in the genus Nocardiopsis , and chemotaxonomic perspective","type":"article-journal","volume":"25"},"uris":["http://www.mendeley.com/documents/?uuid=b96c7f06-63b7-4194-8d1d-6b2fb81976de"]},{"id":"ITEM-4","itemData":{"DOI":"10.1016/j.ijmm.2009.10.001","ISBN":"1618-0607 (Electronic)\\n1438-4221 (Linking)","ISSN":"14384221","PMID":"19896895","abstract":"Staphylococci and most other Gram-positive bacteria incorporate complex teichoic acid (TA) polymers into their cell envelopes. Several crucial roles in Staphylococcus aureus fitness and cell wall maintenance have been assigned to these polymers, which are either covalently linked to peptidoglycan (wall teichoic acid, WTA) or to the cytoplasmic membrane (lipoteichoic acid, LTA). However, the exact TA structures, functions, and biosynthetic pathways are only superficially understood. Recently, most of the enzymes mediating TA biosynthesis have been identified and mutants lacking or with defined changes in WTA or LTA have become available. Their characterization has revealed crucial roles of TAs in protection against harmful molecules and environmental stresses; in control of enzymes directing cell division or morphogenesis and of cation homeostasis; and in interaction with host or bacteriophage receptors and biomaterials. Accordingly, several in vivo studies have demonstrated the importance of WTA and LTA in S. aureus colonization, infection, and immune evasion. TAs and enzymes required for TA biosynthesis represent attractive candidates for novel vaccines and antibiotics and are targeted by recently developed antibacterial therapeutics. © 2009 Elsevier GmbH. All rights reserved.","author":[{"dropping-particle":"","family":"Xia","given":"Guoqing","non-dropping-particle":"","parse-names":false,"suffix":""},{"dropping-particle":"","family":"Kohler","given":"Thomas","non-dropping-particle":"","parse-names":false,"suffix":""},{"dropping-particle":"","family":"Peschel","given":"Andreas","non-dropping-particle":"","parse-names":false,"suffix":""}],"container-title":"International Journal of Medical Microbiology","id":"ITEM-4","issue":"2-3","issued":{"date-parts":[["2010"]]},"page":"148-154","publisher":"Elsevier","title":"The wall teichoic acid and lipoteichoic acid polymers of Staphylococcus aureus","type":"article-journal","volume":"300"},"uris":["http://www.mendeley.com/documents/?uuid=15421729-baff-4fb4-ae00-90cddebbfeda"]}],"mendeley":{"formattedCitation":"&lt;sup&gt;[79,80,83,84]&lt;/sup&gt;","plainTextFormattedCitation":"[79,80,83,84]","previouslyFormattedCitation":"&lt;sup&gt;[79,80,83,84]&lt;/sup&gt;"},"properties":{"noteIndex":0},"schema":"https://github.com/citation-style-language/schema/raw/master/csl-citation.json"}</w:instrText>
      </w:r>
      <w:r w:rsidR="00DA0A83">
        <w:fldChar w:fldCharType="separate"/>
      </w:r>
      <w:r w:rsidR="00000C2A" w:rsidRPr="00000C2A">
        <w:rPr>
          <w:noProof/>
          <w:vertAlign w:val="superscript"/>
        </w:rPr>
        <w:t>[79,80,83,84]</w:t>
      </w:r>
      <w:r w:rsidR="00DA0A83">
        <w:fldChar w:fldCharType="end"/>
      </w:r>
      <w:r w:rsidR="00D67DEB">
        <w:t>.</w:t>
      </w:r>
    </w:p>
    <w:p w14:paraId="21A71F4B" w14:textId="77777777" w:rsidR="0033228D" w:rsidRDefault="0033228D" w:rsidP="0033228D">
      <w:pPr>
        <w:pStyle w:val="NoSpacing"/>
        <w:keepNext/>
        <w:jc w:val="center"/>
      </w:pPr>
      <w:r>
        <w:rPr>
          <w:noProof/>
        </w:rPr>
        <w:lastRenderedPageBreak/>
        <w:drawing>
          <wp:inline distT="0" distB="0" distL="0" distR="0" wp14:anchorId="174335C8" wp14:editId="0872E4BF">
            <wp:extent cx="4529210" cy="5432612"/>
            <wp:effectExtent l="0" t="0" r="5080" b="3175"/>
            <wp:docPr id="118" name="Picture 1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536576" cy="5441447"/>
                    </a:xfrm>
                    <a:prstGeom prst="rect">
                      <a:avLst/>
                    </a:prstGeom>
                  </pic:spPr>
                </pic:pic>
              </a:graphicData>
            </a:graphic>
          </wp:inline>
        </w:drawing>
      </w:r>
    </w:p>
    <w:p w14:paraId="236856D4" w14:textId="0241A78E" w:rsidR="0033228D" w:rsidRDefault="0033228D" w:rsidP="0033228D">
      <w:pPr>
        <w:pStyle w:val="Caption"/>
        <w:rPr>
          <w:i/>
        </w:rPr>
      </w:pPr>
      <w:bookmarkStart w:id="67" w:name="_Ref76833588"/>
      <w:bookmarkStart w:id="68" w:name="_Toc90216930"/>
      <w:r>
        <w:t xml:space="preserve">Figure </w:t>
      </w:r>
      <w:fldSimple w:instr=" STYLEREF 1 \s ">
        <w:r w:rsidR="00183CC8">
          <w:rPr>
            <w:noProof/>
          </w:rPr>
          <w:t>1</w:t>
        </w:r>
      </w:fldSimple>
      <w:r>
        <w:t>.</w:t>
      </w:r>
      <w:fldSimple w:instr=" SEQ Figure \* ARABIC \s 1 ">
        <w:r w:rsidR="00183CC8">
          <w:rPr>
            <w:noProof/>
          </w:rPr>
          <w:t>5</w:t>
        </w:r>
      </w:fldSimple>
      <w:bookmarkEnd w:id="67"/>
      <w:r>
        <w:t xml:space="preserve"> Localisation and structure of teichoic acids in </w:t>
      </w:r>
      <w:r>
        <w:rPr>
          <w:i/>
        </w:rPr>
        <w:t>S. aureus.</w:t>
      </w:r>
      <w:bookmarkEnd w:id="68"/>
    </w:p>
    <w:p w14:paraId="74D7C549" w14:textId="77777777" w:rsidR="0033228D" w:rsidRDefault="0033228D" w:rsidP="00391F16">
      <w:pPr>
        <w:pStyle w:val="NoSpacing"/>
      </w:pPr>
      <w:r>
        <w:rPr>
          <w:b/>
          <w:bCs/>
        </w:rPr>
        <w:t>(A)</w:t>
      </w:r>
      <w:r>
        <w:t xml:space="preserve"> Schematic representation of the localisation of lipoteichoic acids (LTA) and wall teichoic acids (WTA). Modified from van der Es </w:t>
      </w:r>
      <w:r>
        <w:rPr>
          <w:i/>
          <w:iCs/>
        </w:rPr>
        <w:t>et al</w:t>
      </w:r>
      <w:r>
        <w:t xml:space="preserve">., (2017) </w:t>
      </w:r>
      <w:r>
        <w:fldChar w:fldCharType="begin" w:fldLock="1"/>
      </w:r>
      <w:r>
        <w:instrText>ADDIN CSL_CITATION {"citationItems":[{"id":"ITEM-1","itemData":{"DOI":"10.1039/C6CS00270F","ISSN":"0306-0012","author":[{"dropping-particle":"","family":"Es","given":"Daan","non-dropping-particle":"van der","parse-names":false,"suffix":""},{"dropping-particle":"","family":"Hogendorf","given":"Wouter F. J.","non-dropping-particle":"","parse-names":false,"suffix":""},{"dropping-particle":"","family":"Overkleeft","given":"Herman S.","non-dropping-particle":"","parse-names":false,"suffix":""},{"dropping-particle":"","family":"Marel","given":"Gijsbert A.","non-dropping-particle":"van der","parse-names":false,"suffix":""},{"dropping-particle":"","family":"Codée","given":"Jeroen D. C.","non-dropping-particle":"","parse-names":false,"suffix":""}],"container-title":"Chem. Soc. Rev.","id":"ITEM-1","issue":"5","issued":{"date-parts":[["2017"]]},"page":"1464-1482","title":"Teichoic acids: synthesis and applications","type":"article-journal","volume":"46"},"uris":["http://www.mendeley.com/documents/?uuid=86587d57-be87-4384-a322-683b06e7ce62"]}],"mendeley":{"formattedCitation":"&lt;sup&gt;[80]&lt;/sup&gt;","plainTextFormattedCitation":"[80]","previouslyFormattedCitation":"&lt;sup&gt;[80]&lt;/sup&gt;"},"properties":{"noteIndex":0},"schema":"https://github.com/citation-style-language/schema/raw/master/csl-citation.json"}</w:instrText>
      </w:r>
      <w:r>
        <w:fldChar w:fldCharType="separate"/>
      </w:r>
      <w:r w:rsidRPr="00DA0A83">
        <w:rPr>
          <w:noProof/>
          <w:vertAlign w:val="superscript"/>
        </w:rPr>
        <w:t>[80]</w:t>
      </w:r>
      <w:r>
        <w:fldChar w:fldCharType="end"/>
      </w:r>
      <w:r>
        <w:t xml:space="preserve">. </w:t>
      </w:r>
      <w:r>
        <w:rPr>
          <w:b/>
          <w:bCs/>
        </w:rPr>
        <w:t>(B)</w:t>
      </w:r>
      <w:r>
        <w:t xml:space="preserve"> Simplified structure of WTA (top) and LTA (bottom) of </w:t>
      </w:r>
      <w:r>
        <w:rPr>
          <w:i/>
          <w:iCs/>
        </w:rPr>
        <w:t>S. aureus</w:t>
      </w:r>
      <w:r>
        <w:t>. P-Ribitol– ribitolphosphate, P-Glycerol– glycerolphosphate, Man</w:t>
      </w:r>
      <w:r w:rsidRPr="00774B39">
        <w:rPr>
          <w:i/>
          <w:iCs/>
        </w:rPr>
        <w:t>N</w:t>
      </w:r>
      <w:r>
        <w:t xml:space="preserve">Ac– </w:t>
      </w:r>
      <w:r>
        <w:rPr>
          <w:i/>
          <w:iCs/>
        </w:rPr>
        <w:t>N-</w:t>
      </w:r>
      <w:r w:rsidRPr="00774B39">
        <w:t>acetylmannosamine</w:t>
      </w:r>
      <w:r>
        <w:rPr>
          <w:i/>
          <w:iCs/>
        </w:rPr>
        <w:t xml:space="preserve">, </w:t>
      </w:r>
      <w:r>
        <w:t>Glc</w:t>
      </w:r>
      <w:r>
        <w:rPr>
          <w:i/>
          <w:iCs/>
        </w:rPr>
        <w:t>N</w:t>
      </w:r>
      <w:r>
        <w:t xml:space="preserve">Ac– </w:t>
      </w:r>
      <w:r>
        <w:rPr>
          <w:i/>
          <w:iCs/>
        </w:rPr>
        <w:t>N</w:t>
      </w:r>
      <w:r>
        <w:t>-acetylglucosamine, Mur</w:t>
      </w:r>
      <w:r>
        <w:rPr>
          <w:i/>
          <w:iCs/>
        </w:rPr>
        <w:t>N</w:t>
      </w:r>
      <w:r>
        <w:t xml:space="preserve">Ac– </w:t>
      </w:r>
      <w:r>
        <w:rPr>
          <w:i/>
          <w:iCs/>
        </w:rPr>
        <w:t>N</w:t>
      </w:r>
      <w:r>
        <w:t>-acetylmuramic acid,</w:t>
      </w:r>
      <w:r>
        <w:rPr>
          <w:i/>
          <w:iCs/>
        </w:rPr>
        <w:t xml:space="preserve"> </w:t>
      </w:r>
      <w:r>
        <w:t xml:space="preserve">Glc– glucosyl, D-Ala– D-Alanine. Obtained from Xia </w:t>
      </w:r>
      <w:r>
        <w:rPr>
          <w:i/>
          <w:iCs/>
        </w:rPr>
        <w:t>et al</w:t>
      </w:r>
      <w:r>
        <w:t xml:space="preserve">., (2010) </w:t>
      </w:r>
      <w:r>
        <w:fldChar w:fldCharType="begin" w:fldLock="1"/>
      </w:r>
      <w:r>
        <w:instrText>ADDIN CSL_CITATION {"citationItems":[{"id":"ITEM-1","itemData":{"DOI":"10.1016/j.ijmm.2009.10.001","ISBN":"1618-0607 (Electronic)\\n1438-4221 (Linking)","ISSN":"14384221","PMID":"19896895","abstract":"Staphylococci and most other Gram-positive bacteria incorporate complex teichoic acid (TA) polymers into their cell envelopes. Several crucial roles in Staphylococcus aureus fitness and cell wall maintenance have been assigned to these polymers, which are either covalently linked to peptidoglycan (wall teichoic acid, WTA) or to the cytoplasmic membrane (lipoteichoic acid, LTA). However, the exact TA structures, functions, and biosynthetic pathways are only superficially understood. Recently, most of the enzymes mediating TA biosynthesis have been identified and mutants lacking or with defined changes in WTA or LTA have become available. Their characterization has revealed crucial roles of TAs in protection against harmful molecules and environmental stresses; in control of enzymes directing cell division or morphogenesis and of cation homeostasis; and in interaction with host or bacteriophage receptors and biomaterials. Accordingly, several in vivo studies have demonstrated the importance of WTA and LTA in S. aureus colonization, infection, and immune evasion. TAs and enzymes required for TA biosynthesis represent attractive candidates for novel vaccines and antibiotics and are targeted by recently developed antibacterial therapeutics. © 2009 Elsevier GmbH. All rights reserved.","author":[{"dropping-particle":"","family":"Xia","given":"Guoqing","non-dropping-particle":"","parse-names":false,"suffix":""},{"dropping-particle":"","family":"Kohler","given":"Thomas","non-dropping-particle":"","parse-names":false,"suffix":""},{"dropping-particle":"","family":"Peschel","given":"Andreas","non-dropping-particle":"","parse-names":false,"suffix":""}],"container-title":"International Journal of Medical Microbiology","id":"ITEM-1","issue":"2-3","issued":{"date-parts":[["2010"]]},"page":"148-154","publisher":"Elsevier","title":"The wall teichoic acid and lipoteichoic acid polymers of Staphylococcus aureus","type":"article-journal","volume":"300"},"uris":["http://www.mendeley.com/documents/?uuid=15421729-baff-4fb4-ae00-90cddebbfeda"]}],"mendeley":{"formattedCitation":"&lt;sup&gt;[79]&lt;/sup&gt;","plainTextFormattedCitation":"[79]","previouslyFormattedCitation":"&lt;sup&gt;[79]&lt;/sup&gt;"},"properties":{"noteIndex":0},"schema":"https://github.com/citation-style-language/schema/raw/master/csl-citation.json"}</w:instrText>
      </w:r>
      <w:r>
        <w:fldChar w:fldCharType="separate"/>
      </w:r>
      <w:r w:rsidRPr="00DA0A83">
        <w:rPr>
          <w:noProof/>
          <w:vertAlign w:val="superscript"/>
        </w:rPr>
        <w:t>[79]</w:t>
      </w:r>
      <w:r>
        <w:fldChar w:fldCharType="end"/>
      </w:r>
      <w:r>
        <w:t>.</w:t>
      </w:r>
    </w:p>
    <w:p w14:paraId="14B887E8" w14:textId="77777777" w:rsidR="0033228D" w:rsidRDefault="0033228D" w:rsidP="0033228D">
      <w:pPr>
        <w:sectPr w:rsidR="0033228D" w:rsidSect="004D0E05">
          <w:pgSz w:w="11906" w:h="16838"/>
          <w:pgMar w:top="1191" w:right="1247" w:bottom="1191" w:left="1247" w:header="709" w:footer="709" w:gutter="0"/>
          <w:cols w:space="708"/>
          <w:titlePg/>
          <w:docGrid w:linePitch="360"/>
        </w:sectPr>
      </w:pPr>
    </w:p>
    <w:p w14:paraId="06428D40" w14:textId="77777777" w:rsidR="0033228D" w:rsidRDefault="0033228D" w:rsidP="0033228D">
      <w:pPr>
        <w:keepNext/>
        <w:jc w:val="center"/>
      </w:pPr>
      <w:r>
        <w:rPr>
          <w:noProof/>
        </w:rPr>
        <w:lastRenderedPageBreak/>
        <w:drawing>
          <wp:inline distT="0" distB="0" distL="0" distR="0" wp14:anchorId="3ABE2883" wp14:editId="21881AEE">
            <wp:extent cx="5187680" cy="6887846"/>
            <wp:effectExtent l="635" t="0" r="0" b="0"/>
            <wp:docPr id="72" name="Picture 7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tex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5276736" cy="7006089"/>
                    </a:xfrm>
                    <a:prstGeom prst="rect">
                      <a:avLst/>
                    </a:prstGeom>
                  </pic:spPr>
                </pic:pic>
              </a:graphicData>
            </a:graphic>
          </wp:inline>
        </w:drawing>
      </w:r>
    </w:p>
    <w:p w14:paraId="42318C0B" w14:textId="468C6DC3" w:rsidR="0033228D" w:rsidRDefault="0033228D" w:rsidP="0033228D">
      <w:pPr>
        <w:pStyle w:val="Caption"/>
      </w:pPr>
      <w:bookmarkStart w:id="69" w:name="_Ref76753794"/>
      <w:bookmarkStart w:id="70" w:name="_Toc90216931"/>
      <w:r>
        <w:t xml:space="preserve">Figure </w:t>
      </w:r>
      <w:fldSimple w:instr=" STYLEREF 1 \s ">
        <w:r w:rsidR="00183CC8">
          <w:rPr>
            <w:noProof/>
          </w:rPr>
          <w:t>1</w:t>
        </w:r>
      </w:fldSimple>
      <w:r>
        <w:t>.</w:t>
      </w:r>
      <w:fldSimple w:instr=" SEQ Figure \* ARABIC \s 1 ">
        <w:r w:rsidR="00183CC8">
          <w:rPr>
            <w:noProof/>
          </w:rPr>
          <w:t>6</w:t>
        </w:r>
      </w:fldSimple>
      <w:bookmarkEnd w:id="69"/>
      <w:r>
        <w:t xml:space="preserve"> Classification of teichoic acids.</w:t>
      </w:r>
      <w:bookmarkEnd w:id="70"/>
    </w:p>
    <w:p w14:paraId="111AEE54" w14:textId="77777777" w:rsidR="00780898" w:rsidRDefault="0033228D" w:rsidP="006C22B2">
      <w:pPr>
        <w:pStyle w:val="NoSpacing"/>
        <w:sectPr w:rsidR="00780898" w:rsidSect="00780898">
          <w:pgSz w:w="16838" w:h="11906" w:orient="landscape"/>
          <w:pgMar w:top="1247" w:right="1191" w:bottom="1247" w:left="1191" w:header="709" w:footer="709" w:gutter="0"/>
          <w:cols w:space="708"/>
          <w:titlePg/>
          <w:docGrid w:linePitch="360"/>
        </w:sectPr>
      </w:pPr>
      <w:r>
        <w:rPr>
          <w:b/>
          <w:bCs/>
        </w:rPr>
        <w:t>(A)</w:t>
      </w:r>
      <w:r>
        <w:t xml:space="preserve"> Proposed classes of lipoteichoic acids (LTA), according to Fischer </w:t>
      </w:r>
      <w:r>
        <w:fldChar w:fldCharType="begin" w:fldLock="1"/>
      </w:r>
      <w:r>
        <w:instrText>ADDIN CSL_CITATION {"citationItems":[{"id":"ITEM-1","itemData":{"DOI":"10.1007/978-1-4899-2516-9_2","ISBN":"978-1-4899-2516-9","abstract":"Glycoglycerolipids, phosphoglycolipids, and lipoteichoic acids are characteristic constituents of the cytoplasmic membrane of a large number of gram-positive bacteria (Fischer, 1981; Ishizuka and Yamakawa, 1985). These lipid amphiphiles are structurally and biosynthetically related to each other. Glycolipids are the lipid moiety in phosphoglycolipids and lipoteichoic acids. Phosphoglycolipids carry a glycerophosphate, a di(glycerophosphate) or a phosphatidyl residue; the common types of lipoteichoic acid carry a 1,3-phosphodiester-linked poly(glycerophosphate) chain. By contrast, glycophospholipids are derived from phospholipids containing phosphatidylglycerol, cardiolipin, or phosphatidylinositol to which monosaccharides or oligosaccharides are glycosidically linked (for a review, see Ishizuka and Yamakawa, 1985).","author":[{"dropping-particle":"","family":"Fischer","given":"Werner","non-dropping-particle":"","parse-names":false,"suffix":""}],"chapter-number":"Glycolipid","container-title":"Handbook of Lipid Research","editor":[{"dropping-particle":"","family":"Kates","given":"Morris","non-dropping-particle":"","parse-names":false,"suffix":""}],"id":"ITEM-1","issued":{"date-parts":[["1990"]]},"page":"123-234","publisher":"Springer US","publisher-place":"Boston, MA","title":"Bacterial Phosphoglycolipids and Lipoteichoic Acids","type":"chapter"},"uris":["http://www.mendeley.com/documents/?uuid=e31609fa-3b68-4533-9a10-34a8af024680"]}],"mendeley":{"formattedCitation":"&lt;sup&gt;[82]&lt;/sup&gt;","plainTextFormattedCitation":"[82]","previouslyFormattedCitation":"&lt;sup&gt;[82]&lt;/sup&gt;"},"properties":{"noteIndex":0},"schema":"https://github.com/citation-style-language/schema/raw/master/csl-citation.json"}</w:instrText>
      </w:r>
      <w:r>
        <w:fldChar w:fldCharType="separate"/>
      </w:r>
      <w:r w:rsidRPr="00000C2A">
        <w:rPr>
          <w:noProof/>
          <w:vertAlign w:val="superscript"/>
        </w:rPr>
        <w:t>[82]</w:t>
      </w:r>
      <w:r>
        <w:fldChar w:fldCharType="end"/>
      </w:r>
      <w:r>
        <w:t xml:space="preserve">. </w:t>
      </w:r>
      <w:r>
        <w:rPr>
          <w:b/>
          <w:bCs/>
        </w:rPr>
        <w:t>(B)</w:t>
      </w:r>
      <w:r>
        <w:t xml:space="preserve"> Wall teichoic acids (WTA) classification proposed by Stackebrandt </w:t>
      </w:r>
      <w:r>
        <w:fldChar w:fldCharType="begin" w:fldLock="1"/>
      </w:r>
      <w:r>
        <w:instrText>ADDIN CSL_CITATION {"citationItems":[{"id":"ITEM-1","itemData":{"author":[{"dropping-particle":"","family":"Naumova","given":"Irina B","non-dropping-particle":"","parse-names":false,"suffix":""},{"dropping-particle":"","family":"Shashkov","given":"Alexander S","non-dropping-particle":"","parse-names":false,"suffix":""},{"dropping-particle":"","family":"Tul'skaya","given":"Elena M","non-dropping-particle":"","parse-names":false,"suffix":""},{"dropping-particle":"","family":"Streshinskaya","given":"Galina M","non-dropping-particle":"","parse-names":false,"suffix":""},{"dropping-particle":"","family":"Kozlova","given":"Yuliya I","non-dropping-particle":"","parse-names":false,"suffix":""},{"dropping-particle":"V","family":"Potekhina","given":"Nataliya","non-dropping-particle":"","parse-names":false,"suffix":""},{"dropping-particle":"","family":"Evtushenko","given":"Lyudmila I","non-dropping-particle":"","parse-names":false,"suffix":""},{"dropping-particle":"","family":"Stackebrandt","given":"Erko","non-dropping-particle":"","parse-names":false,"suffix":""}],"container-title":"FEMS Microbiology Reviews","id":"ITEM-1","issue":"April","issued":{"date-parts":[["2001"]]},"page":"269-283","title":"Cell wall teichoic acids : structural diversity , species speci ¢ city in the genus Nocardiopsis , and chemotaxonomic perspective","type":"article-journal","volume":"25"},"uris":["http://www.mendeley.com/documents/?uuid=b96c7f06-63b7-4194-8d1d-6b2fb81976de"]}],"mendeley":{"formattedCitation":"&lt;sup&gt;[83]&lt;/sup&gt;","plainTextFormattedCitation":"[83]","previouslyFormattedCitation":"&lt;sup&gt;[83]&lt;/sup&gt;"},"properties":{"noteIndex":0},"schema":"https://github.com/citation-style-language/schema/raw/master/csl-citation.json"}</w:instrText>
      </w:r>
      <w:r>
        <w:fldChar w:fldCharType="separate"/>
      </w:r>
      <w:r w:rsidRPr="00000C2A">
        <w:rPr>
          <w:noProof/>
          <w:vertAlign w:val="superscript"/>
        </w:rPr>
        <w:t>[83]</w:t>
      </w:r>
      <w:r>
        <w:fldChar w:fldCharType="end"/>
      </w:r>
      <w:r>
        <w:t xml:space="preserve">. </w:t>
      </w:r>
      <w:r>
        <w:rPr>
          <w:i/>
          <w:iCs/>
        </w:rPr>
        <w:t>S. aureus</w:t>
      </w:r>
      <w:r>
        <w:t xml:space="preserve"> has type I WTA and LTA. Obtained from van der Es </w:t>
      </w:r>
      <w:r>
        <w:rPr>
          <w:i/>
          <w:iCs/>
        </w:rPr>
        <w:t>et al</w:t>
      </w:r>
      <w:r>
        <w:t xml:space="preserve">., (2017) </w:t>
      </w:r>
      <w:r>
        <w:fldChar w:fldCharType="begin" w:fldLock="1"/>
      </w:r>
      <w:r>
        <w:instrText>ADDIN CSL_CITATION {"citationItems":[{"id":"ITEM-1","itemData":{"DOI":"10.1039/C6CS00270F","ISSN":"0306-0012","author":[{"dropping-particle":"","family":"Es","given":"Daan","non-dropping-particle":"van der","parse-names":false,"suffix":""},{"dropping-particle":"","family":"Hogendorf","given":"Wouter F. J.","non-dropping-particle":"","parse-names":false,"suffix":""},{"dropping-particle":"","family":"Overkleeft","given":"Herman S.","non-dropping-particle":"","parse-names":false,"suffix":""},{"dropping-particle":"","family":"Marel","given":"Gijsbert A.","non-dropping-particle":"van der","parse-names":false,"suffix":""},{"dropping-particle":"","family":"Codée","given":"Jeroen D. C.","non-dropping-particle":"","parse-names":false,"suffix":""}],"container-title":"Chem. Soc. Rev.","id":"ITEM-1","issue":"5","issued":{"date-parts":[["2017"]]},"page":"1464-1482","title":"Teichoic acids: synthesis and applications","type":"article-journal","volume":"46"},"uris":["http://www.mendeley.com/documents/?uuid=86587d57-be87-4384-a322-683b06e7ce62"]}],"mendeley":{"formattedCitation":"&lt;sup&gt;[80]&lt;/sup&gt;","plainTextFormattedCitation":"[80]","previouslyFormattedCitation":"&lt;sup&gt;[80]&lt;/sup&gt;"},"properties":{"noteIndex":0},"schema":"https://github.com/citation-style-language/schema/raw/master/csl-citation.json"}</w:instrText>
      </w:r>
      <w:r>
        <w:fldChar w:fldCharType="separate"/>
      </w:r>
      <w:r w:rsidRPr="00DA0A83">
        <w:rPr>
          <w:noProof/>
          <w:vertAlign w:val="superscript"/>
        </w:rPr>
        <w:t>[80]</w:t>
      </w:r>
      <w:r>
        <w:fldChar w:fldCharType="end"/>
      </w:r>
      <w:r>
        <w:t xml:space="preserve"> .</w:t>
      </w:r>
    </w:p>
    <w:p w14:paraId="0CB67436" w14:textId="540A33EB" w:rsidR="0012082A" w:rsidRDefault="0012082A" w:rsidP="0012082A">
      <w:r>
        <w:lastRenderedPageBreak/>
        <w:t>TA are required for various cellular processes such as regulation of ion homeostasis, cell division, protection, receptor interaction and biofilm formation (</w:t>
      </w:r>
      <w:r>
        <w:fldChar w:fldCharType="begin"/>
      </w:r>
      <w:r>
        <w:instrText xml:space="preserve"> REF _Ref76738320 \h </w:instrText>
      </w:r>
      <w:r>
        <w:fldChar w:fldCharType="separate"/>
      </w:r>
      <w:r w:rsidR="00183CC8">
        <w:t xml:space="preserve">Table </w:t>
      </w:r>
      <w:r w:rsidR="00183CC8">
        <w:rPr>
          <w:noProof/>
        </w:rPr>
        <w:t>1</w:t>
      </w:r>
      <w:r w:rsidR="00183CC8">
        <w:t>.</w:t>
      </w:r>
      <w:r w:rsidR="00183CC8">
        <w:rPr>
          <w:noProof/>
        </w:rPr>
        <w:t>3</w:t>
      </w:r>
      <w:r>
        <w:fldChar w:fldCharType="end"/>
      </w:r>
      <w:r>
        <w:t xml:space="preserve">) </w:t>
      </w:r>
      <w:r>
        <w:fldChar w:fldCharType="begin" w:fldLock="1"/>
      </w:r>
      <w:r>
        <w:instrText>ADDIN CSL_CITATION {"citationItems":[{"id":"ITEM-1","itemData":{"DOI":"10.1016/j.ijmm.2009.10.001","ISBN":"1618-0607 (Electronic)\\n1438-4221 (Linking)","ISSN":"14384221","PMID":"19896895","abstract":"Staphylococci and most other Gram-positive bacteria incorporate complex teichoic acid (TA) polymers into their cell envelopes. Several crucial roles in Staphylococcus aureus fitness and cell wall maintenance have been assigned to these polymers, which are either covalently linked to peptidoglycan (wall teichoic acid, WTA) or to the cytoplasmic membrane (lipoteichoic acid, LTA). However, the exact TA structures, functions, and biosynthetic pathways are only superficially understood. Recently, most of the enzymes mediating TA biosynthesis have been identified and mutants lacking or with defined changes in WTA or LTA have become available. Their characterization has revealed crucial roles of TAs in protection against harmful molecules and environmental stresses; in control of enzymes directing cell division or morphogenesis and of cation homeostasis; and in interaction with host or bacteriophage receptors and biomaterials. Accordingly, several in vivo studies have demonstrated the importance of WTA and LTA in S. aureus colonization, infection, and immune evasion. TAs and enzymes required for TA biosynthesis represent attractive candidates for novel vaccines and antibiotics and are targeted by recently developed antibacterial therapeutics. © 2009 Elsevier GmbH. All rights reserved.","author":[{"dropping-particle":"","family":"Xia","given":"Guoqing","non-dropping-particle":"","parse-names":false,"suffix":""},{"dropping-particle":"","family":"Kohler","given":"Thomas","non-dropping-particle":"","parse-names":false,"suffix":""},{"dropping-particle":"","family":"Peschel","given":"Andreas","non-dropping-particle":"","parse-names":false,"suffix":""}],"container-title":"International Journal of Medical Microbiology","id":"ITEM-1","issue":"2-3","issued":{"date-parts":[["2010"]]},"page":"148-154","publisher":"Elsevier","title":"The wall teichoic acid and lipoteichoic acid polymers of Staphylococcus aureus","type":"article-journal","volume":"300"},"uris":["http://www.mendeley.com/documents/?uuid=ea59f391-0bc2-4ead-a2c8-65f74b3ba449"]},{"id":"ITEM-2","itemData":{"DOI":"10.1039/C6CS00270F","ISSN":"0306-0012","author":[{"dropping-particle":"","family":"Es","given":"Daan","non-dropping-particle":"van der","parse-names":false,"suffix":""},{"dropping-particle":"","family":"Hogendorf","given":"Wouter F. J.","non-dropping-particle":"","parse-names":false,"suffix":""},{"dropping-particle":"","family":"Overkleeft","given":"Herman S.","non-dropping-particle":"","parse-names":false,"suffix":""},{"dropping-particle":"","family":"Marel","given":"Gijsbert A.","non-dropping-particle":"van der","parse-names":false,"suffix":""},{"dropping-particle":"","family":"Codée","given":"Jeroen D. C.","non-dropping-particle":"","parse-names":false,"suffix":""}],"container-title":"Chem. Soc. Rev.","id":"ITEM-2","issue":"5","issued":{"date-parts":[["2017"]]},"page":"1464-1482","title":"Teichoic acids: synthesis and applications","type":"article-journal","volume":"46"},"uris":["http://www.mendeley.com/documents/?uuid=86587d57-be87-4384-a322-683b06e7ce62"]},{"id":"ITEM-3","itemData":{"DOI":"10.1128/MMBR.67.4.686","ISBN":"1092-2172\\r10922172","author":[{"dropping-particle":"","family":"Neuhaus","given":"Francis C","non-dropping-particle":"","parse-names":false,"suffix":""},{"dropping-particle":"","family":"Baddiley","given":"James","non-dropping-particle":"","parse-names":false,"suffix":""}],"container-title":"Microbiology and Molecular Biology Reviews","id":"ITEM-3","issue":"4","issued":{"date-parts":[["2003"]]},"page":"686","title":"A Continuum of Anionic Charge: Structures and Functions of D- Alanyl- Teichoic Acids in Gram- Positive Bacteria","type":"article-journal","volume":"67"},"uris":["http://www.mendeley.com/documents/?uuid=7e867f96-1f6e-41bc-b793-1eac09cb173a"]},{"id":"ITEM-4","itemData":{"DOI":"10.1038/nrmicro1861","ISBN":"1740-1534 (Electronic)\\r1740-1526 (Linking)","ISSN":"17401526","PMID":"18327271","abstract":"Most Gram-positive bacteria incorporate membrane- or peptidoglycan-attached carbohydrate-based polymers into their cell envelopes. Such cell-wall glycopolymers (CWGs) often have highly variable structures and have crucial roles in protecting, connecting and controlling the major envelope constituents. Further important roles of CWGs in host-cell adhesion, inflammation and immune activation have also been described in recent years. Identifying and harnessing highly conserved or species-specific structural features of CWGs offers excellent opportunities for developing new antibiotics, vaccines and diagnostics for use in the fight against severe infectious diseases, such as sepsis, pneumonia, anthrax and tuberculosis","author":[{"dropping-particle":"","family":"Weidenmaier","given":"Christopher","non-dropping-particle":"","parse-names":false,"suffix":""},{"dropping-particle":"","family":"Peschel","given":"Andreas","non-dropping-particle":"","parse-names":false,"suffix":""}],"container-title":"Nature Reviews Microbiology","id":"ITEM-4","issue":"4","issued":{"date-parts":[["2008"]]},"page":"276-287","title":"Teichoic acids and related cell-wall glycopolymers in Gram-positive physiology and host interactions","type":"article-journal","volume":"6"},"uris":["http://www.mendeley.com/documents/?uuid=fcbf05e6-98bb-4c95-97c8-ee7033bdad3b"]},{"id":"ITEM-5","itemData":{"DOI":"10.1128/IAI.00111-06","ISBN":"0019-9567 (Print)","ISSN":"00199567","PMID":"16790791","abstract":"Enterococcus faecalis is among the predominant causes of nosocomial infections. Surface molecules like d-alanine lipoteichoic acid (LTA) perform several functions in gram-positive bacteria, such as maintenance of cationic homeostasis and modulation of autolytic activities. The aim of the present study was to evaluate the effect of d-alanine esters of teichoic acids on biofilm production and adhesion, autolysis, antimicrobial peptide sensitivity, and opsonic killing. A deletion mutant of the dltA gene was created in a clinical E. faecalis isolate. The absence of d-alanine in the LTA of the dltA deletion mutant was confirmed by nuclear magnetic resonance spectroscopy. The wild-type strain and the deletion mutant did not show any significant differences in growth curve, morphology, or autolysis. However, the mutant produced significantly less biofilm when grown in the presence of 1% glucose (51.1% compared to that of the wild type); adhesion to eukaryotic cells was diminished. The mutant absorbed 71.1% of the opsonic antibodies, while absorption with the wild type resulted in a 93.2% reduction in killing. Sensitivity to several cationic antimicrobial peptides (polymyxin B, colistin, and nisin) was considerably increased in the mutant strain, confirming similar results from other studies of gram-positive bacteria. Our data suggest that the absence of d-alanine in LTA plays a role in environmental interactions, probably by modulating the net negative charge of the bacterial cell surface, and therefore it may be involved in the pathogenesis of this organism.","author":[{"dropping-particle":"","family":"Fabretti","given":"Francesca","non-dropping-particle":"","parse-names":false,"suffix":""},{"dropping-particle":"","family":"Theilacker","given":"Christian","non-dropping-particle":"","parse-names":false,"suffix":""},{"dropping-particle":"","family":"Baldassarri","given":"Lucilla","non-dropping-particle":"","parse-names":false,"suffix":""},{"dropping-particle":"","family":"Kaczynski","given":"Zbigniew","non-dropping-particle":"","parse-names":false,"suffix":""},{"dropping-particle":"","family":"Kropec","given":"Andrea","non-dropping-particle":"","parse-names":false,"suffix":""},{"dropping-particle":"","family":"Holst","given":"Otto","non-dropping-particle":"","parse-names":false,"suffix":""},{"dropping-particle":"","family":"Huebner","given":"Johannes","non-dropping-particle":"","parse-names":false,"suffix":""}],"container-title":"Infection and Immunity","id":"ITEM-5","issue":"7","issued":{"date-parts":[["2006"]]},"page":"4164-4171","title":"Alanine esters of enterococcal lipoteichoic acid play a role in biofilm formation and resistance to antimicrobial peptides","type":"article-journal","volume":"74"},"uris":["http://www.mendeley.com/documents/?uuid=08d76975-a24d-4538-afff-f4e52f29d6aa"]}],"mendeley":{"formattedCitation":"&lt;sup&gt;[79,80,85,89,90]&lt;/sup&gt;","plainTextFormattedCitation":"[79,80,85,89,90]","previouslyFormattedCitation":"&lt;sup&gt;[79,80,85,89,90]&lt;/sup&gt;"},"properties":{"noteIndex":0},"schema":"https://github.com/citation-style-language/schema/raw/master/csl-citation.json"}</w:instrText>
      </w:r>
      <w:r>
        <w:fldChar w:fldCharType="separate"/>
      </w:r>
      <w:r w:rsidRPr="00DA0A83">
        <w:rPr>
          <w:noProof/>
          <w:vertAlign w:val="superscript"/>
        </w:rPr>
        <w:t>[79,80,85,89,90]</w:t>
      </w:r>
      <w:r>
        <w:fldChar w:fldCharType="end"/>
      </w:r>
      <w:r>
        <w:t xml:space="preserve">.They can modify the CW morphology and therefore provide protection against antimicrobial agents. This occurs by modifying the rigidity and porosity of the CW, thus regulating the passage of metal cations, nutrients, proteins and antibiotics. Additionally, TA act as receptors for bacteriophages and mediate interaction and attachment to biomaterials </w:t>
      </w:r>
      <w:r w:rsidRPr="003F0414">
        <w:rPr>
          <w:rFonts w:ascii="Calibri" w:eastAsia="Times New Roman" w:hAnsi="Calibri" w:cs="Calibri"/>
          <w:szCs w:val="24"/>
          <w:lang w:eastAsia="en-GB"/>
        </w:rPr>
        <w:t>(</w:t>
      </w:r>
      <w:r w:rsidRPr="003F0414">
        <w:rPr>
          <w:rFonts w:ascii="Calibri" w:eastAsia="Times New Roman" w:hAnsi="Calibri" w:cs="Calibri"/>
          <w:i/>
          <w:iCs/>
          <w:szCs w:val="24"/>
          <w:lang w:eastAsia="en-GB"/>
        </w:rPr>
        <w:t>i.e.</w:t>
      </w:r>
      <w:r w:rsidRPr="003F0414">
        <w:rPr>
          <w:rFonts w:ascii="Calibri" w:eastAsia="Times New Roman" w:hAnsi="Calibri" w:cs="Calibri"/>
          <w:szCs w:val="24"/>
          <w:lang w:eastAsia="en-GB"/>
        </w:rPr>
        <w:t>, epithelial or endothelial cells and biofilm formation)</w:t>
      </w:r>
      <w:r w:rsidRPr="00F077CF">
        <w:t xml:space="preserve"> </w:t>
      </w:r>
      <w:r>
        <w:t>(</w:t>
      </w:r>
      <w:r>
        <w:fldChar w:fldCharType="begin"/>
      </w:r>
      <w:r>
        <w:instrText xml:space="preserve"> REF _Ref76738320 \h </w:instrText>
      </w:r>
      <w:r>
        <w:fldChar w:fldCharType="separate"/>
      </w:r>
      <w:r w:rsidR="00183CC8">
        <w:t xml:space="preserve">Table </w:t>
      </w:r>
      <w:r w:rsidR="00183CC8">
        <w:rPr>
          <w:noProof/>
        </w:rPr>
        <w:t>1</w:t>
      </w:r>
      <w:r w:rsidR="00183CC8">
        <w:t>.</w:t>
      </w:r>
      <w:r w:rsidR="00183CC8">
        <w:rPr>
          <w:noProof/>
        </w:rPr>
        <w:t>3</w:t>
      </w:r>
      <w:r>
        <w:fldChar w:fldCharType="end"/>
      </w:r>
      <w:r>
        <w:t xml:space="preserve">) </w:t>
      </w:r>
      <w:r>
        <w:fldChar w:fldCharType="begin" w:fldLock="1"/>
      </w:r>
      <w:r>
        <w:instrText>ADDIN CSL_CITATION {"citationItems":[{"id":"ITEM-1","itemData":{"DOI":"10.1016/j.ijmm.2009.10.001","ISBN":"1618-0607 (Electronic)\\n1438-4221 (Linking)","ISSN":"14384221","PMID":"19896895","abstract":"Staphylococci and most other Gram-positive bacteria incorporate complex teichoic acid (TA) polymers into their cell envelopes. Several crucial roles in Staphylococcus aureus fitness and cell wall maintenance have been assigned to these polymers, which are either covalently linked to peptidoglycan (wall teichoic acid, WTA) or to the cytoplasmic membrane (lipoteichoic acid, LTA). However, the exact TA structures, functions, and biosynthetic pathways are only superficially understood. Recently, most of the enzymes mediating TA biosynthesis have been identified and mutants lacking or with defined changes in WTA or LTA have become available. Their characterization has revealed crucial roles of TAs in protection against harmful molecules and environmental stresses; in control of enzymes directing cell division or morphogenesis and of cation homeostasis; and in interaction with host or bacteriophage receptors and biomaterials. Accordingly, several in vivo studies have demonstrated the importance of WTA and LTA in S. aureus colonization, infection, and immune evasion. TAs and enzymes required for TA biosynthesis represent attractive candidates for novel vaccines and antibiotics and are targeted by recently developed antibacterial therapeutics. © 2009 Elsevier GmbH. All rights reserved.","author":[{"dropping-particle":"","family":"Xia","given":"Guoqing","non-dropping-particle":"","parse-names":false,"suffix":""},{"dropping-particle":"","family":"Kohler","given":"Thomas","non-dropping-particle":"","parse-names":false,"suffix":""},{"dropping-particle":"","family":"Peschel","given":"Andreas","non-dropping-particle":"","parse-names":false,"suffix":""}],"container-title":"International Journal of Medical Microbiology","id":"ITEM-1","issue":"2-3","issued":{"date-parts":[["2010"]]},"page":"148-154","publisher":"Elsevier","title":"The wall teichoic acid and lipoteichoic acid polymers of Staphylococcus aureus","type":"article-journal","volume":"300"},"uris":["http://www.mendeley.com/documents/?uuid=ea59f391-0bc2-4ead-a2c8-65f74b3ba449"]},{"id":"ITEM-2","itemData":{"DOI":"10.1039/C6CS00270F","ISSN":"0306-0012","author":[{"dropping-particle":"","family":"Es","given":"Daan","non-dropping-particle":"van der","parse-names":false,"suffix":""},{"dropping-particle":"","family":"Hogendorf","given":"Wouter F. J.","non-dropping-particle":"","parse-names":false,"suffix":""},{"dropping-particle":"","family":"Overkleeft","given":"Herman S.","non-dropping-particle":"","parse-names":false,"suffix":""},{"dropping-particle":"","family":"Marel","given":"Gijsbert A.","non-dropping-particle":"van der","parse-names":false,"suffix":""},{"dropping-particle":"","family":"Codée","given":"Jeroen D. C.","non-dropping-particle":"","parse-names":false,"suffix":""}],"container-title":"Chem. Soc. Rev.","id":"ITEM-2","issue":"5","issued":{"date-parts":[["2017"]]},"page":"1464-1482","title":"Teichoic acids: synthesis and applications","type":"article-journal","volume":"46"},"uris":["http://www.mendeley.com/documents/?uuid=86587d57-be87-4384-a322-683b06e7ce62"]},{"id":"ITEM-3","itemData":{"DOI":"10.1128/MMBR.67.4.686","ISBN":"1092-2172\\r10922172","author":[{"dropping-particle":"","family":"Neuhaus","given":"Francis C","non-dropping-particle":"","parse-names":false,"suffix":""},{"dropping-particle":"","family":"Baddiley","given":"James","non-dropping-particle":"","parse-names":false,"suffix":""}],"container-title":"Microbiology and Molecular Biology Reviews","id":"ITEM-3","issue":"4","issued":{"date-parts":[["2003"]]},"page":"686","title":"A Continuum of Anionic Charge: Structures and Functions of D- Alanyl- Teichoic Acids in Gram- Positive Bacteria","type":"article-journal","volume":"67"},"uris":["http://www.mendeley.com/documents/?uuid=7e867f96-1f6e-41bc-b793-1eac09cb173a"]},{"id":"ITEM-4","itemData":{"DOI":"10.1146/annurev-micro-092412-155620","ISBN":"0066-4227\\r978-0-8243-1167-4","ISSN":"0066-4227","PMID":"24024634","abstract":"The peptidoglycan layers of many gram-positive bacteria are densely functionalized with anionic glycopolymers known as wall teichoic acids (WTAs). These polymers play crucial roles in cell shape determination, regulation of cell division, and other fundamental aspects of gram-positive bacterial physiology. Additionally, WTAs are important in pathogenesis and play key roles in antibiotic resistance. We provide an overview of WTA structure and biosynthesis, review recent studies on the biological roles of these polymers, and highlight remaining questions. We also discuss prospects for exploiting WTA biosynthesis as a target for new therapies to overcome resistant infections.","author":[{"dropping-particle":"","family":"Brown","given":"Stephanie","non-dropping-particle":"","parse-names":false,"suffix":""},{"dropping-particle":"","family":"Santa Maria","given":"John P.","non-dropping-particle":"","parse-names":false,"suffix":""},{"dropping-particle":"","family":"Walker","given":"Suzanne","non-dropping-particle":"","parse-names":false,"suffix":""}],"container-title":"Annual Review of Microbiology","id":"ITEM-4","issue":"1","issued":{"date-parts":[["2013"]]},"page":"313-336","title":"Wall Teichoic Acids of Gram-Positive Bacteria","type":"article-journal","volume":"67"},"uris":["http://www.mendeley.com/documents/?uuid=60ae5b80-e4e7-4362-93a2-52855b0754e7"]},{"id":"ITEM-5","itemData":{"DOI":"10.1038/nrmicro1861","ISBN":"1740-1534 (Electronic)\\r1740-1526 (Linking)","ISSN":"17401526","PMID":"18327271","abstract":"Most Gram-positive bacteria incorporate membrane- or peptidoglycan-attached carbohydrate-based polymers into their cell envelopes. Such cell-wall glycopolymers (CWGs) often have highly variable structures and have crucial roles in protecting, connecting and controlling the major envelope constituents. Further important roles of CWGs in host-cell adhesion, inflammation and immune activation have also been described in recent years. Identifying and harnessing highly conserved or species-specific structural features of CWGs offers excellent opportunities for developing new antibiotics, vaccines and diagnostics for use in the fight against severe infectious diseases, such as sepsis, pneumonia, anthrax and tuberculosis","author":[{"dropping-particle":"","family":"Weidenmaier","given":"Christopher","non-dropping-particle":"","parse-names":false,"suffix":""},{"dropping-particle":"","family":"Peschel","given":"Andreas","non-dropping-particle":"","parse-names":false,"suffix":""}],"container-title":"Nature Reviews Microbiology","id":"ITEM-5","issue":"4","issued":{"date-parts":[["2008"]]},"page":"276-287","title":"Teichoic acids and related cell-wall glycopolymers in Gram-positive physiology and host interactions","type":"article-journal","volume":"6"},"uris":["http://www.mendeley.com/documents/?uuid=fcbf05e6-98bb-4c95-97c8-ee7033bdad3b"]}],"mendeley":{"formattedCitation":"&lt;sup&gt;[79,80,85,86,89]&lt;/sup&gt;","plainTextFormattedCitation":"[79,80,85,86,89]","previouslyFormattedCitation":"&lt;sup&gt;[79,80,85,86,89]&lt;/sup&gt;"},"properties":{"noteIndex":0},"schema":"https://github.com/citation-style-language/schema/raw/master/csl-citation.json"}</w:instrText>
      </w:r>
      <w:r>
        <w:fldChar w:fldCharType="separate"/>
      </w:r>
      <w:r w:rsidRPr="00DA0A83">
        <w:rPr>
          <w:noProof/>
          <w:vertAlign w:val="superscript"/>
        </w:rPr>
        <w:t>[79,80,85,86,89]</w:t>
      </w:r>
      <w:r>
        <w:fldChar w:fldCharType="end"/>
      </w:r>
      <w:r>
        <w:t>.</w:t>
      </w:r>
    </w:p>
    <w:p w14:paraId="23360852" w14:textId="2F7C74C8" w:rsidR="001F4F9B" w:rsidRDefault="001F4F9B" w:rsidP="0012082A">
      <w:r>
        <w:t xml:space="preserve">D-alanylation, addition of protonated D-alanine ester residues covalently bound to TA, provides counter ions to the negatively charged phosphate groups. Thus, modifying the surface charge of TA and affecting the binding capabilities of TA to external molecules, like divalent cations </w:t>
      </w:r>
      <w:r>
        <w:fldChar w:fldCharType="begin" w:fldLock="1"/>
      </w:r>
      <w:r>
        <w:instrText>ADDIN CSL_CITATION {"citationItems":[{"id":"ITEM-1","itemData":{"DOI":"10.1128/MMBR.67.4.686","ISBN":"1092-2172\\r10922172","author":[{"dropping-particle":"","family":"Neuhaus","given":"Francis C","non-dropping-particle":"","parse-names":false,"suffix":""},{"dropping-particle":"","family":"Baddiley","given":"James","non-dropping-particle":"","parse-names":false,"suffix":""}],"container-title":"Microbiology and Molecular Biology Reviews","id":"ITEM-1","issue":"4","issued":{"date-parts":[["2003"]]},"page":"686","title":"A Continuum of Anionic Charge: Structures and Functions of D- Alanyl- Teichoic Acids in Gram- Positive Bacteria","type":"article-journal","volume":"67"},"uris":["http://www.mendeley.com/documents/?uuid=7e867f96-1f6e-41bc-b793-1eac09cb173a"]},{"id":"ITEM-2","itemData":{"DOI":"10.1146/annurev-micro-092412-155620","ISBN":"0066-4227\\r978-0-8243-1167-4","ISSN":"0066-4227","PMID":"24024634","abstract":"The peptidoglycan layers of many gram-positive bacteria are densely functionalized with anionic glycopolymers known as wall teichoic acids (WTAs). These polymers play crucial roles in cell shape determination, regulation of cell division, and other fundamental aspects of gram-positive bacterial physiology. Additionally, WTAs are important in pathogenesis and play key roles in antibiotic resistance. We provide an overview of WTA structure and biosynthesis, review recent studies on the biological roles of these polymers, and highlight remaining questions. We also discuss prospects for exploiting WTA biosynthesis as a target for new therapies to overcome resistant infections.","author":[{"dropping-particle":"","family":"Brown","given":"Stephanie","non-dropping-particle":"","parse-names":false,"suffix":""},{"dropping-particle":"","family":"Santa Maria","given":"John P.","non-dropping-particle":"","parse-names":false,"suffix":""},{"dropping-particle":"","family":"Walker","given":"Suzanne","non-dropping-particle":"","parse-names":false,"suffix":""}],"container-title":"Annual Review of Microbiology","id":"ITEM-2","issue":"1","issued":{"date-parts":[["2013"]]},"page":"313-336","title":"Wall Teichoic Acids of Gram-Positive Bacteria","type":"article-journal","volume":"67"},"uris":["http://www.mendeley.com/documents/?uuid=60ae5b80-e4e7-4362-93a2-52855b0754e7"]}],"mendeley":{"formattedCitation":"&lt;sup&gt;[85,86]&lt;/sup&gt;","plainTextFormattedCitation":"[85,86]","previouslyFormattedCitation":"&lt;sup&gt;[85,86]&lt;/sup&gt;"},"properties":{"noteIndex":0},"schema":"https://github.com/citation-style-language/schema/raw/master/csl-citation.json"}</w:instrText>
      </w:r>
      <w:r>
        <w:fldChar w:fldCharType="separate"/>
      </w:r>
      <w:r w:rsidRPr="00DA0A83">
        <w:rPr>
          <w:noProof/>
          <w:vertAlign w:val="superscript"/>
        </w:rPr>
        <w:t>[85,86]</w:t>
      </w:r>
      <w:r>
        <w:fldChar w:fldCharType="end"/>
      </w:r>
      <w:r>
        <w:t>. For example, various studies have shown a negative correlation between the D-alanine ester content and the binding capability of the CW to Mg</w:t>
      </w:r>
      <w:r>
        <w:rPr>
          <w:vertAlign w:val="superscript"/>
        </w:rPr>
        <w:t xml:space="preserve">2+ </w:t>
      </w:r>
      <w:r>
        <w:rPr>
          <w:vertAlign w:val="superscript"/>
        </w:rPr>
        <w:fldChar w:fldCharType="begin" w:fldLock="1"/>
      </w:r>
      <w:r>
        <w:rPr>
          <w:vertAlign w:val="superscript"/>
        </w:rPr>
        <w:instrText>ADDIN CSL_CITATION {"citationItems":[{"id":"ITEM-1","itemData":{"DOI":"10.1128/MMBR.67.4.686","ISBN":"1092-2172\\r10922172","author":[{"dropping-particle":"","family":"Neuhaus","given":"Francis C","non-dropping-particle":"","parse-names":false,"suffix":""},{"dropping-particle":"","family":"Baddiley","given":"James","non-dropping-particle":"","parse-names":false,"suffix":""}],"container-title":"Microbiology and Molecular Biology Reviews","id":"ITEM-1","issue":"4","issued":{"date-parts":[["2003"]]},"page":"686","title":"A Continuum of Anionic Charge: Structures and Functions of D- Alanyl- Teichoic Acids in Gram- Positive Bacteria","type":"article-journal","volume":"67"},"uris":["http://www.mendeley.com/documents/?uuid=7e867f96-1f6e-41bc-b793-1eac09cb173a"]},{"id":"ITEM-2","itemData":{"DOI":"10.1042/bj1490519","ISSN":"02646021","PMID":"994","abstract":"The binding of Mg2+ to the wall teichoic acid of Lactobacillus buchneri N.C.I.B. 8007 was measured by equilibrium dialysis at controlled ionic concentration and pH. In an aqueous solution containing 10mM-NaCl at pH 5.0 one Mg2+ ion was bound for every two phosphate groups of the teichoic acid, with an apparent association constant, K,.ssoc. = 2.7 x 103M-1. On lowering the pH below the pKa of the phosphate groups the amount of bound Mg2+ decreased concomitantly with decreasing ionization of the phosphate groups. Both the amount of Mg2+ bound to the teichoic acid and the apparent association constants were similar in the presence of 10mM concentrations of NaCl or KCI but decreased markedly in the presence of lOmM-CaCl2 because of competition between Ca2+ and Mge+ for the binding sites. A similar effect was found when the concentration ofNaCl was increased from 0 to 50mM. The results are discussed in relation to the function of teichoic acid in the walls of Gram-positive bacteria. A great deal of information is available about the occurrence and structure of teichoic acids in the cell walls of Gram-positive bacteria (Baddiley, 1972), but comparatively little is known of their function. The suggestion (Archibald et al., 1961) that teichoic acids are involved in ion exchange and in the control of access of ions, particularly Mg2+, to the inner regions of the cell is supported by a number of studies. For example, it has been shownthat Mg2+ binding bywalls containingteichoicacid depends on the presence ofthe teichoic acid (Heptinstall et al., 1970). Moreover the amount of Mg2+ bound is related, although not quantitatively, to the alanine ester content of the teichoic acid (Archibald et al., 1973). Hughes et al. (1973) showed that the activity of certain membrane-bound enzymes involved in the biosynthesis of wall polymers in Bacillus licheniformis strongly depends on Mg2+ and that these ions can be supplied to the cell membrane by wall and membrane teichoic acids. The importance of teichoic acid in the assimilation of Mg2+ from the environment has been illustrated by studies on the growth of Bacillus subtilis under conditions that impose a constraint on the availability of Mg2+. Thus when grown under conditions of Mg2+ limitation (Ellwood, 1970) or in a high concen-tration of competing Na+ (Meers &amp; Tempest, 1970; Ellwood, 1971) the cells respond by incorporating increased amounts of teichoic acid into their walls","author":[{"dropping-particle":"","family":"Lambert","given":"Peter A","non-dropping-particle":"","parse-names":false,"suffix":""},{"dropping-particle":"","family":"Hancock","given":"Ian C","non-dropping-particle":"","parse-names":false,"suffix":""},{"dropping-particle":"","family":"Baddiley","given":"James","non-dropping-particle":"","parse-names":false,"suffix":""}],"container-title":"Biochemical Journal","id":"ITEM-2","issue":"3","issued":{"date-parts":[["1975"]]},"page":"519-524","title":"The interaction of magnesium ions with teichoic acid","type":"article-journal","volume":"149"},"uris":["http://www.mendeley.com/documents/?uuid=f9a3d2f2-01f5-319d-a3dd-6a746ee8b350"]}],"mendeley":{"formattedCitation":"&lt;sup&gt;[85,87]&lt;/sup&gt;","plainTextFormattedCitation":"[85,87]","previouslyFormattedCitation":"&lt;sup&gt;[85,87]&lt;/sup&gt;"},"properties":{"noteIndex":0},"schema":"https://github.com/citation-style-language/schema/raw/master/csl-citation.json"}</w:instrText>
      </w:r>
      <w:r>
        <w:rPr>
          <w:vertAlign w:val="superscript"/>
        </w:rPr>
        <w:fldChar w:fldCharType="separate"/>
      </w:r>
      <w:r w:rsidRPr="00DA0A83">
        <w:rPr>
          <w:noProof/>
          <w:vertAlign w:val="superscript"/>
        </w:rPr>
        <w:t>[85,87]</w:t>
      </w:r>
      <w:r>
        <w:rPr>
          <w:vertAlign w:val="superscript"/>
        </w:rPr>
        <w:fldChar w:fldCharType="end"/>
      </w:r>
      <w:r>
        <w:t>. D-alanylation has also been shown to be affected by pH, whereby lower pH levels lead to an increase in D-alanine ester substituents and, thereafter, less binding to Mg</w:t>
      </w:r>
      <w:r>
        <w:rPr>
          <w:vertAlign w:val="superscript"/>
        </w:rPr>
        <w:t xml:space="preserve">2+ </w:t>
      </w:r>
      <w:r>
        <w:fldChar w:fldCharType="begin" w:fldLock="1"/>
      </w:r>
      <w:r>
        <w:instrText>ADDIN CSL_CITATION {"citationItems":[{"id":"ITEM-1","itemData":{"DOI":"10.1128/MMBR.67.4.686","ISBN":"1092-2172\\r10922172","author":[{"dropping-particle":"","family":"Neuhaus","given":"Francis C","non-dropping-particle":"","parse-names":false,"suffix":""},{"dropping-particle":"","family":"Baddiley","given":"James","non-dropping-particle":"","parse-names":false,"suffix":""}],"container-title":"Microbiology and Molecular Biology Reviews","id":"ITEM-1","issue":"4","issued":{"date-parts":[["2003"]]},"page":"686","title":"A Continuum of Anionic Charge: Structures and Functions of D- Alanyl- Teichoic Acids in Gram- Positive Bacteria","type":"article-journal","volume":"67"},"uris":["http://www.mendeley.com/documents/?uuid=7e867f96-1f6e-41bc-b793-1eac09cb173a"]},{"id":"ITEM-2","itemData":{"DOI":"10.1042/bj1490519","ISSN":"02646021","PMID":"994","abstract":"The binding of Mg2+ to the wall teichoic acid of Lactobacillus buchneri N.C.I.B. 8007 was measured by equilibrium dialysis at controlled ionic concentration and pH. In an aqueous solution containing 10mM-NaCl at pH 5.0 one Mg2+ ion was bound for every two phosphate groups of the teichoic acid, with an apparent association constant, K,.ssoc. = 2.7 x 103M-1. On lowering the pH below the pKa of the phosphate groups the amount of bound Mg2+ decreased concomitantly with decreasing ionization of the phosphate groups. Both the amount of Mg2+ bound to the teichoic acid and the apparent association constants were similar in the presence of 10mM concentrations of NaCl or KCI but decreased markedly in the presence of lOmM-CaCl2 because of competition between Ca2+ and Mge+ for the binding sites. A similar effect was found when the concentration ofNaCl was increased from 0 to 50mM. The results are discussed in relation to the function of teichoic acid in the walls of Gram-positive bacteria. A great deal of information is available about the occurrence and structure of teichoic acids in the cell walls of Gram-positive bacteria (Baddiley, 1972), but comparatively little is known of their function. The suggestion (Archibald et al., 1961) that teichoic acids are involved in ion exchange and in the control of access of ions, particularly Mg2+, to the inner regions of the cell is supported by a number of studies. For example, it has been shownthat Mg2+ binding bywalls containingteichoicacid depends on the presence ofthe teichoic acid (Heptinstall et al., 1970). Moreover the amount of Mg2+ bound is related, although not quantitatively, to the alanine ester content of the teichoic acid (Archibald et al., 1973). Hughes et al. (1973) showed that the activity of certain membrane-bound enzymes involved in the biosynthesis of wall polymers in Bacillus licheniformis strongly depends on Mg2+ and that these ions can be supplied to the cell membrane by wall and membrane teichoic acids. The importance of teichoic acid in the assimilation of Mg2+ from the environment has been illustrated by studies on the growth of Bacillus subtilis under conditions that impose a constraint on the availability of Mg2+. Thus when grown under conditions of Mg2+ limitation (Ellwood, 1970) or in a high concen-tration of competing Na+ (Meers &amp; Tempest, 1970; Ellwood, 1971) the cells respond by incorporating increased amounts of teichoic acid into their walls","author":[{"dropping-particle":"","family":"Lambert","given":"Peter A","non-dropping-particle":"","parse-names":false,"suffix":""},{"dropping-particle":"","family":"Hancock","given":"Ian C","non-dropping-particle":"","parse-names":false,"suffix":""},{"dropping-particle":"","family":"Baddiley","given":"James","non-dropping-particle":"","parse-names":false,"suffix":""}],"container-title":"Biochemical Journal","id":"ITEM-2","issue":"3","issued":{"date-parts":[["1975"]]},"page":"519-524","title":"The interaction of magnesium ions with teichoic acid","type":"article-journal","volume":"149"},"uris":["http://www.mendeley.com/documents/?uuid=f9a3d2f2-01f5-319d-a3dd-6a746ee8b350"]}],"mendeley":{"formattedCitation":"&lt;sup&gt;[85,87]&lt;/sup&gt;","plainTextFormattedCitation":"[85,87]","previouslyFormattedCitation":"&lt;sup&gt;[85,87]&lt;/sup&gt;"},"properties":{"noteIndex":0},"schema":"https://github.com/citation-style-language/schema/raw/master/csl-citation.json"}</w:instrText>
      </w:r>
      <w:r>
        <w:fldChar w:fldCharType="separate"/>
      </w:r>
      <w:r w:rsidRPr="00DA0A83">
        <w:rPr>
          <w:noProof/>
          <w:vertAlign w:val="superscript"/>
        </w:rPr>
        <w:t>[85,87]</w:t>
      </w:r>
      <w:r>
        <w:fldChar w:fldCharType="end"/>
      </w:r>
      <w:r>
        <w:t xml:space="preserve">. Divalent cation binding to both TA and to PG, is important for cell defence and ion homeostasis </w:t>
      </w:r>
      <w:r>
        <w:fldChar w:fldCharType="begin" w:fldLock="1"/>
      </w:r>
      <w:r>
        <w:instrText>ADDIN CSL_CITATION {"citationItems":[{"id":"ITEM-1","itemData":{"DOI":"10.1002/bies.201700045","ISSN":"15211878","author":[{"dropping-particle":"","family":"Erickson","given":"Harold P","non-dropping-particle":"","parse-names":false,"suffix":""}],"container-title":"BioEssays","id":"ITEM-1","issue":"8","issued":{"date-parts":[["2017"]]},"page":"1-10","title":"How bacterial cell division might cheat turgor pressure – a unified mechanism of septal division in Gram-positive and Gram-negative bacteria","type":"article","volume":"39"},"uris":["http://www.mendeley.com/documents/?uuid=814c8e5c-6117-4fba-bc70-e9c869a2578a"]},{"id":"ITEM-2","itemData":{"DOI":"10.1128/MMBR.67.4.686","ISBN":"1092-2172\\r10922172","author":[{"dropping-particle":"","family":"Neuhaus","given":"Francis C","non-dropping-particle":"","parse-names":false,"suffix":""},{"dropping-particle":"","family":"Baddiley","given":"James","non-dropping-particle":"","parse-names":false,"suffix":""}],"container-title":"Microbiology and Molecular Biology Reviews","id":"ITEM-2","issue":"4","issued":{"date-parts":[["2003"]]},"page":"686","title":"A Continuum of Anionic Charge: Structures and Functions of D- Alanyl- Teichoic Acids in Gram- Positive Bacteria","type":"article-journal","volume":"67"},"uris":["http://www.mendeley.com/documents/?uuid=7e867f96-1f6e-41bc-b793-1eac09cb173a"]},{"id":"ITEM-3","itemData":{"DOI":"10.1146/annurev-micro-092412-155620","ISBN":"0066-4227\\r978-0-8243-1167-4","ISSN":"0066-4227","PMID":"24024634","abstract":"The peptidoglycan layers of many gram-positive bacteria are densely functionalized with anionic glycopolymers known as wall teichoic acids (WTAs). These polymers play crucial roles in cell shape determination, regulation of cell division, and other fundamental aspects of gram-positive bacterial physiology. Additionally, WTAs are important in pathogenesis and play key roles in antibiotic resistance. We provide an overview of WTA structure and biosynthesis, review recent studies on the biological roles of these polymers, and highlight remaining questions. We also discuss prospects for exploiting WTA biosynthesis as a target for new therapies to overcome resistant infections.","author":[{"dropping-particle":"","family":"Brown","given":"Stephanie","non-dropping-particle":"","parse-names":false,"suffix":""},{"dropping-particle":"","family":"Santa Maria","given":"John P.","non-dropping-particle":"","parse-names":false,"suffix":""},{"dropping-particle":"","family":"Walker","given":"Suzanne","non-dropping-particle":"","parse-names":false,"suffix":""}],"container-title":"Annual Review of Microbiology","id":"ITEM-3","issue":"1","issued":{"date-parts":[["2013"]]},"page":"313-336","title":"Wall Teichoic Acids of Gram-Positive Bacteria","type":"article-journal","volume":"67"},"uris":["http://www.mendeley.com/documents/?uuid=60ae5b80-e4e7-4362-93a2-52855b0754e7"]}],"mendeley":{"formattedCitation":"&lt;sup&gt;[85,86,88]&lt;/sup&gt;","plainTextFormattedCitation":"[85,86,88]","previouslyFormattedCitation":"&lt;sup&gt;[85,86,88]&lt;/sup&gt;"},"properties":{"noteIndex":0},"schema":"https://github.com/citation-style-language/schema/raw/master/csl-citation.json"}</w:instrText>
      </w:r>
      <w:r>
        <w:fldChar w:fldCharType="separate"/>
      </w:r>
      <w:r w:rsidRPr="00DA0A83">
        <w:rPr>
          <w:noProof/>
          <w:vertAlign w:val="superscript"/>
        </w:rPr>
        <w:t>[85,86,88]</w:t>
      </w:r>
      <w:r>
        <w:fldChar w:fldCharType="end"/>
      </w:r>
      <w:r>
        <w:t>.</w:t>
      </w:r>
    </w:p>
    <w:p w14:paraId="414D4F82" w14:textId="09560355" w:rsidR="008B15F3" w:rsidRDefault="0012082A" w:rsidP="004C794A">
      <w:r>
        <w:t xml:space="preserve">While mutants lacking either WTA or LTA have been achieved, a deletion mutant lacking all TA is non-viable </w:t>
      </w:r>
      <w:r>
        <w:fldChar w:fldCharType="begin" w:fldLock="1"/>
      </w:r>
      <w:r w:rsidR="005D1D77">
        <w:instrText>ADDIN CSL_CITATION {"citationItems":[{"id":"ITEM-1","itemData":{"DOI":"10.1128/JB.01221-08","ISBN":"1098-5530 (Electronic)\\r0021-9193 (Linking)","ISSN":"00219193","PMID":"18952789","abstract":"Lipoteichoic acid (LTA) is one of two anionic polymers on the surface of the gram-positive bacterium Staphylococcus aureus. LTA is critical for the bacterium-host cell interaction and has recently been shown to be required for cell growth and division. To determine additional biological roles of LTA, we found it necessary to identify permissive conditions for the growth of an LTA-deficient mutant. We found that an LTA-deficient S. aureus Delta ltaS mutant could grow at 30 degrees C but not at 37 degrees C. Even at the permissive temperature, Delta ltaS mutant cells had aberrant cell division and separation, decreased autolysis, and reduced levels of peptidoglycan hydrolases. Upshift of Delta ltaS mutant cells to a nonpermissive temperature caused an inability to exclude Sytox green dye. A high-osmolarity growth medium remarkably rescued the colony-forming ability of the Delta ltaS mutant at 37 degrees C, indicating that LTA synthesis is required for growth under low-osmolarity conditions. In addition, the Delta ltaS mutation was found to be synthetically lethal with the Delta tagO mutation, which disrupts the synthesis of the other anionic polymer, wall teichoic acid (WTA), at 30 degrees C, suggesting that LTA and WTA compensate for one another in an essential function.","author":[{"dropping-particle":"","family":"Oku","given":"Yusuke","non-dropping-particle":"","parse-names":false,"suffix":""},{"dropping-particle":"","family":"Kurokawa","given":"Kenji","non-dropping-particle":"","parse-names":false,"suffix":""},{"dropping-particle":"","family":"Matsuo","given":"Miki","non-dropping-particle":"","parse-names":false,"suffix":""},{"dropping-particle":"","family":"Yamada","given":"Sakuo","non-dropping-particle":"","parse-names":false,"suffix":""},{"dropping-particle":"","family":"Lee","given":"Bok Luel","non-dropping-particle":"","parse-names":false,"suffix":""},{"dropping-particle":"","family":"Sekimizu","given":"Kazuhisa","non-dropping-particle":"","parse-names":false,"suffix":""}],"container-title":"Journal of Bacteriology","id":"ITEM-1","issue":"1","issued":{"date-parts":[["2009"]]},"page":"141-151","title":"Pleiotropic roles of polyglycerolphosphate synthase of lipoteichoic acid in growth of Staphylococcus aureus cells","type":"article-journal","volume":"91"},"uris":["http://www.mendeley.com/documents/?uuid=e654d4a5-6a63-46cd-9e2b-a2a36f52bd7e"]},{"id":"ITEM-2","itemData":{"DOI":"10.1038/emboj.2009.25","ISBN":"1460-2075 (Electronic)\\r0261-4189 (Linking)","ISSN":"02614189","PMID":"19229300","abstract":"Teichoic acids (TAs) are anionic polymers that constitute a major component of the cell wall in most Gram-positive bacteria. Despite decades of study, their function has remained unclear. TAs are covalently linked either to the cell wall peptidoglycan (wall TA (WTA)) or to the membrane (lipo-TA (LTA)). We have characterized the key enzyme of LTA synthesis in Bacillus subtilis, LTA synthase (LtaS). We show that LTA is needed for divalent cation homoeostasis and that its absence has severe effects on cell morphogenesis and cell division. Inactivation of both LTA and WTA is lethal and comparison of the individual mutants suggests that they have differentiated roles in elongation (WTA) and division (LTA). B. subtilis has four ltaS paralogues and we show how their roles are partially differentiated. Two paralogues have a redundant role in LTA synthesis during sporulation and their absence gives a novel absolute block in sporulation. The crystal structure of the extracytoplasmic part of LtaS, solved at 2.4- resolution, reveals a phosphorylated threonine residue, which provides clues about the catalytic mechanism and identifies the active site of the enzyme. © 2009 European Molecular Biology Organization. All Rights Reserved.","author":[{"dropping-particle":"","family":"Schirner","given":"Kathrin","non-dropping-particle":"","parse-names":false,"suffix":""},{"dropping-particle":"","family":"Marles-Wright","given":"Jon","non-dropping-particle":"","parse-names":false,"suffix":""},{"dropping-particle":"","family":"Lewis","given":"Richard J.","non-dropping-particle":"","parse-names":false,"suffix":""},{"dropping-particle":"","family":"Errington","given":"Jeff","non-dropping-particle":"","parse-names":false,"suffix":""}],"container-title":"EMBO Journal","id":"ITEM-2","issue":"7","issued":{"date-parts":[["2009"]]},"page":"830-842","publisher":"Nature Publishing Group","title":"Distinct and essential morphogenic functions for wall- and lipo-teichoic acids in Bacillus subtilis","type":"article-journal","volume":"28"},"uris":["http://www.mendeley.com/documents/?uuid=459afdc3-ae95-4ad3-84a2-3c25fae06b3f"]},{"id":"ITEM-3","itemData":{"DOI":"10.1016/j.ijmm.2009.10.001","ISBN":"1618-0607 (Electronic)\\n1438-4221 (Linking)","ISSN":"14384221","PMID":"19896895","abstract":"Staphylococci and most other Gram-positive bacteria incorporate complex teichoic acid (TA) polymers into their cell envelopes. Several crucial roles in Staphylococcus aureus fitness and cell wall maintenance have been assigned to these polymers, which are either covalently linked to peptidoglycan (wall teichoic acid, WTA) or to the cytoplasmic membrane (lipoteichoic acid, LTA). However, the exact TA structures, functions, and biosynthetic pathways are only superficially understood. Recently, most of the enzymes mediating TA biosynthesis have been identified and mutants lacking or with defined changes in WTA or LTA have become available. Their characterization has revealed crucial roles of TAs in protection against harmful molecules and environmental stresses; in control of enzymes directing cell division or morphogenesis and of cation homeostasis; and in interaction with host or bacteriophage receptors and biomaterials. Accordingly, several in vivo studies have demonstrated the importance of WTA and LTA in S. aureus colonization, infection, and immune evasion. TAs and enzymes required for TA biosynthesis represent attractive candidates for novel vaccines and antibiotics and are targeted by recently developed antibacterial therapeutics. © 2009 Elsevier GmbH. All rights reserved.","author":[{"dropping-particle":"","family":"Xia","given":"Guoqing","non-dropping-particle":"","parse-names":false,"suffix":""},{"dropping-particle":"","family":"Kohler","given":"Thomas","non-dropping-particle":"","parse-names":false,"suffix":""},{"dropping-particle":"","family":"Peschel","given":"Andreas","non-dropping-particle":"","parse-names":false,"suffix":""}],"container-title":"International Journal of Medical Microbiology","id":"ITEM-3","issue":"2-3","issued":{"date-parts":[["2010"]]},"page":"148-154","publisher":"Elsevier","title":"The wall teichoic acid and lipoteichoic acid polymers of Staphylococcus aureus","type":"article-journal","volume":"300"},"uris":["http://www.mendeley.com/documents/?uuid=15421729-baff-4fb4-ae00-90cddebbfeda"]}],"mendeley":{"formattedCitation":"&lt;sup&gt;[79,91,92]&lt;/sup&gt;","plainTextFormattedCitation":"[79,91,92]","previouslyFormattedCitation":"&lt;sup&gt;[79,91,92]&lt;/sup&gt;"},"properties":{"noteIndex":0},"schema":"https://github.com/citation-style-language/schema/raw/master/csl-citation.json"}</w:instrText>
      </w:r>
      <w:r>
        <w:fldChar w:fldCharType="separate"/>
      </w:r>
      <w:r w:rsidRPr="00DA0A83">
        <w:rPr>
          <w:noProof/>
          <w:vertAlign w:val="superscript"/>
        </w:rPr>
        <w:t>[79,91,92]</w:t>
      </w:r>
      <w:r>
        <w:fldChar w:fldCharType="end"/>
      </w:r>
      <w:r w:rsidR="004C794A">
        <w:t>.</w:t>
      </w:r>
    </w:p>
    <w:p w14:paraId="4DEFFA6E" w14:textId="77777777" w:rsidR="008B15F3" w:rsidRDefault="008B15F3" w:rsidP="008B15F3">
      <w:pPr>
        <w:pStyle w:val="Heading3"/>
      </w:pPr>
      <w:bookmarkStart w:id="71" w:name="_Toc64276276"/>
      <w:bookmarkStart w:id="72" w:name="_Toc64276580"/>
      <w:bookmarkStart w:id="73" w:name="_Toc64276792"/>
      <w:bookmarkStart w:id="74" w:name="_Toc90216732"/>
      <w:r w:rsidRPr="005B0F81">
        <w:t>Wall teichoic acid</w:t>
      </w:r>
      <w:bookmarkEnd w:id="71"/>
      <w:bookmarkEnd w:id="72"/>
      <w:bookmarkEnd w:id="73"/>
      <w:r>
        <w:t xml:space="preserve"> biosynthesis in </w:t>
      </w:r>
      <w:r>
        <w:rPr>
          <w:i/>
          <w:iCs/>
        </w:rPr>
        <w:t>S. aureus.</w:t>
      </w:r>
      <w:bookmarkEnd w:id="74"/>
    </w:p>
    <w:p w14:paraId="0A671D63" w14:textId="011942A9" w:rsidR="008B15F3" w:rsidRDefault="008B15F3" w:rsidP="008B15F3">
      <w:r>
        <w:t xml:space="preserve">Some </w:t>
      </w:r>
      <w:r>
        <w:rPr>
          <w:i/>
          <w:iCs/>
        </w:rPr>
        <w:t>Staphylococcus</w:t>
      </w:r>
      <w:r>
        <w:t xml:space="preserve"> species have WTA made of repeating units of Gro-P, however, </w:t>
      </w:r>
      <w:r>
        <w:rPr>
          <w:i/>
          <w:iCs/>
        </w:rPr>
        <w:t>S. aureus</w:t>
      </w:r>
      <w:r>
        <w:t xml:space="preserve"> type I WTA is made up of ~ 40 repeating Rbo-P and/or Gro-P, depending on </w:t>
      </w:r>
      <w:r w:rsidRPr="00042628">
        <w:t>the</w:t>
      </w:r>
      <w:r>
        <w:t xml:space="preserve"> strain </w:t>
      </w:r>
      <w:r>
        <w:fldChar w:fldCharType="begin" w:fldLock="1"/>
      </w:r>
      <w:r w:rsidR="00260ACA">
        <w:instrText>ADDIN CSL_CITATION {"citationItems":[{"id":"ITEM-1","itemData":{"DOI":"10.1007/BF00414483","ISSN":"03028933","PMID":"6639273","abstract":"The cell wall teichoic acid structures of 22 staphylococci including 13 type strains were determined. Most of the strains contain a poly(polyolphosphate) teichoic acid with glycerol and/or ribitol as polyol component. The polyolphosphate backbone is partially substituted with various combinations of sugars and/or amino sugars. Most of the substituents occur in a monomeric form but some strains also contain dimers of N-acetylglucosamine as substituents. Staphylococcus hyicus subsp. hyicus NCTC 10350 and S. sciuri DSM 20352 revealed rather complex cell wall teichoic acids. They consist of repeating sequences of phosphate-glycerol-phosphate-N-acetylglucosamine. The amino sugar component is present in this case as a monomer or an oligomer (n≤3). Moreover, the glycerol residues are partially substituted with N-acetylglucosamine. The cell wall teichoic acid of S. auricularis is a poly(N-acetylglucosaminylphosphate) polymer similar to that found in S. caseolyticus ATCC 29750. The cell wall teichoic acid structures for type strains of S. auricularis, S. capitis, S. cohnii, S. haemolyticus, S. hominis, S. hyicus subsp. hyicus, S. sciuri, S. xylosus and S. warneri were determined for the first time in detail. The structures of some of the previously described teichoic acids had to be revised (S. epidermidis, S. simulans, S. aureus phage type 187). © 1983 Springer-Verlag.","author":[{"dropping-particle":"","family":"Endl","given":"J","non-dropping-particle":"","parse-names":false,"suffix":""},{"dropping-particle":"","family":"Seidl","given":"H P","non-dropping-particle":"","parse-names":false,"suffix":""},{"dropping-particle":"","family":"Fiedler","given":"F","non-dropping-particle":"","parse-names":false,"suffix":""},{"dropping-particle":"","family":"Schleider","given":"K. H.","non-dropping-particle":"","parse-names":false,"suffix":""}],"container-title":"Archives of Microbiology","id":"ITEM-1","issue":"3","issued":{"date-parts":[["1983"]]},"page":"215-223","title":"Chemical composition and structure of cell wall teichoic acids of staphylococci","type":"article-journal","volume":"135"},"uris":["http://www.mendeley.com/documents/?uuid=00fbf51a-5238-33c0-acc9-ebe8fd360b2a"]},{"id":"ITEM-2","itemData":{"DOI":"10.1016/j.carres.2006.01.012","ISSN":"00086215","PMID":"16458275","abstract":"Extracellular teichoic acid, an essential constituent of the biofilm produced by Staphylococcus epidermidis strain RP62A, is also an important constituent of the extracellular matrix of another biofilm producing strain, Staphylococcus aureus MN8m. The structure of the extracellular and cell wall teichoic acids of the latter strain was studied by NMR spectroscopy and capillary electrophoresis-mass spectrometry. Both teichoic acids were found to be a mixture of two polymers, a (1→5)-linked poly(ribitol phosphate), substituted at the 4-position of ribitol residues with β-GlcNAc, and a (1→3)-linked poly(glycerol phosphate), partially substituted with the d-Ala at 2-position of glycerol residue. Such mixture is unusual for S. aureus. © 2006 Elsevier Ltd. All rights reserved.","author":[{"dropping-particle":"","family":"Vinogradov","given":"Evgueny","non-dropping-particle":"","parse-names":false,"suffix":""},{"dropping-particle":"","family":"Sadovskaya","given":"Irina","non-dropping-particle":"","parse-names":false,"suffix":""},{"dropping-particle":"","family":"Li","given":"Jianjun","non-dropping-particle":"","parse-names":false,"suffix":""},{"dropping-particle":"","family":"Jabbouri","given":"Saïd","non-dropping-particle":"","parse-names":false,"suffix":""}],"container-title":"Carbohydrate Research","id":"ITEM-2","issue":"6","issued":{"date-parts":[["2006"]]},"page":"738-743","title":"Structural elucidation of the extracellular and cell-wall teichoic acids of Staphylococcus aureus MN8m, a biofilm forming strain","type":"article-journal","volume":"341"},"uris":["http://www.mendeley.com/documents/?uuid=b7c2dc8b-be08-32d1-9426-87078dcc368a"]},{"id":"ITEM-3","itemData":{"DOI":"10.1016/s0021-9258(19)84495-2","ISSN":"00219258","PMID":"13976222","author":[{"dropping-particle":"","family":"Sanderson","given":"A. R.","non-dropping-particle":"","parse-names":false,"suffix":""},{"dropping-particle":"","family":"Strominger","given":"J. L.","non-dropping-particle":"","parse-names":false,"suffix":""},{"dropping-particle":"","family":"NAathenson","given":"S. G.","non-dropping-particle":"","parse-names":false,"suffix":""}],"container-title":"The Journal of biological chemistry","id":"ITEM-3","issue":"12","issued":{"date-parts":[["1962","12","1"]]},"page":"3603-3613","publisher":"Elsevier","title":"Chemical structure of teichoic acid from Staphylococcus aureus, strain Copenhagen.","type":"article-journal","volume":"237"},"uris":["http://www.mendeley.com/documents/?uuid=278063a6-3a60-3bb4-bae4-2bfa0c7777c2"]}],"mendeley":{"formattedCitation":"&lt;sup&gt;[93–95]&lt;/sup&gt;","plainTextFormattedCitation":"[93–95]","previouslyFormattedCitation":"&lt;sup&gt;[93–95]&lt;/sup&gt;"},"properties":{"noteIndex":0},"schema":"https://github.com/citation-style-language/schema/raw/master/csl-citation.json"}</w:instrText>
      </w:r>
      <w:r>
        <w:fldChar w:fldCharType="separate"/>
      </w:r>
      <w:r w:rsidR="00C825F9" w:rsidRPr="00C825F9">
        <w:rPr>
          <w:noProof/>
          <w:vertAlign w:val="superscript"/>
        </w:rPr>
        <w:t>[93–95]</w:t>
      </w:r>
      <w:r>
        <w:fldChar w:fldCharType="end"/>
      </w:r>
      <w:r>
        <w:t>. WTA is linked to PG through 2 subunits of Gro-P followed by a disaccharide, acetylmannosamine (Man</w:t>
      </w:r>
      <w:r>
        <w:rPr>
          <w:i/>
          <w:iCs/>
        </w:rPr>
        <w:t>N</w:t>
      </w:r>
      <w:r>
        <w:t>Ac) and Glc</w:t>
      </w:r>
      <w:r>
        <w:rPr>
          <w:i/>
          <w:iCs/>
        </w:rPr>
        <w:t>N</w:t>
      </w:r>
      <w:r>
        <w:t>Ac-1-P. The latter covalently binds to the 6-hydroxyl group of every ninth PG Mur</w:t>
      </w:r>
      <w:r>
        <w:rPr>
          <w:i/>
          <w:iCs/>
        </w:rPr>
        <w:t>N</w:t>
      </w:r>
      <w:r>
        <w:t>Ac</w:t>
      </w:r>
      <w:r w:rsidRPr="00ED3CB2">
        <w:t xml:space="preserve"> </w:t>
      </w:r>
      <w:r>
        <w:t>(</w:t>
      </w:r>
      <w:r>
        <w:fldChar w:fldCharType="begin"/>
      </w:r>
      <w:r>
        <w:instrText xml:space="preserve"> REF _Ref76833588 \h </w:instrText>
      </w:r>
      <w:r>
        <w:fldChar w:fldCharType="separate"/>
      </w:r>
      <w:r w:rsidR="00183CC8">
        <w:t xml:space="preserve">Figure </w:t>
      </w:r>
      <w:r w:rsidR="00183CC8">
        <w:rPr>
          <w:noProof/>
        </w:rPr>
        <w:t>1</w:t>
      </w:r>
      <w:r w:rsidR="00183CC8">
        <w:t>.</w:t>
      </w:r>
      <w:r w:rsidR="00183CC8">
        <w:rPr>
          <w:noProof/>
        </w:rPr>
        <w:t>5</w:t>
      </w:r>
      <w:r>
        <w:fldChar w:fldCharType="end"/>
      </w:r>
      <w:r>
        <w:t xml:space="preserve">b) </w:t>
      </w:r>
      <w:r>
        <w:fldChar w:fldCharType="begin" w:fldLock="1"/>
      </w:r>
      <w:r w:rsidR="00260ACA">
        <w:instrText>ADDIN CSL_CITATION {"citationItems":[{"id":"ITEM-1","itemData":{"DOI":"10.1016/j.ijmm.2009.10.001","ISBN":"1618-0607 (Electronic)\\n1438-4221 (Linking)","ISSN":"14384221","PMID":"19896895","abstract":"Staphylococci and most other Gram-positive bacteria incorporate complex teichoic acid (TA) polymers into their cell envelopes. Several crucial roles in Staphylococcus aureus fitness and cell wall maintenance have been assigned to these polymers, which are either covalently linked to peptidoglycan (wall teichoic acid, WTA) or to the cytoplasmic membrane (lipoteichoic acid, LTA). However, the exact TA structures, functions, and biosynthetic pathways are only superficially understood. Recently, most of the enzymes mediating TA biosynthesis have been identified and mutants lacking or with defined changes in WTA or LTA have become available. Their characterization has revealed crucial roles of TAs in protection against harmful molecules and environmental stresses; in control of enzymes directing cell division or morphogenesis and of cation homeostasis; and in interaction with host or bacteriophage receptors and biomaterials. Accordingly, several in vivo studies have demonstrated the importance of WTA and LTA in S. aureus colonization, infection, and immune evasion. TAs and enzymes required for TA biosynthesis represent attractive candidates for novel vaccines and antibiotics and are targeted by recently developed antibacterial therapeutics. © 2009 Elsevier GmbH. All rights reserved.","author":[{"dropping-particle":"","family":"Xia","given":"Guoqing","non-dropping-particle":"","parse-names":false,"suffix":""},{"dropping-particle":"","family":"Kohler","given":"Thomas","non-dropping-particle":"","parse-names":false,"suffix":""},{"dropping-particle":"","family":"Peschel","given":"Andreas","non-dropping-particle":"","parse-names":false,"suffix":""}],"container-title":"International Journal of Medical Microbiology","id":"ITEM-1","issue":"2-3","issued":{"date-parts":[["2010"]]},"page":"148-154","publisher":"Elsevier","title":"The wall teichoic acid and lipoteichoic acid polymers of Staphylococcus aureus","type":"article-journal","volume":"300"},"uris":["http://www.mendeley.com/documents/?uuid=ea59f391-0bc2-4ead-a2c8-65f74b3ba449"]},{"id":"ITEM-2","itemData":{"DOI":"10.1016/j.chembiol.2007.11.011","ISSN":"10745521","PMID":"18215769","abstract":"Resistance to every family of clinically used antibiotics has emerged, and there is a pressing need to explore unique antibacterial targets. Wall teichoic acids (WTAs) are anionic polymers that coat the cell walls of many Gram-positive bacteria. Because WTAs play an essential role in Staphylococcus aureus colonization and infection, the enzymes involved in WTA biosynthesis are proposed to be targets for antibiotic development. To facilitate the discovery of WTA inhibitors, we have reconstituted the intracellular steps of S. aureus WTA biosynthesis. We show that two intracellular steps in the biosynthetic pathway are different from what was proposed. The work reported here lays the foundation for the discovery and characterization of inhibitors of WTA biosynthetic enzymes to assess their potential for treating bacterial infections. © 2008 Elsevier Ltd. All rights reserved.","author":[{"dropping-particle":"","family":"Brown","given":"Stephanie","non-dropping-particle":"","parse-names":false,"suffix":""},{"dropping-particle":"","family":"Zhang","given":"Yu Hui","non-dropping-particle":"","parse-names":false,"suffix":""},{"dropping-particle":"","family":"Walker","given":"Suzanne","non-dropping-particle":"","parse-names":false,"suffix":""}],"container-title":"Chemistry and Biology","id":"ITEM-2","issue":"1","issued":{"date-parts":[["2008"]]},"page":"12-21","title":"A Revised Pathway Proposed for Staphylococcus aureus Wall Teichoic Acid Biosynthesis Based on In Vitro Reconstitution of the Intracellular Steps","type":"article-journal","volume":"15"},"uris":["http://www.mendeley.com/documents/?uuid=52839ff8-d05e-363d-bba0-c960a6c072f6"]},{"id":"ITEM-3","itemData":{"DOI":"10.3109/10408418909105745","ISSN":"1040841X","PMID":"2692601","author":[{"dropping-particle":"","family":"Araki","given":"Yoshio","non-dropping-particle":"","parse-names":false,"suffix":""},{"dropping-particle":"","family":"Ito","given":"Eiji","non-dropping-particle":"","parse-names":false,"suffix":""}],"container-title":"Critical Reviews in Microbiology","id":"ITEM-3","issue":"2","issued":{"date-parts":[["1989"]]},"page":"121-135","title":"Linkage units in cell walls of gram-positive bacteria","type":"article-journal","volume":"17"},"uris":["http://www.mendeley.com/documents/?uuid=55ed4a83-ddbe-3314-a7be-41fee40eb04d"]},{"id":"ITEM-4","itemData":{"DOI":"10.1146/annurev-micro-092412-155620","ISBN":"0066-4227\\r978-0-8243-1167-4","ISSN":"0066-4227","PMID":"24024634","abstract":"The peptidoglycan layers of many gram-positive bacteria are densely functionalized with anionic glycopolymers known as wall teichoic acids (WTAs). These polymers play crucial roles in cell shape determination, regulation of cell division, and other fundamental aspects of gram-positive bacterial physiology. Additionally, WTAs are important in pathogenesis and play key roles in antibiotic resistance. We provide an overview of WTA structure and biosynthesis, review recent studies on the biological roles of these polymers, and highlight remaining questions. We also discuss prospects for exploiting WTA biosynthesis as a target for new therapies to overcome resistant infections.","author":[{"dropping-particle":"","family":"Brown","given":"Stephanie","non-dropping-particle":"","parse-names":false,"suffix":""},{"dropping-particle":"","family":"Santa Maria","given":"John P.","non-dropping-particle":"","parse-names":false,"suffix":""},{"dropping-particle":"","family":"Walker","given":"Suzanne","non-dropping-particle":"","parse-names":false,"suffix":""}],"container-title":"Annual Review of Microbiology","id":"ITEM-4","issue":"1","issued":{"date-parts":[["2013"]]},"page":"313-336","title":"Wall Teichoic Acids of Gram-Positive Bacteria","type":"article-journal","volume":"67"},"uris":["http://www.mendeley.com/documents/?uuid=60ae5b80-e4e7-4362-93a2-52855b0754e7"]},{"id":"ITEM-5","itemData":{"DOI":"10.1002/1873-3468.12288","ISSN":"18733468","PMID":"27396949","abstract":"Cell wall glycopolymers (CWGs) of gram-positive bacteria have gained increasing interest with respect to their role in colonization and infection. In most gram-positive pathogens they constitute a large fraction of the cell wall biomass and represent major cell envelope determinants. Depending on their chemical structure they modulate interaction with complement factors and play roles in immune evasion or serve as nonprotein adhesins that mediate, especially under dynamic conditions, attachment to different host cell types. In particular, covalently peptidoglycan-attached CWGs that extend well above the cell wall seem to interact with glyco-receptors on host cell surfaces. For example, in the case of Staphylococcus aureus, the cell wall-attached teichoic acid (WTA) has been identified as a major CWG adhesin. A recent report indicates that a type-F scavenger receptor, termed SR-F1 (SREC-I), is the predominant WTA receptor in the nasal cavity and that WTA-SREC-I interaction plays an important role in S. aureus nasal colonization. Therefore, understanding the role of CWGs in complex processes that mediate colonization and infection will allow novel insights into the mechanisms of host-microbiota interaction.","author":[{"dropping-particle":"","family":"Schade","given":"Jessica","non-dropping-particle":"","parse-names":false,"suffix":""},{"dropping-particle":"","family":"Weidenmaier","given":"Christopher","non-dropping-particle":"","parse-names":false,"suffix":""}],"container-title":"FEBS Letters","id":"ITEM-5","issue":"21","issued":{"date-parts":[["2016"]]},"page":"3758-3771","title":"Cell wall glycopolymers of Firmicutes and their role as nonprotein adhesins","type":"article-journal","volume":"590"},"uris":["http://www.mendeley.com/documents/?uuid=7fdd25b7-37aa-42d9-a687-81329665c15a"]}],"mendeley":{"formattedCitation":"&lt;sup&gt;[79,86,96–98]&lt;/sup&gt;","plainTextFormattedCitation":"[79,86,96–98]","previouslyFormattedCitation":"&lt;sup&gt;[79,86,96–98]&lt;/sup&gt;"},"properties":{"noteIndex":0},"schema":"https://github.com/citation-style-language/schema/raw/master/csl-citation.json"}</w:instrText>
      </w:r>
      <w:r>
        <w:fldChar w:fldCharType="separate"/>
      </w:r>
      <w:r w:rsidR="00C825F9" w:rsidRPr="00C825F9">
        <w:rPr>
          <w:noProof/>
          <w:vertAlign w:val="superscript"/>
        </w:rPr>
        <w:t>[79,86,96–98]</w:t>
      </w:r>
      <w:r>
        <w:fldChar w:fldCharType="end"/>
      </w:r>
      <w:r>
        <w:t>. In addition to D-alanylation, WTA can be modified with mono or oligosaccharides such as glucose or Glc</w:t>
      </w:r>
      <w:r>
        <w:rPr>
          <w:i/>
          <w:iCs/>
        </w:rPr>
        <w:t>N</w:t>
      </w:r>
      <w:r>
        <w:t xml:space="preserve">Ac </w:t>
      </w:r>
      <w:r>
        <w:fldChar w:fldCharType="begin" w:fldLock="1"/>
      </w:r>
      <w:r>
        <w:instrText>ADDIN CSL_CITATION {"citationItems":[{"id":"ITEM-1","itemData":{"DOI":"10.1146/annurev-micro-092412-155620","ISBN":"0066-4227\\r978-0-8243-1167-4","ISSN":"0066-4227","PMID":"24024634","abstract":"The peptidoglycan layers of many gram-positive bacteria are densely functionalized with anionic glycopolymers known as wall teichoic acids (WTAs). These polymers play crucial roles in cell shape determination, regulation of cell division, and other fundamental aspects of gram-positive bacterial physiology. Additionally, WTAs are important in pathogenesis and play key roles in antibiotic resistance. We provide an overview of WTA structure and biosynthesis, review recent studies on the biological roles of these polymers, and highlight remaining questions. We also discuss prospects for exploiting WTA biosynthesis as a target for new therapies to overcome resistant infections.","author":[{"dropping-particle":"","family":"Brown","given":"Stephanie","non-dropping-particle":"","parse-names":false,"suffix":""},{"dropping-particle":"","family":"Santa Maria","given":"John P.","non-dropping-particle":"","parse-names":false,"suffix":""},{"dropping-particle":"","family":"Walker","given":"Suzanne","non-dropping-particle":"","parse-names":false,"suffix":""}],"container-title":"Annual Review of Microbiology","id":"ITEM-1","issue":"1","issued":{"date-parts":[["2013"]]},"page":"313-336","title":"Wall Teichoic Acids of Gram-Positive Bacteria","type":"article-journal","volume":"67"},"uris":["http://www.mendeley.com/documents/?uuid=60ae5b80-e4e7-4362-93a2-52855b0754e7"]}],"mendeley":{"formattedCitation":"&lt;sup&gt;[86]&lt;/sup&gt;","plainTextFormattedCitation":"[86]","previouslyFormattedCitation":"&lt;sup&gt;[86]&lt;/sup&gt;"},"properties":{"noteIndex":0},"schema":"https://github.com/citation-style-language/schema/raw/master/csl-citation.json"}</w:instrText>
      </w:r>
      <w:r>
        <w:fldChar w:fldCharType="separate"/>
      </w:r>
      <w:r w:rsidRPr="00DA0A83">
        <w:rPr>
          <w:noProof/>
          <w:vertAlign w:val="superscript"/>
        </w:rPr>
        <w:t>[86]</w:t>
      </w:r>
      <w:r>
        <w:fldChar w:fldCharType="end"/>
      </w:r>
      <w:r>
        <w:t>.</w:t>
      </w:r>
    </w:p>
    <w:p w14:paraId="7FC68A94" w14:textId="6CDC9C8A" w:rsidR="00996947" w:rsidRDefault="00996947" w:rsidP="004C794A">
      <w:pPr>
        <w:sectPr w:rsidR="00996947" w:rsidSect="004D0E05">
          <w:pgSz w:w="11906" w:h="16838"/>
          <w:pgMar w:top="1191" w:right="1247" w:bottom="1191" w:left="1247" w:header="709" w:footer="709" w:gutter="0"/>
          <w:cols w:space="708"/>
          <w:titlePg/>
          <w:docGrid w:linePitch="360"/>
        </w:sectPr>
      </w:pPr>
    </w:p>
    <w:tbl>
      <w:tblPr>
        <w:tblStyle w:val="GridTable1Light"/>
        <w:tblW w:w="0" w:type="auto"/>
        <w:jc w:val="center"/>
        <w:tblLook w:val="04A0" w:firstRow="1" w:lastRow="0" w:firstColumn="1" w:lastColumn="0" w:noHBand="0" w:noVBand="1"/>
      </w:tblPr>
      <w:tblGrid>
        <w:gridCol w:w="4140"/>
        <w:gridCol w:w="831"/>
        <w:gridCol w:w="4431"/>
      </w:tblGrid>
      <w:tr w:rsidR="00FA11A2" w:rsidRPr="00FC2818" w14:paraId="6EF1BB0E" w14:textId="77777777" w:rsidTr="00585467">
        <w:trPr>
          <w:cnfStyle w:val="100000000000" w:firstRow="1" w:lastRow="0" w:firstColumn="0" w:lastColumn="0" w:oddVBand="0" w:evenVBand="0" w:oddHBand="0"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0" w:type="auto"/>
            <w:tcBorders>
              <w:bottom w:val="double" w:sz="4" w:space="0" w:color="auto"/>
            </w:tcBorders>
          </w:tcPr>
          <w:p w14:paraId="7EBF5463" w14:textId="77777777" w:rsidR="00996947" w:rsidRPr="00FC2818" w:rsidRDefault="00996947" w:rsidP="00195E88">
            <w:pPr>
              <w:pStyle w:val="Tabletextnormal"/>
              <w:rPr>
                <w:sz w:val="21"/>
                <w:szCs w:val="21"/>
              </w:rPr>
            </w:pPr>
            <w:r w:rsidRPr="00FC2818">
              <w:rPr>
                <w:sz w:val="21"/>
                <w:szCs w:val="21"/>
              </w:rPr>
              <w:lastRenderedPageBreak/>
              <w:t>Function</w:t>
            </w:r>
          </w:p>
        </w:tc>
        <w:tc>
          <w:tcPr>
            <w:tcW w:w="0" w:type="auto"/>
            <w:tcBorders>
              <w:bottom w:val="double" w:sz="4" w:space="0" w:color="auto"/>
            </w:tcBorders>
          </w:tcPr>
          <w:p w14:paraId="0D15474A" w14:textId="77777777" w:rsidR="00996947" w:rsidRPr="00FC2818" w:rsidRDefault="00996947" w:rsidP="00195E88">
            <w:pPr>
              <w:pStyle w:val="Tabletextnormal"/>
              <w:cnfStyle w:val="100000000000" w:firstRow="1" w:lastRow="0" w:firstColumn="0" w:lastColumn="0" w:oddVBand="0" w:evenVBand="0" w:oddHBand="0" w:evenHBand="0" w:firstRowFirstColumn="0" w:firstRowLastColumn="0" w:lastRowFirstColumn="0" w:lastRowLastColumn="0"/>
              <w:rPr>
                <w:sz w:val="21"/>
                <w:szCs w:val="21"/>
              </w:rPr>
            </w:pPr>
            <w:r w:rsidRPr="00FC2818">
              <w:rPr>
                <w:sz w:val="21"/>
                <w:szCs w:val="21"/>
              </w:rPr>
              <w:t>TA</w:t>
            </w:r>
          </w:p>
        </w:tc>
        <w:tc>
          <w:tcPr>
            <w:tcW w:w="0" w:type="auto"/>
          </w:tcPr>
          <w:p w14:paraId="045C95F6" w14:textId="77777777" w:rsidR="00996947" w:rsidRPr="008A6136" w:rsidRDefault="00996947" w:rsidP="00195E88">
            <w:pPr>
              <w:pStyle w:val="Tabletextnormal"/>
              <w:cnfStyle w:val="100000000000" w:firstRow="1" w:lastRow="0" w:firstColumn="0" w:lastColumn="0" w:oddVBand="0" w:evenVBand="0" w:oddHBand="0" w:evenHBand="0" w:firstRowFirstColumn="0" w:firstRowLastColumn="0" w:lastRowFirstColumn="0" w:lastRowLastColumn="0"/>
              <w:rPr>
                <w:sz w:val="21"/>
                <w:szCs w:val="21"/>
              </w:rPr>
            </w:pPr>
            <w:r w:rsidRPr="008A6136">
              <w:rPr>
                <w:sz w:val="21"/>
                <w:szCs w:val="21"/>
              </w:rPr>
              <w:t>References</w:t>
            </w:r>
          </w:p>
        </w:tc>
      </w:tr>
      <w:tr w:rsidR="00996947" w:rsidRPr="00FC2818" w14:paraId="45E28818" w14:textId="77777777" w:rsidTr="00585467">
        <w:trPr>
          <w:trHeight w:val="369"/>
          <w:jc w:val="center"/>
        </w:trPr>
        <w:tc>
          <w:tcPr>
            <w:cnfStyle w:val="001000000000" w:firstRow="0" w:lastRow="0" w:firstColumn="1" w:lastColumn="0" w:oddVBand="0" w:evenVBand="0" w:oddHBand="0" w:evenHBand="0" w:firstRowFirstColumn="0" w:firstRowLastColumn="0" w:lastRowFirstColumn="0" w:lastRowLastColumn="0"/>
            <w:tcW w:w="0" w:type="auto"/>
            <w:gridSpan w:val="3"/>
            <w:tcBorders>
              <w:top w:val="double" w:sz="4" w:space="0" w:color="auto"/>
            </w:tcBorders>
            <w:shd w:val="clear" w:color="auto" w:fill="E7E6E6" w:themeFill="background2"/>
          </w:tcPr>
          <w:p w14:paraId="4AA20D3C" w14:textId="77777777" w:rsidR="00996947" w:rsidRPr="008A6136" w:rsidRDefault="00996947" w:rsidP="00195E88">
            <w:pPr>
              <w:pStyle w:val="Tabletextnormal"/>
              <w:rPr>
                <w:sz w:val="20"/>
                <w:szCs w:val="20"/>
              </w:rPr>
            </w:pPr>
            <w:r w:rsidRPr="008A6136">
              <w:rPr>
                <w:b/>
                <w:bCs w:val="0"/>
                <w:i/>
                <w:sz w:val="20"/>
                <w:szCs w:val="20"/>
              </w:rPr>
              <w:t>Regulation of ion homeostasis</w:t>
            </w:r>
          </w:p>
        </w:tc>
      </w:tr>
      <w:tr w:rsidR="00FA11A2" w:rsidRPr="00FC2818" w14:paraId="10BE10DC" w14:textId="77777777" w:rsidTr="00585467">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tcPr>
          <w:p w14:paraId="1E8BDDA2" w14:textId="77777777" w:rsidR="00996947" w:rsidRPr="00FC2818" w:rsidRDefault="00996947" w:rsidP="00FC2818">
            <w:pPr>
              <w:pStyle w:val="Tabletextnormal"/>
              <w:spacing w:before="40" w:after="40"/>
              <w:rPr>
                <w:sz w:val="21"/>
                <w:szCs w:val="21"/>
              </w:rPr>
            </w:pPr>
            <w:r w:rsidRPr="00FC2818">
              <w:rPr>
                <w:sz w:val="21"/>
                <w:szCs w:val="21"/>
              </w:rPr>
              <w:t>Creation of localised pH changes</w:t>
            </w:r>
          </w:p>
        </w:tc>
        <w:tc>
          <w:tcPr>
            <w:tcW w:w="0" w:type="auto"/>
          </w:tcPr>
          <w:p w14:paraId="76C24C51" w14:textId="77777777" w:rsidR="00996947" w:rsidRPr="00FC2818"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1"/>
                <w:szCs w:val="21"/>
              </w:rPr>
            </w:pPr>
            <w:r w:rsidRPr="00FC2818">
              <w:rPr>
                <w:sz w:val="21"/>
                <w:szCs w:val="21"/>
              </w:rPr>
              <w:t>WT</w:t>
            </w:r>
          </w:p>
        </w:tc>
        <w:tc>
          <w:tcPr>
            <w:tcW w:w="0" w:type="auto"/>
          </w:tcPr>
          <w:p w14:paraId="16F6AFAC" w14:textId="77777777" w:rsidR="00996947" w:rsidRPr="008A6136"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0"/>
                <w:szCs w:val="20"/>
              </w:rPr>
            </w:pPr>
            <w:r w:rsidRPr="008A6136">
              <w:rPr>
                <w:sz w:val="20"/>
                <w:szCs w:val="20"/>
              </w:rPr>
              <w:t xml:space="preserve">Brown </w:t>
            </w:r>
            <w:r w:rsidRPr="008A6136">
              <w:rPr>
                <w:i/>
                <w:iCs/>
                <w:sz w:val="20"/>
                <w:szCs w:val="20"/>
              </w:rPr>
              <w:t>et al</w:t>
            </w:r>
            <w:r w:rsidRPr="008A6136">
              <w:rPr>
                <w:sz w:val="20"/>
                <w:szCs w:val="20"/>
              </w:rPr>
              <w:t>., (2013)</w:t>
            </w:r>
            <w:r w:rsidRPr="008A6136">
              <w:rPr>
                <w:sz w:val="20"/>
                <w:szCs w:val="20"/>
              </w:rPr>
              <w:fldChar w:fldCharType="begin" w:fldLock="1"/>
            </w:r>
            <w:r w:rsidRPr="008A6136">
              <w:rPr>
                <w:sz w:val="20"/>
                <w:szCs w:val="20"/>
              </w:rPr>
              <w:instrText>ADDIN CSL_CITATION {"citationItems":[{"id":"ITEM-1","itemData":{"DOI":"10.1146/annurev-micro-092412-155620","ISBN":"0066-4227\\r978-0-8243-1167-4","ISSN":"0066-4227","PMID":"24024634","abstract":"The peptidoglycan layers of many gram-positive bacteria are densely functionalized with anionic glycopolymers known as wall teichoic acids (WTAs). These polymers play crucial roles in cell shape determination, regulation of cell division, and other fundamental aspects of gram-positive bacterial physiology. Additionally, WTAs are important in pathogenesis and play key roles in antibiotic resistance. We provide an overview of WTA structure and biosynthesis, review recent studies on the biological roles of these polymers, and highlight remaining questions. We also discuss prospects for exploiting WTA biosynthesis as a target for new therapies to overcome resistant infections.","author":[{"dropping-particle":"","family":"Brown","given":"Stephanie","non-dropping-particle":"","parse-names":false,"suffix":""},{"dropping-particle":"","family":"Santa Maria","given":"John P.","non-dropping-particle":"","parse-names":false,"suffix":""},{"dropping-particle":"","family":"Walker","given":"Suzanne","non-dropping-particle":"","parse-names":false,"suffix":""}],"container-title":"Annual Review of Microbiology","id":"ITEM-1","issue":"1","issued":{"date-parts":[["2013"]]},"page":"313-336","title":"Wall Teichoic Acids of Gram-Positive Bacteria","type":"article-journal","volume":"67"},"uris":["http://www.mendeley.com/documents/?uuid=60ae5b80-e4e7-4362-93a2-52855b0754e7"]}],"mendeley":{"formattedCitation":"&lt;sup&gt;[86]&lt;/sup&gt;","plainTextFormattedCitation":"[86]","previouslyFormattedCitation":"&lt;sup&gt;[86]&lt;/sup&gt;"},"properties":{"noteIndex":0},"schema":"https://github.com/citation-style-language/schema/raw/master/csl-citation.json"}</w:instrText>
            </w:r>
            <w:r w:rsidRPr="008A6136">
              <w:rPr>
                <w:sz w:val="20"/>
                <w:szCs w:val="20"/>
              </w:rPr>
              <w:fldChar w:fldCharType="separate"/>
            </w:r>
            <w:r w:rsidRPr="008A6136">
              <w:rPr>
                <w:noProof/>
                <w:sz w:val="20"/>
                <w:szCs w:val="20"/>
                <w:vertAlign w:val="superscript"/>
              </w:rPr>
              <w:t>[86]</w:t>
            </w:r>
            <w:r w:rsidRPr="008A6136">
              <w:rPr>
                <w:sz w:val="20"/>
                <w:szCs w:val="20"/>
              </w:rPr>
              <w:fldChar w:fldCharType="end"/>
            </w:r>
          </w:p>
        </w:tc>
      </w:tr>
      <w:tr w:rsidR="00FA11A2" w:rsidRPr="00FC2818" w14:paraId="451F9CB9" w14:textId="77777777" w:rsidTr="00585467">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tcPr>
          <w:p w14:paraId="66998450" w14:textId="77777777" w:rsidR="00996947" w:rsidRPr="00FC2818" w:rsidRDefault="00996947" w:rsidP="00FC2818">
            <w:pPr>
              <w:pStyle w:val="Tabletextnormal"/>
              <w:spacing w:before="40" w:after="40"/>
              <w:rPr>
                <w:sz w:val="21"/>
                <w:szCs w:val="21"/>
              </w:rPr>
            </w:pPr>
            <w:r w:rsidRPr="00FC2818">
              <w:rPr>
                <w:sz w:val="21"/>
                <w:szCs w:val="21"/>
              </w:rPr>
              <w:t>Prevention of osmotic pressure fluctuations</w:t>
            </w:r>
          </w:p>
        </w:tc>
        <w:tc>
          <w:tcPr>
            <w:tcW w:w="0" w:type="auto"/>
          </w:tcPr>
          <w:p w14:paraId="2A75DA57" w14:textId="0E9C79B9" w:rsidR="00996947" w:rsidRPr="00FC2818"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1"/>
                <w:szCs w:val="21"/>
              </w:rPr>
            </w:pPr>
            <w:r w:rsidRPr="00FC2818">
              <w:rPr>
                <w:sz w:val="21"/>
                <w:szCs w:val="21"/>
              </w:rPr>
              <w:t>WT</w:t>
            </w:r>
            <w:r w:rsidR="00576735">
              <w:rPr>
                <w:sz w:val="21"/>
                <w:szCs w:val="21"/>
              </w:rPr>
              <w:t>, LTA</w:t>
            </w:r>
          </w:p>
        </w:tc>
        <w:tc>
          <w:tcPr>
            <w:tcW w:w="0" w:type="auto"/>
          </w:tcPr>
          <w:p w14:paraId="0645F6F4" w14:textId="0210288C" w:rsidR="00996947" w:rsidRPr="008A6136"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0"/>
                <w:szCs w:val="20"/>
              </w:rPr>
            </w:pPr>
            <w:r w:rsidRPr="008A6136">
              <w:rPr>
                <w:sz w:val="20"/>
                <w:szCs w:val="20"/>
              </w:rPr>
              <w:t xml:space="preserve">Brown </w:t>
            </w:r>
            <w:r w:rsidRPr="008A6136">
              <w:rPr>
                <w:i/>
                <w:iCs/>
                <w:sz w:val="20"/>
                <w:szCs w:val="20"/>
              </w:rPr>
              <w:t>et al</w:t>
            </w:r>
            <w:r w:rsidRPr="008A6136">
              <w:rPr>
                <w:sz w:val="20"/>
                <w:szCs w:val="20"/>
              </w:rPr>
              <w:t>., (2013)</w:t>
            </w:r>
            <w:r w:rsidRPr="008A6136">
              <w:rPr>
                <w:sz w:val="20"/>
                <w:szCs w:val="20"/>
              </w:rPr>
              <w:fldChar w:fldCharType="begin" w:fldLock="1"/>
            </w:r>
            <w:r w:rsidRPr="008A6136">
              <w:rPr>
                <w:sz w:val="20"/>
                <w:szCs w:val="20"/>
              </w:rPr>
              <w:instrText>ADDIN CSL_CITATION {"citationItems":[{"id":"ITEM-1","itemData":{"DOI":"10.1146/annurev-micro-092412-155620","ISBN":"0066-4227\\r978-0-8243-1167-4","ISSN":"0066-4227","PMID":"24024634","abstract":"The peptidoglycan layers of many gram-positive bacteria are densely functionalized with anionic glycopolymers known as wall teichoic acids (WTAs). These polymers play crucial roles in cell shape determination, regulation of cell division, and other fundamental aspects of gram-positive bacterial physiology. Additionally, WTAs are important in pathogenesis and play key roles in antibiotic resistance. We provide an overview of WTA structure and biosynthesis, review recent studies on the biological roles of these polymers, and highlight remaining questions. We also discuss prospects for exploiting WTA biosynthesis as a target for new therapies to overcome resistant infections.","author":[{"dropping-particle":"","family":"Brown","given":"Stephanie","non-dropping-particle":"","parse-names":false,"suffix":""},{"dropping-particle":"","family":"Santa Maria","given":"John P.","non-dropping-particle":"","parse-names":false,"suffix":""},{"dropping-particle":"","family":"Walker","given":"Suzanne","non-dropping-particle":"","parse-names":false,"suffix":""}],"container-title":"Annual Review of Microbiology","id":"ITEM-1","issue":"1","issued":{"date-parts":[["2013"]]},"page":"313-336","title":"Wall Teichoic Acids of Gram-Positive Bacteria","type":"article-journal","volume":"67"},"uris":["http://www.mendeley.com/documents/?uuid=60ae5b80-e4e7-4362-93a2-52855b0754e7"]}],"mendeley":{"formattedCitation":"&lt;sup&gt;[86]&lt;/sup&gt;","plainTextFormattedCitation":"[86]","previouslyFormattedCitation":"&lt;sup&gt;[86]&lt;/sup&gt;"},"properties":{"noteIndex":0},"schema":"https://github.com/citation-style-language/schema/raw/master/csl-citation.json"}</w:instrText>
            </w:r>
            <w:r w:rsidRPr="008A6136">
              <w:rPr>
                <w:sz w:val="20"/>
                <w:szCs w:val="20"/>
              </w:rPr>
              <w:fldChar w:fldCharType="separate"/>
            </w:r>
            <w:r w:rsidRPr="008A6136">
              <w:rPr>
                <w:noProof/>
                <w:sz w:val="20"/>
                <w:szCs w:val="20"/>
                <w:vertAlign w:val="superscript"/>
              </w:rPr>
              <w:t>[86]</w:t>
            </w:r>
            <w:r w:rsidRPr="008A6136">
              <w:rPr>
                <w:sz w:val="20"/>
                <w:szCs w:val="20"/>
              </w:rPr>
              <w:fldChar w:fldCharType="end"/>
            </w:r>
            <w:r w:rsidR="00576735" w:rsidRPr="008A6136">
              <w:rPr>
                <w:sz w:val="20"/>
                <w:szCs w:val="20"/>
              </w:rPr>
              <w:t xml:space="preserve">, Oku </w:t>
            </w:r>
            <w:r w:rsidR="00576735" w:rsidRPr="008A6136">
              <w:rPr>
                <w:i/>
                <w:iCs/>
                <w:sz w:val="20"/>
                <w:szCs w:val="20"/>
              </w:rPr>
              <w:t xml:space="preserve">et al. </w:t>
            </w:r>
            <w:r w:rsidR="00576735" w:rsidRPr="008A6136">
              <w:rPr>
                <w:sz w:val="20"/>
                <w:szCs w:val="20"/>
              </w:rPr>
              <w:t xml:space="preserve">(2009) </w:t>
            </w:r>
            <w:r w:rsidR="00576735" w:rsidRPr="008A6136">
              <w:rPr>
                <w:sz w:val="20"/>
                <w:szCs w:val="20"/>
              </w:rPr>
              <w:fldChar w:fldCharType="begin" w:fldLock="1"/>
            </w:r>
            <w:r w:rsidR="00576735" w:rsidRPr="008A6136">
              <w:rPr>
                <w:sz w:val="20"/>
                <w:szCs w:val="20"/>
              </w:rPr>
              <w:instrText>ADDIN CSL_CITATION {"citationItems":[{"id":"ITEM-1","itemData":{"DOI":"10.1128/JB.01221-08","ISBN":"1098-5530 (Electronic)\\r0021-9193 (Linking)","ISSN":"00219193","PMID":"18952789","abstract":"Lipoteichoic acid (LTA) is one of two anionic polymers on the surface of the gram-positive bacterium Staphylococcus aureus. LTA is critical for the bacterium-host cell interaction and has recently been shown to be required for cell growth and division. To determine additional biological roles of LTA, we found it necessary to identify permissive conditions for the growth of an LTA-deficient mutant. We found that an LTA-deficient S. aureus Delta ltaS mutant could grow at 30 degrees C but not at 37 degrees C. Even at the permissive temperature, Delta ltaS mutant cells had aberrant cell division and separation, decreased autolysis, and reduced levels of peptidoglycan hydrolases. Upshift of Delta ltaS mutant cells to a nonpermissive temperature caused an inability to exclude Sytox green dye. A high-osmolarity growth medium remarkably rescued the colony-forming ability of the Delta ltaS mutant at 37 degrees C, indicating that LTA synthesis is required for growth under low-osmolarity conditions. In addition, the Delta ltaS mutation was found to be synthetically lethal with the Delta tagO mutation, which disrupts the synthesis of the other anionic polymer, wall teichoic acid (WTA), at 30 degrees C, suggesting that LTA and WTA compensate for one another in an essential function.","author":[{"dropping-particle":"","family":"Oku","given":"Yusuke","non-dropping-particle":"","parse-names":false,"suffix":""},{"dropping-particle":"","family":"Kurokawa","given":"Kenji","non-dropping-particle":"","parse-names":false,"suffix":""},{"dropping-particle":"","family":"Matsuo","given":"Miki","non-dropping-particle":"","parse-names":false,"suffix":""},{"dropping-particle":"","family":"Yamada","given":"Sakuo","non-dropping-particle":"","parse-names":false,"suffix":""},{"dropping-particle":"","family":"Lee","given":"Bok Luel","non-dropping-particle":"","parse-names":false,"suffix":""},{"dropping-particle":"","family":"Sekimizu","given":"Kazuhisa","non-dropping-particle":"","parse-names":false,"suffix":""}],"container-title":"Journal of Bacteriology","id":"ITEM-1","issue":"1","issued":{"date-parts":[["2009"]]},"page":"141-151","title":"Pleiotropic roles of polyglycerolphosphate synthase of lipoteichoic acid in growth of Staphylococcus aureus cells","type":"article-journal","volume":"91"},"uris":["http://www.mendeley.com/documents/?uuid=e654d4a5-6a63-46cd-9e2b-a2a36f52bd7e"]}],"mendeley":{"formattedCitation":"&lt;sup&gt;[91]&lt;/sup&gt;","plainTextFormattedCitation":"[91]","previouslyFormattedCitation":"&lt;sup&gt;[91]&lt;/sup&gt;"},"properties":{"noteIndex":0},"schema":"https://github.com/citation-style-language/schema/raw/master/csl-citation.json"}</w:instrText>
            </w:r>
            <w:r w:rsidR="00576735" w:rsidRPr="008A6136">
              <w:rPr>
                <w:sz w:val="20"/>
                <w:szCs w:val="20"/>
              </w:rPr>
              <w:fldChar w:fldCharType="separate"/>
            </w:r>
            <w:r w:rsidR="00576735" w:rsidRPr="008A6136">
              <w:rPr>
                <w:noProof/>
                <w:sz w:val="20"/>
                <w:szCs w:val="20"/>
                <w:vertAlign w:val="superscript"/>
              </w:rPr>
              <w:t>[91]</w:t>
            </w:r>
            <w:r w:rsidR="00576735" w:rsidRPr="008A6136">
              <w:rPr>
                <w:sz w:val="20"/>
                <w:szCs w:val="20"/>
              </w:rPr>
              <w:fldChar w:fldCharType="end"/>
            </w:r>
            <w:r w:rsidR="00576735" w:rsidRPr="008A6136">
              <w:rPr>
                <w:sz w:val="20"/>
                <w:szCs w:val="20"/>
              </w:rPr>
              <w:t>, Gründling &amp; Schneewind (2007)</w:t>
            </w:r>
            <w:r w:rsidR="00576735" w:rsidRPr="008A6136">
              <w:rPr>
                <w:sz w:val="20"/>
                <w:szCs w:val="20"/>
              </w:rPr>
              <w:fldChar w:fldCharType="begin" w:fldLock="1"/>
            </w:r>
            <w:r w:rsidR="00260ACA">
              <w:rPr>
                <w:sz w:val="20"/>
                <w:szCs w:val="20"/>
              </w:rPr>
              <w:instrText>ADDIN CSL_CITATION {"citationItems":[{"id":"ITEM-1","itemData":{"DOI":"10.1073/pnas.0701821104","ISBN":"0027-8424 (Print)\\r0027-8424 (Linking)","ISSN":"0027-8424","PMID":"17483484","abstract":"Lipoteichoic acid (LTA), a glycerol phosphate surface polymer, is a component of the envelope of Gram-positive bacteria. However, the molecular basis for its synthesis or function is not known. Here we report that Staphylococcus aureus LtaS synthesizes glycerol phosphate LTA. Construction of a mutant S. aureus strain with inducible ltaS expression revealed that LTA synthesis is required for bacterial growth and cell division. An ltaS homologue of Bacillus subtilis restored LTA synthesis and the growth of ltaS mutant staphylococci. Thus, LtaS inhibition can be used as a target to treat human infections caused by antibiotic-resistant S. aureus or other bacterial pathogens.","author":[{"dropping-particle":"","family":"Grundling","given":"A.","non-dropping-particle":"","parse-names":false,"suffix":""},{"dropping-particle":"","family":"Schneewind","given":"O.","non-dropping-particle":"","parse-names":false,"suffix":""}],"container-title":"Proceedings of the National Academy of Sciences","id":"ITEM-1","issue":"20","issued":{"date-parts":[["2007"]]},"page":"8478-8483","title":"Synthesis of glycerol phosphate lipoteichoic acid in Staphylococcus aureus","type":"article-journal","volume":"104"},"uris":["http://www.mendeley.com/documents/?uuid=33b7fcb3-ffde-4606-8a67-126926b4d10a"]}],"mendeley":{"formattedCitation":"&lt;sup&gt;[99]&lt;/sup&gt;","plainTextFormattedCitation":"[99]","previouslyFormattedCitation":"&lt;sup&gt;[99]&lt;/sup&gt;"},"properties":{"noteIndex":0},"schema":"https://github.com/citation-style-language/schema/raw/master/csl-citation.json"}</w:instrText>
            </w:r>
            <w:r w:rsidR="00576735" w:rsidRPr="008A6136">
              <w:rPr>
                <w:sz w:val="20"/>
                <w:szCs w:val="20"/>
              </w:rPr>
              <w:fldChar w:fldCharType="separate"/>
            </w:r>
            <w:r w:rsidR="00C825F9" w:rsidRPr="00C825F9">
              <w:rPr>
                <w:noProof/>
                <w:sz w:val="20"/>
                <w:szCs w:val="20"/>
                <w:vertAlign w:val="superscript"/>
              </w:rPr>
              <w:t>[99]</w:t>
            </w:r>
            <w:r w:rsidR="00576735" w:rsidRPr="008A6136">
              <w:rPr>
                <w:sz w:val="20"/>
                <w:szCs w:val="20"/>
              </w:rPr>
              <w:fldChar w:fldCharType="end"/>
            </w:r>
            <w:r w:rsidR="00576735" w:rsidRPr="008A6136">
              <w:rPr>
                <w:sz w:val="20"/>
                <w:szCs w:val="20"/>
              </w:rPr>
              <w:t xml:space="preserve">, Corrigan </w:t>
            </w:r>
            <w:r w:rsidR="00576735" w:rsidRPr="008A6136">
              <w:rPr>
                <w:i/>
                <w:iCs/>
                <w:sz w:val="20"/>
                <w:szCs w:val="20"/>
              </w:rPr>
              <w:t>et al.,</w:t>
            </w:r>
            <w:r w:rsidR="00576735" w:rsidRPr="008A6136">
              <w:rPr>
                <w:sz w:val="20"/>
                <w:szCs w:val="20"/>
              </w:rPr>
              <w:t xml:space="preserve"> (2011) </w:t>
            </w:r>
            <w:r w:rsidR="00576735" w:rsidRPr="008A6136">
              <w:rPr>
                <w:sz w:val="20"/>
                <w:szCs w:val="20"/>
              </w:rPr>
              <w:fldChar w:fldCharType="begin" w:fldLock="1"/>
            </w:r>
            <w:r w:rsidR="0054658D" w:rsidRPr="008A6136">
              <w:rPr>
                <w:sz w:val="20"/>
                <w:szCs w:val="20"/>
              </w:rPr>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mendeley":{"formattedCitation":"&lt;sup&gt;[63]&lt;/sup&gt;","plainTextFormattedCitation":"[63]","previouslyFormattedCitation":"&lt;sup&gt;[63]&lt;/sup&gt;"},"properties":{"noteIndex":0},"schema":"https://github.com/citation-style-language/schema/raw/master/csl-citation.json"}</w:instrText>
            </w:r>
            <w:r w:rsidR="00576735" w:rsidRPr="008A6136">
              <w:rPr>
                <w:sz w:val="20"/>
                <w:szCs w:val="20"/>
              </w:rPr>
              <w:fldChar w:fldCharType="separate"/>
            </w:r>
            <w:r w:rsidR="00576735" w:rsidRPr="008A6136">
              <w:rPr>
                <w:noProof/>
                <w:sz w:val="20"/>
                <w:szCs w:val="20"/>
                <w:vertAlign w:val="superscript"/>
              </w:rPr>
              <w:t>[63]</w:t>
            </w:r>
            <w:r w:rsidR="00576735" w:rsidRPr="008A6136">
              <w:rPr>
                <w:sz w:val="20"/>
                <w:szCs w:val="20"/>
              </w:rPr>
              <w:fldChar w:fldCharType="end"/>
            </w:r>
          </w:p>
        </w:tc>
      </w:tr>
      <w:tr w:rsidR="00996947" w:rsidRPr="00FC2818" w14:paraId="7CEF344C" w14:textId="77777777" w:rsidTr="00585467">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gridSpan w:val="3"/>
            <w:shd w:val="clear" w:color="auto" w:fill="E7E6E6" w:themeFill="background2"/>
          </w:tcPr>
          <w:p w14:paraId="68CC33E1" w14:textId="77777777" w:rsidR="00996947" w:rsidRPr="008A6136" w:rsidRDefault="00996947" w:rsidP="00195E88">
            <w:pPr>
              <w:pStyle w:val="Tabletextnormal"/>
              <w:rPr>
                <w:sz w:val="20"/>
                <w:szCs w:val="20"/>
              </w:rPr>
            </w:pPr>
            <w:r w:rsidRPr="008A6136">
              <w:rPr>
                <w:b/>
                <w:bCs w:val="0"/>
                <w:i/>
                <w:sz w:val="20"/>
                <w:szCs w:val="20"/>
              </w:rPr>
              <w:t>Protection against cell damage</w:t>
            </w:r>
          </w:p>
        </w:tc>
      </w:tr>
      <w:tr w:rsidR="00FA11A2" w:rsidRPr="00FC2818" w14:paraId="236511ED" w14:textId="77777777" w:rsidTr="00585467">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tcPr>
          <w:p w14:paraId="7FB64795" w14:textId="77777777" w:rsidR="00996947" w:rsidRPr="00FC2818" w:rsidRDefault="00996947" w:rsidP="00FC2818">
            <w:pPr>
              <w:pStyle w:val="Tabletextnormal"/>
              <w:spacing w:before="40" w:after="40"/>
              <w:rPr>
                <w:sz w:val="21"/>
                <w:szCs w:val="21"/>
              </w:rPr>
            </w:pPr>
            <w:r w:rsidRPr="00FC2818">
              <w:rPr>
                <w:sz w:val="21"/>
                <w:szCs w:val="21"/>
              </w:rPr>
              <w:t>Resistance to antimicrobial peptides (CAMPs)</w:t>
            </w:r>
          </w:p>
        </w:tc>
        <w:tc>
          <w:tcPr>
            <w:tcW w:w="0" w:type="auto"/>
          </w:tcPr>
          <w:p w14:paraId="0EE528A0" w14:textId="77777777" w:rsidR="00996947" w:rsidRPr="00FC2818"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1"/>
                <w:szCs w:val="21"/>
              </w:rPr>
            </w:pPr>
            <w:r w:rsidRPr="00FC2818">
              <w:rPr>
                <w:sz w:val="21"/>
                <w:szCs w:val="21"/>
              </w:rPr>
              <w:t>D-ala of TA</w:t>
            </w:r>
          </w:p>
        </w:tc>
        <w:tc>
          <w:tcPr>
            <w:tcW w:w="0" w:type="auto"/>
          </w:tcPr>
          <w:p w14:paraId="08544198" w14:textId="52D3890A" w:rsidR="00996947" w:rsidRPr="008A6136"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0"/>
                <w:szCs w:val="20"/>
              </w:rPr>
            </w:pPr>
            <w:r w:rsidRPr="008A6136">
              <w:rPr>
                <w:sz w:val="20"/>
                <w:szCs w:val="20"/>
              </w:rPr>
              <w:t xml:space="preserve">Peschel </w:t>
            </w:r>
            <w:r w:rsidRPr="008A6136">
              <w:rPr>
                <w:i/>
                <w:iCs/>
                <w:sz w:val="20"/>
                <w:szCs w:val="20"/>
              </w:rPr>
              <w:t>et al</w:t>
            </w:r>
            <w:r w:rsidRPr="008A6136">
              <w:rPr>
                <w:sz w:val="20"/>
                <w:szCs w:val="20"/>
              </w:rPr>
              <w:t>., (1999)</w:t>
            </w:r>
            <w:r w:rsidRPr="008A6136">
              <w:rPr>
                <w:sz w:val="20"/>
                <w:szCs w:val="20"/>
              </w:rPr>
              <w:fldChar w:fldCharType="begin" w:fldLock="1"/>
            </w:r>
            <w:r w:rsidR="005D1D77">
              <w:rPr>
                <w:sz w:val="20"/>
                <w:szCs w:val="20"/>
              </w:rPr>
              <w:instrText>ADDIN CSL_CITATION {"citationItems":[{"id":"ITEM-1","itemData":{"DOI":"10.1074/JBC.274.13.8405","ISBN":"0021-9258 (Print)\\r0021-9258 (Linking)","ISSN":"0021-9258 (Print) 0021-9258 (Linking)","PMID":"10085071","abstract":"Positively charged antimicrobial peptides with membrane-damaging activity are produced by animals and humans as components of their innate immunity against bacterial infections and also by many bacteria to inhibit competing microorganisms. Staphylococcus aureus and Staphylococcus xylosus, which tolerate high concentrations of several antimicrobial peptides, were mutagenized to identify genes responsible for this insensitivity. Several mutants with increased sensitivity were obtained, which exhibited an altered structure of teichoic acids, major components of the Gram-positive cell wall. The mutant teichoic acids lacked D-alanine, as a result of which the cells carried an increased negative surface charge. The mutant cells bound fewer anionic, but more positively charged proteins. They were sensitive to human defensin HNP1-3, animal-derived protegrins, tachyplesins, and magainin II, and to the bacteria-derived peptides gallidermin and nisin. The mutated genes shared sequence similarity with the dlt genes involved in the transfer of D-alanine into teichoic acids from other Gram-positive bacteria. Wild-type strains bearing additional copies of the dlt operon produced teichoic acids with higher amounts of D-alanine esters, bound cationic proteins less effectively and were less sensitive to antimicrobial peptides. We propose a role of the D-alanine-esterified teichoic acids which occur in many pathogenic bacteria in the protection against human and animal defense systems.","author":[{"dropping-particle":"","family":"Peschel","given":"Andreas","non-dropping-particle":"","parse-names":false,"suffix":""},{"dropping-particle":"","family":"Otto","given":"M","non-dropping-particle":"","parse-names":false,"suffix":""},{"dropping-particle":"","family":"Jack","given":"Ralph W.","non-dropping-particle":"","parse-names":false,"suffix":""},{"dropping-particle":"","family":"Kalbacher","given":"Hubert","non-dropping-particle":"","parse-names":false,"suffix":""},{"dropping-particle":"","family":"Jung","given":"Günther","non-dropping-particle":"","parse-names":false,"suffix":""},{"dropping-particle":"","family":"Götz","given":"Friedrich","non-dropping-particle":"","parse-names":false,"suffix":""}],"container-title":"The Journal of Biological Chemistry","id":"ITEM-1","issue":"13","issued":{"date-parts":[["1999"]]},"page":"8405-8410","title":"Inactivation of the dlt operon in Staphylococcus aureus confers sensitivity to defensins, protegrins, and other antimicrobial peptides.","type":"article-journal","volume":"274"},"uris":["http://www.mendeley.com/documents/?uuid=a7aecce6-50a3-47ce-afb9-d07fa8bf8bd9"]}],"mendeley":{"formattedCitation":"&lt;sup&gt;[100]&lt;/sup&gt;","plainTextFormattedCitation":"[100]","previouslyFormattedCitation":"&lt;sup&gt;[100]&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[100]</w:t>
            </w:r>
            <w:r w:rsidRPr="008A6136">
              <w:rPr>
                <w:sz w:val="20"/>
                <w:szCs w:val="20"/>
              </w:rPr>
              <w:fldChar w:fldCharType="end"/>
            </w:r>
            <w:r w:rsidRPr="008A6136">
              <w:rPr>
                <w:sz w:val="20"/>
                <w:szCs w:val="20"/>
              </w:rPr>
              <w:t xml:space="preserve">; Collins </w:t>
            </w:r>
            <w:r w:rsidRPr="008A6136">
              <w:rPr>
                <w:i/>
                <w:iCs/>
                <w:sz w:val="20"/>
                <w:szCs w:val="20"/>
              </w:rPr>
              <w:t>et al</w:t>
            </w:r>
            <w:r w:rsidRPr="008A6136">
              <w:rPr>
                <w:sz w:val="20"/>
                <w:szCs w:val="20"/>
              </w:rPr>
              <w:t>., (2002)</w:t>
            </w:r>
            <w:r w:rsidRPr="008A6136">
              <w:rPr>
                <w:sz w:val="20"/>
                <w:szCs w:val="20"/>
              </w:rPr>
              <w:fldChar w:fldCharType="begin" w:fldLock="1"/>
            </w:r>
            <w:r w:rsidR="00260ACA">
              <w:rPr>
                <w:sz w:val="20"/>
                <w:szCs w:val="20"/>
              </w:rPr>
              <w:instrText>ADDIN CSL_CITATION {"citationItems":[{"id":"ITEM-1","itemData":{"DOI":"10.1086/341454","ISBN":"0022-1899 (Print)","ISSN":"0022-1899","PMID":"12134257","abstract":"Staphylococcus aureus is resistant to alpha-defensins, antimicrobial peptides that play an important role in oxygen-independent killing of human neutrophils. The dlt operon mediates d-alanine incorporation into teichoic acids in the staphylococcal cell envelope and is a determinant of defensin resistance. By using S. aureus wild-type (WT) and Dlt- bacteria, the relative contributions of oxygen-dependent and -independent antimicrobial phagocyte components were analyzed. The Dlt- strain was efficiently killed by human neutrophils even in the absence of a functional respiratory burst, whereas the killing of the WT organism was strongly diminished when the respiratory burst was inhibited. Human monocytes, which do not produce defensins, inactivated the WT and Dlt- bacteria with similar efficiencies. In addition, mice injected with the Dlt- strain had significantly lower rates of sepsis and septic arthritis and fewer bacteria in the kidneys, compared with mice infected with the WT strain.","author":[{"dropping-particle":"","family":"Collins","given":"L. Vincent","non-dropping-particle":"","parse-names":false,"suffix":""},{"dropping-particle":"","family":"Kristian","given":"Sascha A.","non-dropping-particle":"","parse-names":false,"suffix":""},{"dropping-particle":"","family":"Weidenmaier","given":"Christopher","non-dropping-particle":"","parse-names":false,"suffix":""},{"dropping-particle":"","family":"Faigle","given":"Marion","non-dropping-particle":"","parse-names":false,"suffix":""},{"dropping-particle":"","family":"Kessel","given":"Kok P. M.","non-dropping-particle":"van","parse-names":false,"suffix":""},{"dropping-particle":"","family":"Strijp","given":"Jos A. G.","non-dropping-particle":"van","parse-names":false,"suffix":""},{"dropping-particle":"","family":"Götz","given":"Friedrich","non-dropping-particle":"","parse-names":false,"suffix":""},{"dropping-particle":"","family":"Neumeister","given":"Birgid","non-dropping-particle":"","parse-names":false,"suffix":""},{"dropping-particle":"","family":"Peschel","given":"Andreas","non-dropping-particle":"","parse-names":false,"suffix":""}],"container-title":"The Journal of Infectious Diseases","id":"ITEM-1","issue":"2","issued":{"date-parts":[["2002"]]},"page":"214-219","title":"Staphylococcus aureus Strains Lacking D‐Alanine Modifications of Teichoic Acids Are Highly Susceptible to Human Neutrophil Killing and Are Virulence Attenuated in Mice","type":"article-journal","volume":"186"},"uris":["http://www.mendeley.com/documents/?uuid=64ab209f-f192-42d0-a102-dfd0b8267af8"]}],"mendeley":{"formattedCitation":"&lt;sup&gt;[101]&lt;/sup&gt;","plainTextFormattedCitation":"[101]","previouslyFormattedCitation":"&lt;sup&gt;[101]&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[101]</w:t>
            </w:r>
            <w:r w:rsidRPr="008A6136">
              <w:rPr>
                <w:sz w:val="20"/>
                <w:szCs w:val="20"/>
              </w:rPr>
              <w:fldChar w:fldCharType="end"/>
            </w:r>
            <w:r w:rsidRPr="008A6136">
              <w:rPr>
                <w:sz w:val="20"/>
                <w:szCs w:val="20"/>
              </w:rPr>
              <w:t xml:space="preserve">; Koprivnjak </w:t>
            </w:r>
            <w:r w:rsidRPr="008A6136">
              <w:rPr>
                <w:i/>
                <w:iCs/>
                <w:sz w:val="20"/>
                <w:szCs w:val="20"/>
              </w:rPr>
              <w:t>et al</w:t>
            </w:r>
            <w:r w:rsidRPr="008A6136">
              <w:rPr>
                <w:sz w:val="20"/>
                <w:szCs w:val="20"/>
              </w:rPr>
              <w:t>., (2002)</w:t>
            </w:r>
            <w:r w:rsidRPr="008A6136">
              <w:rPr>
                <w:sz w:val="20"/>
                <w:szCs w:val="20"/>
              </w:rPr>
              <w:fldChar w:fldCharType="begin" w:fldLock="1"/>
            </w:r>
            <w:r w:rsidR="00260ACA">
              <w:rPr>
                <w:sz w:val="20"/>
                <w:szCs w:val="20"/>
              </w:rPr>
              <w:instrText>ADDIN CSL_CITATION {"citationItems":[{"id":"ITEM-1","itemData":{"DOI":"10.1074/jbc.M205104200","ISBN":"4763647644","ISSN":"00219258","PMID":"12359734","abstract":"Mammalian Group IIA phospholipases A(2) (PLA(2)) potently kill Staphylococcus aureus. Highly cationic properties of these PLA(2) are important for Ca(2+)-independent binding and cell wall penetration, prerequisites for Ca(2+)-dependent degradation of membrane phospholipids and bacterial killing. To further delineate charge properties of the bacterial envelope important in Group IIA PLA(2) action against S. aureus, we examined the effects of mutations that prevent specific modifications of cell wall (dltA) and cell membrane (mprF) polyanions. In comparison to the parent strain, isogenic dltA(-) bacteria are approximately 30-100x more sensitive to PLA(2), whereas mprF(-) bacteria are &lt;3-fold more sensitive. Differences in PLA(2) sensitivity of intact bacteria reflect differences in cell wall, not cell membrane, properties since protoplasts from all three strains are equally sensitive to PLA(2). A diminished positive charge in PLA(2) reduces PLA(2) binding and antibacterial activity. In contrast, diminished cell wall negative charge by substitution of (lipo)teichoic acids with d-alanine reduces antibacterial activity of bound PLA(2), but not initial PLA(2) binding. Therefore, the potent antistaphylococcal activity of Group IIA PLA(2) depends on cationic properties of the enzyme that promote binding to the cell wall, and polyanionic properties of cell wall (lipo)teichoic acids that promote attack of membrane phospholipids by bound PLA(2).","author":[{"dropping-particle":"","family":"Koprivnjak","given":"Tomaz","non-dropping-particle":"","parse-names":false,"suffix":""},{"dropping-particle":"","family":"Peschel","given":"Andreas","non-dropping-particle":"","parse-names":false,"suffix":""},{"dropping-particle":"","family":"Gelb","given":"Michael H.","non-dropping-particle":"","parse-names":false,"suffix":""},{"dropping-particle":"","family":"Liang","given":"Ning S.","non-dropping-particle":"","parse-names":false,"suffix":""},{"dropping-particle":"","family":"Weiss","given":"Jerrold P.","non-dropping-particle":"","parse-names":false,"suffix":""}],"container-title":"Journal of Biological Chemistry","id":"ITEM-1","issue":"49","issued":{"date-parts":[["2002"]]},"page":"47636-47644","title":"Role of charge properties of bacterial envelope in bactericidal action of human Group IIA phospholipase A2 against Staphylococcus aureus","type":"article-journal","volume":"277"},"uris":["http://www.mendeley.com/documents/?uuid=909010ec-41ad-46de-8c33-546b0ff97919"]}],"mendeley":{"formattedCitation":"&lt;sup&gt;[102]&lt;/sup&gt;","plainTextFormattedCitation":"[102]","previouslyFormattedCitation":"&lt;sup&gt;[102]&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[102]</w:t>
            </w:r>
            <w:r w:rsidRPr="008A6136">
              <w:rPr>
                <w:sz w:val="20"/>
                <w:szCs w:val="20"/>
              </w:rPr>
              <w:fldChar w:fldCharType="end"/>
            </w:r>
            <w:r w:rsidRPr="008A6136">
              <w:rPr>
                <w:sz w:val="20"/>
                <w:szCs w:val="20"/>
              </w:rPr>
              <w:t xml:space="preserve">; Weidenmaier </w:t>
            </w:r>
            <w:r w:rsidRPr="008A6136">
              <w:rPr>
                <w:i/>
                <w:iCs/>
                <w:sz w:val="20"/>
                <w:szCs w:val="20"/>
              </w:rPr>
              <w:t xml:space="preserve">et ai., </w:t>
            </w:r>
            <w:r w:rsidRPr="008A6136">
              <w:rPr>
                <w:sz w:val="20"/>
                <w:szCs w:val="20"/>
              </w:rPr>
              <w:t>(2005)</w:t>
            </w:r>
            <w:r w:rsidRPr="008A6136">
              <w:rPr>
                <w:sz w:val="20"/>
                <w:szCs w:val="20"/>
              </w:rPr>
              <w:fldChar w:fldCharType="begin" w:fldLock="1"/>
            </w:r>
            <w:r w:rsidR="00260ACA">
              <w:rPr>
                <w:sz w:val="20"/>
                <w:szCs w:val="20"/>
              </w:rPr>
              <w:instrText>ADDIN CSL_CITATION {"citationItems":[{"id":"ITEM-1","itemData":{"DOI":"10.1086/429692","ISBN":"0022-1899 (Print)\\r0022-1899 (Linking)","ISSN":"0022-1899","PMID":"15838806","abstract":"Wall teichoic acids (WTAs) are major surface components of gram-positive bacteria that have recently been shown to play a key role in nasal colonization by Staphylococcus aureus. In the present study, we assessed the impact that WTAs have on endovascular infections by using a WTA-deficient S. aureus mutant ( Delta tagO). There were no significant differences detected between the isogenic parental strain (SA113) and the Delta tagO mutant in polymorphonuclear leukocyte-mediated opsonophagocytosis; killing by a prototypic platelet microbicidal protein; or binding to platelets, fibronectin, or fibrinogen. However, compared with the parental strain, the Delta tagO mutant adhered considerably less well to human endothelial cells, especially under flow conditions (70.3% reduction; P&lt;.05). Beads coated with WTA bound to endothelium in a dose-dependent manner, suggesting that WTA contributes specifically to this interaction. These in vitro data closely paralleled those from a rabbit model of infective endocarditis in which the Delta tagO mutant was compared with the parental strain. Clearances of staphylococcus from the bloodstream were equivalent, but the Delta tagO mutant showed a significantly reduced capacity to both colonize sterile cardiac vegetations (P&lt;.05) and proliferate within these vegetations, the kidneys, and the spleen (P&lt;.001). We conclude that WTA is an important factor in the induction and progression of endovascular S. aureus infection, likely through a specific interaction with endothelial cells.","author":[{"dropping-particle":"","family":"Weidenmaier","given":"Christopher","non-dropping-particle":"","parse-names":false,"suffix":""},{"dropping-particle":"","family":"Peschel","given":"Andreas","non-dropping-particle":"","parse-names":false,"suffix":""},{"dropping-particle":"","family":"Xiong","given":"Yan‐Qiong","non-dropping-particle":"","parse-names":false,"suffix":""},{"dropping-particle":"","family":"Kristian","given":"Sascha A.","non-dropping-particle":"","parse-names":false,"suffix":""},{"dropping-particle":"","family":"Dietz","given":"Klaus","non-dropping-particle":"","parse-names":false,"suffix":""},{"dropping-particle":"","family":"Yeaman","given":"Michael R.","non-dropping-particle":"","parse-names":false,"suffix":""},{"dropping-particle":"","family":"Bayer","given":"Arnold S.","non-dropping-particle":"","parse-names":false,"suffix":""}],"container-title":"The Journal of Infectious Diseases","id":"ITEM-1","issue":"10","issued":{"date-parts":[["2005"]]},"page":"1771-1777","title":"Lack of Wall Teichoic Acids in Staphylococcus aureus Leads to Reduced Interactions with Endothelial Cells and to Attenuated Virulence in a Rabbit Model of Endocarditis","type":"article-journal","volume":"191"},"uris":["http://www.mendeley.com/documents/?uuid=6acd657a-ec03-44c6-bb09-f4484900d5c9"]}],"mendeley":{"formattedCitation":"&lt;sup&gt;[103]&lt;/sup&gt;","plainTextFormattedCitation":"[103]","previouslyFormattedCitation":"&lt;sup&gt;[103]&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[103]</w:t>
            </w:r>
            <w:r w:rsidRPr="008A6136">
              <w:rPr>
                <w:sz w:val="20"/>
                <w:szCs w:val="20"/>
              </w:rPr>
              <w:fldChar w:fldCharType="end"/>
            </w:r>
          </w:p>
        </w:tc>
      </w:tr>
      <w:tr w:rsidR="00FA11A2" w:rsidRPr="00FC2818" w14:paraId="33447D9B" w14:textId="77777777" w:rsidTr="00585467">
        <w:trPr>
          <w:trHeight w:val="465"/>
          <w:jc w:val="center"/>
        </w:trPr>
        <w:tc>
          <w:tcPr>
            <w:cnfStyle w:val="001000000000" w:firstRow="0" w:lastRow="0" w:firstColumn="1" w:lastColumn="0" w:oddVBand="0" w:evenVBand="0" w:oddHBand="0" w:evenHBand="0" w:firstRowFirstColumn="0" w:firstRowLastColumn="0" w:lastRowFirstColumn="0" w:lastRowLastColumn="0"/>
            <w:tcW w:w="0" w:type="auto"/>
          </w:tcPr>
          <w:p w14:paraId="776D834A" w14:textId="77777777" w:rsidR="00996947" w:rsidRPr="00FC2818" w:rsidRDefault="00996947" w:rsidP="00FC2818">
            <w:pPr>
              <w:pStyle w:val="Tabletextnormal"/>
              <w:spacing w:before="40" w:after="40"/>
              <w:rPr>
                <w:sz w:val="21"/>
                <w:szCs w:val="21"/>
              </w:rPr>
            </w:pPr>
            <w:r w:rsidRPr="00FC2818">
              <w:rPr>
                <w:sz w:val="21"/>
                <w:szCs w:val="21"/>
              </w:rPr>
              <w:t>Resistance to cationic antibiotics (</w:t>
            </w:r>
            <w:r w:rsidRPr="00FC2818">
              <w:rPr>
                <w:i/>
                <w:sz w:val="21"/>
                <w:szCs w:val="21"/>
              </w:rPr>
              <w:t>e.g.,</w:t>
            </w:r>
            <w:r w:rsidRPr="00FC2818">
              <w:rPr>
                <w:sz w:val="21"/>
                <w:szCs w:val="21"/>
              </w:rPr>
              <w:t xml:space="preserve"> vancomycin)</w:t>
            </w:r>
          </w:p>
        </w:tc>
        <w:tc>
          <w:tcPr>
            <w:tcW w:w="0" w:type="auto"/>
          </w:tcPr>
          <w:p w14:paraId="3F52B80D" w14:textId="77777777" w:rsidR="00996947" w:rsidRPr="00FC2818"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1"/>
                <w:szCs w:val="21"/>
              </w:rPr>
            </w:pPr>
            <w:r w:rsidRPr="00FC2818">
              <w:rPr>
                <w:sz w:val="21"/>
                <w:szCs w:val="21"/>
              </w:rPr>
              <w:t>D-ala of TA</w:t>
            </w:r>
          </w:p>
        </w:tc>
        <w:tc>
          <w:tcPr>
            <w:tcW w:w="0" w:type="auto"/>
          </w:tcPr>
          <w:p w14:paraId="636BA276" w14:textId="7D37CB37" w:rsidR="00996947" w:rsidRPr="008A6136"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0"/>
                <w:szCs w:val="20"/>
              </w:rPr>
            </w:pPr>
            <w:r w:rsidRPr="008A6136">
              <w:rPr>
                <w:sz w:val="20"/>
                <w:szCs w:val="20"/>
              </w:rPr>
              <w:t xml:space="preserve">Peschel </w:t>
            </w:r>
            <w:r w:rsidRPr="008A6136">
              <w:rPr>
                <w:i/>
                <w:iCs/>
                <w:sz w:val="20"/>
                <w:szCs w:val="20"/>
              </w:rPr>
              <w:t>et al</w:t>
            </w:r>
            <w:r w:rsidRPr="008A6136">
              <w:rPr>
                <w:sz w:val="20"/>
                <w:szCs w:val="20"/>
              </w:rPr>
              <w:t>., (2000)</w:t>
            </w:r>
            <w:r w:rsidRPr="008A6136">
              <w:rPr>
                <w:sz w:val="20"/>
                <w:szCs w:val="20"/>
              </w:rPr>
              <w:fldChar w:fldCharType="begin" w:fldLock="1"/>
            </w:r>
            <w:r w:rsidR="00260ACA">
              <w:rPr>
                <w:sz w:val="20"/>
                <w:szCs w:val="20"/>
              </w:rPr>
              <w:instrText>ADDIN CSL_CITATION {"citationItems":[{"id":"ITEM-1","itemData":{"author":[{"dropping-particle":"","family":"Peschel","given":"Andreas","non-dropping-particle":"","parse-names":false,"suffix":""},{"dropping-particle":"","family":"Vuong","given":"Cuong","non-dropping-particle":"","parse-names":false,"suffix":""},{"dropping-particle":"","family":"Otto","given":"Michael","non-dropping-particle":"","parse-names":false,"suffix":""},{"dropping-particle":"","family":"Genetics","given":"Microbial","non-dropping-particle":"","parse-names":false,"suffix":""}],"id":"ITEM-1","issue":"10","issued":{"date-parts":[["2000"]]},"page":"2845-2847","title":"The D -Alanine Residues of Staphylococcus aureus Teichoic Acids Alter the Susceptibility to Vancomycin and the Activity of Autolytic Enzymes","type":"article-journal","volume":"44"},"uris":["http://www.mendeley.com/documents/?uuid=086ef1f5-a692-4cef-a476-ae4892964ac1"]}],"mendeley":{"formattedCitation":"&lt;sup&gt;[104]&lt;/sup&gt;","plainTextFormattedCitation":"[104]","previouslyFormattedCitation":"&lt;sup&gt;[104]&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[104]</w:t>
            </w:r>
            <w:r w:rsidRPr="008A6136">
              <w:rPr>
                <w:sz w:val="20"/>
                <w:szCs w:val="20"/>
              </w:rPr>
              <w:fldChar w:fldCharType="end"/>
            </w:r>
          </w:p>
        </w:tc>
      </w:tr>
      <w:tr w:rsidR="00FA11A2" w:rsidRPr="00FC2818" w14:paraId="738DBCEF" w14:textId="77777777" w:rsidTr="00585467">
        <w:trPr>
          <w:trHeight w:val="350"/>
          <w:jc w:val="center"/>
        </w:trPr>
        <w:tc>
          <w:tcPr>
            <w:cnfStyle w:val="001000000000" w:firstRow="0" w:lastRow="0" w:firstColumn="1" w:lastColumn="0" w:oddVBand="0" w:evenVBand="0" w:oddHBand="0" w:evenHBand="0" w:firstRowFirstColumn="0" w:firstRowLastColumn="0" w:lastRowFirstColumn="0" w:lastRowLastColumn="0"/>
            <w:tcW w:w="0" w:type="auto"/>
          </w:tcPr>
          <w:p w14:paraId="65937CFF" w14:textId="77777777" w:rsidR="00996947" w:rsidRPr="00FC2818" w:rsidRDefault="00996947" w:rsidP="00FC2818">
            <w:pPr>
              <w:pStyle w:val="Tabletextnormal"/>
              <w:spacing w:before="40" w:after="40"/>
              <w:rPr>
                <w:sz w:val="21"/>
                <w:szCs w:val="21"/>
              </w:rPr>
            </w:pPr>
            <w:r w:rsidRPr="00FC2818">
              <w:rPr>
                <w:sz w:val="21"/>
                <w:szCs w:val="21"/>
              </w:rPr>
              <w:t>Resistance to lysozyme</w:t>
            </w:r>
          </w:p>
        </w:tc>
        <w:tc>
          <w:tcPr>
            <w:tcW w:w="0" w:type="auto"/>
          </w:tcPr>
          <w:p w14:paraId="662F2CBC" w14:textId="77777777" w:rsidR="00996947" w:rsidRPr="00FC2818"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1"/>
                <w:szCs w:val="21"/>
              </w:rPr>
            </w:pPr>
            <w:r w:rsidRPr="00FC2818">
              <w:rPr>
                <w:sz w:val="21"/>
                <w:szCs w:val="21"/>
              </w:rPr>
              <w:t>WTA</w:t>
            </w:r>
          </w:p>
        </w:tc>
        <w:tc>
          <w:tcPr>
            <w:tcW w:w="0" w:type="auto"/>
          </w:tcPr>
          <w:p w14:paraId="3AD409EE" w14:textId="00FBB442" w:rsidR="00996947" w:rsidRPr="008A6136"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0"/>
                <w:szCs w:val="20"/>
              </w:rPr>
            </w:pPr>
            <w:r w:rsidRPr="008A6136">
              <w:rPr>
                <w:sz w:val="20"/>
                <w:szCs w:val="20"/>
              </w:rPr>
              <w:t xml:space="preserve">Bera </w:t>
            </w:r>
            <w:r w:rsidRPr="008A6136">
              <w:rPr>
                <w:i/>
                <w:iCs/>
                <w:sz w:val="20"/>
                <w:szCs w:val="20"/>
              </w:rPr>
              <w:t>et al</w:t>
            </w:r>
            <w:r w:rsidRPr="008A6136">
              <w:rPr>
                <w:sz w:val="20"/>
                <w:szCs w:val="20"/>
              </w:rPr>
              <w:t>., (2007)</w:t>
            </w:r>
            <w:r w:rsidRPr="008A6136">
              <w:rPr>
                <w:sz w:val="20"/>
                <w:szCs w:val="20"/>
              </w:rPr>
              <w:fldChar w:fldCharType="begin" w:fldLock="1"/>
            </w:r>
            <w:r w:rsidR="00260ACA">
              <w:rPr>
                <w:sz w:val="20"/>
                <w:szCs w:val="20"/>
              </w:rPr>
              <w:instrText>ADDIN CSL_CITATION {"citationItems":[{"id":"ITEM-1","itemData":{"DOI":"10.1128/JB.01221-06","ISBN":"0021-9193 (Print)","ISSN":"00219193","PMID":"17085565","abstract":"Staphylococcus aureus peptidoglycan (PG) is completely resistant to the hydrolytic activity of lysozyme. Here we show that modifications in PG by O acetylation, wall teichoic acid, and a high degree of cross-linking contribute to this resistance.","author":[{"dropping-particle":"","family":"Bera","given":"Agnieszka","non-dropping-particle":"","parse-names":false,"suffix":""},{"dropping-particle":"","family":"Biswas","given":"Raja","non-dropping-particle":"","parse-names":false,"suffix":""},{"dropping-particle":"","family":"Herbert","given":"Silvia","non-dropping-particle":"","parse-names":false,"suffix":""},{"dropping-particle":"","family":"Kulauzovic","given":"Emir","non-dropping-particle":"","parse-names":false,"suffix":""},{"dropping-particle":"","family":"Weidenmaier","given":"Christopher","non-dropping-particle":"","parse-names":false,"suffix":""},{"dropping-particle":"","family":"Peschel","given":"Andreas","non-dropping-particle":"","parse-names":false,"suffix":""},{"dropping-particle":"","family":"Götz","given":"Friedrich","non-dropping-particle":"","parse-names":false,"suffix":""}],"container-title":"Journal of Bacteriology","id":"ITEM-1","issue":"1","issued":{"date-parts":[["2007"]]},"page":"280-283","title":"Influence of wall teichoic acid on lysozyme resistance in Staphylococcus aureus","type":"article-journal","volume":"189"},"uris":["http://www.mendeley.com/documents/?uuid=d5d6519b-03cc-46f0-a1a5-4883f1332b19"]}],"mendeley":{"formattedCitation":"&lt;sup&gt;[105]&lt;/sup&gt;","plainTextFormattedCitation":"[105]","previouslyFormattedCitation":"&lt;sup&gt;[105]&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[105]</w:t>
            </w:r>
            <w:r w:rsidRPr="008A6136">
              <w:rPr>
                <w:sz w:val="20"/>
                <w:szCs w:val="20"/>
              </w:rPr>
              <w:fldChar w:fldCharType="end"/>
            </w:r>
          </w:p>
        </w:tc>
      </w:tr>
      <w:tr w:rsidR="00FA11A2" w:rsidRPr="00FC2818" w14:paraId="33CF3B92" w14:textId="77777777" w:rsidTr="00585467">
        <w:trPr>
          <w:trHeight w:val="609"/>
          <w:jc w:val="center"/>
        </w:trPr>
        <w:tc>
          <w:tcPr>
            <w:cnfStyle w:val="001000000000" w:firstRow="0" w:lastRow="0" w:firstColumn="1" w:lastColumn="0" w:oddVBand="0" w:evenVBand="0" w:oddHBand="0" w:evenHBand="0" w:firstRowFirstColumn="0" w:firstRowLastColumn="0" w:lastRowFirstColumn="0" w:lastRowLastColumn="0"/>
            <w:tcW w:w="0" w:type="auto"/>
          </w:tcPr>
          <w:p w14:paraId="1F9615FC" w14:textId="77777777" w:rsidR="00996947" w:rsidRPr="00FC2818" w:rsidRDefault="00996947" w:rsidP="00FC2818">
            <w:pPr>
              <w:pStyle w:val="Tabletextnormal"/>
              <w:spacing w:before="40" w:after="40"/>
              <w:rPr>
                <w:sz w:val="21"/>
                <w:szCs w:val="21"/>
              </w:rPr>
            </w:pPr>
            <w:r w:rsidRPr="00FC2818">
              <w:rPr>
                <w:sz w:val="21"/>
                <w:szCs w:val="21"/>
              </w:rPr>
              <w:t>Resistance to antimicrobial fatty acids</w:t>
            </w:r>
          </w:p>
        </w:tc>
        <w:tc>
          <w:tcPr>
            <w:tcW w:w="0" w:type="auto"/>
          </w:tcPr>
          <w:p w14:paraId="5BD63372" w14:textId="77777777" w:rsidR="00996947" w:rsidRPr="00FC2818"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1"/>
                <w:szCs w:val="21"/>
              </w:rPr>
            </w:pPr>
            <w:r w:rsidRPr="00FC2818">
              <w:rPr>
                <w:sz w:val="21"/>
                <w:szCs w:val="21"/>
              </w:rPr>
              <w:t>WTA</w:t>
            </w:r>
          </w:p>
        </w:tc>
        <w:tc>
          <w:tcPr>
            <w:tcW w:w="0" w:type="auto"/>
          </w:tcPr>
          <w:p w14:paraId="43808085" w14:textId="40A7A7D6" w:rsidR="00996947" w:rsidRPr="008A6136"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0"/>
                <w:szCs w:val="20"/>
              </w:rPr>
            </w:pPr>
            <w:r w:rsidRPr="008A6136">
              <w:rPr>
                <w:sz w:val="20"/>
                <w:szCs w:val="20"/>
              </w:rPr>
              <w:t xml:space="preserve">Kohler </w:t>
            </w:r>
            <w:r w:rsidRPr="008A6136">
              <w:rPr>
                <w:i/>
                <w:iCs/>
                <w:sz w:val="20"/>
                <w:szCs w:val="20"/>
              </w:rPr>
              <w:t xml:space="preserve">et al., </w:t>
            </w:r>
            <w:r w:rsidRPr="008A6136">
              <w:rPr>
                <w:sz w:val="20"/>
                <w:szCs w:val="20"/>
              </w:rPr>
              <w:t>(2009)</w:t>
            </w:r>
            <w:r w:rsidRPr="008A6136">
              <w:rPr>
                <w:sz w:val="20"/>
                <w:szCs w:val="20"/>
              </w:rPr>
              <w:fldChar w:fldCharType="begin" w:fldLock="1"/>
            </w:r>
            <w:r w:rsidR="00260ACA">
              <w:rPr>
                <w:sz w:val="20"/>
                <w:szCs w:val="20"/>
              </w:rPr>
              <w:instrText>ADDIN CSL_CITATION {"citationItems":[{"id":"ITEM-1","itemData":{"DOI":"10.1128/JB.00221-09","ISBN":"1098-5530 (Electronic)\\r0021-9193 (Linking)","ISSN":"00219193","PMID":"19429623","abstract":"Skin-colonizing gram-positive bacteria produce wall teichoic acids (WTAs) or related glycopolymers for unclear reasons. Using a WTA-deficient Staphylococcus aureus mutant, we demonstrated that WTA confers resistance to antimicrobial fatty acids from human sebaceous glands by preventing fatty acid binding. Thus, WTA is probably important for bacterial skin colonization.","author":[{"dropping-particle":"","family":"Kohler","given":"Thomas","non-dropping-particle":"","parse-names":false,"suffix":""},{"dropping-particle":"","family":"Weidenmaier","given":"Christopher","non-dropping-particle":"","parse-names":false,"suffix":""},{"dropping-particle":"","family":"Peschel","given":"Andreas","non-dropping-particle":"","parse-names":false,"suffix":""}],"container-title":"Journal of Bacteriology","id":"ITEM-1","issue":"13","issued":{"date-parts":[["2009"]]},"page":"4482-4484","title":"Wall teichoic acid protects Staphylococcus aureus against antimicrobial fatty acids from human skin","type":"article-journal","volume":"191"},"uris":["http://www.mendeley.com/documents/?uuid=7e774c2e-feeb-4660-9313-a5ba858361a0"]}],"mendeley":{"formattedCitation":"&lt;sup&gt;[106]&lt;/sup&gt;","plainTextFormattedCitation":"[106]","previouslyFormattedCitation":"&lt;sup&gt;[106]&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[106]</w:t>
            </w:r>
            <w:r w:rsidRPr="008A6136">
              <w:rPr>
                <w:sz w:val="20"/>
                <w:szCs w:val="20"/>
              </w:rPr>
              <w:fldChar w:fldCharType="end"/>
            </w:r>
          </w:p>
        </w:tc>
      </w:tr>
      <w:tr w:rsidR="00FA11A2" w:rsidRPr="00FC2818" w14:paraId="5208F95D" w14:textId="77777777" w:rsidTr="00585467">
        <w:trPr>
          <w:trHeight w:val="591"/>
          <w:jc w:val="center"/>
        </w:trPr>
        <w:tc>
          <w:tcPr>
            <w:cnfStyle w:val="001000000000" w:firstRow="0" w:lastRow="0" w:firstColumn="1" w:lastColumn="0" w:oddVBand="0" w:evenVBand="0" w:oddHBand="0" w:evenHBand="0" w:firstRowFirstColumn="0" w:firstRowLastColumn="0" w:lastRowFirstColumn="0" w:lastRowLastColumn="0"/>
            <w:tcW w:w="0" w:type="auto"/>
          </w:tcPr>
          <w:p w14:paraId="302D0DEE" w14:textId="77777777" w:rsidR="00996947" w:rsidRPr="00FC2818" w:rsidRDefault="00996947" w:rsidP="00FC2818">
            <w:pPr>
              <w:pStyle w:val="Tabletextnormal"/>
              <w:spacing w:before="40" w:after="40"/>
              <w:rPr>
                <w:sz w:val="21"/>
                <w:szCs w:val="21"/>
              </w:rPr>
            </w:pPr>
            <w:r w:rsidRPr="00FC2818">
              <w:rPr>
                <w:sz w:val="21"/>
                <w:szCs w:val="21"/>
              </w:rPr>
              <w:t>Resistance to heat stress</w:t>
            </w:r>
          </w:p>
        </w:tc>
        <w:tc>
          <w:tcPr>
            <w:tcW w:w="0" w:type="auto"/>
          </w:tcPr>
          <w:p w14:paraId="4B7C3EA6" w14:textId="77777777" w:rsidR="00996947" w:rsidRPr="00FC2818"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1"/>
                <w:szCs w:val="21"/>
              </w:rPr>
            </w:pPr>
            <w:r w:rsidRPr="00FC2818">
              <w:rPr>
                <w:sz w:val="21"/>
                <w:szCs w:val="21"/>
              </w:rPr>
              <w:t>WTA, LTA</w:t>
            </w:r>
          </w:p>
        </w:tc>
        <w:tc>
          <w:tcPr>
            <w:tcW w:w="0" w:type="auto"/>
          </w:tcPr>
          <w:p w14:paraId="787C4250" w14:textId="1D6B4F6A" w:rsidR="00996947" w:rsidRPr="008A6136"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0"/>
                <w:szCs w:val="20"/>
                <w:lang w:val="es-ES"/>
              </w:rPr>
            </w:pPr>
            <w:r w:rsidRPr="008A6136">
              <w:rPr>
                <w:sz w:val="20"/>
                <w:szCs w:val="20"/>
                <w:lang w:val="es-ES"/>
              </w:rPr>
              <w:t>Hoover &amp; Grey (1977)</w:t>
            </w:r>
            <w:r w:rsidRPr="008A6136">
              <w:rPr>
                <w:sz w:val="20"/>
                <w:szCs w:val="20"/>
                <w:lang w:val="es-ES"/>
              </w:rPr>
              <w:fldChar w:fldCharType="begin" w:fldLock="1"/>
            </w:r>
            <w:r w:rsidR="00260ACA">
              <w:rPr>
                <w:sz w:val="20"/>
                <w:szCs w:val="20"/>
                <w:lang w:val="es-ES"/>
              </w:rPr>
              <w:instrText>ADDIN CSL_CITATION {"citationItems":[{"id":"ITEM-1","itemData":{"ISBN":"0021-9193 (Print)\\r0021-9193 (Linking)","ISSN":"00219193","PMID":"407211","abstract":"Thermally injured cells of Staphylococcus aureus lack the ability to grow on tryptic soy agar containing 7.5% NaCl. This injury phenomenon was examined in three strains of S. aureus: MF-31; H (Str); and, isolated from H (Str), 52A5, a mutant which lacks teichoic acid in the cell wall. Temperatures for sublethal heat treatment were selected to produce maximum injury with minimum death for each strain. Examination of isolated cell walls showed that magnesium was lost from the wall during heating, and that the degree of cell injury was accentuated when magnesium ions were either removed from or made unavailable to the cell. S. aureus 52A5 was more heat sensitive than its parent strain. Cells containing higher levels of wall teichoic acid generally showed less injury than normal cells. Cells with the weaker cation-binding polymer, teichuronic acid, in the cell wall generally showed greater injury. These data suggest that cell wall teichoic acid of S. aureus aids in the survival of the cell by the maintenance of an accessible surface pool of magnesium.","author":[{"dropping-particle":"","family":"Hoover","given":"D. G.","non-dropping-particle":"","parse-names":false,"suffix":""},{"dropping-particle":"","family":"Gray","given":"R. J.","non-dropping-particle":"","parse-names":false,"suffix":""}],"container-title":"Journal of Bacteriology","id":"ITEM-1","issued":{"date-parts":[["1977"]]},"title":"Function of cell wall teichoic acid in thermally injured Staphylococcus aureus.","type":"article-journal"},"uris":["http://www.mendeley.com/documents/?uuid=9d8243f3-8b88-35aa-899b-f5931f0c8455"]}],"mendeley":{"formattedCitation":"&lt;sup&gt;[107]&lt;/sup&gt;","plainTextFormattedCitation":"[107]","previouslyFormattedCitation":"&lt;sup&gt;[107]&lt;/sup&gt;"},"properties":{"noteIndex":0},"schema":"https://github.com/citation-style-language/schema/raw/master/csl-citation.json"}</w:instrText>
            </w:r>
            <w:r w:rsidRPr="008A6136">
              <w:rPr>
                <w:sz w:val="20"/>
                <w:szCs w:val="20"/>
                <w:lang w:val="es-ES"/>
              </w:rPr>
              <w:fldChar w:fldCharType="separate"/>
            </w:r>
            <w:r w:rsidR="00C825F9" w:rsidRPr="00C825F9">
              <w:rPr>
                <w:noProof/>
                <w:sz w:val="20"/>
                <w:szCs w:val="20"/>
                <w:vertAlign w:val="superscript"/>
                <w:lang w:val="es-ES"/>
              </w:rPr>
              <w:t>[107]</w:t>
            </w:r>
            <w:r w:rsidRPr="008A6136">
              <w:rPr>
                <w:sz w:val="20"/>
                <w:szCs w:val="20"/>
                <w:lang w:val="es-ES"/>
              </w:rPr>
              <w:fldChar w:fldCharType="end"/>
            </w:r>
            <w:r w:rsidRPr="008A6136">
              <w:rPr>
                <w:sz w:val="20"/>
                <w:szCs w:val="20"/>
                <w:lang w:val="es-ES"/>
              </w:rPr>
              <w:t xml:space="preserve">; Vergara </w:t>
            </w:r>
            <w:r w:rsidRPr="008A6136">
              <w:rPr>
                <w:i/>
                <w:iCs/>
                <w:sz w:val="20"/>
                <w:szCs w:val="20"/>
                <w:lang w:val="es-ES"/>
              </w:rPr>
              <w:t>et al</w:t>
            </w:r>
            <w:r w:rsidRPr="008A6136">
              <w:rPr>
                <w:sz w:val="20"/>
                <w:szCs w:val="20"/>
                <w:lang w:val="es-ES"/>
              </w:rPr>
              <w:t>., (2008)</w:t>
            </w:r>
            <w:r w:rsidRPr="008A6136">
              <w:rPr>
                <w:sz w:val="20"/>
                <w:szCs w:val="20"/>
                <w:lang w:val="es-ES"/>
              </w:rPr>
              <w:fldChar w:fldCharType="begin" w:fldLock="1"/>
            </w:r>
            <w:r w:rsidR="00260ACA">
              <w:rPr>
                <w:sz w:val="20"/>
                <w:szCs w:val="20"/>
                <w:lang w:val="es-ES"/>
              </w:rPr>
              <w:instrText>ADDIN CSL_CITATION {"citationItems":[{"id":"ITEM-1","itemData":{"DOI":"10.1099/mic.0.2007/013292-0","ISBN":"1350-0872 (Print)\\r1350-0872 (Linking)","ISSN":"13500872","PMID":"18310032","abstract":"Biofilm formation in Staphylococcus aureus is usually associated with the production of the poly-N-acetylglucosamine (PNAG) exopolysaccharide, synthesized by proteins encoded by the icaADBC operon. PNAG is a linear beta-(1-6)-linked N-acetylglucosaminoglycan that has to be partially deacetylated and consequently positively charged in order to be associated with bacterial cell surfaces. Here, we investigated whether attachment of PNAG to bacterial surfaces is mediated by ionic interactions with the negative charge of wall teichoic acids (WTAs), which represent the most abundant polyanions of the Gram-positive bacterial envelope. We generated WTA-deficient mutants by in-frame deletion of the tagO gene in two genetically unrelated S. aureus strains. The DeltatagO mutants were more sensitive to high temperatures, showed a higher degree of cell aggregation, had reduced initial adherence to abiotic surfaces and had a reduced capacity to form biofilms under both steady-state and flow conditions. However, the levels as well as the strength of the PNAG interaction with the bacterial cell surface were similar between DeltatagO mutants and their corresponding wild-type strains. Furthermore, double DeltatagO DeltaicaADBC mutants displayed a similar aggregative phenotype to that of single DeltatagO mutants, indicating that PNAG is not responsible for the aggregative behaviour observed in DeltatagO mutants. Overall, the absence of WTAs in S. aureus had little effect on PNAG production or anchoring to the cell surface, but did affect the biofilm-forming capacity, cell aggregative behaviour and the temperature sensitivity/stability of S. aureus.","author":[{"dropping-particle":"","family":"Vergara-Irigaray","given":"Marta","non-dropping-particle":"","parse-names":false,"suffix":""},{"dropping-particle":"","family":"Maira-Litrán","given":"Tomas","non-dropping-particle":"","parse-names":false,"suffix":""},{"dropping-particle":"","family":"Merino","given":"Nekane","non-dropping-particle":"","parse-names":false,"suffix":""},{"dropping-particle":"","family":"Pier","given":"Gerald B.","non-dropping-particle":"","parse-names":false,"suffix":""},{"dropping-particle":"","family":"Penadés","given":"José R.","non-dropping-particle":"","parse-names":false,"suffix":""},{"dropping-particle":"","family":"Lasa","given":"Iñigo","non-dropping-particle":"","parse-names":false,"suffix":""}],"container-title":"Microbiology","id":"ITEM-1","issue":"3","issued":{"date-parts":[["2008"]]},"page":"865-877","title":"Wall teichoic acids are dispensable for anchoring the PNAG exopolysaccharide to the Staphylococcus aureus cell surface","type":"article-journal","volume":"154"},"uris":["http://www.mendeley.com/documents/?uuid=0c8b99da-367a-4286-a774-3669623f3bc7"]}],"mendeley":{"formattedCitation":"&lt;sup&gt;[108]&lt;/sup&gt;","plainTextFormattedCitation":"[108]","previouslyFormattedCitation":"&lt;sup&gt;[108]&lt;/sup&gt;"},"properties":{"noteIndex":0},"schema":"https://github.com/citation-style-language/schema/raw/master/csl-citation.json"}</w:instrText>
            </w:r>
            <w:r w:rsidRPr="008A6136">
              <w:rPr>
                <w:sz w:val="20"/>
                <w:szCs w:val="20"/>
                <w:lang w:val="es-ES"/>
              </w:rPr>
              <w:fldChar w:fldCharType="separate"/>
            </w:r>
            <w:r w:rsidR="00C825F9" w:rsidRPr="00C825F9">
              <w:rPr>
                <w:noProof/>
                <w:sz w:val="20"/>
                <w:szCs w:val="20"/>
                <w:vertAlign w:val="superscript"/>
                <w:lang w:val="es-ES"/>
              </w:rPr>
              <w:t>[108]</w:t>
            </w:r>
            <w:r w:rsidRPr="008A6136">
              <w:rPr>
                <w:sz w:val="20"/>
                <w:szCs w:val="20"/>
                <w:lang w:val="es-ES"/>
              </w:rPr>
              <w:fldChar w:fldCharType="end"/>
            </w:r>
            <w:r w:rsidRPr="008A6136">
              <w:rPr>
                <w:sz w:val="20"/>
                <w:szCs w:val="20"/>
                <w:lang w:val="es-ES"/>
              </w:rPr>
              <w:t xml:space="preserve">; Oku </w:t>
            </w:r>
            <w:r w:rsidRPr="008A6136">
              <w:rPr>
                <w:i/>
                <w:iCs/>
                <w:sz w:val="20"/>
                <w:szCs w:val="20"/>
                <w:lang w:val="es-ES"/>
              </w:rPr>
              <w:t>et al</w:t>
            </w:r>
            <w:r w:rsidRPr="008A6136">
              <w:rPr>
                <w:sz w:val="20"/>
                <w:szCs w:val="20"/>
                <w:lang w:val="es-ES"/>
              </w:rPr>
              <w:t>., (2009)</w:t>
            </w:r>
            <w:r w:rsidRPr="008A6136">
              <w:rPr>
                <w:sz w:val="20"/>
                <w:szCs w:val="20"/>
                <w:lang w:val="es-ES"/>
              </w:rPr>
              <w:fldChar w:fldCharType="begin" w:fldLock="1"/>
            </w:r>
            <w:r w:rsidRPr="008A6136">
              <w:rPr>
                <w:sz w:val="20"/>
                <w:szCs w:val="20"/>
                <w:lang w:val="es-ES"/>
              </w:rPr>
              <w:instrText>ADDIN CSL_CITATION {"citationItems":[{"id":"ITEM-1","itemData":{"DOI":"10.1128/JB.01221-08","ISBN":"1098-5530 (Electronic)\\r0021-9193 (Linking)","ISSN":"00219193","PMID":"18952789","abstract":"Lipoteichoic acid (LTA) is one of two anionic polymers on the surface of the gram-positive bacterium Staphylococcus aureus. LTA is critical for the bacterium-host cell interaction and has recently been shown to be required for cell growth and division. To determine additional biological roles of LTA, we found it necessary to identify permissive conditions for the growth of an LTA-deficient mutant. We found that an LTA-deficient S. aureus Delta ltaS mutant could grow at 30 degrees C but not at 37 degrees C. Even at the permissive temperature, Delta ltaS mutant cells had aberrant cell division and separation, decreased autolysis, and reduced levels of peptidoglycan hydrolases. Upshift of Delta ltaS mutant cells to a nonpermissive temperature caused an inability to exclude Sytox green dye. A high-osmolarity growth medium remarkably rescued the colony-forming ability of the Delta ltaS mutant at 37 degrees C, indicating that LTA synthesis is required for growth under low-osmolarity conditions. In addition, the Delta ltaS mutation was found to be synthetically lethal with the Delta tagO mutation, which disrupts the synthesis of the other anionic polymer, wall teichoic acid (WTA), at 30 degrees C, suggesting that LTA and WTA compensate for one another in an essential function.","author":[{"dropping-particle":"","family":"Oku","given":"Yusuke","non-dropping-particle":"","parse-names":false,"suffix":""},{"dropping-particle":"","family":"Kurokawa","given":"Kenji","non-dropping-particle":"","parse-names":false,"suffix":""},{"dropping-particle":"","family":"Matsuo","given":"Miki","non-dropping-particle":"","parse-names":false,"suffix":""},{"dropping-particle":"","family":"Yamada","given":"Sakuo","non-dropping-particle":"","parse-names":false,"suffix":""},{"dropping-particle":"","family":"Lee","given":"Bok Luel","non-dropping-particle":"","parse-names":false,"suffix":""},{"dropping-particle":"","family":"Sekimizu","given":"Kazuhisa","non-dropping-particle":"","parse-names":false,"suffix":""}],"container-title":"Journal of Bacteriology","id":"ITEM-1","issue":"1","issued":{"date-parts":[["2009"]]},"page":"141-151","title":"Pleiotropic roles of polyglycerolphosphate synthase of lipoteichoic acid in growth of Staphylococcus aureus cells","type":"article-journal","volume":"91"},"uris":["http://www.mendeley.com/documents/?uuid=53787099-ec1b-4d71-90f9-013f4e8bcab3"]}],"mendeley":{"formattedCitation":"&lt;sup&gt;[91]&lt;/sup&gt;","plainTextFormattedCitation":"[91]","previouslyFormattedCitation":"&lt;sup&gt;[91]&lt;/sup&gt;"},"properties":{"noteIndex":0},"schema":"https://github.com/citation-style-language/schema/raw/master/csl-citation.json"}</w:instrText>
            </w:r>
            <w:r w:rsidRPr="008A6136">
              <w:rPr>
                <w:sz w:val="20"/>
                <w:szCs w:val="20"/>
                <w:lang w:val="es-ES"/>
              </w:rPr>
              <w:fldChar w:fldCharType="separate"/>
            </w:r>
            <w:r w:rsidRPr="008A6136">
              <w:rPr>
                <w:noProof/>
                <w:sz w:val="20"/>
                <w:szCs w:val="20"/>
                <w:vertAlign w:val="superscript"/>
                <w:lang w:val="es-ES"/>
              </w:rPr>
              <w:t>[91]</w:t>
            </w:r>
            <w:r w:rsidRPr="008A6136">
              <w:rPr>
                <w:sz w:val="20"/>
                <w:szCs w:val="20"/>
                <w:lang w:val="es-ES"/>
              </w:rPr>
              <w:fldChar w:fldCharType="end"/>
            </w:r>
          </w:p>
        </w:tc>
      </w:tr>
      <w:tr w:rsidR="00FA11A2" w:rsidRPr="00FC2818" w14:paraId="5C8667BF" w14:textId="77777777" w:rsidTr="00585467">
        <w:trPr>
          <w:trHeight w:val="369"/>
          <w:jc w:val="center"/>
        </w:trPr>
        <w:tc>
          <w:tcPr>
            <w:cnfStyle w:val="001000000000" w:firstRow="0" w:lastRow="0" w:firstColumn="1" w:lastColumn="0" w:oddVBand="0" w:evenVBand="0" w:oddHBand="0" w:evenHBand="0" w:firstRowFirstColumn="0" w:firstRowLastColumn="0" w:lastRowFirstColumn="0" w:lastRowLastColumn="0"/>
            <w:tcW w:w="0" w:type="auto"/>
          </w:tcPr>
          <w:p w14:paraId="3D5339D4" w14:textId="77777777" w:rsidR="00996947" w:rsidRPr="00FC2818" w:rsidRDefault="00996947" w:rsidP="00FC2818">
            <w:pPr>
              <w:pStyle w:val="Tabletextnormal"/>
              <w:spacing w:before="40" w:after="40"/>
              <w:rPr>
                <w:sz w:val="21"/>
                <w:szCs w:val="21"/>
              </w:rPr>
            </w:pPr>
            <w:r w:rsidRPr="00FC2818">
              <w:rPr>
                <w:sz w:val="21"/>
                <w:szCs w:val="21"/>
              </w:rPr>
              <w:t>Resistance to low osmolarity</w:t>
            </w:r>
          </w:p>
        </w:tc>
        <w:tc>
          <w:tcPr>
            <w:tcW w:w="0" w:type="auto"/>
          </w:tcPr>
          <w:p w14:paraId="3CDE5A13" w14:textId="77777777" w:rsidR="00996947" w:rsidRPr="00FC2818"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1"/>
                <w:szCs w:val="21"/>
              </w:rPr>
            </w:pPr>
            <w:r w:rsidRPr="00FC2818">
              <w:rPr>
                <w:sz w:val="21"/>
                <w:szCs w:val="21"/>
              </w:rPr>
              <w:t>LTA</w:t>
            </w:r>
          </w:p>
        </w:tc>
        <w:tc>
          <w:tcPr>
            <w:tcW w:w="0" w:type="auto"/>
          </w:tcPr>
          <w:p w14:paraId="39325F7F" w14:textId="77777777" w:rsidR="00996947" w:rsidRPr="008A6136"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0"/>
                <w:szCs w:val="20"/>
              </w:rPr>
            </w:pPr>
            <w:r w:rsidRPr="008A6136">
              <w:rPr>
                <w:sz w:val="20"/>
                <w:szCs w:val="20"/>
                <w:lang w:val="es-ES"/>
              </w:rPr>
              <w:t xml:space="preserve">Oku </w:t>
            </w:r>
            <w:r w:rsidRPr="008A6136">
              <w:rPr>
                <w:i/>
                <w:iCs/>
                <w:sz w:val="20"/>
                <w:szCs w:val="20"/>
                <w:lang w:val="es-ES"/>
              </w:rPr>
              <w:t>et al</w:t>
            </w:r>
            <w:r w:rsidRPr="008A6136">
              <w:rPr>
                <w:sz w:val="20"/>
                <w:szCs w:val="20"/>
                <w:lang w:val="es-ES"/>
              </w:rPr>
              <w:t>., (2009)</w:t>
            </w:r>
            <w:r w:rsidRPr="008A6136">
              <w:rPr>
                <w:sz w:val="20"/>
                <w:szCs w:val="20"/>
                <w:lang w:val="es-ES"/>
              </w:rPr>
              <w:fldChar w:fldCharType="begin" w:fldLock="1"/>
            </w:r>
            <w:r w:rsidRPr="008A6136">
              <w:rPr>
                <w:sz w:val="20"/>
                <w:szCs w:val="20"/>
                <w:lang w:val="es-ES"/>
              </w:rPr>
              <w:instrText>ADDIN CSL_CITATION {"citationItems":[{"id":"ITEM-1","itemData":{"DOI":"10.1128/JB.01221-08","ISBN":"1098-5530 (Electronic)\\r0021-9193 (Linking)","ISSN":"00219193","PMID":"18952789","abstract":"Lipoteichoic acid (LTA) is one of two anionic polymers on the surface of the gram-positive bacterium Staphylococcus aureus. LTA is critical for the bacterium-host cell interaction and has recently been shown to be required for cell growth and division. To determine additional biological roles of LTA, we found it necessary to identify permissive conditions for the growth of an LTA-deficient mutant. We found that an LTA-deficient S. aureus Delta ltaS mutant could grow at 30 degrees C but not at 37 degrees C. Even at the permissive temperature, Delta ltaS mutant cells had aberrant cell division and separation, decreased autolysis, and reduced levels of peptidoglycan hydrolases. Upshift of Delta ltaS mutant cells to a nonpermissive temperature caused an inability to exclude Sytox green dye. A high-osmolarity growth medium remarkably rescued the colony-forming ability of the Delta ltaS mutant at 37 degrees C, indicating that LTA synthesis is required for growth under low-osmolarity conditions. In addition, the Delta ltaS mutation was found to be synthetically lethal with the Delta tagO mutation, which disrupts the synthesis of the other anionic polymer, wall teichoic acid (WTA), at 30 degrees C, suggesting that LTA and WTA compensate for one another in an essential function.","author":[{"dropping-particle":"","family":"Oku","given":"Yusuke","non-dropping-particle":"","parse-names":false,"suffix":""},{"dropping-particle":"","family":"Kurokawa","given":"Kenji","non-dropping-particle":"","parse-names":false,"suffix":""},{"dropping-particle":"","family":"Matsuo","given":"Miki","non-dropping-particle":"","parse-names":false,"suffix":""},{"dropping-particle":"","family":"Yamada","given":"Sakuo","non-dropping-particle":"","parse-names":false,"suffix":""},{"dropping-particle":"","family":"Lee","given":"Bok Luel","non-dropping-particle":"","parse-names":false,"suffix":""},{"dropping-particle":"","family":"Sekimizu","given":"Kazuhisa","non-dropping-particle":"","parse-names":false,"suffix":""}],"container-title":"Journal of Bacteriology","id":"ITEM-1","issue":"1","issued":{"date-parts":[["2009"]]},"page":"141-151","title":"Pleiotropic roles of polyglycerolphosphate synthase of lipoteichoic acid in growth of Staphylococcus aureus cells","type":"article-journal","volume":"91"},"uris":["http://www.mendeley.com/documents/?uuid=53787099-ec1b-4d71-90f9-013f4e8bcab3"]}],"mendeley":{"formattedCitation":"&lt;sup&gt;[91]&lt;/sup&gt;","plainTextFormattedCitation":"[91]","previouslyFormattedCitation":"&lt;sup&gt;[91]&lt;/sup&gt;"},"properties":{"noteIndex":0},"schema":"https://github.com/citation-style-language/schema/raw/master/csl-citation.json"}</w:instrText>
            </w:r>
            <w:r w:rsidRPr="008A6136">
              <w:rPr>
                <w:sz w:val="20"/>
                <w:szCs w:val="20"/>
                <w:lang w:val="es-ES"/>
              </w:rPr>
              <w:fldChar w:fldCharType="separate"/>
            </w:r>
            <w:r w:rsidRPr="008A6136">
              <w:rPr>
                <w:noProof/>
                <w:sz w:val="20"/>
                <w:szCs w:val="20"/>
                <w:vertAlign w:val="superscript"/>
                <w:lang w:val="es-ES"/>
              </w:rPr>
              <w:t>[91]</w:t>
            </w:r>
            <w:r w:rsidRPr="008A6136">
              <w:rPr>
                <w:sz w:val="20"/>
                <w:szCs w:val="20"/>
                <w:lang w:val="es-ES"/>
              </w:rPr>
              <w:fldChar w:fldCharType="end"/>
            </w:r>
          </w:p>
        </w:tc>
      </w:tr>
      <w:tr w:rsidR="00996947" w:rsidRPr="00FC2818" w14:paraId="5C99B51E" w14:textId="77777777" w:rsidTr="00585467">
        <w:trPr>
          <w:trHeight w:val="350"/>
          <w:jc w:val="center"/>
        </w:trPr>
        <w:tc>
          <w:tcPr>
            <w:cnfStyle w:val="001000000000" w:firstRow="0" w:lastRow="0" w:firstColumn="1" w:lastColumn="0" w:oddVBand="0" w:evenVBand="0" w:oddHBand="0" w:evenHBand="0" w:firstRowFirstColumn="0" w:firstRowLastColumn="0" w:lastRowFirstColumn="0" w:lastRowLastColumn="0"/>
            <w:tcW w:w="0" w:type="auto"/>
            <w:gridSpan w:val="3"/>
            <w:shd w:val="clear" w:color="auto" w:fill="E7E6E6" w:themeFill="background2"/>
          </w:tcPr>
          <w:p w14:paraId="2B46F7B5" w14:textId="77777777" w:rsidR="00996947" w:rsidRPr="008A6136" w:rsidRDefault="00996947" w:rsidP="00195E88">
            <w:pPr>
              <w:pStyle w:val="Tabletextnormal"/>
              <w:rPr>
                <w:sz w:val="20"/>
                <w:szCs w:val="20"/>
              </w:rPr>
            </w:pPr>
            <w:r w:rsidRPr="008A6136">
              <w:rPr>
                <w:b/>
                <w:bCs w:val="0"/>
                <w:i/>
                <w:sz w:val="20"/>
                <w:szCs w:val="20"/>
              </w:rPr>
              <w:t>Controlling protein machineries in the cell envelope</w:t>
            </w:r>
          </w:p>
        </w:tc>
      </w:tr>
      <w:tr w:rsidR="00FA11A2" w:rsidRPr="00FC2818" w14:paraId="5EDFCA5F" w14:textId="77777777" w:rsidTr="00585467">
        <w:trPr>
          <w:trHeight w:val="591"/>
          <w:jc w:val="center"/>
        </w:trPr>
        <w:tc>
          <w:tcPr>
            <w:cnfStyle w:val="001000000000" w:firstRow="0" w:lastRow="0" w:firstColumn="1" w:lastColumn="0" w:oddVBand="0" w:evenVBand="0" w:oddHBand="0" w:evenHBand="0" w:firstRowFirstColumn="0" w:firstRowLastColumn="0" w:lastRowFirstColumn="0" w:lastRowLastColumn="0"/>
            <w:tcW w:w="0" w:type="auto"/>
          </w:tcPr>
          <w:p w14:paraId="0FC61BFD" w14:textId="77777777" w:rsidR="00996947" w:rsidRPr="00FC2818" w:rsidRDefault="00996947" w:rsidP="00FC2818">
            <w:pPr>
              <w:pStyle w:val="Tabletextnormal"/>
              <w:spacing w:before="40" w:after="40"/>
              <w:rPr>
                <w:sz w:val="21"/>
                <w:szCs w:val="21"/>
              </w:rPr>
            </w:pPr>
            <w:r w:rsidRPr="00FC2818">
              <w:rPr>
                <w:sz w:val="21"/>
                <w:szCs w:val="21"/>
              </w:rPr>
              <w:t>Cell division site placement Autolysin</w:t>
            </w:r>
          </w:p>
        </w:tc>
        <w:tc>
          <w:tcPr>
            <w:tcW w:w="0" w:type="auto"/>
          </w:tcPr>
          <w:p w14:paraId="3E2C7574" w14:textId="77777777" w:rsidR="00996947" w:rsidRPr="00FC2818"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1"/>
                <w:szCs w:val="21"/>
              </w:rPr>
            </w:pPr>
            <w:r w:rsidRPr="00FC2818">
              <w:rPr>
                <w:sz w:val="21"/>
                <w:szCs w:val="21"/>
              </w:rPr>
              <w:t>LTA</w:t>
            </w:r>
          </w:p>
        </w:tc>
        <w:tc>
          <w:tcPr>
            <w:tcW w:w="0" w:type="auto"/>
          </w:tcPr>
          <w:p w14:paraId="4AA2B3FD" w14:textId="27A10FED" w:rsidR="00996947" w:rsidRPr="008A6136"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0"/>
                <w:szCs w:val="20"/>
              </w:rPr>
            </w:pPr>
            <w:r w:rsidRPr="008A6136">
              <w:rPr>
                <w:sz w:val="20"/>
                <w:szCs w:val="20"/>
              </w:rPr>
              <w:t xml:space="preserve">Oku </w:t>
            </w:r>
            <w:r w:rsidRPr="008A6136">
              <w:rPr>
                <w:i/>
                <w:iCs/>
                <w:sz w:val="20"/>
                <w:szCs w:val="20"/>
              </w:rPr>
              <w:t>et al</w:t>
            </w:r>
            <w:r w:rsidRPr="008A6136">
              <w:rPr>
                <w:sz w:val="20"/>
                <w:szCs w:val="20"/>
              </w:rPr>
              <w:t>., (2009)</w:t>
            </w:r>
            <w:r w:rsidRPr="008A6136">
              <w:rPr>
                <w:sz w:val="20"/>
                <w:szCs w:val="20"/>
                <w:lang w:val="es-ES"/>
              </w:rPr>
              <w:fldChar w:fldCharType="begin" w:fldLock="1"/>
            </w:r>
            <w:r w:rsidRPr="008A6136">
              <w:rPr>
                <w:sz w:val="20"/>
                <w:szCs w:val="20"/>
              </w:rPr>
              <w:instrText>ADDIN CSL_CITATION {"citationItems":[{"id":"ITEM-1","itemData":{"DOI":"10.1128/JB.01221-08","ISBN":"1098-5530 (Electronic)\\r0021-9193 (Linking)","ISSN":"00219193","PMID":"18952789","abstract":"Lipoteichoic acid (LTA) is one of two anionic polymers on the surface of the gram-positive bacterium Staphylococcus aureus. LTA is critical for the bacterium-host cell interaction and has recently been shown to be required for cell growth and division. To determine additional biological roles of LTA, we found it necessary to identify permissive conditions for the growth of an LTA-deficient mutant. We found that an LTA-deficient S. aureus Delta ltaS mutant could grow at 30 degrees C but not at 37 degrees C. Even at the permissive temperature, Delta ltaS mutant cells had aberrant cell division and separation, decreased autolysis, and reduced levels of peptidoglycan hydrolases. Upshift of Delta ltaS mutant cells to a nonpermissive temperature caused an inability to exclude Sytox green dye. A high-osmolarity growth medium remarkably rescued the colony-forming ability of the Delta ltaS mutant at 37 degrees C, indicating that LTA synthesis is required for growth under low-osmolarity conditions. In addition, the Delta ltaS mutation was found to be synthetically lethal with the Delta tagO mutation, which disrupts the synthesis of the other anionic polymer, wall teichoic acid (WTA), at 30 degrees C, suggesting that LTA and WTA compensate for one another in an essential function.","author":[{"dropping-particle":"","family":"Oku","given":"Yusuke","non-dropping-particle":"","parse-names":false,"suffix":""},{"dropping-particle":"","family":"Kurokawa","given":"Kenji","non-dropping-particle":"","parse-names":false,"suffix":""},{"dropping-particle":"","family":"Matsuo","given":"Miki","non-dropping-particle":"","parse-names":false,"suffix":""},{"dropping-particle":"","family":"Yamada","given":"Sakuo","non-dropping-particle":"","parse-names":false,"suffix":""},{"dropping-particle":"","family":"Lee","given":"Bok Luel","non-dropping-particle":"","parse-names":false,"suffix":""},{"dropping-particle":"","family":"Sekimizu","given":"Kazuhisa","non-dropping-particle":"","parse-names":false,"suffix":""}],"container-title":"Journal of Bacteriology","id":"ITEM-1","issue":"1","issued":{"date-parts":[["2009"]]},"page":"141-151","title":"Pleiotropic roles of polyglycerolphosphate synthase of lipoteichoic acid in growth of Staphylococcus aureus cells","type":"article-journal","volume":"91"},"uris":["http://www.mendeley.com/documents/?uuid=53787099-ec1b-4d71-90f9-013f4e8bcab3"]}],"mendeley":{"formattedCitation":"&lt;sup&gt;[91]&lt;/sup&gt;","plainTextFormattedCitation":"[91]","previouslyFormattedCitation":"&lt;sup&gt;[91]&lt;/sup&gt;"},"properties":{"noteIndex":0},"schema":"https://github.com/citation-style-language/schema/raw/master/csl-citation.json"}</w:instrText>
            </w:r>
            <w:r w:rsidRPr="008A6136">
              <w:rPr>
                <w:sz w:val="20"/>
                <w:szCs w:val="20"/>
                <w:lang w:val="es-ES"/>
              </w:rPr>
              <w:fldChar w:fldCharType="separate"/>
            </w:r>
            <w:r w:rsidRPr="008A6136">
              <w:rPr>
                <w:noProof/>
                <w:sz w:val="20"/>
                <w:szCs w:val="20"/>
                <w:vertAlign w:val="superscript"/>
              </w:rPr>
              <w:t>[91]</w:t>
            </w:r>
            <w:r w:rsidRPr="008A6136">
              <w:rPr>
                <w:sz w:val="20"/>
                <w:szCs w:val="20"/>
                <w:lang w:val="es-ES"/>
              </w:rPr>
              <w:fldChar w:fldCharType="end"/>
            </w:r>
            <w:r w:rsidRPr="008A6136">
              <w:rPr>
                <w:sz w:val="20"/>
                <w:szCs w:val="20"/>
              </w:rPr>
              <w:t>; Gründling &amp; Schneewind (2007)</w:t>
            </w:r>
            <w:r w:rsidRPr="008A6136">
              <w:rPr>
                <w:sz w:val="20"/>
                <w:szCs w:val="20"/>
              </w:rPr>
              <w:fldChar w:fldCharType="begin" w:fldLock="1"/>
            </w:r>
            <w:r w:rsidR="00260ACA">
              <w:rPr>
                <w:sz w:val="20"/>
                <w:szCs w:val="20"/>
              </w:rPr>
              <w:instrText>ADDIN CSL_CITATION {"citationItems":[{"id":"ITEM-1","itemData":{"DOI":"10.1073/pnas.0701821104","ISBN":"0027-8424 (Print)\\r0027-8424 (Linking)","ISSN":"0027-8424","PMID":"17483484","abstract":"Lipoteichoic acid (LTA), a glycerol phosphate surface polymer, is a component of the envelope of Gram-positive bacteria. However, the molecular basis for its synthesis or function is not known. Here we report that Staphylococcus aureus LtaS synthesizes glycerol phosphate LTA. Construction of a mutant S. aureus strain with inducible ltaS expression revealed that LTA synthesis is required for bacterial growth and cell division. An ltaS homologue of Bacillus subtilis restored LTA synthesis and the growth of ltaS mutant staphylococci. Thus, LtaS inhibition can be used as a target to treat human infections caused by antibiotic-resistant S. aureus or other bacterial pathogens.","author":[{"dropping-particle":"","family":"Grundling","given":"A.","non-dropping-particle":"","parse-names":false,"suffix":""},{"dropping-particle":"","family":"Schneewind","given":"O.","non-dropping-particle":"","parse-names":false,"suffix":""}],"container-title":"Proceedings of the National Academy of Sciences","id":"ITEM-1","issue":"20","issued":{"date-parts":[["2007"]]},"page":"8478-8483","title":"Synthesis of glycerol phosphate lipoteichoic acid in Staphylococcus aureus","type":"article-journal","volume":"104"},"uris":["http://www.mendeley.com/documents/?uuid=33b7fcb3-ffde-4606-8a67-126926b4d10a"]}],"mendeley":{"formattedCitation":"&lt;sup&gt;[99]&lt;/sup&gt;","plainTextFormattedCitation":"[99]","previouslyFormattedCitation":"&lt;sup&gt;[99]&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[99]</w:t>
            </w:r>
            <w:r w:rsidRPr="008A6136">
              <w:rPr>
                <w:sz w:val="20"/>
                <w:szCs w:val="20"/>
              </w:rPr>
              <w:fldChar w:fldCharType="end"/>
            </w:r>
          </w:p>
        </w:tc>
      </w:tr>
      <w:tr w:rsidR="00FA11A2" w:rsidRPr="00FC2818" w14:paraId="3677E09B" w14:textId="77777777" w:rsidTr="00585467">
        <w:trPr>
          <w:trHeight w:val="849"/>
          <w:jc w:val="center"/>
        </w:trPr>
        <w:tc>
          <w:tcPr>
            <w:cnfStyle w:val="001000000000" w:firstRow="0" w:lastRow="0" w:firstColumn="1" w:lastColumn="0" w:oddVBand="0" w:evenVBand="0" w:oddHBand="0" w:evenHBand="0" w:firstRowFirstColumn="0" w:firstRowLastColumn="0" w:lastRowFirstColumn="0" w:lastRowLastColumn="0"/>
            <w:tcW w:w="0" w:type="auto"/>
          </w:tcPr>
          <w:p w14:paraId="4A639A11" w14:textId="77777777" w:rsidR="00996947" w:rsidRPr="00FC2818" w:rsidRDefault="00996947" w:rsidP="00FC2818">
            <w:pPr>
              <w:pStyle w:val="Tabletextnormal"/>
              <w:spacing w:before="40" w:after="40"/>
              <w:rPr>
                <w:sz w:val="21"/>
                <w:szCs w:val="21"/>
              </w:rPr>
            </w:pPr>
            <w:r w:rsidRPr="00FC2818">
              <w:rPr>
                <w:sz w:val="21"/>
                <w:szCs w:val="21"/>
              </w:rPr>
              <w:t>Autolysin activity</w:t>
            </w:r>
          </w:p>
        </w:tc>
        <w:tc>
          <w:tcPr>
            <w:tcW w:w="0" w:type="auto"/>
          </w:tcPr>
          <w:p w14:paraId="6A1A6C2B" w14:textId="77777777" w:rsidR="00996947" w:rsidRPr="00FC2818"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1"/>
                <w:szCs w:val="21"/>
              </w:rPr>
            </w:pPr>
            <w:r w:rsidRPr="00FC2818">
              <w:rPr>
                <w:sz w:val="21"/>
                <w:szCs w:val="21"/>
              </w:rPr>
              <w:t>WTA, LTA</w:t>
            </w:r>
          </w:p>
        </w:tc>
        <w:tc>
          <w:tcPr>
            <w:tcW w:w="0" w:type="auto"/>
          </w:tcPr>
          <w:p w14:paraId="12B4A057" w14:textId="371D1159" w:rsidR="00996947" w:rsidRPr="008A6136"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0"/>
                <w:szCs w:val="20"/>
              </w:rPr>
            </w:pPr>
            <w:r w:rsidRPr="008A6136">
              <w:rPr>
                <w:sz w:val="20"/>
                <w:szCs w:val="20"/>
                <w:lang w:val="es-ES"/>
              </w:rPr>
              <w:t xml:space="preserve">Vergara </w:t>
            </w:r>
            <w:r w:rsidRPr="008A6136">
              <w:rPr>
                <w:i/>
                <w:iCs/>
                <w:sz w:val="20"/>
                <w:szCs w:val="20"/>
                <w:lang w:val="es-ES"/>
              </w:rPr>
              <w:t>et al</w:t>
            </w:r>
            <w:r w:rsidRPr="008A6136">
              <w:rPr>
                <w:sz w:val="20"/>
                <w:szCs w:val="20"/>
                <w:lang w:val="es-ES"/>
              </w:rPr>
              <w:t>., (2008)</w:t>
            </w:r>
            <w:r w:rsidRPr="008A6136">
              <w:rPr>
                <w:sz w:val="20"/>
                <w:szCs w:val="20"/>
                <w:lang w:val="es-ES"/>
              </w:rPr>
              <w:fldChar w:fldCharType="begin" w:fldLock="1"/>
            </w:r>
            <w:r w:rsidR="00260ACA">
              <w:rPr>
                <w:sz w:val="20"/>
                <w:szCs w:val="20"/>
                <w:lang w:val="es-ES"/>
              </w:rPr>
              <w:instrText>ADDIN CSL_CITATION {"citationItems":[{"id":"ITEM-1","itemData":{"DOI":"10.1099/mic.0.2007/013292-0","ISBN":"1350-0872 (Print)\\r1350-0872 (Linking)","ISSN":"13500872","PMID":"18310032","abstract":"Biofilm formation in Staphylococcus aureus is usually associated with the production of the poly-N-acetylglucosamine (PNAG) exopolysaccharide, synthesized by proteins encoded by the icaADBC operon. PNAG is a linear beta-(1-6)-linked N-acetylglucosaminoglycan that has to be partially deacetylated and consequently positively charged in order to be associated with bacterial cell surfaces. Here, we investigated whether attachment of PNAG to bacterial surfaces is mediated by ionic interactions with the negative charge of wall teichoic acids (WTAs), which represent the most abundant polyanions of the Gram-positive bacterial envelope. We generated WTA-deficient mutants by in-frame deletion of the tagO gene in two genetically unrelated S. aureus strains. The DeltatagO mutants were more sensitive to high temperatures, showed a higher degree of cell aggregation, had reduced initial adherence to abiotic surfaces and had a reduced capacity to form biofilms under both steady-state and flow conditions. However, the levels as well as the strength of the PNAG interaction with the bacterial cell surface were similar between DeltatagO mutants and their corresponding wild-type strains. Furthermore, double DeltatagO DeltaicaADBC mutants displayed a similar aggregative phenotype to that of single DeltatagO mutants, indicating that PNAG is not responsible for the aggregative behaviour observed in DeltatagO mutants. Overall, the absence of WTAs in S. aureus had little effect on PNAG production or anchoring to the cell surface, but did affect the biofilm-forming capacity, cell aggregative behaviour and the temperature sensitivity/stability of S. aureus.","author":[{"dropping-particle":"","family":"Vergara-Irigaray","given":"Marta","non-dropping-particle":"","parse-names":false,"suffix":""},{"dropping-particle":"","family":"Maira-Litrán","given":"Tomas","non-dropping-particle":"","parse-names":false,"suffix":""},{"dropping-particle":"","family":"Merino","given":"Nekane","non-dropping-particle":"","parse-names":false,"suffix":""},{"dropping-particle":"","family":"Pier","given":"Gerald B.","non-dropping-particle":"","parse-names":false,"suffix":""},{"dropping-particle":"","family":"Penadés","given":"José R.","non-dropping-particle":"","parse-names":false,"suffix":""},{"dropping-particle":"","family":"Lasa","given":"Iñigo","non-dropping-particle":"","parse-names":false,"suffix":""}],"container-title":"Microbiology","id":"ITEM-1","issue":"3","issued":{"date-parts":[["2008"]]},"page":"865-877","title":"Wall teichoic acids are dispensable for anchoring the PNAG exopolysaccharide to the Staphylococcus aureus cell surface","type":"article-journal","volume":"154"},"uris":["http://www.mendeley.com/documents/?uuid=0c8b99da-367a-4286-a774-3669623f3bc7"]}],"mendeley":{"formattedCitation":"&lt;sup&gt;[108]&lt;/sup&gt;","plainTextFormattedCitation":"[108]","previouslyFormattedCitation":"&lt;sup&gt;[108]&lt;/sup&gt;"},"properties":{"noteIndex":0},"schema":"https://github.com/citation-style-language/schema/raw/master/csl-citation.json"}</w:instrText>
            </w:r>
            <w:r w:rsidRPr="008A6136">
              <w:rPr>
                <w:sz w:val="20"/>
                <w:szCs w:val="20"/>
                <w:lang w:val="es-ES"/>
              </w:rPr>
              <w:fldChar w:fldCharType="separate"/>
            </w:r>
            <w:r w:rsidR="00C825F9" w:rsidRPr="00C825F9">
              <w:rPr>
                <w:noProof/>
                <w:sz w:val="20"/>
                <w:szCs w:val="20"/>
                <w:vertAlign w:val="superscript"/>
                <w:lang w:val="es-ES"/>
              </w:rPr>
              <w:t>[108]</w:t>
            </w:r>
            <w:r w:rsidRPr="008A6136">
              <w:rPr>
                <w:sz w:val="20"/>
                <w:szCs w:val="20"/>
                <w:lang w:val="es-ES"/>
              </w:rPr>
              <w:fldChar w:fldCharType="end"/>
            </w:r>
            <w:r w:rsidRPr="008A6136">
              <w:rPr>
                <w:sz w:val="20"/>
                <w:szCs w:val="20"/>
                <w:lang w:val="es-ES"/>
              </w:rPr>
              <w:t>; Bierbaum &amp; Sahl (1985)</w:t>
            </w:r>
            <w:r w:rsidRPr="008A6136">
              <w:rPr>
                <w:sz w:val="20"/>
                <w:szCs w:val="20"/>
              </w:rPr>
              <w:fldChar w:fldCharType="begin" w:fldLock="1"/>
            </w:r>
            <w:r w:rsidR="00260ACA">
              <w:rPr>
                <w:sz w:val="20"/>
                <w:szCs w:val="20"/>
                <w:lang w:val="es-ES"/>
              </w:rPr>
              <w:instrText>ADDIN CSL_CITATION {"citationItems":[{"id":"ITEM-1","itemData":{"DOI":"10.1007/BF00408067","ISBN":"0302-8933 (Print)","ISSN":"03028933","PMID":"4004448","abstract":"Pep 5 and nisin are cationic bactericidal peptides which were shown to induce autolysis in Staphylococcus cohnii 22. In contrast to nisin, Pep 5 induced lysis could be stimulated in the presence of glucose. Addition of lipoteichoic acids (LTA) (D-alanine:phosphorus = 0.475:1) inhibited all effects of Pep 5 on susceptible cells in a molar ratio LTA:Pep 5 of 10:1. Treatment of S. cohnii 22 with Pep 5 or nisin for 20 min and subsequent washing with 2.5 M NaCl released autolysin activity. Crude preparations of the hydrolyzing enzymes produced free amino groups as well as polysaccharide fragments from the murein backbone, suggesting the presence of a muramidase or glucosamidase, and endopeptidase or amidase. Both enzyme activities were inhibited by lipoteichoic acid; they could be fully reactivated by addition of Pep 5 in sufficient concentrations. The velocity of hydrolysis was not influenced by nisin, whereas it was doubled in presence of Pep 5. The results are discussed in view of a possible mechanism of induction of lysis by Pep 5 and nisin.","author":[{"dropping-particle":"","family":"Bierbaum","given":"Gabriele","non-dropping-particle":"","parse-names":false,"suffix":""},{"dropping-particle":"","family":"Sahl","given":"Hans Georg","non-dropping-particle":"","parse-names":false,"suffix":""}],"container-title":"Archives of Microbiology","id":"ITEM-1","issue":"3","issued":{"date-parts":[["1985"]]},"page":"249-254","title":"Induction of autolysis of staphylococci by the basic peptide antibiotics Pep 5 and nisin and their influence on the activity of autolytic enzymes","type":"article-journal","volume":"141"},"uris":["http://www.mendeley.com/documents/?uuid=67a5ffc0-5f2e-49d5-8ad6-ec007f75cb38"]}],"mendeley":{"formattedCitation":"&lt;sup&gt;[109]&lt;/sup&gt;","plainTextFormattedCitation":"[109]","previouslyFormattedCitation":"&lt;sup&gt;[109]&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[109]</w:t>
            </w:r>
            <w:r w:rsidRPr="008A6136">
              <w:rPr>
                <w:sz w:val="20"/>
                <w:szCs w:val="20"/>
              </w:rPr>
              <w:fldChar w:fldCharType="end"/>
            </w:r>
            <w:r w:rsidRPr="008A6136">
              <w:rPr>
                <w:sz w:val="20"/>
                <w:szCs w:val="20"/>
              </w:rPr>
              <w:t xml:space="preserve">; Fedtke </w:t>
            </w:r>
            <w:r w:rsidRPr="008A6136">
              <w:rPr>
                <w:i/>
                <w:iCs/>
                <w:sz w:val="20"/>
                <w:szCs w:val="20"/>
              </w:rPr>
              <w:t>et al</w:t>
            </w:r>
            <w:r w:rsidRPr="008A6136">
              <w:rPr>
                <w:sz w:val="20"/>
                <w:szCs w:val="20"/>
              </w:rPr>
              <w:t>., (2007)</w:t>
            </w:r>
            <w:r w:rsidRPr="008A6136">
              <w:rPr>
                <w:sz w:val="20"/>
                <w:szCs w:val="20"/>
              </w:rPr>
              <w:fldChar w:fldCharType="begin" w:fldLock="1"/>
            </w:r>
            <w:r w:rsidR="00260ACA">
              <w:rPr>
                <w:sz w:val="20"/>
                <w:szCs w:val="20"/>
              </w:rPr>
              <w:instrText>ADDIN CSL_CITATION {"citationItems":[{"id":"ITEM-1","itemData":{"DOI":"10.1111/j.1365-2958.2007.05854.x","ISBN":"0950-382X (Print)\\r0950-382X (Linking)","ISSN":"0950382X","PMID":"17640274","abstract":"Many Gram-positive bacteria produce lipoteichoic acid (LTA) polymers whose physiological roles have remained a matter of debate because of the lack of LTA-deficient mutants. The ypfP gene responsible for biosynthesis of a glycolipid found in LTA was deleted in Staphylococcus aureus SA113, causing 87% reduction of the LTA content. Mass spectrometry and nuclear magnetic resonance spectroscopy revealed that the mutant LTA contained a diacylglycerol anchor instead of the glycolipid, whereas the remaining part was similar to the wild-type polymer except that it was shorter. The LTA mutant strain revealed no major changes in patterns of cell wall proteins or autolytic enzymes compared with the parental strain indicating that LTA may be less important in S. aureus protein attachment than previously thought. However, the autolytic activity of the mutant was strongly reduced demonstrating a role of LTA in controlling autolysin activity. Moreover, the hydrophobicity of the LTA mutant was altered and its ability to form biofilms on plastic was completely abrogated indicating a profound impact of LTA on physicochemical properties of bacterial surfaces. We propose to consider LTA and its biosynthetic enzymes as targets for new antibiofilm strategies.","author":[{"dropping-particle":"","family":"Fedtke","given":"Iris","non-dropping-particle":"","parse-names":false,"suffix":""},{"dropping-particle":"","family":"Mader","given":"Diana","non-dropping-particle":"","parse-names":false,"suffix":""},{"dropping-particle":"","family":"Kohler","given":"Thomas","non-dropping-particle":"","parse-names":false,"suffix":""},{"dropping-particle":"","family":"Moll","given":"Hermann","non-dropping-particle":"","parse-names":false,"suffix":""},{"dropping-particle":"","family":"Nicholson","given":"Graeme","non-dropping-particle":"","parse-names":false,"suffix":""},{"dropping-particle":"","family":"Biswas","given":"Raja","non-dropping-particle":"","parse-names":false,"suffix":""},{"dropping-particle":"","family":"Henseler","given":"Katja","non-dropping-particle":"","parse-names":false,"suffix":""},{"dropping-particle":"","family":"Götz","given":"Friedrich","non-dropping-particle":"","parse-names":false,"suffix":""},{"dropping-particle":"","family":"Zähringer","given":"Ulrich","non-dropping-particle":"","parse-names":false,"suffix":""},{"dropping-particle":"","family":"Peschel","given":"Andreas","non-dropping-particle":"","parse-names":false,"suffix":""}],"container-title":"Molecular Microbiology","id":"ITEM-1","issue":"4","issued":{"date-parts":[["2007"]]},"page":"1078-1091","title":"A Staphylococcus aureus ypfP mutant with strongly reduced lipoteichoic acid (LTA) content: LTA governs bacterial surface properties and autolysin activity","type":"article-journal","volume":"65"},"uris":["http://www.mendeley.com/documents/?uuid=04461ea9-55e6-4db6-9433-4ff2dc55a703"]}],"mendeley":{"formattedCitation":"&lt;sup&gt;[110]&lt;/sup&gt;","plainTextFormattedCitation":"[110]","previouslyFormattedCitation":"&lt;sup&gt;[110]&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[110]</w:t>
            </w:r>
            <w:r w:rsidRPr="008A6136">
              <w:rPr>
                <w:sz w:val="20"/>
                <w:szCs w:val="20"/>
              </w:rPr>
              <w:fldChar w:fldCharType="end"/>
            </w:r>
            <w:r w:rsidRPr="008A6136">
              <w:rPr>
                <w:sz w:val="20"/>
                <w:szCs w:val="20"/>
              </w:rPr>
              <w:t>; Qamar &amp; Golemi-Kotran (2012)</w:t>
            </w:r>
            <w:r w:rsidRPr="008A6136">
              <w:rPr>
                <w:sz w:val="20"/>
                <w:szCs w:val="20"/>
              </w:rPr>
              <w:fldChar w:fldCharType="begin" w:fldLock="1"/>
            </w:r>
            <w:r w:rsidR="00260ACA">
              <w:rPr>
                <w:sz w:val="20"/>
                <w:szCs w:val="20"/>
              </w:rPr>
              <w:instrText>ADDIN CSL_CITATION {"citationItems":[{"id":"ITEM-1","itemData":{"DOI":"10.1128/AAC.00187-12","ISBN":"1098-6596 (Electronic)\\r0066-4804 (Linking)","ISSN":"00664804","PMID":"22564846","abstract":"The fmtA gene is a member of the Staphylococcus aureus core cell wall stimulon. The FmtA protein interacts with β-lactams through formation of covalent species. Here, we show that FmtA has weak D-Ala-D-Ala-carboxypeptidase activity and is capable of covalently incorporating C14-Gly into cell walls. The fluorescence microscopy study showed that the protein is localized to the cell division septum. Furthermore, we show that wall teichoic acids interact specifically with FmtA and mediate recruitment of FmtA to the S. aureus cell wall. Subjection of S. aureus to FmtA concentrations of 0.1 μM or less induces autolysis and biofilm production. This effect requires the presence of wall teichoic acids. At FmtA concentrations greater than 0.2 μM, autolysis and biofilm formation in S. aureus are repressed and growth is enhanced. Our findings indicate dual roles of FmtA in S. aureus growth, whereby at low concentrations, FmtA may modulate the activity of the major autolysin (AtlA) of S. aureus and, at high concentrations, may participate in synthesis of cell wall peptidoglycan. These two roles of FmtA may reflect dual functions of FmtA in the absence and presence of cell wall stress, respectively.","author":[{"dropping-particle":"","family":"Qamar","given":"Aneela","non-dropping-particle":"","parse-names":false,"suffix":""},{"dropping-particle":"","family":"Golemi-Kotra","given":"Dasantila","non-dropping-particle":"","parse-names":false,"suffix":""}],"container-title":"Antimicrobial Agents and Chemotherapy","id":"ITEM-1","issue":"7","issued":{"date-parts":[["2012"]]},"page":"3797-3805","title":"Dual roles of FmtA in Staphylococcus aureus cell wall biosynthesis and autolysis","type":"article-journal","volume":"56"},"uris":["http://www.mendeley.com/documents/?uuid=33800bd7-5063-454a-ba2a-89f4a0dbc9c7"]}],"mendeley":{"formattedCitation":"&lt;sup&gt;[111]&lt;/sup&gt;","plainTextFormattedCitation":"[111]","previouslyFormattedCitation":"&lt;sup&gt;[111]&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[111]</w:t>
            </w:r>
            <w:r w:rsidRPr="008A6136">
              <w:rPr>
                <w:sz w:val="20"/>
                <w:szCs w:val="20"/>
              </w:rPr>
              <w:fldChar w:fldCharType="end"/>
            </w:r>
          </w:p>
        </w:tc>
      </w:tr>
      <w:tr w:rsidR="00FA11A2" w:rsidRPr="00AB73F2" w14:paraId="2ECACA30" w14:textId="77777777" w:rsidTr="00585467">
        <w:trPr>
          <w:trHeight w:val="609"/>
          <w:jc w:val="center"/>
        </w:trPr>
        <w:tc>
          <w:tcPr>
            <w:cnfStyle w:val="001000000000" w:firstRow="0" w:lastRow="0" w:firstColumn="1" w:lastColumn="0" w:oddVBand="0" w:evenVBand="0" w:oddHBand="0" w:evenHBand="0" w:firstRowFirstColumn="0" w:firstRowLastColumn="0" w:lastRowFirstColumn="0" w:lastRowLastColumn="0"/>
            <w:tcW w:w="0" w:type="auto"/>
          </w:tcPr>
          <w:p w14:paraId="2FF05A39" w14:textId="77777777" w:rsidR="00996947" w:rsidRPr="00FC2818" w:rsidRDefault="00996947" w:rsidP="00FC2818">
            <w:pPr>
              <w:pStyle w:val="Tabletextnormal"/>
              <w:spacing w:before="40" w:after="40"/>
              <w:rPr>
                <w:sz w:val="21"/>
                <w:szCs w:val="21"/>
              </w:rPr>
            </w:pPr>
            <w:r w:rsidRPr="00FC2818">
              <w:rPr>
                <w:sz w:val="21"/>
                <w:szCs w:val="21"/>
              </w:rPr>
              <w:t>Peptidoglycan machinery</w:t>
            </w:r>
          </w:p>
        </w:tc>
        <w:tc>
          <w:tcPr>
            <w:tcW w:w="0" w:type="auto"/>
          </w:tcPr>
          <w:p w14:paraId="32C21439" w14:textId="77777777" w:rsidR="00996947" w:rsidRPr="00FC2818"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1"/>
                <w:szCs w:val="21"/>
              </w:rPr>
            </w:pPr>
            <w:r w:rsidRPr="00FC2818">
              <w:rPr>
                <w:sz w:val="21"/>
                <w:szCs w:val="21"/>
              </w:rPr>
              <w:t>WTA</w:t>
            </w:r>
          </w:p>
        </w:tc>
        <w:tc>
          <w:tcPr>
            <w:tcW w:w="0" w:type="auto"/>
          </w:tcPr>
          <w:p w14:paraId="5A8EAE8A" w14:textId="1A1500F7" w:rsidR="00996947" w:rsidRPr="008A6136"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0"/>
                <w:szCs w:val="20"/>
              </w:rPr>
            </w:pPr>
            <w:r w:rsidRPr="008A6136">
              <w:rPr>
                <w:sz w:val="20"/>
                <w:szCs w:val="20"/>
                <w:lang w:val="es-ES"/>
              </w:rPr>
              <w:t xml:space="preserve">Brown </w:t>
            </w:r>
            <w:r w:rsidRPr="008A6136">
              <w:rPr>
                <w:i/>
                <w:iCs/>
                <w:sz w:val="20"/>
                <w:szCs w:val="20"/>
                <w:lang w:val="es-ES"/>
              </w:rPr>
              <w:t>et al</w:t>
            </w:r>
            <w:r w:rsidRPr="008A6136">
              <w:rPr>
                <w:sz w:val="20"/>
                <w:szCs w:val="20"/>
                <w:lang w:val="es-ES"/>
              </w:rPr>
              <w:t>., (2013)</w:t>
            </w:r>
            <w:r w:rsidRPr="008A6136">
              <w:rPr>
                <w:sz w:val="20"/>
                <w:szCs w:val="20"/>
              </w:rPr>
              <w:fldChar w:fldCharType="begin" w:fldLock="1"/>
            </w:r>
            <w:r w:rsidRPr="008A6136">
              <w:rPr>
                <w:sz w:val="20"/>
                <w:szCs w:val="20"/>
                <w:lang w:val="es-ES"/>
              </w:rPr>
              <w:instrText>ADDIN CSL_CITATION {"citationItems":[{"id":"ITEM-1","itemData":{"DOI":"10.1146/annurev-micro-092412-155620","ISBN":"0066-4227\\r978-0-8243-1167-4","ISSN":"0066-4227","PMID":"24024634","abstract":"The peptidoglycan layers of many gram-positive bacteria are densely functionalized with anionic glycopolymers known as wall teichoic acids (WTAs). These polymers play crucial roles in cell shape determination, regulation of cell division, and other fundamental aspects of gram-positive bacterial physiology. Additionally, WTAs are important in pathogenesis and play key roles in antibiotic resistance. We provide an overview of WTA structure and biosynthesis, review recent studies on the biological roles of these polymers, and highlight remaining questions. We also discuss prospects for exploiting WTA biosynthesis as a target for new therapies to overcome resistant infections.","author":[{"dropping-particle":"","family":"Brown","given":"Stephanie","non-dropping-particle":"","parse-names":false,"suffix":""},{"dropping-particle":"","family":"Santa Maria","given":"John P.","non-dropping-particle":"","parse-names":false,"suffix":""},{"dropping-particle":"","family":"Walker","given":"Suzanne","non-dropping-particle":"","parse-names":false,"suffix":""}],"container-title":"Annual Review of Microbiology","id":"ITEM-1","issue":"1","issued":{"date-parts":[["2013"]]},"page":"313-336","title":"Wall Teichoic Acids of Gram-Positive Bacteria","type":"article-journal","volume":"67"},"uris":["http://www.mendeley.com/documents/?uuid=60ae5b80-e4e7-4362-93a2-52855b0754e7"]}],"mendeley":{"formattedCitation":"&lt;sup&gt;[86]&lt;/sup&gt;","plainTextFormattedCitation":"[86]","previouslyFormattedCitation":"&lt;sup&gt;[86]&lt;/sup&gt;"},"properties":{"noteIndex":0},"schema":"https://github.com/citation-style-language/schema/raw/master/csl-citation.json"}</w:instrText>
            </w:r>
            <w:r w:rsidRPr="008A6136">
              <w:rPr>
                <w:sz w:val="20"/>
                <w:szCs w:val="20"/>
              </w:rPr>
              <w:fldChar w:fldCharType="separate"/>
            </w:r>
            <w:r w:rsidRPr="008A6136">
              <w:rPr>
                <w:noProof/>
                <w:sz w:val="20"/>
                <w:szCs w:val="20"/>
                <w:vertAlign w:val="superscript"/>
                <w:lang w:val="es-ES"/>
              </w:rPr>
              <w:t>[86]</w:t>
            </w:r>
            <w:r w:rsidRPr="008A6136">
              <w:rPr>
                <w:sz w:val="20"/>
                <w:szCs w:val="20"/>
              </w:rPr>
              <w:fldChar w:fldCharType="end"/>
            </w:r>
            <w:r w:rsidRPr="008A6136">
              <w:rPr>
                <w:sz w:val="20"/>
                <w:szCs w:val="20"/>
                <w:lang w:val="es-ES"/>
              </w:rPr>
              <w:t>; Qamar &amp; Golemi-Kotran (2012)</w:t>
            </w:r>
            <w:r w:rsidRPr="008A6136">
              <w:rPr>
                <w:sz w:val="20"/>
                <w:szCs w:val="20"/>
              </w:rPr>
              <w:fldChar w:fldCharType="begin" w:fldLock="1"/>
            </w:r>
            <w:r w:rsidR="00260ACA">
              <w:rPr>
                <w:sz w:val="20"/>
                <w:szCs w:val="20"/>
                <w:lang w:val="es-ES"/>
              </w:rPr>
              <w:instrText>ADDIN CSL_CITATION {"citationItems":[{"id":"ITEM-1","itemData":{"DOI":"10.1128/AAC.00187-12","ISBN":"1098-6596 (Electronic)\\r0066-4804 (Linking)","ISSN":"00664804","PMID":"22564846","abstract":"The fmtA gene is a member of the Staphylococcus aureus core cell wall stimulon. The FmtA protein interacts with β-lactams through formation of covalent species. Here, we show that FmtA has weak D-Ala-D-Ala-carboxypeptidase activity and is capable of covalently incorporating C14-Gly into cell walls. The fluorescence microscopy study showed that the protein is localized to the cell division septum. Furthermore, we show that wall teichoic acids interact specifically with FmtA and mediate recruitment of FmtA to the S. aureus cell wall. Subjection of S. aureus to FmtA concentrat</w:instrText>
            </w:r>
            <w:r w:rsidR="00260ACA" w:rsidRPr="00AA0383">
              <w:rPr>
                <w:sz w:val="20"/>
                <w:szCs w:val="20"/>
              </w:rPr>
              <w:instrText xml:space="preserve">ions of 0.1 </w:instrText>
            </w:r>
            <w:r w:rsidR="00260ACA">
              <w:rPr>
                <w:sz w:val="20"/>
                <w:szCs w:val="20"/>
                <w:lang w:val="es-ES"/>
              </w:rPr>
              <w:instrText>μ</w:instrText>
            </w:r>
            <w:r w:rsidR="00260ACA" w:rsidRPr="00AA0383">
              <w:rPr>
                <w:sz w:val="20"/>
                <w:szCs w:val="20"/>
              </w:rPr>
              <w:instrText xml:space="preserve">M or less induces autolysis and biofilm production. This effect requires the presence of wall teichoic acids. At FmtA concentrations greater than 0.2 </w:instrText>
            </w:r>
            <w:r w:rsidR="00260ACA">
              <w:rPr>
                <w:sz w:val="20"/>
                <w:szCs w:val="20"/>
                <w:lang w:val="es-ES"/>
              </w:rPr>
              <w:instrText>μ</w:instrText>
            </w:r>
            <w:r w:rsidR="00260ACA" w:rsidRPr="00AA0383">
              <w:rPr>
                <w:sz w:val="20"/>
                <w:szCs w:val="20"/>
              </w:rPr>
              <w:instrText>M, autolysis and biofilm formation in S. aureus are repressed and growth is enhanced. Our findings indicate dual roles of FmtA in S. aureus growth, whereby at low concentrations, FmtA may modulate the activity of the major autolysin (AtlA) of S. aureus and, at high concentrations, may participate in synthesis of cell wall peptidoglycan. These two roles of FmtA may reflect dual functions of FmtA in the absence and presence of cell wall stress, respectively.","author":[{"dropping-particle":"","family":"Qamar","given":"Ane</w:instrText>
            </w:r>
            <w:r w:rsidR="00260ACA" w:rsidRPr="00E15DC6">
              <w:rPr>
                <w:sz w:val="20"/>
                <w:szCs w:val="20"/>
              </w:rPr>
              <w:instrText>ela","non-dropping-particle":"","parse-names":false,"suffix":""},{"dropping-particle":"","family":"Golemi-Kotra","given":"Dasantila","non-dropping-particle":"","parse-names":false,"suffix":""}],"container-title":"Antimicrobial Agents and Chemotherapy","id":"ITEM-1","issue":"7","issued":{"date-parts":[["2012"]]},"page":"3797-3805","title":"Dual roles of FmtA in Staphylococcus aureus cell wall biosynthesis and autolysis","type":"article-journal","volume":"56"},"uris":["http://www.mendeley.com/documents/?uuid=33800bd7-5063-454a-ba2a-89f4a0dbc9c7"]}],"mendeley":{"formattedCitation":"&lt;sup&gt;[111]&lt;/sup&gt;","plainTextFormattedCitation":"[111]","previouslyFormattedCitation":"&lt;sup&gt;[111]&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[111]</w:t>
            </w:r>
            <w:r w:rsidRPr="008A6136">
              <w:rPr>
                <w:sz w:val="20"/>
                <w:szCs w:val="20"/>
              </w:rPr>
              <w:fldChar w:fldCharType="end"/>
            </w:r>
          </w:p>
        </w:tc>
      </w:tr>
      <w:tr w:rsidR="00996947" w:rsidRPr="00AB73F2" w14:paraId="11E0F68F" w14:textId="77777777" w:rsidTr="00585467">
        <w:trPr>
          <w:trHeight w:val="350"/>
          <w:jc w:val="center"/>
        </w:trPr>
        <w:tc>
          <w:tcPr>
            <w:cnfStyle w:val="001000000000" w:firstRow="0" w:lastRow="0" w:firstColumn="1" w:lastColumn="0" w:oddVBand="0" w:evenVBand="0" w:oddHBand="0" w:evenHBand="0" w:firstRowFirstColumn="0" w:firstRowLastColumn="0" w:lastRowFirstColumn="0" w:lastRowLastColumn="0"/>
            <w:tcW w:w="0" w:type="auto"/>
            <w:gridSpan w:val="3"/>
            <w:shd w:val="clear" w:color="auto" w:fill="E7E6E6" w:themeFill="background2"/>
          </w:tcPr>
          <w:p w14:paraId="34BB560D" w14:textId="77777777" w:rsidR="00996947" w:rsidRPr="008A6136" w:rsidRDefault="00996947" w:rsidP="00195E88">
            <w:pPr>
              <w:pStyle w:val="Tabletextnormal"/>
              <w:rPr>
                <w:sz w:val="20"/>
                <w:szCs w:val="20"/>
              </w:rPr>
            </w:pPr>
            <w:r w:rsidRPr="008A6136">
              <w:rPr>
                <w:b/>
                <w:bCs w:val="0"/>
                <w:i/>
                <w:sz w:val="20"/>
                <w:szCs w:val="20"/>
              </w:rPr>
              <w:t>Mediating interaction with receptors and biomaterials adherence</w:t>
            </w:r>
          </w:p>
        </w:tc>
      </w:tr>
      <w:tr w:rsidR="00FA11A2" w:rsidRPr="00FC2818" w14:paraId="7492FE7A" w14:textId="77777777" w:rsidTr="00585467">
        <w:trPr>
          <w:trHeight w:val="591"/>
          <w:jc w:val="center"/>
        </w:trPr>
        <w:tc>
          <w:tcPr>
            <w:cnfStyle w:val="001000000000" w:firstRow="0" w:lastRow="0" w:firstColumn="1" w:lastColumn="0" w:oddVBand="0" w:evenVBand="0" w:oddHBand="0" w:evenHBand="0" w:firstRowFirstColumn="0" w:firstRowLastColumn="0" w:lastRowFirstColumn="0" w:lastRowLastColumn="0"/>
            <w:tcW w:w="0" w:type="auto"/>
          </w:tcPr>
          <w:p w14:paraId="7E5F8A83" w14:textId="1FCEA8F6" w:rsidR="00996947" w:rsidRPr="00AB73F2" w:rsidRDefault="00996947" w:rsidP="00FC2818">
            <w:pPr>
              <w:pStyle w:val="Tabletextnormal"/>
              <w:spacing w:before="40" w:after="40"/>
              <w:rPr>
                <w:sz w:val="21"/>
                <w:szCs w:val="21"/>
              </w:rPr>
            </w:pPr>
            <w:r w:rsidRPr="00AB73F2">
              <w:rPr>
                <w:sz w:val="21"/>
                <w:szCs w:val="21"/>
              </w:rPr>
              <w:t>Adherence to epithelial and endothelial cells</w:t>
            </w:r>
            <w:r w:rsidR="00757E00" w:rsidRPr="00AB73F2">
              <w:rPr>
                <w:sz w:val="21"/>
                <w:szCs w:val="21"/>
              </w:rPr>
              <w:t>;</w:t>
            </w:r>
            <w:r w:rsidR="00B727D4" w:rsidRPr="00AB73F2">
              <w:rPr>
                <w:sz w:val="21"/>
                <w:szCs w:val="21"/>
              </w:rPr>
              <w:t xml:space="preserve"> </w:t>
            </w:r>
          </w:p>
        </w:tc>
        <w:tc>
          <w:tcPr>
            <w:tcW w:w="0" w:type="auto"/>
          </w:tcPr>
          <w:p w14:paraId="3251B721" w14:textId="77777777" w:rsidR="00996947" w:rsidRPr="00903A92"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1"/>
                <w:szCs w:val="21"/>
              </w:rPr>
            </w:pPr>
            <w:r w:rsidRPr="00903A92">
              <w:rPr>
                <w:sz w:val="21"/>
                <w:szCs w:val="21"/>
              </w:rPr>
              <w:t>WTA</w:t>
            </w:r>
          </w:p>
        </w:tc>
        <w:tc>
          <w:tcPr>
            <w:tcW w:w="0" w:type="auto"/>
          </w:tcPr>
          <w:p w14:paraId="03EB4A6E" w14:textId="6814ABC6" w:rsidR="00996947" w:rsidRPr="008A6136"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0"/>
                <w:szCs w:val="20"/>
              </w:rPr>
            </w:pPr>
            <w:r w:rsidRPr="008A6136">
              <w:rPr>
                <w:sz w:val="20"/>
                <w:szCs w:val="20"/>
              </w:rPr>
              <w:t xml:space="preserve">Weidenmaier </w:t>
            </w:r>
            <w:r w:rsidRPr="008A6136">
              <w:rPr>
                <w:i/>
                <w:iCs/>
                <w:sz w:val="20"/>
                <w:szCs w:val="20"/>
              </w:rPr>
              <w:t>et a</w:t>
            </w:r>
            <w:r w:rsidR="00995303" w:rsidRPr="008A6136">
              <w:rPr>
                <w:i/>
                <w:iCs/>
                <w:sz w:val="20"/>
                <w:szCs w:val="20"/>
              </w:rPr>
              <w:t>l</w:t>
            </w:r>
            <w:r w:rsidRPr="008A6136">
              <w:rPr>
                <w:i/>
                <w:iCs/>
                <w:sz w:val="20"/>
                <w:szCs w:val="20"/>
              </w:rPr>
              <w:t xml:space="preserve">., </w:t>
            </w:r>
            <w:r w:rsidRPr="008A6136">
              <w:rPr>
                <w:sz w:val="20"/>
                <w:szCs w:val="20"/>
              </w:rPr>
              <w:t>(2005)</w:t>
            </w:r>
            <w:r w:rsidRPr="008A6136">
              <w:rPr>
                <w:sz w:val="20"/>
                <w:szCs w:val="20"/>
              </w:rPr>
              <w:fldChar w:fldCharType="begin" w:fldLock="1"/>
            </w:r>
            <w:r w:rsidR="00260ACA">
              <w:rPr>
                <w:sz w:val="20"/>
                <w:szCs w:val="20"/>
              </w:rPr>
              <w:instrText>ADDIN CSL_CITATION {"citationItems":[{"id":"ITEM-1","itemData":{"DOI":"10.1086/429692","ISBN":"0022-1899 (Print)\\r0022-1899 (Linking)","ISSN":"0022-1899","PMID":"15838806","abstract":"Wall teichoic acids (WTAs) are major surface components of gram-positive bacteria that have recently been shown to play a key role in nasal colonization by Staphylococcus aureus. In the present study, we assessed the impact that WTAs have on endovascular infections by using a WTA-deficient S. aureus mutant ( Delta tagO). There were no significant differences detected between the isogenic parental strain (SA113) and the Delta tagO mutant in polymorphonuclear leukocyte-mediated opsonophagocytosis; killing by a prototypic platelet microbicidal protein; or binding to platelets, fibronectin, or fibrinogen. However, compared with the parental strain, the Delta tagO mutant adhered considerably less well to human endothelial cells, especially under flow conditions (70.3% reduction; P&lt;.05). Beads coated with WTA bound to endothelium in a dose-dependent manner, suggesting that WTA contributes specifically to this interaction. These in vitro data closely paralleled those from a rabbit model of infective endocarditis in which the Delta tagO mutant was compared with the parental strain. Clearances of staphylococcus from the bloodstream were equivalent, but the Delta tagO mutant showed a significantly reduced capacity to both colonize sterile cardiac vegetations (P&lt;.05) and proliferate within these vegetations, the kidneys, and the spleen (P&lt;.001). We conclude that WTA is an important factor in the induction and progression of endovascular S. aureus infection, likely through a specific interaction with endothelial cells.","author":[{"dropping-particle":"","family":"Weidenmaier","given":"Christopher","non-dropping-particle":"","parse-names":false,"suffix":""},{"dropping-particle":"","family":"Peschel","given":"Andreas","non-dropping-particle":"","parse-names":false,"suffix":""},{"dropping-particle":"","family":"Xiong","given":"Yan‐Qiong","non-dropping-particle":"","parse-names":false,"suffix":""},{"dropping-particle":"","family":"Kristian","given":"Sascha A.","non-dropping-particle":"","parse-names":false,"suffix":""},{"dropping-particle":"","family":"Dietz","given":"Klaus","non-dropping-particle":"","parse-names":false,"suffix":""},{"dropping-particle":"","family":"Yeaman","given":"Michael R.","non-dropping-particle":"","parse-names":false,"suffix":""},{"dropping-particle":"","family":"Bayer","given":"Arnold S.","non-dropping-particle":"","parse-names":false,"suffix":""}],"container-title":"The Journal of Infectious Diseases","id":"ITEM-1","issue":"10","issued":{"date-parts":[["2005"]]},"page":"1771-1777","title":"Lack of Wall Teichoic Acids in Staphylococcus aureus Leads to Reduced Interactions with Endothelial Cells and to Attenuated Virulence in a Rabbit Model of Endocarditis","type":"article-journal","volume":"191"},"uris":["http://www.mendeley.com/documents/?uuid=6acd657a-ec03-44c6-bb09-f4484900d5c9"]}],"mendeley":{"formattedCitation":"&lt;sup&gt;[103]&lt;/sup&gt;","plainTextFormattedCitation":"[103]","previouslyFormattedCitation":"&lt;sup&gt;[103]&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[103]</w:t>
            </w:r>
            <w:r w:rsidRPr="008A6136">
              <w:rPr>
                <w:sz w:val="20"/>
                <w:szCs w:val="20"/>
              </w:rPr>
              <w:fldChar w:fldCharType="end"/>
            </w:r>
            <w:r w:rsidRPr="008A6136">
              <w:rPr>
                <w:sz w:val="20"/>
                <w:szCs w:val="20"/>
              </w:rPr>
              <w:t>, (2004)</w:t>
            </w:r>
            <w:r w:rsidRPr="008A6136">
              <w:rPr>
                <w:sz w:val="20"/>
                <w:szCs w:val="20"/>
              </w:rPr>
              <w:fldChar w:fldCharType="begin" w:fldLock="1"/>
            </w:r>
            <w:r w:rsidR="00260ACA">
              <w:rPr>
                <w:sz w:val="20"/>
                <w:szCs w:val="20"/>
              </w:rPr>
              <w:instrText>ADDIN CSL_CITATION {"citationItems":[{"id":"ITEM-1","itemData":{"DOI":"10.1038/nm991","ISBN":"1078-8956 (Print)","ISSN":"10788956","PMID":"14758355","abstract":"Colonization of the anterior nares in approximately 37% of the population is a major risk factor for severe Staphylococcus aureus infections. Here we show that wall teichoic acid (WTA), a surface-exposed staphylococcal polymer, is essential for nasal colonization and mediates interaction with human nasal epithelial cells. WTA-deficient mutants were impaired in their adherence to nasal cells, and were completely unable to colonize cotton rat nares. This study describes the first essential factor for S. aureus nasal colonization.","author":[{"dropping-particle":"","family":"Weidenmaier","given":"Christopher","non-dropping-particle":"","parse-names":false,"suffix":""},{"dropping-particle":"","family":"Kokai-Kun","given":"John F.","non-dropping-particle":"","parse-names":false,"suffix":""},{"dropping-particle":"","family":"Kristian","given":"Sascha A.","non-dropping-particle":"","parse-names":false,"suffix":""},{"dropping-particle":"","family":"Chanturiya","given":"Tanya","non-dropping-particle":"","parse-names":false,"suffix":""},{"dropping-particle":"","family":"Kalbacher","given":"Hubert","non-dropping-particle":"","parse-names":false,"suffix":""},{"dropping-particle":"","family":"Gross","given":"Matthias","non-dropping-particle":"","parse-names":false,"suffix":""},{"dropping-particle":"","family":"Nicholson","given":"Graeme","non-dropping-particle":"","parse-names":false,"suffix":""},{"dropping-particle":"","family":"Neumeister","given":"Birgid","non-dropping-particle":"","parse-names":false,"suffix":""},{"dropping-particle":"","family":"Mond","given":"James J.","non-dropping-particle":"","parse-names":false,"suffix":""},{"dropping-particle":"","family":"Peschel","given":"Andreas","non-dropping-particle":"","parse-names":false,"suffix":""}],"container-title":"Nature Medicine","id":"ITEM-1","issue":"3","issued":{"date-parts":[["2004"]]},"page":"243-245","title":"Role of teichoic acids in Staphylococcus aureus nasal colonization, a major risk factor in nosocomial infections","type":"article-journal","volume":"10"},"uris":["http://www.mendeley.com/documents/?uuid=a633cd3f-c2d1-4070-9cd7-ef0d961d9684"]}],"mendeley":{"formattedCitation":"&lt;sup&gt;[112]&lt;/sup&gt;","plainTextFormattedCitation":"[112]","previouslyFormattedCitation":"&lt;sup&gt;[112]&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[112]</w:t>
            </w:r>
            <w:r w:rsidRPr="008A6136">
              <w:rPr>
                <w:sz w:val="20"/>
                <w:szCs w:val="20"/>
              </w:rPr>
              <w:fldChar w:fldCharType="end"/>
            </w:r>
            <w:r w:rsidRPr="008A6136">
              <w:rPr>
                <w:sz w:val="20"/>
                <w:szCs w:val="20"/>
              </w:rPr>
              <w:t>, (2008)</w:t>
            </w:r>
            <w:r w:rsidRPr="008A6136">
              <w:rPr>
                <w:sz w:val="20"/>
                <w:szCs w:val="20"/>
              </w:rPr>
              <w:fldChar w:fldCharType="begin" w:fldLock="1"/>
            </w:r>
            <w:r w:rsidR="00260ACA">
              <w:rPr>
                <w:sz w:val="20"/>
                <w:szCs w:val="20"/>
              </w:rPr>
              <w:instrText>ADDIN CSL_CITATION {"citationItems":[{"id":"ITEM-1","itemData":{"DOI":"10.1016/j.ijmm.2007.11.006","ISBN":"1618-0607 (Electronic)\\n1438-4221 (Linking)","ISSN":"14384221","PMID":"18221914","abstract":"Most of the severe bacterial infections originate from the endogenous microflora of human body surfaces. However, the molecular basis of colonization, e.g. of the human nose by Staphylococcus aureus, has remained incompletely understood. Several surface-exposed proteins and wall teichoic acid (WTA) polymers have previously been implicated in S. aureus attachment to nasal epithelial cells. Here we dissect the role of these molecules in colonization using S. aureus sortase A (srtA) and tagO mutants deficient in surface protein and WTA display, respectively. Although the two mutants were similarly affected in attachment to nasal cells they were abrogated in binding to different types of epithelial ligands. Surface protein sorting, but not WTA, were required for keratin- or fibronectin-mediated interactions while only WTA-mediated binding to nasal cells was effectively inhibited by polyinosinic acid, indicating a possible role of scavenger receptor-like molecules in WTA-dependent epithelial interactions. Both mutants exhibited profound colonization defects in a cotton rat nasal colonization model, albeit at different stages of colonization (&gt;90% reduced bacterial counts at 24 h or several days after inoculation with the tagO or srtA mutant, respectively). These data indicate that S. aureus nasal colonization is a multifactorial process with various ligands affecting initial colonization and prolonged persistence in different ways. Our studies should be useful in the development of new preventive and therapeutic strategies. © 2007 Elsevier GmbH. All rights reserved.","author":[{"dropping-particle":"","family":"Weidenmaier","given":"Christopher","non-dropping-particle":"","parse-names":false,"suffix":""},{"dropping-particle":"","family":"Kokai-Kun","given":"John F.","non-dropping-particle":"","parse-names":false,"suffix":""},{"dropping-particle":"","family":"Kulauzovic","given":"Emir","non-dropping-particle":"","parse-names":false,"suffix":""},{"dropping-particle":"","family":"Kohler","given":"Thomas","non-dropping-particle":"","parse-names":false,"suffix":""},{"dropping-particle":"","family":"Thumm","given":"Günther","non-dropping-particle":"","parse-names":false,"suffix":""},{"dropping-particle":"","family":"Stoll","given":"Hartmut","non-dropping-particle":"","parse-names":false,"suffix":""},{"dropping-particle":"","family":"Götz","given":"Friedrich","non-dropping-particle":"","parse-names":false,"suffix":""},{"dropping-particle":"","family":"Peschel","given":"Andreas","non-dropping-particle":"","parse-names":false,"suffix":""}],"container-title":"International Journal of Medical Microbiology","id":"ITEM-1","issue":"5-6","issued":{"date-parts":[["2008"]]},"page":"505-513","title":"Differential roles of sortase-anchored surface proteins and wall teichoic acid in Staphylococcus aureus nasal colonization","type":"article-journal","volume":"298"},"uris":["http://www.mendeley.com/documents/?uuid=72ea66c7-db1b-4c84-a880-f5235c1453db"]}],"mendeley":{"formattedCitation":"&lt;sup&gt;[113]&lt;/sup&gt;","plainTextFormattedCitation":"[113]","previouslyFormattedCitation":"&lt;sup&gt;[113]&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[113]</w:t>
            </w:r>
            <w:r w:rsidRPr="008A6136">
              <w:rPr>
                <w:sz w:val="20"/>
                <w:szCs w:val="20"/>
              </w:rPr>
              <w:fldChar w:fldCharType="end"/>
            </w:r>
          </w:p>
        </w:tc>
      </w:tr>
      <w:tr w:rsidR="00FA11A2" w:rsidRPr="00FC2818" w14:paraId="3FBB2CAC" w14:textId="77777777" w:rsidTr="00585467">
        <w:trPr>
          <w:trHeight w:val="609"/>
          <w:jc w:val="center"/>
        </w:trPr>
        <w:tc>
          <w:tcPr>
            <w:cnfStyle w:val="001000000000" w:firstRow="0" w:lastRow="0" w:firstColumn="1" w:lastColumn="0" w:oddVBand="0" w:evenVBand="0" w:oddHBand="0" w:evenHBand="0" w:firstRowFirstColumn="0" w:firstRowLastColumn="0" w:lastRowFirstColumn="0" w:lastRowLastColumn="0"/>
            <w:tcW w:w="0" w:type="auto"/>
          </w:tcPr>
          <w:p w14:paraId="46398814" w14:textId="4AE330B4" w:rsidR="00996947" w:rsidRPr="00FC2818" w:rsidRDefault="00996947" w:rsidP="00FC2818">
            <w:pPr>
              <w:pStyle w:val="Tabletextnormal"/>
              <w:spacing w:before="40" w:after="40"/>
              <w:rPr>
                <w:sz w:val="21"/>
                <w:szCs w:val="21"/>
              </w:rPr>
            </w:pPr>
            <w:r w:rsidRPr="00FC2818">
              <w:rPr>
                <w:sz w:val="21"/>
                <w:szCs w:val="21"/>
              </w:rPr>
              <w:t xml:space="preserve">Binding to scavenger receptors </w:t>
            </w:r>
            <w:r w:rsidR="00775057">
              <w:rPr>
                <w:sz w:val="21"/>
                <w:szCs w:val="21"/>
              </w:rPr>
              <w:t>(</w:t>
            </w:r>
            <w:r w:rsidRPr="00FC2818">
              <w:rPr>
                <w:sz w:val="21"/>
                <w:szCs w:val="21"/>
              </w:rPr>
              <w:t>SrA</w:t>
            </w:r>
            <w:r w:rsidR="00775057">
              <w:rPr>
                <w:sz w:val="21"/>
                <w:szCs w:val="21"/>
              </w:rPr>
              <w:t>, SREC-1</w:t>
            </w:r>
            <w:r w:rsidRPr="00FC2818">
              <w:rPr>
                <w:sz w:val="21"/>
                <w:szCs w:val="21"/>
              </w:rPr>
              <w:t>)</w:t>
            </w:r>
          </w:p>
        </w:tc>
        <w:tc>
          <w:tcPr>
            <w:tcW w:w="0" w:type="auto"/>
          </w:tcPr>
          <w:p w14:paraId="2826478D" w14:textId="4B1F4D54" w:rsidR="00996947" w:rsidRPr="00FC2818"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1"/>
                <w:szCs w:val="21"/>
              </w:rPr>
            </w:pPr>
            <w:r w:rsidRPr="00FC2818">
              <w:rPr>
                <w:sz w:val="21"/>
                <w:szCs w:val="21"/>
              </w:rPr>
              <w:t>LTA</w:t>
            </w:r>
            <w:r w:rsidR="00775057">
              <w:rPr>
                <w:sz w:val="21"/>
                <w:szCs w:val="21"/>
              </w:rPr>
              <w:t>, WTA</w:t>
            </w:r>
          </w:p>
        </w:tc>
        <w:tc>
          <w:tcPr>
            <w:tcW w:w="0" w:type="auto"/>
          </w:tcPr>
          <w:p w14:paraId="5F93AF5B" w14:textId="29F4C72C" w:rsidR="00996947" w:rsidRPr="008A6136"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0"/>
                <w:szCs w:val="20"/>
              </w:rPr>
            </w:pPr>
            <w:r w:rsidRPr="008A6136">
              <w:rPr>
                <w:sz w:val="20"/>
                <w:szCs w:val="20"/>
              </w:rPr>
              <w:t xml:space="preserve">Greenberg </w:t>
            </w:r>
            <w:r w:rsidRPr="008A6136">
              <w:rPr>
                <w:i/>
                <w:iCs/>
                <w:sz w:val="20"/>
                <w:szCs w:val="20"/>
              </w:rPr>
              <w:t>et al</w:t>
            </w:r>
            <w:r w:rsidRPr="008A6136">
              <w:rPr>
                <w:sz w:val="20"/>
                <w:szCs w:val="20"/>
              </w:rPr>
              <w:t>., (1996)</w:t>
            </w:r>
            <w:r w:rsidRPr="008A6136">
              <w:rPr>
                <w:sz w:val="20"/>
                <w:szCs w:val="20"/>
              </w:rPr>
              <w:fldChar w:fldCharType="begin" w:fldLock="1"/>
            </w:r>
            <w:r w:rsidR="00260ACA">
              <w:rPr>
                <w:sz w:val="20"/>
                <w:szCs w:val="20"/>
              </w:rPr>
              <w:instrText>ADDIN CSL_CITATION {"citationItems":[{"id":"ITEM-1","itemData":{"author":[{"dropping-particle":"","family":"Greenberg","given":"J W","non-dropping-particle":"","parse-names":false,"suffix":""},{"dropping-particle":"","family":"Fischer","given":"W","non-dropping-particle":"","parse-names":false,"suffix":""},{"dropping-particle":"","family":"Joiner","given":"K A","non-dropping-particle":"","parse-names":false,"suffix":""}],"container-title":"Microbiology","id":"ITEM-1","issue":"8","issued":{"date-parts":[["1996"]]},"page":"3318-3325","title":"Influence of Lipoteichoic Acid Structure on Recognition by the Macrophage Scavenger Receptor","type":"article-journal","volume":"64"},"uris":["http://www.mendeley.com/documents/?uuid=14d51dce-9968-4932-bf94-9bf427a6804d"]}],"mendeley":{"formattedCitation":"&lt;sup&gt;[114]&lt;/sup&gt;","plainTextFormattedCitation":"[114]","previouslyFormattedCitation":"&lt;sup&gt;[114]&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[114]</w:t>
            </w:r>
            <w:r w:rsidRPr="008A6136">
              <w:rPr>
                <w:sz w:val="20"/>
                <w:szCs w:val="20"/>
              </w:rPr>
              <w:fldChar w:fldCharType="end"/>
            </w:r>
            <w:r w:rsidRPr="008A6136">
              <w:rPr>
                <w:sz w:val="20"/>
                <w:szCs w:val="20"/>
              </w:rPr>
              <w:t xml:space="preserve">; Dunne </w:t>
            </w:r>
            <w:r w:rsidRPr="008A6136">
              <w:rPr>
                <w:i/>
                <w:iCs/>
                <w:sz w:val="20"/>
                <w:szCs w:val="20"/>
              </w:rPr>
              <w:t>et al</w:t>
            </w:r>
            <w:r w:rsidRPr="008A6136">
              <w:rPr>
                <w:sz w:val="20"/>
                <w:szCs w:val="20"/>
              </w:rPr>
              <w:t>., (1994)</w:t>
            </w:r>
            <w:r w:rsidRPr="008A6136">
              <w:rPr>
                <w:sz w:val="20"/>
                <w:szCs w:val="20"/>
              </w:rPr>
              <w:fldChar w:fldCharType="begin" w:fldLock="1"/>
            </w:r>
            <w:r w:rsidR="00260ACA">
              <w:rPr>
                <w:sz w:val="20"/>
                <w:szCs w:val="20"/>
              </w:rPr>
              <w:instrText>ADDIN CSL_CITATION {"citationItems":[{"id":"ITEM-1","itemData":{"DOI":"10.1073/pnas.91.5.1863","ISBN":"0027-8424; 0027-8424","ISSN":"0027-8424","PMID":"8127896","abstract":"Macrophage scavenger receptors exhibit unusually broad binding specificity for polyanionic ligands and have been implicated in atherosclerosis and various host defense functions. Using a radiolabeled, secreted form of the type I bovine macrophage scavenger receptor in an in vitro binding assay, we have found that this receptor binds to intact Gram-positive bacteria, including Streptococcus pyogenes, Streptococcus agalactiae, Staphylococcus aureus, Enterococcus hirae, and Listeria monocytogenes. Competition binding studies using purified lipoteichoic acid, an anionic polymer expressed on the surface of most Gram-positive bacteria, show that lipoteichoic acids are scavenger receptor ligands and probably mediate binding of the receptor to Gram-positive bacteria. Lipoteichoic acids, for which no host cell receptors have previously been identified, are implicated in the pathogenesis of septic shock due to Gram-positive bacteria. Scavenger receptors may participate in host defense by clearing lipoteichoic acid and/or intact bacteria from tissues and the circulation during Gram-positive sepsis. Since scavenger receptors have been previously shown to bind to and facilitate bloodstream clearance of Gram-negative bacterial endotoxin (lipopolysaccharide), these receptors may provide a general mechanism for macrophage recognition and internalization of pathogens and their cell surface components.","author":[{"dropping-particle":"","family":"Dunne","given":"D W","non-dropping-particle":"","parse-names":false,"suffix":""},{"dropping-particle":"","family":"Resnick","given":"D","non-dropping-particle":"","parse-names":false,"suffix":""},{"dropping-particle":"","family":"Greenberg","given":"J","non-dropping-particle":"","parse-names":false,"suffix":""},{"dropping-particle":"","family":"Krieger","given":"M","non-dropping-particle":"","parse-names":false,"suffix":""},{"dropping-particle":"","family":"Joiner","given":"K A","non-dropping-particle":"","parse-names":false,"suffix":""}],"container-title":"Proceedings of the National Academy of Sciences of the United States of America","id":"ITEM-1","issue":"5","issued":{"date-parts":[["1994"]]},"page":"1863-7","title":"The type I macrophage scavenger receptor binds to gram-positive bacteria and recognizes lipoteichoic acid.","type":"article-journal","volume":"91"},"uris":["http://www.mendeley.com/documents/?uuid=30415ef8-ff25-46fc-af27-780fb0857029"]}],"mendeley":{"formattedCitation":"&lt;sup&gt;[115]&lt;/sup&gt;","plainTextFormattedCitation":"[115]","previouslyFormattedCitation":"&lt;sup&gt;[115]&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[115]</w:t>
            </w:r>
            <w:r w:rsidRPr="008A6136">
              <w:rPr>
                <w:sz w:val="20"/>
                <w:szCs w:val="20"/>
              </w:rPr>
              <w:fldChar w:fldCharType="end"/>
            </w:r>
            <w:r w:rsidR="00775057" w:rsidRPr="008A6136">
              <w:rPr>
                <w:sz w:val="20"/>
                <w:szCs w:val="20"/>
              </w:rPr>
              <w:t xml:space="preserve">; Baur </w:t>
            </w:r>
            <w:r w:rsidR="00775057" w:rsidRPr="008A6136">
              <w:rPr>
                <w:i/>
                <w:iCs/>
                <w:sz w:val="20"/>
                <w:szCs w:val="20"/>
              </w:rPr>
              <w:t xml:space="preserve">et al., </w:t>
            </w:r>
            <w:r w:rsidR="00775057" w:rsidRPr="008A6136">
              <w:rPr>
                <w:sz w:val="20"/>
                <w:szCs w:val="20"/>
              </w:rPr>
              <w:t>(2014)</w:t>
            </w:r>
            <w:r w:rsidR="00775057" w:rsidRPr="008A6136">
              <w:rPr>
                <w:sz w:val="20"/>
                <w:szCs w:val="20"/>
              </w:rPr>
              <w:fldChar w:fldCharType="begin" w:fldLock="1"/>
            </w:r>
            <w:r w:rsidR="00260ACA">
              <w:rPr>
                <w:sz w:val="20"/>
                <w:szCs w:val="20"/>
              </w:rPr>
              <w:instrText>ADDIN CSL_CITATION {"citationItems":[{"id":"ITEM-1","itemData":{"DOI":"10.1371/journal.ppat.1004089","ISSN":"15537374","PMID":"24788600","abstract":"Nasal colonization is a major risk factor for S. aureus infections. The mechanisms responsible for colonization are still not well understood and involve several factors on the host and the bacterial side. One key factor is the cell wall teichoic acid (WTA) of S. aureus, which governs direct interactions with nasal epithelial surfaces. We report here the first receptor for the cell wall glycopolymer WTA on nasal epithelial cells. In several assay systems this type F-scavenger receptor, termed SREC-I, bound WTA in a charge dependent manner and mediated adhesion to nasal epithelial cells in vitro. The impact of WTA and SREC-I interaction on epithelial adhesion was especially pronounced under shear stress, which resembles the conditions found in the nasal cavity. Most importantly, we demonstrate here a key role of the WTA-receptor interaction in a cotton rat model of nasal colonization. When we inhibited WTA mediated adhesion with a SREC-I antibody, nasal colonization in the animal model was strongly reduced at the early onset of colonization. More importantly, colonization stayed low over an extended period of 6 days. Therefore we propose targeting of this glycopolymer-receptor interaction as a novel strategy to prevent or control S. aureus nasal colonization. © 2014 Baur et al.","author":[{"dropping-particle":"","family":"Baur","given":"Stefanie","non-dropping-particle":"","parse-names":false,"suffix":""},{"dropping-particle":"","family":"Rautenberg","given":"Maren","non-dropping-particle":"","parse-names":false,"suffix":""},{"dropping-particle":"","family":"Faulstich","given":"Manuela","non-dropping-particle":"","parse-names":false,"suffix":""},{"dropping-particle":"","family":"Grau","given":"Timo","non-dropping-particle":"","parse-names":false,"suffix":""},{"dropping-particle":"","family":"Severin","given":"Yannik","non-dropping-particle":"","parse-names":false,"suffix":""},{"dropping-particle":"","family":"Unger","given":"Clemens","non-dropping-particle":"","parse-names":false,"suffix":""},{"dropping-particle":"","family":"Hoffmann","given":"Wolfgang H.","non-dropping-particle":"","parse-names":false,"suffix":""},{"dropping-particle":"","family":"Rudel","given":"Thomas","non-dropping-particle":"","parse-names":false,"suffix":""},{"dropping-particle":"","family":"Autenrieth","given":"Ingo B.","non-dropping-particle":"","parse-names":false,"suffix":""},{"dropping-particle":"","family":"Weidenmaier","given":"Christopher","non-dropping-particle":"","parse-names":false,"suffix":""}],"container-title":"PLoS Pathogens","id":"ITEM-1","issue":"5","issued":{"date-parts":[["2014"]]},"page":"1-13","title":"A Nasal Epithelial Receptor for Staphylococcus aureus WTA Governs Adhesion to Epithelial Cells and Modulates Nasal Colonization","type":"article-journal","volume":"10"},"uris":["http://www.mendeley.com/documents/?uuid=60e39170-19d6-3dcd-8dab-bd52931f01da"]}],"mendeley":{"formattedCitation":"&lt;sup&gt;[116]&lt;/sup&gt;","plainTextFormattedCitation":"[116]","previouslyFormattedCitation":"&lt;sup&gt;[116]&lt;/sup&gt;"},"properties":{"noteIndex":0},"schema":"https://github.com/citation-style-language/schema/raw/master/csl-citation.json"}</w:instrText>
            </w:r>
            <w:r w:rsidR="00775057" w:rsidRPr="008A6136">
              <w:rPr>
                <w:sz w:val="20"/>
                <w:szCs w:val="20"/>
              </w:rPr>
              <w:fldChar w:fldCharType="separate"/>
            </w:r>
            <w:r w:rsidR="00C825F9" w:rsidRPr="00C825F9">
              <w:rPr>
                <w:noProof/>
                <w:sz w:val="20"/>
                <w:szCs w:val="20"/>
                <w:vertAlign w:val="superscript"/>
              </w:rPr>
              <w:t>[116]</w:t>
            </w:r>
            <w:r w:rsidR="00775057" w:rsidRPr="008A6136">
              <w:rPr>
                <w:sz w:val="20"/>
                <w:szCs w:val="20"/>
              </w:rPr>
              <w:fldChar w:fldCharType="end"/>
            </w:r>
          </w:p>
        </w:tc>
      </w:tr>
      <w:tr w:rsidR="00FA11A2" w:rsidRPr="00FC2818" w14:paraId="5C74E12A" w14:textId="77777777" w:rsidTr="00585467">
        <w:trPr>
          <w:trHeight w:val="591"/>
          <w:jc w:val="center"/>
        </w:trPr>
        <w:tc>
          <w:tcPr>
            <w:cnfStyle w:val="001000000000" w:firstRow="0" w:lastRow="0" w:firstColumn="1" w:lastColumn="0" w:oddVBand="0" w:evenVBand="0" w:oddHBand="0" w:evenHBand="0" w:firstRowFirstColumn="0" w:firstRowLastColumn="0" w:lastRowFirstColumn="0" w:lastRowLastColumn="0"/>
            <w:tcW w:w="0" w:type="auto"/>
          </w:tcPr>
          <w:p w14:paraId="0AAD8A92" w14:textId="1D99D8DE" w:rsidR="00996947" w:rsidRPr="00FC2818" w:rsidRDefault="00996947" w:rsidP="00FC2818">
            <w:pPr>
              <w:pStyle w:val="Tabletextnormal"/>
              <w:spacing w:before="40" w:after="40"/>
              <w:rPr>
                <w:sz w:val="21"/>
                <w:szCs w:val="21"/>
              </w:rPr>
            </w:pPr>
            <w:r w:rsidRPr="00FC2818">
              <w:rPr>
                <w:sz w:val="21"/>
                <w:szCs w:val="21"/>
              </w:rPr>
              <w:t>Activation of the complement system via MBL and ficoli</w:t>
            </w:r>
            <w:r w:rsidR="00FE1A4C">
              <w:rPr>
                <w:sz w:val="21"/>
                <w:szCs w:val="21"/>
              </w:rPr>
              <w:t>n</w:t>
            </w:r>
          </w:p>
        </w:tc>
        <w:tc>
          <w:tcPr>
            <w:tcW w:w="0" w:type="auto"/>
          </w:tcPr>
          <w:p w14:paraId="3EA9AC7A" w14:textId="77777777" w:rsidR="00996947" w:rsidRPr="00FC2818"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1"/>
                <w:szCs w:val="21"/>
              </w:rPr>
            </w:pPr>
            <w:r w:rsidRPr="00FC2818">
              <w:rPr>
                <w:sz w:val="21"/>
                <w:szCs w:val="21"/>
              </w:rPr>
              <w:t>LTA</w:t>
            </w:r>
          </w:p>
        </w:tc>
        <w:tc>
          <w:tcPr>
            <w:tcW w:w="0" w:type="auto"/>
          </w:tcPr>
          <w:p w14:paraId="0E4A88F5" w14:textId="639947BB" w:rsidR="00996947" w:rsidRPr="008A6136"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0"/>
                <w:szCs w:val="20"/>
              </w:rPr>
            </w:pPr>
            <w:r w:rsidRPr="008A6136">
              <w:rPr>
                <w:sz w:val="20"/>
                <w:szCs w:val="20"/>
              </w:rPr>
              <w:t xml:space="preserve">Polotsky </w:t>
            </w:r>
            <w:r w:rsidRPr="008A6136">
              <w:rPr>
                <w:i/>
                <w:iCs/>
                <w:sz w:val="20"/>
                <w:szCs w:val="20"/>
              </w:rPr>
              <w:t>et al</w:t>
            </w:r>
            <w:r w:rsidRPr="008A6136">
              <w:rPr>
                <w:sz w:val="20"/>
                <w:szCs w:val="20"/>
              </w:rPr>
              <w:t>., (1996)</w:t>
            </w:r>
            <w:r w:rsidRPr="008A6136">
              <w:rPr>
                <w:sz w:val="20"/>
                <w:szCs w:val="20"/>
              </w:rPr>
              <w:fldChar w:fldCharType="begin" w:fldLock="1"/>
            </w:r>
            <w:r w:rsidR="00260ACA">
              <w:rPr>
                <w:sz w:val="20"/>
                <w:szCs w:val="20"/>
              </w:rPr>
              <w:instrText>ADDIN CSL_CITATION {"citationItems":[{"id":"ITEM-1","itemData":{"ISSN":"00199567","PMID":"8557371","abstract":"We explored the interaction of human recombinant mannose-binding protein and lipoteichoic acids (LTAs) by enzyme-linked immunosorbent assay. The best ligand was Micrococcus luteus lipomannan, followed by Enterococcus spp. LTA containing mono-, di-, and oligoglucosyl substituents. LTAs lacking terminal sugars (those of Streptococcus pyogenes and Staphylococcus aureus) or containing galactosyl substituents (those of Listeria spp. and Lactococcus spp.) were poor ligands. These results are consistent with known structural requirements for binding through the mannose-binding protein carbohydrate recognition domain.","author":[{"dropping-particle":"","family":"Polotsky","given":"Vsevolod Y.","non-dropping-particle":"","parse-names":false,"suffix":""},{"dropping-particle":"","family":"Fischer","given":"Werner","non-dropping-particle":"","parse-names":false,"suffix":""},{"dropping-particle":"","family":"Ezekowitz","given":"R. Alan B","non-dropping-particle":"","parse-names":false,"suffix":""},{"dropping-particle":"","family":"Joiner","given":"Keith A.","non-dropping-particle":"","parse-names":false,"suffix":""}],"container-title":"Infection and Immunity","id":"ITEM-1","issue":"1","issued":{"date-parts":[["1996"]]},"page":"380-383","title":"Interactions of human mannose-binding protein with lipoteichoic acids","type":"article-journal","volume":"64"},"uris":["http://www.mendeley.com/documents/?uuid=d816cb7c-75a1-44c5-a95a-a49631dd05e6"]}],"mendeley":{"formattedCitation":"&lt;sup&gt;[117]&lt;/sup&gt;","plainTextFormattedCitation":"[117]","previouslyFormattedCitation":"&lt;sup&gt;[117]&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[117]</w:t>
            </w:r>
            <w:r w:rsidRPr="008A6136">
              <w:rPr>
                <w:sz w:val="20"/>
                <w:szCs w:val="20"/>
              </w:rPr>
              <w:fldChar w:fldCharType="end"/>
            </w:r>
            <w:r w:rsidRPr="008A6136">
              <w:rPr>
                <w:sz w:val="20"/>
                <w:szCs w:val="20"/>
              </w:rPr>
              <w:t xml:space="preserve">; Lynch </w:t>
            </w:r>
            <w:r w:rsidRPr="008A6136">
              <w:rPr>
                <w:i/>
                <w:iCs/>
                <w:sz w:val="20"/>
                <w:szCs w:val="20"/>
              </w:rPr>
              <w:t>et al.</w:t>
            </w:r>
            <w:r w:rsidRPr="008A6136">
              <w:rPr>
                <w:sz w:val="20"/>
                <w:szCs w:val="20"/>
              </w:rPr>
              <w:t>, (2004)</w:t>
            </w:r>
            <w:r w:rsidRPr="008A6136">
              <w:rPr>
                <w:sz w:val="20"/>
                <w:szCs w:val="20"/>
              </w:rPr>
              <w:fldChar w:fldCharType="begin" w:fldLock="1"/>
            </w:r>
            <w:r w:rsidR="00260ACA">
              <w:rPr>
                <w:sz w:val="20"/>
                <w:szCs w:val="20"/>
              </w:rPr>
              <w:instrText>ADDIN CSL_CITATION {"citationItems":[{"id":"ITEM-1","itemData":{"DOI":"10.4049/jimmunol.172.2.1198","ISBN":"0022-1767 (Print)\\r0022-1767 (Linking)","ISSN":"0022-1767","PMID":"14707097","abstract":"The lectin pathway of complement is activated when a carbohydrate recognition complex and associated serine proteases binds to the surface of a pathogen. Three recognition subcomponents have been shown to form active initiation complexes: mannan-binding lectin (MBL), L-ficolin, and H-ficolin. The importance of MBL in antimicrobial host defense is well recognized, but the role of the ficolins remains largely undefined. This report shows that L-ficolin specifically binds to lipoteichoic acid (LTA), a cell wall component found in all Gram-positive bacteria. Immobilized LTA from Staphylococcus aureus binds L-ficolin complexes from sera, and these complexes initiate lectin pathway-dependent C4 turnover. C4 activation correlates with serum L-ficolin concentration, but not with serum MBL levels. L-ficolin binding and corresponding levels of C4 turnover were observed on LTA purified from other clinically important bacteria, including Streptococcus pyogenes and Streptococcus agalactiae. None of the LTA preparations bound MBL, H-ficolin, or the classical pathway recognition molecule, C1q.","author":[{"dropping-particle":"","family":"Lynch","given":"N. J.","non-dropping-particle":"","parse-names":false,"suffix":""},{"dropping-particle":"","family":"Roscher","given":"S.","non-dropping-particle":"","parse-names":false,"suffix":""},{"dropping-particle":"","family":"Hartung","given":"T.","non-dropping-particle":"","parse-names":false,"suffix":""},{"dropping-particle":"","family":"Morath","given":"S.","non-dropping-particle":"","parse-names":false,"suffix":""},{"dropping-particle":"","family":"Matsushita","given":"M.","non-dropping-particle":"","parse-names":false,"suffix":""},{"dropping-particle":"","family":"Maennel","given":"D. N.","non-dropping-particle":"","parse-names":false,"suffix":""},{"dropping-particle":"","family":"Kuraya","given":"M.","non-dropping-particle":"","parse-names":false,"suffix":""},{"dropping-particle":"","family":"Fujita","given":"T.","non-dropping-particle":"","parse-names":false,"suffix":""},{"dropping-particle":"","family":"Schwaeble","given":"W. J.","non-dropping-particle":"","parse-names":false,"suffix":""}],"container-title":"The Journal of Immunology","id":"ITEM-1","issue":"2","issued":{"date-parts":[["2004"]]},"page":"1198-1202","title":"L-Ficolin Specifically Binds to Lipoteichoic Acid, a Cell Wall Constituent of Gram-Positive Bacteria, and Activates the Lectin Pathway of Complement","type":"article-journal","volume":"172"},"uris":["http://www.mendeley.com/documents/?uuid=a0a4af55-b71d-456d-bb3e-4a8046e00c2e"]}],"mendeley":{"formattedCitation":"&lt;sup&gt;[118]&lt;/sup&gt;","plainTextFormattedCitation":"[118]","previouslyFormattedCitation":"&lt;sup&gt;[118]&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[118]</w:t>
            </w:r>
            <w:r w:rsidRPr="008A6136">
              <w:rPr>
                <w:sz w:val="20"/>
                <w:szCs w:val="20"/>
              </w:rPr>
              <w:fldChar w:fldCharType="end"/>
            </w:r>
            <w:r w:rsidRPr="008A6136">
              <w:rPr>
                <w:sz w:val="20"/>
                <w:szCs w:val="20"/>
              </w:rPr>
              <w:t>; Nahid &amp; Sugii (2006)</w:t>
            </w:r>
            <w:r w:rsidRPr="008A6136">
              <w:rPr>
                <w:sz w:val="20"/>
                <w:szCs w:val="20"/>
              </w:rPr>
              <w:fldChar w:fldCharType="begin" w:fldLock="1"/>
            </w:r>
            <w:r w:rsidR="00260ACA">
              <w:rPr>
                <w:sz w:val="20"/>
                <w:szCs w:val="20"/>
              </w:rPr>
              <w:instrText>ADDIN CSL_CITATION {"citationItems":[{"id":"ITEM-1","itemData":{"DOI":"10.1016/j.dci.2005.04.002","ISBN":"0145-305X","ISSN":"0145305X","PMID":"15964070","abstract":"Protein(s) reactive with N-acetyl-d-glucosamine (GlcNAc) was isolated from porcine nonimmune serum. The molecular weight of the purified protein was found to be mainly 40 kDa on sodium dodecyl sulfate-polyacrylamide gel electrophoresis under reducing conditions. The N-terminal 10 amino acid sequence of the purified protein were found to be identical to that of porcine ficolin-α reported previously. In enzyme-linked immunosorbent assay, the purified protein was found to react with lipopolysaccharides (LPS) from different Gram-negative bacteria such as Esherichia coli, Salmonella typhimurium, Salmonella enteritidis, Salmonella abortus equi, Pseudomonas aeruginosa, Shigella flexeneri, and Serratia marcescens and with lipoteichoic acid (LTA) from Gram-positive bacteria such as Streptococcus sanguis, Bacillus subtilis, Streptococcus pyogenes, and Staphylococcus aureus. The purified protein also reacted with E. coli O26 isolated from food poisoning and bovine feces and heat-treated Gram-positive bacteria such as S. aureus, B. cereus, B. subtilis, Enterococcus faecium, and Corynebacterum bovis. On the other hand, porcine IgG isolated from nonimmune serum showed different reactivity with these LPS, LTA, and heat-treated bacterial cells. From the present findings, purified porcine serum protein reactive with GlcNAc is concluded to be ficolin-α playing an important role(s) in innate immunity against microbial infection with Gram-positive and -negative bacteria. © 2005 Elsevier Ltd. All rights reserved.","author":[{"dropping-particle":"","family":"Nahid","given":"Abu M.","non-dropping-particle":"","parse-names":false,"suffix":""},{"dropping-particle":"","family":"Sugii","given":"Shunji","non-dropping-particle":"","parse-names":false,"suffix":""}],"container-title":"Developmental and Comparative Immunology","id":"ITEM-1","issue":"3","issued":{"date-parts":[["2006"]]},"page":"335-343","title":"Binding of porcine ficolin-α to lipopolysaccharides from Gram-negative bacteria and lipoteichoic acids from Gram-positive bacteria","type":"article-journal","volume":"30"},"uris":["http://www.mendeley.com/documents/?uuid=5669bab9-837d-4036-a4e9-0bce29bd27fb"]}],"mendeley":{"formattedCitation":"&lt;sup&gt;[119]&lt;/sup&gt;","plainTextFormattedCitation":"[119]","previouslyFormattedCitation":"&lt;sup&gt;[119]&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[119]</w:t>
            </w:r>
            <w:r w:rsidRPr="008A6136">
              <w:rPr>
                <w:sz w:val="20"/>
                <w:szCs w:val="20"/>
              </w:rPr>
              <w:fldChar w:fldCharType="end"/>
            </w:r>
            <w:r w:rsidR="006B2D98" w:rsidRPr="008A6136">
              <w:rPr>
                <w:sz w:val="20"/>
                <w:szCs w:val="20"/>
              </w:rPr>
              <w:t xml:space="preserve"> ; Park </w:t>
            </w:r>
            <w:r w:rsidR="006B2D98" w:rsidRPr="008A6136">
              <w:rPr>
                <w:i/>
                <w:iCs/>
                <w:sz w:val="20"/>
                <w:szCs w:val="20"/>
              </w:rPr>
              <w:t>et al.,</w:t>
            </w:r>
            <w:r w:rsidR="006B2D98" w:rsidRPr="008A6136">
              <w:rPr>
                <w:sz w:val="20"/>
                <w:szCs w:val="20"/>
              </w:rPr>
              <w:t xml:space="preserve"> (2010)</w:t>
            </w:r>
            <w:r w:rsidR="006B2D98" w:rsidRPr="008A6136">
              <w:rPr>
                <w:sz w:val="20"/>
                <w:szCs w:val="20"/>
              </w:rPr>
              <w:fldChar w:fldCharType="begin" w:fldLock="1"/>
            </w:r>
            <w:r w:rsidR="00260ACA">
              <w:rPr>
                <w:sz w:val="20"/>
                <w:szCs w:val="20"/>
              </w:rPr>
              <w:instrText>ADDIN CSL_CITATION {"citationItems":[{"id":"ITEM-1","itemData":{"DOI":"10.1074/jbc.M110.141309","ISSN":"00219258","PMID":"20592033","abstract":"Innate immunity is the first line of host defense against invading pathogens, and it is recognized by a variety of pattern recognition molecules, including mannose-binding lectin (MBL). MBL binds to mannose and N-acetylglucosamine residues present on the glycopolymers of microorganisms. Human serum MBL functions as an opsonin and activates the lectin complement pathway. However, which glycopolymer of microorganism is recognized by MBL is still uncertain. Here, we show that wall teichoic acid of Staphylococcus aureus, a bacterial cell surface glycopolymer containing N-acetylglucosamine residue, is a functional ligand of MBL. Whereas serumMBLin adults did not bind to wall teichoic acid because of an inhibitory effect of antiwall teichoic acid antibodies, MBL in infants who had not yet fully developed their adaptive immunity could bind to S. aureus wall teichoic acid and then induced complement C4 deposition. Our data explain the molecular reasons of why MBL-deficient infants are susceptible to S. aureus infection. © 2010 by The American Society for Biochemistry and Molecular Biology, Inc.","author":[{"dropping-particle":"","family":"Park","given":"Keun Hwa","non-dropping-particle":"","parse-names":false,"suffix":""},{"dropping-particle":"","family":"Kurokawa","given":"Kenji","non-dropping-particle":"","parse-names":false,"suffix":""},{"dropping-particle":"","family":"Zheng","given":"Lili","non-dropping-particle":"","parse-names":false,"suffix":""},{"dropping-particle":"","family":"Jung","given":"Dong Jun","non-dropping-particle":"","parse-names":false,"suffix":""},{"dropping-particle":"","family":"Tateishi","given":"Koichiro","non-dropping-particle":"","parse-names":false,"suffix":""},{"dropping-particle":"","family":"Jin","given":"Jun O.","non-dropping-particle":"","parse-names":false,"suffix":""},{"dropping-particle":"","family":"Ha","given":"Nam Chul","non-dropping-particle":"","parse-names":false,"suffix":""},{"dropping-particle":"","family":"Kang","given":"Hee Jung","non-dropping-particle":"","parse-names":false,"suffix":""},{"dropping-particle":"","family":"Matsushita","given":"Misao","non-dropping-particle":"","parse-names":false,"suffix":""},{"dropping-particle":"","family":"Kwak","given":"Jong Young","non-dropping-particle":"","parse-names":false,"suffix":""},{"dropping-particle":"","family":"Takahashi","given":"Kazue","non-dropping-particle":"","parse-names":false,"suffix":""},{"dropping-particle":"","family":"Lee","given":"Bok Luel","non-dropping-particle":"","parse-names":false,"suffix":""}],"container-title":"Journal of Biological Chemistry","id":"ITEM-1","issue":"35","issued":{"date-parts":[["2010"]]},"page":"27167-27175","title":"Human serum mannose-binding lectin senses wall teichoic acid glycopolymer of Staphylococcus aureus, which is restricted in infancy","type":"article-journal","volume":"285"},"uris":["http://www.mendeley.com/documents/?uuid=94c0fc8b-92c8-308b-b312-cf355b38ef20"]}],"mendeley":{"formattedCitation":"&lt;sup&gt;[120]&lt;/sup&gt;","plainTextFormattedCitation":"[120]","previouslyFormattedCitation":"&lt;sup&gt;[120]&lt;/sup&gt;"},"properties":{"noteIndex":0},"schema":"https://github.com/citation-style-language/schema/raw/master/csl-citation.json"}</w:instrText>
            </w:r>
            <w:r w:rsidR="006B2D98" w:rsidRPr="008A6136">
              <w:rPr>
                <w:sz w:val="20"/>
                <w:szCs w:val="20"/>
              </w:rPr>
              <w:fldChar w:fldCharType="separate"/>
            </w:r>
            <w:r w:rsidR="00C825F9" w:rsidRPr="00C825F9">
              <w:rPr>
                <w:noProof/>
                <w:sz w:val="20"/>
                <w:szCs w:val="20"/>
                <w:vertAlign w:val="superscript"/>
              </w:rPr>
              <w:t>[120]</w:t>
            </w:r>
            <w:r w:rsidR="006B2D98" w:rsidRPr="008A6136">
              <w:rPr>
                <w:sz w:val="20"/>
                <w:szCs w:val="20"/>
              </w:rPr>
              <w:fldChar w:fldCharType="end"/>
            </w:r>
          </w:p>
        </w:tc>
      </w:tr>
      <w:tr w:rsidR="00FA11A2" w:rsidRPr="00FC2818" w14:paraId="44688670" w14:textId="77777777" w:rsidTr="00585467">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tcPr>
          <w:p w14:paraId="0AEEF103" w14:textId="77777777" w:rsidR="00996947" w:rsidRPr="00FC2818" w:rsidRDefault="00996947" w:rsidP="00FC2818">
            <w:pPr>
              <w:pStyle w:val="Tabletextnormal"/>
              <w:spacing w:before="40" w:after="40"/>
              <w:rPr>
                <w:sz w:val="21"/>
                <w:szCs w:val="21"/>
              </w:rPr>
            </w:pPr>
            <w:r w:rsidRPr="00FC2818">
              <w:rPr>
                <w:sz w:val="21"/>
                <w:szCs w:val="21"/>
              </w:rPr>
              <w:t>Induction of inflammation via TLR2, CD36, CD14, LBP</w:t>
            </w:r>
          </w:p>
        </w:tc>
        <w:tc>
          <w:tcPr>
            <w:tcW w:w="0" w:type="auto"/>
          </w:tcPr>
          <w:p w14:paraId="0BA0B106" w14:textId="77777777" w:rsidR="00996947" w:rsidRPr="00FC2818"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1"/>
                <w:szCs w:val="21"/>
              </w:rPr>
            </w:pPr>
            <w:r w:rsidRPr="00FC2818">
              <w:rPr>
                <w:sz w:val="21"/>
                <w:szCs w:val="21"/>
              </w:rPr>
              <w:t>LTA</w:t>
            </w:r>
          </w:p>
        </w:tc>
        <w:tc>
          <w:tcPr>
            <w:tcW w:w="0" w:type="auto"/>
          </w:tcPr>
          <w:p w14:paraId="2EB3D7BF" w14:textId="6054558B" w:rsidR="00996947" w:rsidRPr="008A6136"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0"/>
                <w:szCs w:val="20"/>
              </w:rPr>
            </w:pPr>
            <w:r w:rsidRPr="008A6136">
              <w:rPr>
                <w:sz w:val="20"/>
                <w:szCs w:val="20"/>
              </w:rPr>
              <w:t>Morath (2001)</w:t>
            </w:r>
            <w:r w:rsidRPr="008A6136">
              <w:rPr>
                <w:sz w:val="20"/>
                <w:szCs w:val="20"/>
              </w:rPr>
              <w:fldChar w:fldCharType="begin" w:fldLock="1"/>
            </w:r>
            <w:r w:rsidR="00260ACA">
              <w:rPr>
                <w:sz w:val="20"/>
                <w:szCs w:val="20"/>
              </w:rPr>
              <w:instrText>ADDIN CSL_CITATION {"citationItems":[{"id":"ITEM-1","itemData":{"DOI":"10.1084/jem.193.3.393","ISBN":"0022-1007 (Print)","ISSN":"00221007","PMID":"11157059","abstract":"Lipoteichoic acids (LTAs) have been proposed as putative Gram-positive immunostimulatory counterparts to Gram-negative lipopolysaccharides. However, LTA from Staphylococcus aureus, the clinically most frequent Gram-positive pathogen, was inactive after purification. Here, a novel isolation procedure to prepare pure (&gt;99%) biologically active LTA, allowing the first structural analysis by nuclear magnetic resonance and mass spectrometry, is described. A comparison with LTA purified by standard techniques revealed that alanine substituents are lost during standard purification, resulting in attenuated cytokine induction activity. In line with this finding, hydrolysis of alanine substituents of active LTA decimated cytokine induction. LTA represents a major immunostimulatory component of S. aureus.","author":[{"dropping-particle":"","family":"Morath","given":"Siegfried","non-dropping-particle":"","parse-names":false,"suffix":""}],"container-title":"Journal of Experimental Medicine","id":"ITEM-1","issue":"3","issued":{"date-parts":[["2001"]]},"page":"393-398","title":"Structure-Function Relationship of Cytokine Induction by Lipoteichoic Acid from Staphylococcus aureus","type":"article-journal","volume":"193"},"uris":["http://www.mendeley.com/documents/?uuid=85d572e8-bca5-4e3f-8400-9eba31888ce3"]}],"mendeley":{"formattedCitation":"&lt;sup&gt;[121]&lt;/sup&gt;","plainTextFormattedCitation":"[121]","previouslyFormattedCitation":"&lt;sup&gt;[121]&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[121]</w:t>
            </w:r>
            <w:r w:rsidRPr="008A6136">
              <w:rPr>
                <w:sz w:val="20"/>
                <w:szCs w:val="20"/>
              </w:rPr>
              <w:fldChar w:fldCharType="end"/>
            </w:r>
            <w:r w:rsidRPr="008A6136">
              <w:rPr>
                <w:sz w:val="20"/>
                <w:szCs w:val="20"/>
              </w:rPr>
              <w:t xml:space="preserve">, Morath </w:t>
            </w:r>
            <w:r w:rsidRPr="008A6136">
              <w:rPr>
                <w:i/>
                <w:iCs/>
                <w:sz w:val="20"/>
                <w:szCs w:val="20"/>
              </w:rPr>
              <w:t>et al</w:t>
            </w:r>
            <w:r w:rsidRPr="008A6136">
              <w:rPr>
                <w:sz w:val="20"/>
                <w:szCs w:val="20"/>
              </w:rPr>
              <w:t>., (2002)</w:t>
            </w:r>
            <w:r w:rsidRPr="008A6136">
              <w:rPr>
                <w:sz w:val="20"/>
                <w:szCs w:val="20"/>
              </w:rPr>
              <w:fldChar w:fldCharType="begin" w:fldLock="1"/>
            </w:r>
            <w:r w:rsidR="00260ACA">
              <w:rPr>
                <w:sz w:val="20"/>
                <w:szCs w:val="20"/>
              </w:rPr>
              <w:instrText>ADDIN CSL_CITATION {"citationItems":[{"id":"ITEM-1","itemData":{"DOI":"10.1084/jem.20020322","ISSN":"0022-1007","PMID":"12070290","abstract":"We recently purified lipoteichoic acid (LTA) from Staphylococcus aureus to more than 99% purity by a novel preparation method and deduced its structure with the first nuclear magnetic resonance (NMR) of a complete LTA. In contrast to Gram-negative lipopolysaccharides, this LTA requires the toll-like receptor (TLR)-2 and not TLR-4 for cytokine induction in monocytes and macrophages. To elucidate the structure-function relationships for LTA from S. aureus, the lipid anchor was prepared by either acidic hydrolysis of native LTA or chemical synthesis (gentiobiosyl-sn-dimyristoylglycerol). Next, a complete LTA molecule with six glycerophosphate units carrying four alanine plus one N-acetyl-glucosamine substituent was synthesized, which displayed the same potency to activate monocytes as native LTA. However, 100-1,000 times higher concentrations of the lipid anchor were required for cytokine induction. It is worthy to note that replacing D-alanine with L-alanine blunted the effect indicating stereoselective recognition. The structure identification of this synthesized and biologically active LTA was proven by NMR and matrix-assisted laser desorption-ionization mass spectrometry. We concluded that the lipid anchor, with its fatty acids, represents an integral part of the immunostimulatory activity of LTA, but requires additional structural components on the polyglycerophosphate backbone.","author":[{"dropping-particle":"","family":"Morath","given":"Siegfried","non-dropping-particle":"","parse-names":false,"suffix":""},{"dropping-particle":"","family":"Stadelmaier","given":"Andreas","non-dropping-particle":"","parse-names":false,"suffix":""},{"dropping-particle":"","family":"Geyer","given":"Armin","non-dropping-particle":"","parse-names":false,"suffix":""},{"dropping-particle":"","family":"Schmidt","given":"Richard R.","non-dropping-particle":"","parse-names":false,"suffix":""},{"dropping-particle":"","family":"Hartung","given":"Thomas","non-dropping-particle":"","parse-names":false,"suffix":""}],"container-title":"The Journal of Experimental Medicine","id":"ITEM-1","issue":"12","issued":{"date-parts":[["2002"]]},"page":"1635-1640","title":"Synthetic Lipoteichoic Acid from Staphylococcus aureus Is a Potent Stimulus of Cytokine Release","type":"article-journal","volume":"195"},"uris":["http://www.mendeley.com/documents/?uuid=e28aaf9e-1fa0-47cf-b490-ef473fc5723f"]}],"mendeley":{"formattedCitation":"&lt;sup&gt;[122]&lt;/sup&gt;","plainTextFormattedCitation":"[122]","previouslyFormattedCitation":"&lt;sup&gt;[122]&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[122]</w:t>
            </w:r>
            <w:r w:rsidRPr="008A6136">
              <w:rPr>
                <w:sz w:val="20"/>
                <w:szCs w:val="20"/>
              </w:rPr>
              <w:fldChar w:fldCharType="end"/>
            </w:r>
            <w:r w:rsidRPr="008A6136">
              <w:rPr>
                <w:sz w:val="20"/>
                <w:szCs w:val="20"/>
              </w:rPr>
              <w:t xml:space="preserve">; Hermann </w:t>
            </w:r>
            <w:r w:rsidRPr="008A6136">
              <w:rPr>
                <w:i/>
                <w:iCs/>
                <w:sz w:val="20"/>
                <w:szCs w:val="20"/>
              </w:rPr>
              <w:t>et al</w:t>
            </w:r>
            <w:r w:rsidRPr="008A6136">
              <w:rPr>
                <w:sz w:val="20"/>
                <w:szCs w:val="20"/>
              </w:rPr>
              <w:t>., (2002)</w:t>
            </w:r>
            <w:r w:rsidRPr="008A6136">
              <w:rPr>
                <w:sz w:val="20"/>
                <w:szCs w:val="20"/>
              </w:rPr>
              <w:fldChar w:fldCharType="begin" w:fldLock="1"/>
            </w:r>
            <w:r w:rsidR="00260ACA">
              <w:rPr>
                <w:sz w:val="20"/>
                <w:szCs w:val="20"/>
              </w:rPr>
              <w:instrText>ADDIN CSL_CITATION {"citationItems":[{"id":"ITEM-1","itemData":{"DOI":"10.1002/1521-4141(200202)32:2&lt;541::AID-IMMU541&gt;3.0.CO;2-P","ISSN":"00142980","PMID":"11828371","abstract":"We have recently shown that highly purified lipoteichoic acid (LTA) represents a major immunostimulatory principle of Staphylococcus aureus. In order to test whether this translates to other bacterial species, we extracted and purified LTA from 12 laboratory-grown species. All LTA induced the release of TNF-alpha, IL-1beta, IL-6 and IL-10 in human whole blood. Soluble CD14 (sCD14) inhibited monokine induction by LTA but failed to confer LTA responsiveness for IL-6 and IL-8 release of human umbilical vein endothelial cells (HUVEC). In a competitive LPS-binding protein (LBP) binding assay, the IC(50) of the tested LTA preparations was up to 3,230-fold higher than for LPS. LBP enhanced TNF-alpha release of human peripheral blood mononuclear cells (PBMC) upon LPS but not LTA stimulation. These data demonstrate a differential role for the serum proteins LBP and sCD14 in the recognition of LPS and LTA. Different efficacies of various anti-CD14 antibodies against LPS vs. LTA-induced cytokine release suggest that the recognition sites of CD14 for LPS and LTA are distinct with a partial overlap. While the maximal achievable monokine release in response to LTA was comparable to LPS, all LTA induced significantly less IL-12 and IFN-gamma. IL-12 substitution increased LTA-inducible IFN-gamma release up to 180-fold, suggesting a critical role of poor LTA-inducible IL-12 for IFN-gamma formation. Pretreatment with IFN-gamma rendered galactosamine-sensitized mice sensitive to challenge with LTA. In conclusion, LTA compared to LPS, are weak inducers of IL-12 and subsequent IFN-gamma formation which might explain their lower toxicity in vivo.","author":[{"dropping-particle":"","family":"Hermann","given":"Corinna","non-dropping-particle":"","parse-names":false,"suffix":""},{"dropping-particle":"","family":"Spreitzer","given":"Ingo","non-dropping-particle":"","parse-names":false,"suffix":""},{"dropping-particle":"","family":"Schröder","given":"Nicolas W J","non-dropping-particle":"","parse-names":false,"suffix":""},{"dropping-particle":"","family":"Morath","given":"Siegfried","non-dropping-particle":"","parse-names":false,"suffix":""},{"dropping-particle":"","family":"Lehner","given":"Martin D.","non-dropping-particle":"","parse-names":false,"suffix":""},{"dropping-particle":"","family":"Fischer","given":"Werner","non-dropping-particle":"","parse-names":false,"suffix":""},{"dropping-particle":"","family":"Schütt","given":"Christine","non-dropping-particle":"","parse-names":false,"suffix":""},{"dropping-particle":"","family":"Schumann","given":"Ralf R.","non-dropping-particle":"","parse-names":false,"suffix":""},{"dropping-particle":"","family":"Hartung","given":"Thomas","non-dropping-particle":"","parse-names":false,"suffix":""}],"container-title":"European Journal of Immunology","id":"ITEM-1","issue":"2","issued":{"date-parts":[["2002"]]},"page":"541-551","title":"Cytokine induction by purified lipoteichoic acids from various bacterial species - Role of LBP, sCD14, CD14 and failure to induce IL-12 and subsequent IFN-γ release","type":"article-journal","volume":"32"},"uris":["http://www.mendeley.com/documents/?uuid=0ab48ff0-a862-4abd-b5ea-23a8b181dbfe"]}],"mendeley":{"formattedCitation":"&lt;sup&gt;[123]&lt;/sup&gt;","plainTextFormattedCitation":"[123]","previouslyFormattedCitation":"&lt;sup&gt;[123]&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[123]</w:t>
            </w:r>
            <w:r w:rsidRPr="008A6136">
              <w:rPr>
                <w:sz w:val="20"/>
                <w:szCs w:val="20"/>
              </w:rPr>
              <w:fldChar w:fldCharType="end"/>
            </w:r>
            <w:r w:rsidRPr="008A6136">
              <w:rPr>
                <w:sz w:val="20"/>
                <w:szCs w:val="20"/>
              </w:rPr>
              <w:t xml:space="preserve">; Hoebe </w:t>
            </w:r>
            <w:r w:rsidRPr="008A6136">
              <w:rPr>
                <w:i/>
                <w:iCs/>
                <w:sz w:val="20"/>
                <w:szCs w:val="20"/>
              </w:rPr>
              <w:t>et al</w:t>
            </w:r>
            <w:r w:rsidRPr="008A6136">
              <w:rPr>
                <w:sz w:val="20"/>
                <w:szCs w:val="20"/>
              </w:rPr>
              <w:t>., (2005)</w:t>
            </w:r>
            <w:r w:rsidRPr="008A6136">
              <w:rPr>
                <w:sz w:val="20"/>
                <w:szCs w:val="20"/>
              </w:rPr>
              <w:fldChar w:fldCharType="begin" w:fldLock="1"/>
            </w:r>
            <w:r w:rsidR="00260ACA">
              <w:rPr>
                <w:sz w:val="20"/>
                <w:szCs w:val="20"/>
              </w:rPr>
              <w:instrText>ADDIN CSL_CITATION {"citationItems":[{"id":"ITEM-1","itemData":{"DOI":"10.1038/nature03253","ISBN":"1476-4687 (Electronic)\\r0028-0836 (Linking)","ISSN":"00280836","PMID":"15690042","abstract":"Toll-like receptor 2 (TLR2) is required for the recognition of numerous molecular components of bacteria, fungi and protozoa. The breadth of the ligand repertoire seems unusual, even if one considers that TLR2 may form heteromers with TLRs 1 and 6 (ref. 12), and it is likely that additional proteins serve as adapters for TLR2 activation. Here we show that an N-ethyl-N-nitrosourea-induced nonsense mutation of Cd36 (oblivious) causes a recessive immunodeficiency phenotype in which macrophages are insensitive to the R-enantiomer of MALP-2 (a diacylated bacterial lipopeptide) and to lipoteichoic acid. Homozygous mice are hypersusceptible to Staphylococcus aureus infection. Cd36(obl) macrophages readily detect S-MALP-2, PAM(2)CSK(4), PAM(3)CSK(4) and zymosan, revealing that some--but not all--TLR2 ligands are dependent on CD36. Already known as a receptor for endogenous molecules, CD36 is also a selective and nonredundant sensor of microbial diacylglycerides that signal via the TLR2/6 heterodimer.","author":[{"dropping-particle":"","family":"Hoebe","given":"Kasper","non-dropping-particle":"","parse-names":false,"suffix":""},{"dropping-particle":"","family":"Georgel","given":"Philippe","non-dropping-particle":"","parse-names":false,"suffix":""},{"dropping-particle":"","family":"Rutschmann","given":"Sophie","non-dropping-particle":"","parse-names":false,"suffix":""},{"dropping-particle":"","family":"Du","given":"Xin","non-dropping-particle":"","parse-names":false,"suffix":""},{"dropping-particle":"","family":"Mudd","given":"Suzanne","non-dropping-particle":"","parse-names":false,"suffix":""},{"dropping-particle":"","family":"Crozat","given":"Karine","non-dropping-particle":"","parse-names":false,"suffix":""},{"dropping-particle":"","family":"Sovath","given":"Sosathya","non-dropping-particle":"","parse-names":false,"suffix":""},{"dropping-particle":"","family":"Shamel","given":"Louis","non-dropping-particle":"","parse-names":false,"suffix":""},{"dropping-particle":"","family":"Hartung","given":"Thomas","non-dropping-particle":"","parse-names":false,"suffix":""},{"dropping-particle":"","family":"Zähringer","given":"Ulrich","non-dropping-particle":"","parse-names":false,"suffix":""},{"dropping-particle":"","family":"Beutler","given":"Bruce","non-dropping-particle":"","parse-names":false,"suffix":""}],"container-title":"Nature","id":"ITEM-1","issue":"7025","issued":{"date-parts":[["2005"]]},"page":"523-527","title":"CD36 is a sensor of diacylglycerides","type":"article-journal","volume":"433"},"uris":["http://www.mendeley.com/documents/?uuid=81270ca8-3113-49d9-9906-5d5dffff3068"]}],"mendeley":{"formattedCitation":"&lt;sup&gt;[124]&lt;/sup&gt;","plainTextFormattedCitation":"[124]","previouslyFormattedCitation":"&lt;sup&gt;[124]&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[124]</w:t>
            </w:r>
            <w:r w:rsidRPr="008A6136">
              <w:rPr>
                <w:sz w:val="20"/>
                <w:szCs w:val="20"/>
              </w:rPr>
              <w:fldChar w:fldCharType="end"/>
            </w:r>
            <w:r w:rsidRPr="008A6136">
              <w:rPr>
                <w:sz w:val="20"/>
                <w:szCs w:val="20"/>
              </w:rPr>
              <w:t xml:space="preserve">; Draing </w:t>
            </w:r>
            <w:r w:rsidRPr="008A6136">
              <w:rPr>
                <w:i/>
                <w:iCs/>
                <w:sz w:val="20"/>
                <w:szCs w:val="20"/>
              </w:rPr>
              <w:t>et al.</w:t>
            </w:r>
            <w:r w:rsidRPr="008A6136">
              <w:rPr>
                <w:sz w:val="20"/>
                <w:szCs w:val="20"/>
              </w:rPr>
              <w:t>, (2008)</w:t>
            </w:r>
            <w:r w:rsidRPr="008A6136">
              <w:rPr>
                <w:sz w:val="20"/>
                <w:szCs w:val="20"/>
              </w:rPr>
              <w:fldChar w:fldCharType="begin" w:fldLock="1"/>
            </w:r>
            <w:r w:rsidR="00260ACA">
              <w:rPr>
                <w:sz w:val="20"/>
                <w:szCs w:val="20"/>
              </w:rPr>
              <w:instrText>ADDIN CSL_CITATION {"citationItems":[{"id":"ITEM-1","itemData":{"DOI":"10.1016/j.imbio.2007.12.001","ISBN":"0171-2985","ISSN":"01712985","PMID":"18406374","abstract":"Despite similar clinical relevance of Gram-positive and Gram-negative infections, immune activation by Gram-positive bacteria is by far less well understood than immune activation by Gram-negative bacteria. Our group has made available highly purified lipoteichoic acids (LTA) as a key Gram-positive immunostimulatory component. We have characterized the reasons for lower potency of LTA compared to Gram-negative lipopolysaccharide (LPS), identifying lack of IL-12/IFN?? induction as a general characteristic of TLR2 agonists, and need for presentation of LTA on surfaces for enhanced immunostimulatory potency, as major aspects. Aspects of chemokine induction, where LTA is more potent than LPS, have been addressed. Furthermore, novel complement and plant defence activation, as well as CD36 as a new LTA receptor, were identified. The bacterial costimuli and modulators of LTA inducible responses are being investigated: LTA isolated from so far 16 bacterial species, although different in structure, behave remarkably similar while whole live and killed bacteria differ with regard to the pattern of induced responses. The purification and characterization of the respective components of the bacterial cell wall has begun. ?? 2007 Elsevier GmbH. All rights reserved.","author":[{"dropping-particle":"","family":"Draing","given":"Christian","non-dropping-particle":"","parse-names":false,"suffix":""},{"dropping-particle":"","family":"Sigel","given":"Stefanie","non-dropping-particle":"","parse-names":false,"suffix":""},{"dropping-particle":"","family":"Deininger","given":"Susanne","non-dropping-particle":"","parse-names":false,"suffix":""},{"dropping-particle":"","family":"Traub","given":"Stephanie","non-dropping-particle":"","parse-names":false,"suffix":""},{"dropping-particle":"","family":"Munke","given":"Rebekka","non-dropping-particle":"","parse-names":false,"suffix":""},{"dropping-particle":"","family":"Mayer","given":"Christoph","non-dropping-particle":"","parse-names":false,"suffix":""},{"dropping-particle":"","family":"Hareng","given":"Lars","non-dropping-particle":"","parse-names":false,"suffix":""},{"dropping-particle":"","family":"Hartung","given":"Thomas","non-dropping-particle":"","parse-names":false,"suffix":""},{"dropping-particle":"","family":"Aulock","given":"Sonja","non-dropping-particle":"von","parse-names":false,"suffix":""},{"dropping-particle":"","family":"Hermann","given":"Corinna","non-dropping-particle":"","parse-names":false,"suffix":""}],"container-title":"Immunobiology","id":"ITEM-1","issue":"3-4","issued":{"date-parts":[["2008"]]},"page":"285-296","title":"Cytokine induction by Gram-positive bacteria","type":"article-journal","volume":"213"},"uris":["http://www.mendeley.com/documents/?uuid=319edce5-bdc1-44ed-aa1b-978df5455269"]}],"mendeley":{"formattedCitation":"&lt;sup&gt;[125]&lt;/sup&gt;","plainTextFormattedCitation":"[125]","previouslyFormattedCitation":"&lt;sup&gt;[125]&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[125]</w:t>
            </w:r>
            <w:r w:rsidRPr="008A6136">
              <w:rPr>
                <w:sz w:val="20"/>
                <w:szCs w:val="20"/>
              </w:rPr>
              <w:fldChar w:fldCharType="end"/>
            </w:r>
          </w:p>
        </w:tc>
      </w:tr>
      <w:tr w:rsidR="00FA11A2" w:rsidRPr="00FC2818" w14:paraId="33DAF147" w14:textId="77777777" w:rsidTr="00585467">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tcPr>
          <w:p w14:paraId="29C87BD8" w14:textId="296E361D" w:rsidR="009A73D6" w:rsidRPr="00FC2818" w:rsidRDefault="009E4E39" w:rsidP="00FC2818">
            <w:pPr>
              <w:pStyle w:val="Tabletextnormal"/>
              <w:spacing w:before="40" w:after="40"/>
              <w:rPr>
                <w:sz w:val="21"/>
                <w:szCs w:val="21"/>
              </w:rPr>
            </w:pPr>
            <w:r>
              <w:rPr>
                <w:sz w:val="21"/>
                <w:szCs w:val="21"/>
              </w:rPr>
              <w:t>A</w:t>
            </w:r>
            <w:r w:rsidR="009A73D6">
              <w:rPr>
                <w:sz w:val="21"/>
                <w:szCs w:val="21"/>
              </w:rPr>
              <w:t xml:space="preserve">dherence to </w:t>
            </w:r>
            <w:r>
              <w:rPr>
                <w:sz w:val="21"/>
                <w:szCs w:val="21"/>
              </w:rPr>
              <w:t>C-type lectin receptors (CLRs)</w:t>
            </w:r>
            <w:r w:rsidR="009A73D6">
              <w:rPr>
                <w:sz w:val="21"/>
                <w:szCs w:val="21"/>
              </w:rPr>
              <w:t xml:space="preserve"> langerin (CD207)</w:t>
            </w:r>
            <w:r w:rsidR="00DB11DC">
              <w:rPr>
                <w:sz w:val="21"/>
                <w:szCs w:val="21"/>
              </w:rPr>
              <w:t xml:space="preserve"> and </w:t>
            </w:r>
            <w:r w:rsidR="009A73D6">
              <w:rPr>
                <w:sz w:val="21"/>
                <w:szCs w:val="21"/>
              </w:rPr>
              <w:t>m</w:t>
            </w:r>
            <w:r w:rsidR="009A73D6" w:rsidRPr="00757E00">
              <w:rPr>
                <w:sz w:val="21"/>
                <w:szCs w:val="21"/>
              </w:rPr>
              <w:t>acrophage galactose‐type lectin (MGL</w:t>
            </w:r>
            <w:r w:rsidR="00DB11DC">
              <w:rPr>
                <w:sz w:val="21"/>
                <w:szCs w:val="21"/>
              </w:rPr>
              <w:t>,</w:t>
            </w:r>
            <w:r w:rsidR="009A73D6" w:rsidRPr="00757E00">
              <w:rPr>
                <w:sz w:val="21"/>
                <w:szCs w:val="21"/>
              </w:rPr>
              <w:t xml:space="preserve"> CD301)</w:t>
            </w:r>
          </w:p>
        </w:tc>
        <w:tc>
          <w:tcPr>
            <w:tcW w:w="0" w:type="auto"/>
          </w:tcPr>
          <w:p w14:paraId="0B43E450" w14:textId="081EFFD7" w:rsidR="009A73D6" w:rsidRPr="00FC2818" w:rsidRDefault="00DB11DC"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1"/>
                <w:szCs w:val="21"/>
              </w:rPr>
            </w:pPr>
            <w:r>
              <w:rPr>
                <w:sz w:val="21"/>
                <w:szCs w:val="21"/>
              </w:rPr>
              <w:t>WTA</w:t>
            </w:r>
          </w:p>
        </w:tc>
        <w:tc>
          <w:tcPr>
            <w:tcW w:w="0" w:type="auto"/>
          </w:tcPr>
          <w:p w14:paraId="469A988B" w14:textId="0589D696" w:rsidR="009A73D6" w:rsidRPr="008A6136" w:rsidRDefault="009A73D6"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0"/>
                <w:szCs w:val="20"/>
              </w:rPr>
            </w:pPr>
            <w:r w:rsidRPr="008A6136">
              <w:rPr>
                <w:sz w:val="20"/>
                <w:szCs w:val="20"/>
              </w:rPr>
              <w:t xml:space="preserve">van Dalen </w:t>
            </w:r>
            <w:r w:rsidRPr="008A6136">
              <w:rPr>
                <w:i/>
                <w:iCs/>
                <w:sz w:val="20"/>
                <w:szCs w:val="20"/>
              </w:rPr>
              <w:t>et al.,</w:t>
            </w:r>
            <w:r w:rsidRPr="008A6136">
              <w:rPr>
                <w:sz w:val="20"/>
                <w:szCs w:val="20"/>
              </w:rPr>
              <w:t xml:space="preserve"> (2019)</w:t>
            </w:r>
            <w:r w:rsidRPr="008A6136">
              <w:rPr>
                <w:sz w:val="20"/>
                <w:szCs w:val="20"/>
              </w:rPr>
              <w:fldChar w:fldCharType="begin" w:fldLock="1"/>
            </w:r>
            <w:r w:rsidR="00260ACA">
              <w:rPr>
                <w:sz w:val="20"/>
                <w:szCs w:val="20"/>
              </w:rPr>
              <w:instrText>ADDIN CSL_CITATION {"citationItems":[{"id":"ITEM-1","itemData":{"DOI":"10.1128/mBio.00330-19","ISSN":"21507511","PMID":"31088921","abstract":"Staphylococcus aureus is a major cause of skin and soft tissue infections and aggravator of the inflammatory skin disease atopic dermatitis (AD [eczema]). Epicutaneous exposure to S. aureus induces Th17 responses through skin Langerhans cells (LCs), which paradoxically contribute to host defense but also to AD pathogenesis. The molecular mechanisms underlying the interaction between S. aureus and LCs are poorly understood. Here we demonstrate that human LCs directly interact with S. aureus through the pattern recognition receptor langerin (CD207). Human, but not mouse, langerin interacts with S. aureus through the conserved β-N-acetylglucosamine (GlcNAc) modifications on wall teichoic acid (WTA), thereby discriminating S. aureus from other staphylococcal species. Importantly, the specific S. aureus WTA glycoprofile strongly influences the level of proinflammatory cytokines that are produced by in vitro-generated LCs. Finally, in a murine epicutaneous infection model, S. aureus strongly upregulated transcripts of Cxcl1, Il6, and Il17, which required the presence of both human langerin and WTA β-GlcNAc. Our findings provide molecular insight into the unique proinflammatory capacities of S. aureus in relation to skin inflammation. IMPORTANCE The bacterium Staphylococcus aureus is an important cause of skin infections and is also associated with the occurrence and severity of eczema. Langerhans cells (LCs), a specific subset of skin immune cells, participate in the immune response to S. aureus, but it is yet unclear how LCs recognize S. aureus. Therefore, we investigated the molecular mechanism underlying the interaction between LCs and S. aureus. We identified that wall teichoic acid, an abundant polymer on the S. aureus surface, is recognized by langerin, a receptor unique to LCs. This interaction allows LCs to discriminate S. aureus from other related staphylococcal species and initiates a proinflammatory response similar to that observed in patients with eczema. Our data therefore provide important new insights into the relationship between S. aureus, LCs, and eczema.","author":[{"dropping-particle":"","family":"Dalen","given":"Rob","non-dropping-particle":"van","parse-names":false,"suffix":""},{"dropping-particle":"","family":"Diaz","given":"Jacinto S.de la Cruz","non-dropping-particle":"","parse-names":false,"suffix":""},{"dropping-particle":"","family":"Rumpret","given":"Matevž","non-dropping-particle":"","parse-names":false,"suffix":""},{"dropping-particle":"","family":"Fuchsberger","given":"Felix F.","non-dropping-particle":"","parse-names":false,"suffix":""},{"dropping-particle":"","family":"Teijlingen","given":"Nienke H.","non-dropping-particle":"van","parse-names":false,"suffix":""},{"dropping-particle":"","family":"Hanske","given":"Jonas","non-dropping-particle":"","parse-names":false,"suffix":""},{"dropping-particle":"","family":"Rademacher","given":"Christoph","non-dropping-particle":"","parse-names":false,"suffix":""},{"dropping-particle":"","family":"Geijtenbeek","given":"Teunis B.H.","non-dropping-particle":"","parse-names":false,"suffix":""},{"dropping-particle":"","family":"Strijp","given":"Jos A.G.","non-dropping-particle":"van","parse-names":false,"suffix":""},{"dropping-particle":"","family":"Weidenmaier","given":"Christopher","non-dropping-particle":"","parse-names":false,"suffix":""},{"dropping-particle":"","family":"Peschel","given":"Andreas","non-dropping-particle":"","parse-names":false,"suffix":""},{"dropping-particle":"","family":"Kaplan","given":"Daniel H.","non-dropping-particle":"","parse-names":false,"suffix":""},{"dropping-particle":"","family":"Sorge","given":"Nina M.","non-dropping-particle":"van","parse-names":false,"suffix":""}],"container-title":"mBio","editor":[{"dropping-particle":"","family":"Gründling","given":"Angelika","non-dropping-particle":"","parse-names":false,"suffix":""},{"dropping-particle":"","family":"Msadek","given":"Tarek","non-dropping-particle":"","parse-names":false,"suffix":""}],"id":"ITEM-1","issue":"3","issued":{"date-parts":[["2019","6","25"]]},"title":"Langerhans cells sense Staphylococcus aureus wall teichoic acid through langerin to induce inflammatory responses","type":"article-journal","volume":"10"},"uris":["http://www.mendeley.com/documents/?uuid=8f245bb4-8e9a-321c-924f-dbf94946d634"]}],"mendeley":{"formattedCitation":"&lt;sup&gt;[126]&lt;/sup&gt;","plainTextFormattedCitation":"[126]","previouslyFormattedCitation":"&lt;sup&gt;[126]&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[126]</w:t>
            </w:r>
            <w:r w:rsidRPr="008A6136">
              <w:rPr>
                <w:sz w:val="20"/>
                <w:szCs w:val="20"/>
              </w:rPr>
              <w:fldChar w:fldCharType="end"/>
            </w:r>
            <w:r w:rsidRPr="008A6136">
              <w:rPr>
                <w:sz w:val="20"/>
                <w:szCs w:val="20"/>
              </w:rPr>
              <w:t xml:space="preserve">; Mnich </w:t>
            </w:r>
            <w:r w:rsidRPr="008A6136">
              <w:rPr>
                <w:i/>
                <w:iCs/>
                <w:sz w:val="20"/>
                <w:szCs w:val="20"/>
              </w:rPr>
              <w:t xml:space="preserve">et al., </w:t>
            </w:r>
            <w:r w:rsidRPr="008A6136">
              <w:rPr>
                <w:sz w:val="20"/>
                <w:szCs w:val="20"/>
              </w:rPr>
              <w:t>(2019)</w:t>
            </w:r>
            <w:r w:rsidRPr="008A6136">
              <w:rPr>
                <w:sz w:val="20"/>
                <w:szCs w:val="20"/>
              </w:rPr>
              <w:fldChar w:fldCharType="begin" w:fldLock="1"/>
            </w:r>
            <w:r w:rsidR="00260ACA">
              <w:rPr>
                <w:sz w:val="20"/>
                <w:szCs w:val="20"/>
              </w:rPr>
              <w:instrText>ADDIN CSL_CITATION {"citationItems":[{"id":"ITEM-1","itemData":{"DOI":"10.1111/cmi.13072","ISSN":"14625822","PMID":"31219660","abstract":"Staphylococcus aureus is a common skin commensal but is also associated with various skin and soft tissue pathologies. Upon invasion, S. aureus is detected by resident innate immune cells through pattern-recognition receptors (PRRs), although a comprehensive understanding of the specific molecular interactions is lacking. Recently, we demonstrated that the PRR langerin (CD207) on epidermal Langerhans cells senses the conserved β-1,4-linked N-acetylglucosamine (GlcNAc) modification on S. aureus wall teichoic acid (WTA), thereby increasing skin inflammation. Interestingly, the S. aureus ST395 lineage as well as certain species of coagulase-negative staphylococci (CoNS) produce a structurally different WTA molecule, consisting of poly-glycerolphosphate with α-O-N-acetylgalactosamine (GalNAc) residues, which are attached by the glycosyltransferase TagN. Here, we demonstrate that S. aureus ST395 strains interact with the human Macrophage galactose-type lectin (MGL; CD301) receptor, which is expressed by dendritic cells and macrophages in the dermis. MGL bound S. aureus ST395 in a tagN- and GalNAc-dependent manner but did not interact with different tagN-positive CoNS species. However, heterologous expression of Staphylococcus lugdunensis tagN in S. aureus conferred phage infection and MGL binding, confirming the role of this CoNS enzyme as GalNAc-transferase. Functionally, the detection of GalNAc on S. aureus ST395 WTA by human monocyte-derived dendritic cells significantly enhanced cytokine production. Together, our findings highlight differential recognition of S. aureus glycoprofiles by specific human innate receptors, which may affect downstream adaptive immune responses and pathogen clearance.","author":[{"dropping-particle":"","family":"Mnich","given":"Malgorzata E","non-dropping-particle":"","parse-names":false,"suffix":""},{"dropping-particle":"","family":"Dalen","given":"Rob","non-dropping-particle":"van","parse-names":false,"suffix":""},{"dropping-particle":"","family":"Gerlach","given":"David","non-dropping-particle":"","parse-names":false,"suffix":""},{"dropping-particle":"","family":"Hendriks","given":"Astrid","non-dropping-particle":"","parse-names":false,"suffix":""},{"dropping-particle":"","family":"Xia","given":"Guoqing","non-dropping-particle":"","parse-names":false,"suffix":""},{"dropping-particle":"","family":"Peschel","given":"Andreas","non-dropping-particle":"","parse-names":false,"suffix":""},{"dropping-particle":"","family":"Strijp","given":"Jos A.G.","non-dropping-particle":"van","parse-names":false,"suffix":""},{"dropping-particle":"","family":"Sorge","given":"Nina M.","non-dropping-particle":"van","parse-names":false,"suffix":""}],"container-title":"Cellular Microbiology","id":"ITEM-1","issue":"10","issued":{"date-parts":[["2019"]]},"page":"13072","title":"The C-type lectin receptor MGL senses N-acetylgalactosamine on the unique Staphylococcus aureus ST395 wall teichoic acid","type":"article-journal","volume":"21"},"uris":["http://www.mendeley.com/documents/?uuid=a7c16f8d-85ef-3edf-ae42-3f73d61417b6"]}],"mendeley":{"formattedCitation":"&lt;sup&gt;[127]&lt;/sup&gt;","plainTextFormattedCitation":"[127]","previouslyFormattedCitation":"&lt;sup&gt;[127]&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[127]</w:t>
            </w:r>
            <w:r w:rsidRPr="008A6136">
              <w:rPr>
                <w:sz w:val="20"/>
                <w:szCs w:val="20"/>
              </w:rPr>
              <w:fldChar w:fldCharType="end"/>
            </w:r>
          </w:p>
        </w:tc>
      </w:tr>
      <w:tr w:rsidR="00FA11A2" w:rsidRPr="00FC2818" w14:paraId="5E00BC06" w14:textId="77777777" w:rsidTr="00585467">
        <w:trPr>
          <w:trHeight w:val="591"/>
          <w:jc w:val="center"/>
        </w:trPr>
        <w:tc>
          <w:tcPr>
            <w:cnfStyle w:val="001000000000" w:firstRow="0" w:lastRow="0" w:firstColumn="1" w:lastColumn="0" w:oddVBand="0" w:evenVBand="0" w:oddHBand="0" w:evenHBand="0" w:firstRowFirstColumn="0" w:firstRowLastColumn="0" w:lastRowFirstColumn="0" w:lastRowLastColumn="0"/>
            <w:tcW w:w="0" w:type="auto"/>
          </w:tcPr>
          <w:p w14:paraId="78FA5E89" w14:textId="77777777" w:rsidR="00996947" w:rsidRPr="00FC2818" w:rsidRDefault="00996947" w:rsidP="00FC2818">
            <w:pPr>
              <w:pStyle w:val="Tabletextnormal"/>
              <w:spacing w:before="40" w:after="40"/>
              <w:rPr>
                <w:sz w:val="21"/>
                <w:szCs w:val="21"/>
              </w:rPr>
            </w:pPr>
            <w:r w:rsidRPr="00FC2818">
              <w:rPr>
                <w:sz w:val="21"/>
                <w:szCs w:val="21"/>
              </w:rPr>
              <w:t>Serving as phage receptor</w:t>
            </w:r>
          </w:p>
        </w:tc>
        <w:tc>
          <w:tcPr>
            <w:tcW w:w="0" w:type="auto"/>
          </w:tcPr>
          <w:p w14:paraId="3809A488" w14:textId="77777777" w:rsidR="00996947" w:rsidRPr="00FC2818"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1"/>
                <w:szCs w:val="21"/>
              </w:rPr>
            </w:pPr>
            <w:r w:rsidRPr="00FC2818">
              <w:rPr>
                <w:sz w:val="21"/>
                <w:szCs w:val="21"/>
              </w:rPr>
              <w:t>WTA</w:t>
            </w:r>
          </w:p>
        </w:tc>
        <w:tc>
          <w:tcPr>
            <w:tcW w:w="0" w:type="auto"/>
          </w:tcPr>
          <w:p w14:paraId="1633EECA" w14:textId="2B5E213B" w:rsidR="00996947" w:rsidRPr="008A6136"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0"/>
                <w:szCs w:val="20"/>
              </w:rPr>
            </w:pPr>
            <w:r w:rsidRPr="008A6136">
              <w:rPr>
                <w:sz w:val="20"/>
                <w:szCs w:val="20"/>
              </w:rPr>
              <w:t>Chatterjee (1969)</w:t>
            </w:r>
            <w:r w:rsidRPr="008A6136">
              <w:rPr>
                <w:sz w:val="20"/>
                <w:szCs w:val="20"/>
              </w:rPr>
              <w:fldChar w:fldCharType="begin" w:fldLock="1"/>
            </w:r>
            <w:r w:rsidR="00260ACA">
              <w:rPr>
                <w:sz w:val="20"/>
                <w:szCs w:val="20"/>
              </w:rPr>
              <w:instrText>ADDIN CSL_CITATION {"citationItems":[{"id":"ITEM-1","itemData":{"author":[{"dropping-particle":"","family":"Chatterjee","given":"Anadi N","non-dropping-particle":"","parse-names":false,"suffix":""}],"id":"ITEM-1","issue":"2","issued":{"date-parts":[["1969"]]},"page":"519-527","title":"Use of Bacteriophage-resistant Mutants to Study the Nature of the Bacteriophage Receptor Site of Staphylococcus aureus Use of Bacteriophage-resistant Mutants to Study the Nature of the Bacteriophage Receptor Site of Staphylococcus aureus","type":"article-journal","volume":"98"},"uris":["http://www.mendeley.com/documents/?uuid=93b87b17-0db1-45be-b553-0ec1bd95ba53"]}],"mendeley":{"formattedCitation":"&lt;sup&gt;[128]&lt;/sup&gt;","plainTextFormattedCitation":"[128]","previouslyFormattedCitation":"&lt;sup&gt;[128]&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[128]</w:t>
            </w:r>
            <w:r w:rsidRPr="008A6136">
              <w:rPr>
                <w:sz w:val="20"/>
                <w:szCs w:val="20"/>
              </w:rPr>
              <w:fldChar w:fldCharType="end"/>
            </w:r>
            <w:r w:rsidRPr="008A6136">
              <w:rPr>
                <w:sz w:val="20"/>
                <w:szCs w:val="20"/>
              </w:rPr>
              <w:t xml:space="preserve">; Park </w:t>
            </w:r>
            <w:r w:rsidRPr="008A6136">
              <w:rPr>
                <w:i/>
                <w:iCs/>
                <w:sz w:val="20"/>
                <w:szCs w:val="20"/>
              </w:rPr>
              <w:t>et al</w:t>
            </w:r>
            <w:r w:rsidRPr="008A6136">
              <w:rPr>
                <w:sz w:val="20"/>
                <w:szCs w:val="20"/>
              </w:rPr>
              <w:t>., (1974)</w:t>
            </w:r>
            <w:r w:rsidRPr="008A6136">
              <w:rPr>
                <w:sz w:val="20"/>
                <w:szCs w:val="20"/>
              </w:rPr>
              <w:fldChar w:fldCharType="begin" w:fldLock="1"/>
            </w:r>
            <w:r w:rsidR="00260ACA">
              <w:rPr>
                <w:sz w:val="20"/>
                <w:szCs w:val="20"/>
              </w:rPr>
              <w:instrText>ADDIN CSL_CITATION {"citationItems":[{"id":"ITEM-1","itemData":{"DOI":"10.1111/j.1749-6632.1974.tb41481.x","ISSN":"17496632","PMID":"4278863","author":[{"dropping-particle":"","family":"Park","given":"James T.","non-dropping-particle":"","parse-names":false,"suffix":""},{"dropping-particle":"","family":"Shaw","given":"Douglas R.D.","non-dropping-particle":"","parse-names":false,"suffix":""},{"dropping-particle":"","family":"Chatterjee","given":"Anadi N.","non-dropping-particle":"","parse-names":false,"suffix":""},{"dropping-particle":"","family":"Mirelman","given":"David","non-dropping-particle":"","parse-names":false,"suffix":""},{"dropping-particle":"","family":"Wu","given":"Teresa","non-dropping-particle":"","parse-names":false,"suffix":""}],"container-title":"Annals of the New York Academy of Sciences","id":"ITEM-1","issue":"1","issued":{"date-parts":[["1974"]]},"page":"54-62","title":"Mutants of Staphylococci With Altered Cell Walls","type":"article-journal","volume":"236"},"uris":["http://www.mendeley.com/documents/?uuid=f7921d01-4aa1-4724-ad1b-237f71b981d9"]}],"mendeley":{"formattedCitation":"&lt;sup&gt;[129]&lt;/sup&gt;","plainTextFormattedCitation":"[129]","previouslyFormattedCitation":"&lt;sup&gt;[129]&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[129]</w:t>
            </w:r>
            <w:r w:rsidRPr="008A6136">
              <w:rPr>
                <w:sz w:val="20"/>
                <w:szCs w:val="20"/>
              </w:rPr>
              <w:fldChar w:fldCharType="end"/>
            </w:r>
            <w:r w:rsidRPr="008A6136">
              <w:rPr>
                <w:sz w:val="20"/>
                <w:szCs w:val="20"/>
              </w:rPr>
              <w:t>; Chapot-Chartier (2014)</w:t>
            </w:r>
            <w:r w:rsidRPr="008A6136">
              <w:rPr>
                <w:sz w:val="20"/>
                <w:szCs w:val="20"/>
              </w:rPr>
              <w:fldChar w:fldCharType="begin" w:fldLock="1"/>
            </w:r>
            <w:r w:rsidR="00260ACA">
              <w:rPr>
                <w:sz w:val="20"/>
                <w:szCs w:val="20"/>
              </w:rPr>
              <w:instrText>ADDIN CSL_CITATION {"citationItems":[{"id":"ITEM-1","itemData":{"DOI":"10.3389/fmicb.2014.00236","ISSN":"1664302X","PMID":"24904550","abstract":"Lactic acid bacteria (LAB) are Gram positive bacteria widely used in the production of fermented food in particular cheese and yoghurts. Bacteriophage infections during fermentation processes have been for many years a major industrial concern and have stimulated numerous research efforts. Better understanding of the molecular mechanisms of bacteriophage interactions with their host bacteria is required for the development of efficient strategies to fight against infections. The bacterial cell wall plays key roles in these interactions. First, bacteriophages must adsorb at the bacterial surface through specific interactions with receptors that are cell wall components. At next step, phages must overcome the barrier constituted by cell wall peptidoglycan (PG) to inject DNA inside bacterial cell. Also at the end of the infection cycle, phages synthesize endolysins able to hydrolyze PG and lyse bacterial cells to release phage progeny. In the last decade, concomitant development of genomics and structural analysis of cell wall components allowed considerable advances in the knowledge of their structure and function in several model LAB. Here, we describe the present knowledge on the structure of the cell wall glycopolymers of the best characterized LAB emphasizing their structural variations and we present the available data regarding their role in bacteria-phage specific interactions at the different steps of the infection cycle.","author":[{"dropping-particle":"","family":"Chapot-Chartier","given":"Marie Pierre","non-dropping-particle":"","parse-names":false,"suffix":""}],"container-title":"Frontiers in Microbiology","id":"ITEM-1","issue":"MAY","issued":{"date-parts":[["2014"]]},"page":"1-10","title":"Interactions of the cell-wall glycopolymers of lactic acid bacteria with their bacteriophages","type":"article-journal","volume":"5"},"uris":["http://www.mendeley.com/documents/?uuid=4f8ed5af-bed3-4530-8c72-3d73a9c7011f"]}],"mendeley":{"formattedCitation":"&lt;sup&gt;[130]&lt;/sup&gt;","plainTextFormattedCitation":"[130]","previouslyFormattedCitation":"&lt;sup&gt;[130]&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[130]</w:t>
            </w:r>
            <w:r w:rsidRPr="008A6136">
              <w:rPr>
                <w:sz w:val="20"/>
                <w:szCs w:val="20"/>
              </w:rPr>
              <w:fldChar w:fldCharType="end"/>
            </w:r>
          </w:p>
          <w:p w14:paraId="64F9CB7F" w14:textId="05D34CBF" w:rsidR="00FA11A2" w:rsidRPr="008A6136" w:rsidRDefault="00FA11A2"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0"/>
                <w:szCs w:val="20"/>
              </w:rPr>
            </w:pPr>
          </w:p>
        </w:tc>
      </w:tr>
      <w:tr w:rsidR="00FA11A2" w:rsidRPr="00FC2818" w14:paraId="04AC0503" w14:textId="77777777" w:rsidTr="00585467">
        <w:trPr>
          <w:trHeight w:val="849"/>
          <w:jc w:val="center"/>
        </w:trPr>
        <w:tc>
          <w:tcPr>
            <w:cnfStyle w:val="001000000000" w:firstRow="0" w:lastRow="0" w:firstColumn="1" w:lastColumn="0" w:oddVBand="0" w:evenVBand="0" w:oddHBand="0" w:evenHBand="0" w:firstRowFirstColumn="0" w:firstRowLastColumn="0" w:lastRowFirstColumn="0" w:lastRowLastColumn="0"/>
            <w:tcW w:w="0" w:type="auto"/>
          </w:tcPr>
          <w:p w14:paraId="5D3A19CE" w14:textId="77777777" w:rsidR="00996947" w:rsidRPr="00FC2818" w:rsidRDefault="00996947" w:rsidP="00FC2818">
            <w:pPr>
              <w:pStyle w:val="Tabletextnormal"/>
              <w:spacing w:before="40" w:after="40"/>
              <w:rPr>
                <w:sz w:val="21"/>
                <w:szCs w:val="21"/>
              </w:rPr>
            </w:pPr>
            <w:r w:rsidRPr="00FC2818">
              <w:rPr>
                <w:sz w:val="21"/>
                <w:szCs w:val="21"/>
              </w:rPr>
              <w:t>Mediating attachment to biomaterials and biofilm formation TA</w:t>
            </w:r>
          </w:p>
        </w:tc>
        <w:tc>
          <w:tcPr>
            <w:tcW w:w="0" w:type="auto"/>
          </w:tcPr>
          <w:p w14:paraId="18FCD5B2" w14:textId="77777777" w:rsidR="00996947" w:rsidRPr="00FC2818" w:rsidRDefault="00996947" w:rsidP="00FC2818">
            <w:pPr>
              <w:pStyle w:val="Tabletextnormal"/>
              <w:spacing w:before="40" w:after="40"/>
              <w:cnfStyle w:val="000000000000" w:firstRow="0" w:lastRow="0" w:firstColumn="0" w:lastColumn="0" w:oddVBand="0" w:evenVBand="0" w:oddHBand="0" w:evenHBand="0" w:firstRowFirstColumn="0" w:firstRowLastColumn="0" w:lastRowFirstColumn="0" w:lastRowLastColumn="0"/>
              <w:rPr>
                <w:sz w:val="21"/>
                <w:szCs w:val="21"/>
              </w:rPr>
            </w:pPr>
            <w:r w:rsidRPr="00FC2818">
              <w:rPr>
                <w:sz w:val="21"/>
                <w:szCs w:val="21"/>
              </w:rPr>
              <w:t>LTA, WTA</w:t>
            </w:r>
          </w:p>
        </w:tc>
        <w:tc>
          <w:tcPr>
            <w:tcW w:w="0" w:type="auto"/>
          </w:tcPr>
          <w:p w14:paraId="369EC9AF" w14:textId="73B501FF" w:rsidR="00996947" w:rsidRPr="008A6136" w:rsidRDefault="00996947" w:rsidP="00FC2818">
            <w:pPr>
              <w:pStyle w:val="Tabletextnormal"/>
              <w:keepNext/>
              <w:spacing w:before="40" w:after="40"/>
              <w:jc w:val="both"/>
              <w:cnfStyle w:val="000000000000" w:firstRow="0" w:lastRow="0" w:firstColumn="0" w:lastColumn="0" w:oddVBand="0" w:evenVBand="0" w:oddHBand="0" w:evenHBand="0" w:firstRowFirstColumn="0" w:firstRowLastColumn="0" w:lastRowFirstColumn="0" w:lastRowLastColumn="0"/>
              <w:rPr>
                <w:sz w:val="20"/>
                <w:szCs w:val="20"/>
                <w:lang w:val="es-ES"/>
              </w:rPr>
            </w:pPr>
            <w:r w:rsidRPr="008A6136">
              <w:rPr>
                <w:sz w:val="20"/>
                <w:szCs w:val="20"/>
              </w:rPr>
              <w:t xml:space="preserve">Febretti </w:t>
            </w:r>
            <w:r w:rsidRPr="008A6136">
              <w:rPr>
                <w:i/>
                <w:iCs/>
                <w:sz w:val="20"/>
                <w:szCs w:val="20"/>
              </w:rPr>
              <w:t>et al</w:t>
            </w:r>
            <w:r w:rsidRPr="008A6136">
              <w:rPr>
                <w:sz w:val="20"/>
                <w:szCs w:val="20"/>
              </w:rPr>
              <w:t>., (2006)</w:t>
            </w:r>
            <w:r w:rsidRPr="008A6136">
              <w:rPr>
                <w:sz w:val="20"/>
                <w:szCs w:val="20"/>
                <w:lang w:val="es-ES"/>
              </w:rPr>
              <w:fldChar w:fldCharType="begin" w:fldLock="1"/>
            </w:r>
            <w:r w:rsidRPr="008A6136">
              <w:rPr>
                <w:sz w:val="20"/>
                <w:szCs w:val="20"/>
              </w:rPr>
              <w:instrText>ADDIN CSL_CITATION {"citationItems":[{"id":"ITEM-1","itemData":{"DOI":"10.1128/IAI.00111-06","ISBN":"0019-9567 (Print)","ISSN":"00199567","PMID":"16790791","abstract":"Enterococcus faecalis is among the predominant causes of nosocomial infections. Surface molecules like d-alanine lipoteichoic acid (LTA) perform several functions in gram-positive bacteria, such as maintenance of cationic homeostasis and modulation of autolytic activities. The aim of the present study was to evaluate the effect of d-alanine esters of teichoic acids on biofilm production and adhesion, autolysis, antimicrobial peptide sensitivity, and opsonic killing. A deletion mutant of the dltA gene was created in a clinical E. faecalis isolate. The absence of d-alanine in the LTA of the dltA deletion mutant was confirmed by nuclear magnetic resonance spectroscopy. The wild-type strain and the deletion mutant did not show any significant differences in growth curve, morphology, or autolysis. However, the mutant produced significantly less biofilm when grown in the presence of 1% glucose (51.1% compared to that of the wild type); adhesion to eukaryotic cells was diminished. The mutant absorbed 71.1% of the opsonic antibodies, while absorption with the wild type resulted in a 93.2% reduction in killing. Sensitivity to several cationic antimicrobial peptides (polymyxin B, colistin, and nisin) was considerably increased in the mutant strain, confirming similar results from other studies of gram-positive bacteria. Our data suggest that the absence of d-alanine in LTA plays a role in environmental interactions, probably by modulating the net negative charge of the bacterial cell surface, and therefore it may be involved in the pathogenesis of this organism.","author":[{"dropping-particle":"","family":"Fabretti","given":"Francesca","non-dropping-particle":"","parse-names":false,"suffix":""},{"dropping-particle":"","family":"Theilacker","given":"Christian","non-dropping-particle":"","parse-names":false,"suffix":""},{"dropping-particle":"","family":"Baldassarri","given":"Lucilla","non-dropping-particle":"","parse-names":false,"suffix":""},{"dropping-particle":"","family":"Kaczynski","given":"Zbigniew","non-dropping-particle":"","parse-names":false,"suffix":""},{"dropping-particle":"","family":"Kropec","given":"Andrea","non-dropping-particle":"","parse-names":false,"suffix":""},{"dropping-particle":"","family":"Holst","given":"Otto","non-dropping-particle":"","parse-names":false,"suffix":""},{"dropping-particle":"","family":"Huebner","given":"Johannes","non-dropping-particle":"","parse-names":false,"suffix":""}],"container-title":"Infection and Immunity","id":"ITEM-1","issue":"7","issued":{"date-parts":[["2006"]]},"page":"4164-4171","title":"Alanine esters of enterococcal lipoteichoic acid play a role in biofilm formation and resistance to antimicrobial peptides","type":"article-journal","volume":"74"},"uris":["http://www.mendeley.com/documents/?uuid=08d76975-a24d-4538-afff-f4e52f29d6aa"]}],"mendeley":{"formattedCitation":"&lt;sup&gt;[90]&lt;/sup&gt;","plainTextFormattedCitation":"[90]","previouslyFormattedCitation":"&lt;sup&gt;[90]&lt;/sup&gt;"},"properties":{"noteIndex":0},"schema":"https://github.com/citation-style-language/schema/raw/master/csl-citation.json"}</w:instrText>
            </w:r>
            <w:r w:rsidRPr="008A6136">
              <w:rPr>
                <w:sz w:val="20"/>
                <w:szCs w:val="20"/>
                <w:lang w:val="es-ES"/>
              </w:rPr>
              <w:fldChar w:fldCharType="separate"/>
            </w:r>
            <w:r w:rsidRPr="008A6136">
              <w:rPr>
                <w:noProof/>
                <w:sz w:val="20"/>
                <w:szCs w:val="20"/>
                <w:vertAlign w:val="superscript"/>
                <w:lang w:val="es-ES"/>
              </w:rPr>
              <w:t>[90]</w:t>
            </w:r>
            <w:r w:rsidRPr="008A6136">
              <w:rPr>
                <w:sz w:val="20"/>
                <w:szCs w:val="20"/>
                <w:lang w:val="es-ES"/>
              </w:rPr>
              <w:fldChar w:fldCharType="end"/>
            </w:r>
            <w:r w:rsidRPr="008A6136">
              <w:rPr>
                <w:sz w:val="20"/>
                <w:szCs w:val="20"/>
                <w:lang w:val="es-ES"/>
              </w:rPr>
              <w:t>;</w:t>
            </w:r>
            <w:r w:rsidRPr="008A6136">
              <w:rPr>
                <w:i/>
                <w:iCs/>
                <w:sz w:val="20"/>
                <w:szCs w:val="20"/>
                <w:lang w:val="es-ES"/>
              </w:rPr>
              <w:t xml:space="preserve"> </w:t>
            </w:r>
            <w:r w:rsidRPr="008A6136">
              <w:rPr>
                <w:sz w:val="20"/>
                <w:szCs w:val="20"/>
                <w:lang w:val="es-ES"/>
              </w:rPr>
              <w:t xml:space="preserve">Vergara </w:t>
            </w:r>
            <w:r w:rsidRPr="008A6136">
              <w:rPr>
                <w:i/>
                <w:iCs/>
                <w:sz w:val="20"/>
                <w:szCs w:val="20"/>
                <w:lang w:val="es-ES"/>
              </w:rPr>
              <w:t>et al</w:t>
            </w:r>
            <w:r w:rsidRPr="008A6136">
              <w:rPr>
                <w:sz w:val="20"/>
                <w:szCs w:val="20"/>
                <w:lang w:val="es-ES"/>
              </w:rPr>
              <w:t>., (2008)</w:t>
            </w:r>
            <w:r w:rsidRPr="008A6136">
              <w:rPr>
                <w:sz w:val="20"/>
                <w:szCs w:val="20"/>
                <w:lang w:val="es-ES"/>
              </w:rPr>
              <w:fldChar w:fldCharType="begin" w:fldLock="1"/>
            </w:r>
            <w:r w:rsidR="00260ACA">
              <w:rPr>
                <w:sz w:val="20"/>
                <w:szCs w:val="20"/>
                <w:lang w:val="es-ES"/>
              </w:rPr>
              <w:instrText>ADDIN CSL_CITATION {"citationItems":[{"id":"ITEM-1","itemData":{"DOI":"10.1099/mic.0.2007/013292-0","ISBN":"1350-0872 (Print)\\r1350-0872 (Linking)","ISSN":"13500872","PMID":"18310032","abstract":"Biofilm formation in Staphylococcus aureus is usually associated with the production of the poly-N-acetylglucosamine (PNAG) exopolysaccharide, synthesized by proteins encoded by the icaADBC operon. PNAG is a linear beta-(1-6)-linked N-acetylglucosaminoglycan that has to be partially deacetylated and consequently positively charged in order to be associated with bacterial cell surfaces. Here, we investigated whether attachment of PNAG to bacterial surfaces is mediated by ionic interactions with the negative charge of wall teichoic acids (WTAs), which represent the most abundant polyanions of the Gram-positive bacterial envelope. We generated WTA-deficient mutants by in-frame deletion of the tagO gene in two genetically unrelated S. aureus strains. The DeltatagO mutants were more sensitive to high temperatures, showed a higher degree of cell aggregation, had reduced initial adherence to abiotic surfaces and had a reduced capacity to form biofilms under both steady-state and flow conditions. However, the levels as well as the strength of the PNAG interaction with the bacterial cell surface were similar between DeltatagO mutants and their corresponding wild-type strains. Furthermore, double DeltatagO DeltaicaADBC mutants displayed a similar aggregative phenotype to that of single DeltatagO mutants, indicating that PNAG is not responsible for the aggregative behaviour observed in DeltatagO mutants. Overall, the absence of WTAs in S. aureus had little effect on PNAG production or anchoring to the cell surface, but did affect the biofilm-forming capacity, cell aggregative behaviour and the temperature sensitivity/stability of S. aureus.","author":[{"dropping-particle":"","family":"Vergara-Irigaray","given":"Marta","non-dropping-particle":"","parse-names":false,"suffix":""},{"dropping-particle":"","family":"Maira-Litrán","given":"Tomas","non-dropping-particle":"","parse-names":false,"suffix":""},{"dropping-particle":"","family":"Merino","given":"Nekane","non-dropping-particle":"","parse-names":false,"suffix":""},{"dropping-particle":"","family":"Pier","given":"Gerald B.","non-dropping-particle":"","parse-names":false,"suffix":""},{"dropping-particle":"","family":"Penadés","given":"José R.","non-dropping-particle":"","parse-names":false,"suffix":""},{"dropping-particle":"","family":"Lasa","given":"Iñigo","non-dropping-particle":"","parse-names":false,"suffix":""}],"container-title":"Microbiology","id":"ITEM-1","issue":"3","issued":{"date-parts":[["2008"]]},"page":"865-877","title":"Wall teichoic acids are dispensable for anchoring the PNAG exopolysaccharide to the Staphylococcus aureus cell surface","type":"article-journal","volume":"154"},"uris":["http://www.mendeley.com/documents/?uuid=0c8b99da-367a-4286-a774-3669623f3bc7"]}],"mendeley":{"formattedCitation":"&lt;sup&gt;[108]&lt;/sup&gt;","plainTextFormattedCitation":"[108]","previouslyFormattedCitation":"&lt;sup&gt;[108]&lt;/sup&gt;"},"properties":{"noteIndex":0},"schema":"https://github.com/citation-style-language/schema/raw/master/csl-citation.json"}</w:instrText>
            </w:r>
            <w:r w:rsidRPr="008A6136">
              <w:rPr>
                <w:sz w:val="20"/>
                <w:szCs w:val="20"/>
                <w:lang w:val="es-ES"/>
              </w:rPr>
              <w:fldChar w:fldCharType="separate"/>
            </w:r>
            <w:r w:rsidR="00C825F9" w:rsidRPr="00C825F9">
              <w:rPr>
                <w:noProof/>
                <w:sz w:val="20"/>
                <w:szCs w:val="20"/>
                <w:vertAlign w:val="superscript"/>
                <w:lang w:val="es-ES"/>
              </w:rPr>
              <w:t>[108]</w:t>
            </w:r>
            <w:r w:rsidRPr="008A6136">
              <w:rPr>
                <w:sz w:val="20"/>
                <w:szCs w:val="20"/>
                <w:lang w:val="es-ES"/>
              </w:rPr>
              <w:fldChar w:fldCharType="end"/>
            </w:r>
            <w:r w:rsidRPr="008A6136">
              <w:rPr>
                <w:sz w:val="20"/>
                <w:szCs w:val="20"/>
                <w:lang w:val="es-ES"/>
              </w:rPr>
              <w:t xml:space="preserve">; Fedtke </w:t>
            </w:r>
            <w:r w:rsidRPr="008A6136">
              <w:rPr>
                <w:i/>
                <w:iCs/>
                <w:sz w:val="20"/>
                <w:szCs w:val="20"/>
                <w:lang w:val="es-ES"/>
              </w:rPr>
              <w:t>et al</w:t>
            </w:r>
            <w:r w:rsidRPr="008A6136">
              <w:rPr>
                <w:sz w:val="20"/>
                <w:szCs w:val="20"/>
                <w:lang w:val="es-ES"/>
              </w:rPr>
              <w:t>., (2007)</w:t>
            </w:r>
            <w:r w:rsidRPr="008A6136">
              <w:rPr>
                <w:sz w:val="20"/>
                <w:szCs w:val="20"/>
              </w:rPr>
              <w:fldChar w:fldCharType="begin" w:fldLock="1"/>
            </w:r>
            <w:r w:rsidR="00260ACA">
              <w:rPr>
                <w:sz w:val="20"/>
                <w:szCs w:val="20"/>
                <w:lang w:val="es-ES"/>
              </w:rPr>
              <w:instrText>ADDIN CSL_CITATION {"citationItems":[{"id":"ITEM-1","itemData":{"DOI":"10.1111/j.1365-2958.2007.05854.x","ISBN":"0950-382X (Print)\\r0950-382X (Linking)","ISSN":"0950382X","PMID":"17640274","abstract":"Many Gram-positive bacteria produce lipoteichoic acid (LTA) polymers whose physiological roles have remained a matter of debate because of the lack of LTA-deficient mutants. The ypfP gene responsible for biosynthesis of a glycolipid found in LTA was deleted in Staphylococcus aureus SA113, causing 87% reduction of the LTA content. Mass spectrometry and nuclear magnetic resonance spectroscopy revealed that the mutant LTA contained a diacylglycerol anchor instead of the glycolipid, whereas the remaining part was similar to the wild-type polymer except that it was shorter. The LTA mutant strain revealed no major changes in patterns of cell wall proteins or autolytic enzymes compared with the parental strain indicating that LTA may be less important in S. aureus protein attachment than previously thought. However, the autolytic activity of the mutant was strongly reduced demonstrating a role of LTA in controlling autolysin activity. Moreover, the hydrophobicity of the LTA mutant was altered and its ability to form biofilms on plastic was completely abrogated indicating a profound impact of LTA on physicochemical properties of bacterial surfaces. We propose to consider LTA and its biosynthetic enzymes as targets for new antibiofilm strategies.","author":[{"dropping-particle":"","family":"Fedtke","given":"Iris","non-dropping-particle":"","parse-names":false,"suffix":""},{"dropping-particle":"","family":"Mader","given":"Diana","non-dropping-particle":"","parse-names":false,"suffix":""},{"dropping-particle":"","family":"Kohler","given":"Thomas","non-dropping-particle":"","parse-names":false,"suffix":""},{"dropping-particle":"","family":"Moll","given":"Hermann","non-dropping-particle":"","parse-names":false,"suffix":""},{"dropping-particle":"","family":"Nicholson","given":"Graeme","non-dropping-particle":"","parse-names":false,"suffix":""},{"dropping-particle":"","family":"Biswas","given":"Raja","non-dropping-particle":"","parse-names":false,"suffix":""},{"dropping-particle":"","family":"Henseler","given":"Katja","non-dropping-particle":"","parse-names":false,"suffix":""},{"dropping-particle":"","family":"Götz","given":"Friedrich","non-dropping-particle":"","parse-names":false,"suffix":""},{"dropping-particle":"","family":"Zähringer","given":"Ulrich","non-dropping-particle":"","parse-names":false,"suffix":""},{"dropping-particle":"","family":"Peschel","given":"Andreas","non-dropping-particle":"","parse-names":false,"suffix":""}],"container-title":"Molecular Microbiology","id":"ITEM-1","issue":"4","issued":{"date-parts":[["2007"]]},"page":"1078-1091","title":"A Staphylococcus aureus ypfP mutant with strongly reduced lipoteichoic acid (LTA) content: LTA governs bacterial surface properties and autolysin activity","type":"article-journal","volume":"65"},"uris":["http://www.mendeley.com/documents/?uuid=04461ea9-55e6-4db6-9433-4ff2dc55a703"]}],"mendeley":{"formattedCitation":"&lt;sup&gt;[110]&lt;/sup&gt;","plainTextFormattedCitation":"[110]","previouslyFormattedCitation":"&lt;sup&gt;[110]&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[110]</w:t>
            </w:r>
            <w:r w:rsidRPr="008A6136">
              <w:rPr>
                <w:sz w:val="20"/>
                <w:szCs w:val="20"/>
              </w:rPr>
              <w:fldChar w:fldCharType="end"/>
            </w:r>
            <w:r w:rsidRPr="008A6136">
              <w:rPr>
                <w:sz w:val="20"/>
                <w:szCs w:val="20"/>
              </w:rPr>
              <w:t>; Qamar &amp; Golemi-Kotran (2012)</w:t>
            </w:r>
            <w:r w:rsidRPr="008A6136">
              <w:rPr>
                <w:sz w:val="20"/>
                <w:szCs w:val="20"/>
              </w:rPr>
              <w:fldChar w:fldCharType="begin" w:fldLock="1"/>
            </w:r>
            <w:r w:rsidR="00260ACA">
              <w:rPr>
                <w:sz w:val="20"/>
                <w:szCs w:val="20"/>
              </w:rPr>
              <w:instrText>ADDIN CSL_CITATION {"citationItems":[{"id":"ITEM-1","itemData":{"DOI":"10.1128/AAC.00187-12","ISBN":"1098-6596 (Electronic)\\r0066-4804 (Linking)","ISSN":"00664804","PMID":"22564846","abstract":"The fmtA gene is a member of the Staphylococcus aureus core cell wall stimulon. The FmtA protein interacts with β-lactams through formation of covalent species. Here, we show that FmtA has weak D-Ala-D-Ala-carboxypeptidase activity and is capable of covalently incorporating C14-Gly into cell walls. The fluorescence microscopy study showed that the protein is localized to the cell division septum. Furthermore, we show that wall teichoic acids interact specifically with FmtA and mediate recruitment of FmtA to the S. aureus cell wall. Subjection of S. aureus to FmtA concentrations of 0.1 μM or less induces autolysis and biofilm production. This effect requires the presence of wall teichoic acids. At FmtA concentrations greater than 0.2 μM, autolysis and biofilm formation in S. aureus are repressed and growth is enhanced. Our findings indicate dual roles of FmtA in S. aureus growth, whereby at low concentrations, FmtA may modulate the activity of the major autolysin (AtlA) of S. aureus and, at high concentrations, may participate in synthesis of cell wall peptidoglycan. These two roles of FmtA may reflect dual functions of FmtA in the absence and presence of cell wall stress, respectively.","author":[{"dropping-particle":"","family":"Qamar","given":"Aneela","non-dropping-particle":"","parse-names":false,"suffix":""},{"dropping-particle":"","family":"Golemi-Kotra","given":"Dasantila","non-dropping-particle":"","parse-names":false,"suffix":""}],"container-title":"Antimicrobial Agents and Chemotherapy","id":"ITEM-1","issue":"7","issued":{"date-parts":[["2012"]]},"page":"3797-3805","title":"Dual roles of FmtA in Staphylococcus aureus cell wall biosynthesis and autolysis","type":"article-journal","volume":"56"},"uris":["http://www.mendeley.com/documents/?uuid=33800bd7-5063-454a-ba2a-89f4a0dbc9c7"]}],"mendeley":{"formattedCitation":"&lt;sup&gt;[111]&lt;/sup&gt;","plainTextFormattedCitation":"[111]","previouslyFormattedCitation":"&lt;sup&gt;[111]&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rPr>
              <w:t>[111]</w:t>
            </w:r>
            <w:r w:rsidRPr="008A6136">
              <w:rPr>
                <w:sz w:val="20"/>
                <w:szCs w:val="20"/>
              </w:rPr>
              <w:fldChar w:fldCharType="end"/>
            </w:r>
            <w:r w:rsidRPr="008A6136">
              <w:rPr>
                <w:sz w:val="20"/>
                <w:szCs w:val="20"/>
              </w:rPr>
              <w:t xml:space="preserve">; </w:t>
            </w:r>
            <w:r w:rsidRPr="008A6136">
              <w:rPr>
                <w:sz w:val="20"/>
                <w:szCs w:val="20"/>
                <w:lang w:val="es-ES"/>
              </w:rPr>
              <w:t xml:space="preserve">Gross </w:t>
            </w:r>
            <w:r w:rsidRPr="008A6136">
              <w:rPr>
                <w:i/>
                <w:iCs/>
                <w:sz w:val="20"/>
                <w:szCs w:val="20"/>
                <w:lang w:val="es-ES"/>
              </w:rPr>
              <w:t>et al</w:t>
            </w:r>
            <w:r w:rsidRPr="008A6136">
              <w:rPr>
                <w:sz w:val="20"/>
                <w:szCs w:val="20"/>
                <w:lang w:val="es-ES"/>
              </w:rPr>
              <w:t>., (2001)</w:t>
            </w:r>
            <w:r w:rsidRPr="008A6136">
              <w:rPr>
                <w:sz w:val="20"/>
                <w:szCs w:val="20"/>
              </w:rPr>
              <w:fldChar w:fldCharType="begin" w:fldLock="1"/>
            </w:r>
            <w:r w:rsidR="00260ACA">
              <w:rPr>
                <w:sz w:val="20"/>
                <w:szCs w:val="20"/>
                <w:lang w:val="es-ES"/>
              </w:rPr>
              <w:instrText>ADDIN CSL_CITATION {"citationItems":[{"id":"ITEM-1","itemData":{"DOI":"10.1128/IAI.69.5.3423","ISBN":"0019-9567 (Print)\\r0019-9567 (Linking)","ISSN":"00199567","PMID":"11292767","abstract":"Staphylococcus aureus is responsible for a large percentage of infections associated with implanted biomedical devices. The molecular basis of primary adhesion to artificial surfaces is not yet understood. Here, we demonstrate that teichoic acids, highly charged cell wall polymers, play a key role in the first step of biofilm formation. An S. aureus mutant bearing a stronger negative surface charge due to the lack of D-alanine esters in its teichoic acids can no longer colonize polystyrene or glass. The mutation abrogates primary adhesion to plastic while production of the glucosamine-based polymer involved in later steps of biofilm formation is not affected. Our data suggest that repulsive electrostatic forces can lead to reduced staphylococcal biofilm formation, which could have considerable impact on the design of novel implanted materials.","author":[{"dropping-particle":"","family":"Gross","given":"Matthias","non-dropping-particle":"","parse-names":false,"suffix":""},{"dropping-particle":"","family":"Cramton","given":"Sarah E","non-dropping-particle":"","parse-names":false,"suffix":""},{"dropping-particle":"","family":"Götz","given":"Friedrich","non-dropping-particle":"","parse-names":false,"suffix":""},{"dropping-particle":"","family":"Peschel","given":"Andreas","non-dropping-particle":"","parse-names":false,"suffix":""}],"container-title":"Infection and Immunity","id":"ITEM-1","issue":"5","issued":{"date-parts":[["2001"]]},"page":"3423-2426","title":"Key Role of Teichoic Acid Net Charge in Staphylococcus aureus Colonization of Artificial Surfaces Key Role of Teichoic Acid Net Charge in Staphylococcus aureus Colonization of Artificial Surfaces","type":"article-journal","volume":"69"},"uris":["http://www.mendeley.com/documents/?uuid=7e1aa4e3-11bf-4720-b2b8-6b30c3102feb"]}],"mendeley":{"formattedCitation":"&lt;sup&gt;[131]&lt;/sup&gt;","plainTextFormattedCitation":"[131]","previouslyFormattedCitation":"&lt;sup&gt;[131]&lt;/sup&gt;"},"properties":{"noteIndex":0},"schema":"https://github.com/citation-style-language/schema/raw/master/csl-citation.json"}</w:instrText>
            </w:r>
            <w:r w:rsidRPr="008A6136">
              <w:rPr>
                <w:sz w:val="20"/>
                <w:szCs w:val="20"/>
              </w:rPr>
              <w:fldChar w:fldCharType="separate"/>
            </w:r>
            <w:r w:rsidR="00C825F9" w:rsidRPr="00C825F9">
              <w:rPr>
                <w:noProof/>
                <w:sz w:val="20"/>
                <w:szCs w:val="20"/>
                <w:vertAlign w:val="superscript"/>
                <w:lang w:val="es-ES"/>
              </w:rPr>
              <w:t>[131]</w:t>
            </w:r>
            <w:r w:rsidRPr="008A6136">
              <w:rPr>
                <w:sz w:val="20"/>
                <w:szCs w:val="20"/>
              </w:rPr>
              <w:fldChar w:fldCharType="end"/>
            </w:r>
          </w:p>
        </w:tc>
      </w:tr>
    </w:tbl>
    <w:p w14:paraId="5648EDAD" w14:textId="69E87655" w:rsidR="00996947" w:rsidRDefault="00996947" w:rsidP="00996947">
      <w:pPr>
        <w:pStyle w:val="Caption"/>
      </w:pPr>
      <w:bookmarkStart w:id="75" w:name="_Ref76738320"/>
      <w:bookmarkStart w:id="76" w:name="_Toc90217045"/>
      <w:r>
        <w:t xml:space="preserve">Table </w:t>
      </w:r>
      <w:r w:rsidR="003373BF">
        <w:fldChar w:fldCharType="begin"/>
      </w:r>
      <w:r w:rsidR="003373BF">
        <w:instrText xml:space="preserve"> STYLEREF 1 \s </w:instrText>
      </w:r>
      <w:r w:rsidR="003373BF">
        <w:fldChar w:fldCharType="separate"/>
      </w:r>
      <w:r w:rsidR="00183CC8">
        <w:rPr>
          <w:noProof/>
        </w:rPr>
        <w:t>1</w:t>
      </w:r>
      <w:r w:rsidR="003373BF">
        <w:rPr>
          <w:noProof/>
        </w:rPr>
        <w:fldChar w:fldCharType="end"/>
      </w:r>
      <w:r>
        <w:t>.</w:t>
      </w:r>
      <w:r w:rsidR="003373BF">
        <w:fldChar w:fldCharType="begin"/>
      </w:r>
      <w:r w:rsidR="003373BF">
        <w:instrText xml:space="preserve"> SEQ Table \* ARABIC \s 1 </w:instrText>
      </w:r>
      <w:r w:rsidR="003373BF">
        <w:fldChar w:fldCharType="separate"/>
      </w:r>
      <w:r w:rsidR="00183CC8">
        <w:rPr>
          <w:noProof/>
        </w:rPr>
        <w:t>3</w:t>
      </w:r>
      <w:r w:rsidR="003373BF">
        <w:rPr>
          <w:noProof/>
        </w:rPr>
        <w:fldChar w:fldCharType="end"/>
      </w:r>
      <w:bookmarkEnd w:id="75"/>
      <w:r>
        <w:t xml:space="preserve"> Proposed function of </w:t>
      </w:r>
      <w:r>
        <w:rPr>
          <w:i/>
        </w:rPr>
        <w:t>S. aureus</w:t>
      </w:r>
      <w:r>
        <w:t xml:space="preserve"> teichoic acids.</w:t>
      </w:r>
      <w:bookmarkEnd w:id="76"/>
    </w:p>
    <w:p w14:paraId="1610838E" w14:textId="77777777" w:rsidR="008E2D18" w:rsidRPr="008E2D18" w:rsidRDefault="008E2D18" w:rsidP="008E2D18">
      <w:pPr>
        <w:pStyle w:val="NoSpacing"/>
      </w:pPr>
    </w:p>
    <w:p w14:paraId="2BA5020E" w14:textId="6859D366" w:rsidR="008A6136" w:rsidRDefault="008A6136" w:rsidP="008A6136">
      <w:pPr>
        <w:pStyle w:val="Caption"/>
      </w:pPr>
      <w:r>
        <w:fldChar w:fldCharType="begin"/>
      </w:r>
      <w:r>
        <w:instrText xml:space="preserve"> REF _Ref76738320 \h  \* MERGEFORMAT </w:instrText>
      </w:r>
      <w:r>
        <w:fldChar w:fldCharType="separate"/>
      </w:r>
      <w:r w:rsidR="00183CC8">
        <w:t xml:space="preserve">Table </w:t>
      </w:r>
      <w:r w:rsidR="00183CC8">
        <w:rPr>
          <w:noProof/>
        </w:rPr>
        <w:t>1.3</w:t>
      </w:r>
      <w:r>
        <w:fldChar w:fldCharType="end"/>
      </w:r>
      <w:r>
        <w:t xml:space="preserve"> Proposed function of </w:t>
      </w:r>
      <w:r>
        <w:rPr>
          <w:i/>
        </w:rPr>
        <w:t>S. aureus</w:t>
      </w:r>
      <w:r>
        <w:t xml:space="preserve"> teichoic acids.</w:t>
      </w:r>
    </w:p>
    <w:p w14:paraId="27C07AE0" w14:textId="77777777" w:rsidR="00403D62" w:rsidRDefault="00996947" w:rsidP="00996947">
      <w:pPr>
        <w:pStyle w:val="NoSpacing"/>
        <w:sectPr w:rsidR="00403D62" w:rsidSect="004D0E05">
          <w:pgSz w:w="11906" w:h="16838"/>
          <w:pgMar w:top="1191" w:right="1247" w:bottom="1191" w:left="1247" w:header="709" w:footer="709" w:gutter="0"/>
          <w:cols w:space="708"/>
          <w:titlePg/>
          <w:docGrid w:linePitch="360"/>
        </w:sectPr>
      </w:pPr>
      <w:r>
        <w:t xml:space="preserve">Proposed function of teichoic acids (TA) in </w:t>
      </w:r>
      <w:r>
        <w:rPr>
          <w:i/>
          <w:iCs/>
        </w:rPr>
        <w:t xml:space="preserve">S. aureus. </w:t>
      </w:r>
      <w:r>
        <w:t xml:space="preserve">WTA- </w:t>
      </w:r>
      <w:r w:rsidRPr="00EB6A2C">
        <w:t>wall</w:t>
      </w:r>
      <w:r>
        <w:t xml:space="preserve"> teichoic acids. LTA– lipoteichoic acids. Modified from Xia </w:t>
      </w:r>
      <w:r>
        <w:rPr>
          <w:i/>
          <w:iCs/>
        </w:rPr>
        <w:t>et al</w:t>
      </w:r>
      <w:r>
        <w:t>.</w:t>
      </w:r>
      <w:r w:rsidR="00741D5C">
        <w:t>,</w:t>
      </w:r>
      <w:r>
        <w:t xml:space="preserve"> (2010) </w:t>
      </w:r>
      <w:r>
        <w:fldChar w:fldCharType="begin" w:fldLock="1"/>
      </w:r>
      <w:r>
        <w:instrText>ADDIN CSL_CITATION {"citationItems":[{"id":"ITEM-1","itemData":{"DOI":"10.1016/j.ijmm.2009.10.001","ISBN":"1618-0607 (Electronic)\\n1438-4221 (Linking)","ISSN":"14384221","PMID":"19896895","abstract":"Staphylococci and most other Gram-positive bacteria incorporate complex teichoic acid (TA) polymers into their cell envelopes. Several crucial roles in Staphylococcus aureus fitness and cell wall maintenance have been assigned to these polymers, which are either covalently linked to peptidoglycan (wall teichoic acid, WTA) or to the cytoplasmic membrane (lipoteichoic acid, LTA). However, the exact TA structures, functions, and biosynthetic pathways are only superficially understood. Recently, most of the enzymes mediating TA biosynthesis have been identified and mutants lacking or with defined changes in WTA or LTA have become available. Their characterization has revealed crucial roles of TAs in protection against harmful molecules and environmental stresses; in control of enzymes directing cell division or morphogenesis and of cation homeostasis; and in interaction with host or bacteriophage receptors and biomaterials. Accordingly, several in vivo studies have demonstrated the importance of WTA and LTA in S. aureus colonization, infection, and immune evasion. TAs and enzymes required for TA biosynthesis represent attractive candidates for novel vaccines and antibiotics and are targeted by recently developed antibacterial therapeutics. © 2009 Elsevier GmbH. All rights reserved.","author":[{"dropping-particle":"","family":"Xia","given":"Guoqing","non-dropping-particle":"","parse-names":false,"suffix":""},{"dropping-particle":"","family":"Kohler","given":"Thomas","non-dropping-particle":"","parse-names":false,"suffix":""},{"dropping-particle":"","family":"Peschel","given":"Andreas","non-dropping-particle":"","parse-names":false,"suffix":""}],"container-title":"International Journal of Medical Microbiology","id":"ITEM-1","issue":"2-3","issued":{"date-parts":[["2010"]]},"page":"148-154","publisher":"Elsevier","title":"The wall teichoic acid and lipoteichoic acid polymers of Staphylococcus aureus","type":"article-journal","volume":"300"},"uris":["http://www.mendeley.com/documents/?uuid=ea59f391-0bc2-4ead-a2c8-65f74b3ba449"]}],"mendeley":{"formattedCitation":"&lt;sup&gt;[79]&lt;/sup&gt;","plainTextFormattedCitation":"[79]","previouslyFormattedCitation":"&lt;sup&gt;[79]&lt;/sup&gt;"},"properties":{"noteIndex":0},"schema":"https://github.com/citation-style-language/schema/raw/master/csl-citation.json"}</w:instrText>
      </w:r>
      <w:r>
        <w:fldChar w:fldCharType="separate"/>
      </w:r>
      <w:r w:rsidRPr="00DA0A83">
        <w:rPr>
          <w:noProof/>
          <w:vertAlign w:val="superscript"/>
        </w:rPr>
        <w:t>[79]</w:t>
      </w:r>
      <w:r>
        <w:fldChar w:fldCharType="end"/>
      </w:r>
      <w:r>
        <w:t xml:space="preserve"> and van der Es </w:t>
      </w:r>
      <w:r>
        <w:rPr>
          <w:i/>
          <w:iCs/>
        </w:rPr>
        <w:t>et al</w:t>
      </w:r>
      <w:r>
        <w:t>.</w:t>
      </w:r>
      <w:r w:rsidR="00741D5C">
        <w:t>,</w:t>
      </w:r>
      <w:r>
        <w:t xml:space="preserve"> (2017) </w:t>
      </w:r>
      <w:r>
        <w:fldChar w:fldCharType="begin" w:fldLock="1"/>
      </w:r>
      <w:r>
        <w:instrText>ADDIN CSL_CITATION {"citationItems":[{"id":"ITEM-1","itemData":{"DOI":"10.1039/C6CS00270F","ISSN":"0306-0012","author":[{"dropping-particle":"","family":"Es","given":"Daan","non-dropping-particle":"van der","parse-names":false,"suffix":""},{"dropping-particle":"","family":"Hogendorf","given":"Wouter F. J.","non-dropping-particle":"","parse-names":false,"suffix":""},{"dropping-particle":"","family":"Overkleeft","given":"Herman S.","non-dropping-particle":"","parse-names":false,"suffix":""},{"dropping-particle":"","family":"Marel","given":"Gijsbert A.","non-dropping-particle":"van der","parse-names":false,"suffix":""},{"dropping-particle":"","family":"Codée","given":"Jeroen D. C.","non-dropping-particle":"","parse-names":false,"suffix":""}],"container-title":"Chem. Soc. Rev.","id":"ITEM-1","issue":"5","issued":{"date-parts":[["2017"]]},"page":"1464-1482","title":"Teichoic acids: synthesis and applications","type":"article-journal","volume":"46"},"uris":["http://www.mendeley.com/documents/?uuid=86587d57-be87-4384-a322-683b06e7ce62"]}],"mendeley":{"formattedCitation":"&lt;sup&gt;[80]&lt;/sup&gt;","plainTextFormattedCitation":"[80]","previouslyFormattedCitation":"&lt;sup&gt;[80]&lt;/sup&gt;"},"properties":{"noteIndex":0},"schema":"https://github.com/citation-style-language/schema/raw/master/csl-citation.json"}</w:instrText>
      </w:r>
      <w:r>
        <w:fldChar w:fldCharType="separate"/>
      </w:r>
      <w:r w:rsidRPr="00DA0A83">
        <w:rPr>
          <w:noProof/>
          <w:vertAlign w:val="superscript"/>
        </w:rPr>
        <w:t>[80]</w:t>
      </w:r>
      <w:r>
        <w:fldChar w:fldCharType="end"/>
      </w:r>
      <w:r>
        <w:t>.</w:t>
      </w:r>
    </w:p>
    <w:p w14:paraId="56D74419" w14:textId="5B10DFDF" w:rsidR="00DF23E3" w:rsidRDefault="00E94002" w:rsidP="00163FD0">
      <w:r>
        <w:rPr>
          <w:i/>
          <w:iCs/>
        </w:rPr>
        <w:lastRenderedPageBreak/>
        <w:t>S. aureus</w:t>
      </w:r>
      <w:r>
        <w:t xml:space="preserve"> WTA biosynthesis occurs mostly in the cytoplasm and is carried </w:t>
      </w:r>
      <w:r w:rsidRPr="006C5D9A">
        <w:t>out by the Tar proteins (</w:t>
      </w:r>
      <w:r w:rsidRPr="006C5D9A">
        <w:fldChar w:fldCharType="begin"/>
      </w:r>
      <w:r w:rsidRPr="006C5D9A">
        <w:instrText xml:space="preserve"> REF _Ref76999181 \h </w:instrText>
      </w:r>
      <w:r w:rsidRPr="006C5D9A">
        <w:fldChar w:fldCharType="separate"/>
      </w:r>
      <w:r w:rsidR="00183CC8">
        <w:t xml:space="preserve">Figure </w:t>
      </w:r>
      <w:r w:rsidR="00183CC8">
        <w:rPr>
          <w:noProof/>
        </w:rPr>
        <w:t>1</w:t>
      </w:r>
      <w:r w:rsidR="00183CC8">
        <w:t>.</w:t>
      </w:r>
      <w:r w:rsidR="00183CC8">
        <w:rPr>
          <w:noProof/>
        </w:rPr>
        <w:t>7</w:t>
      </w:r>
      <w:r w:rsidRPr="006C5D9A">
        <w:fldChar w:fldCharType="end"/>
      </w:r>
      <w:r w:rsidRPr="006C5D9A">
        <w:t>b). The linkage unit β-Man</w:t>
      </w:r>
      <w:r w:rsidRPr="006C5D9A">
        <w:rPr>
          <w:i/>
          <w:iCs/>
        </w:rPr>
        <w:t>N</w:t>
      </w:r>
      <w:r w:rsidRPr="006C5D9A">
        <w:t>Ac-(1,4)-α-Glc</w:t>
      </w:r>
      <w:r w:rsidRPr="006C5D9A">
        <w:rPr>
          <w:i/>
          <w:iCs/>
        </w:rPr>
        <w:t>N</w:t>
      </w:r>
      <w:r w:rsidRPr="006C5D9A">
        <w:t>Ac-1-P is</w:t>
      </w:r>
      <w:r>
        <w:t xml:space="preserve"> synthesised by TarO and TarA, adding the Glc</w:t>
      </w:r>
      <w:r>
        <w:rPr>
          <w:i/>
          <w:iCs/>
        </w:rPr>
        <w:t>N</w:t>
      </w:r>
      <w:r>
        <w:t>Ac and Man</w:t>
      </w:r>
      <w:r>
        <w:rPr>
          <w:i/>
          <w:iCs/>
        </w:rPr>
        <w:t>N</w:t>
      </w:r>
      <w:r>
        <w:t xml:space="preserve">Ac, respectively, to a lipid carrier (undecaprenyl phosphate). This lipid transporter is shared with the PG biosynthesis pathway. Subsequently, TarB and TarF </w:t>
      </w:r>
      <w:r w:rsidR="00DF23E3">
        <w:t xml:space="preserve">transfer the two glycerol phosphate moieties and TarL assemblies the poly-Gro-P or Rbo-P from CDP-ribitol. </w:t>
      </w:r>
      <w:r w:rsidR="00DF23E3">
        <w:fldChar w:fldCharType="begin" w:fldLock="1"/>
      </w:r>
      <w:r w:rsidR="005D1D77">
        <w:instrText>ADDIN CSL_CITATION {"citationItems":[{"id":"ITEM-1","itemData":{"DOI":"10.1039/C6CS00270F","ISSN":"0306-0012","author":[{"dropping-particle":"","family":"Es","given":"Daan","non-dropping-particle":"van der","parse-names":false,"suffix":""},{"dropping-particle":"","family":"Hogendorf","given":"Wouter F. J.","non-dropping-particle":"","parse-names":false,"suffix":""},{"dropping-particle":"","family":"Overkleeft","given":"Herman S.","non-dropping-particle":"","parse-names":false,"suffix":""},{"dropping-particle":"","family":"Marel","given":"Gijsbert A.","non-dropping-particle":"van der","parse-names":false,"suffix":""},{"dropping-particle":"","family":"Codée","given":"Jeroen D. C.","non-dropping-particle":"","parse-names":false,"suffix":""}],"container-title":"Chem. Soc. Rev.","id":"ITEM-1","issue":"5","issued":{"date-parts":[["2017"]]},"page":"1464-1482","title":"Teichoic acids: synthesis and applications","type":"article-journal","volume":"46"},"uris":["http://www.mendeley.com/documents/?uuid=86587d57-be87-4384-a322-683b06e7ce62"]},{"id":"ITEM-2","itemData":{"DOI":"10.1146/annurev-micro-092412-155620","ISBN":"0066-4227\\r978-0-8243-1167-4","ISSN":"0066-4227","PMID":"24024634","abstract":"The peptidoglycan layers of many gram-positive bacteria are densely functionalized with anionic glycopolymers known as wall teichoic acids (WTAs). These polymers play crucial roles in cell shape determination, regulation of cell division, and other fundamental aspects of gram-positive bacterial physiology. Additionally, WTAs are important in pathogenesis and play key roles in antibiotic resistance. We provide an overview of WTA structure and biosynthesis, review recent studies on the biological roles of these polymers, and highlight remaining questions. We also discuss prospects for exploiting WTA biosynthesis as a target for new therapies to overcome resistant infections.","author":[{"dropping-particle":"","family":"Brown","given":"Stephanie","non-dropping-particle":"","parse-names":false,"suffix":""},{"dropping-particle":"","family":"Santa Maria","given":"John P.","non-dropping-particle":"","parse-names":false,"suffix":""},{"dropping-particle":"","family":"Walker","given":"Suzanne","non-dropping-particle":"","parse-names":false,"suffix":""}],"container-title":"Annual Review of Microbiology","id":"ITEM-2","issue":"1","issued":{"date-parts":[["2013"]]},"page":"313-336","title":"Wall Teichoic Acids of Gram-Positive Bacteria","type":"article-journal","volume":"67"},"uris":["http://www.mendeley.com/documents/?uuid=60ae5b80-e4e7-4362-93a2-52855b0754e7"]},{"id":"ITEM-3","itemData":{"DOI":"10.1099/00221287-148-7-2079","ISBN":"1350-0872 (Print)","ISSN":"1350-0872","PMID":"12101296","abstract":"Sequence homologies suggest that the Bacillus subtilis 168 tagO gene encodes UDP-N-acetylglucosamine:undecaprenyl-P N-acetylglucosaminyl 1-P transferase, the enzyme responsible for catalysing the first step in the synthesis of the teichoic acid linkage unit, i.e. the formation of undecaprenyl-PP-N-acetylglucosamine. Inhibition of tagO expression mediated by an IPTG-inducible P(spac) promoter led to the development of a coccoid cell morphology, a feature characteristic of mutants blocked in teichoic acid synthesis. Indeed, analyses of the cell-wall phosphate content, as well as the incorporation of radioactively labelled precursors, revealed that the synthesis of poly(glycerol phosphate) and poly(glucosyl N-acetylgalactosamine 1-phosphate), the two strain 168 teichoic acids known to share the same linkage unit, was affected. Surprisingly, under phosphate limitation, deficiency of TagO precludes the synthesis of teichuronic acid, which is normally induced under these conditions. The regulatory region of tagO, containing two partly overlapping sigma(A)-controlled promoters, is similar to that of sigA, the gene encoding the major sigma factor responsible for growth. Here, the authors discuss the possibility that TagO may represent a pivotal element in the multi-enzyme complexes responsible for the synthesis of anionic cell-wall polymers, and that it may play one of the key roles in balanced cell growth.","author":[{"dropping-particle":"","family":"Soldo","given":"Blazenka","non-dropping-particle":"","parse-names":false,"suffix":""},{"dropping-particle":"","family":"Lazarevic","given":"Vladimir","non-dropping-particle":"","parse-names":false,"suffix":""},{"dropping-particle":"","family":"Karamata","given":"Dimitri","non-dropping-particle":"","parse-names":false,"suffix":""}],"container-title":"Microbiology (Reading, England)","id":"ITEM-3","issue":"Pt 7","issued":{"date-parts":[["2002"]]},"page":"2079-87","title":"tagO is involved in the synthesis of all anionic cell-wall polymers in Bacillus subtilis 168.","type":"article-journal","volume":"148"},"uris":["http://www.mendeley.com/documents/?uuid=02c0ae74-b3a8-40ea-8b12-926911568bb0"]},{"id":"ITEM-4","itemData":{"DOI":"10.1038/newbio229057a0","ISSN":"00900028","PMID":"4250444","abstract":"THE pathways for the formation of several bacterial wall polymers have been thoroughly investigated. In some cases it has been shown that the biosynthesis involves the participation of lipid intermediates that are concerned with the transfer, and transport through the membrane, of sugar residues and related components from intracellular nucleotide precursors to polymer chains in the wall. All these membrane lipids so far isolated and identified have been shown to be the C55 polyisöprenol, undecaprenol, although it has not yet been demonstrated that they are the same isomer. Thus poly-isoprenols have been demonstrated to participate in the synthesis of O-antigen1, peptidoglycan2, 3 and mannan4.","author":[{"dropping-particle":"","family":"Watkinson","given":"R. J.","non-dropping-particle":"","parse-names":false,"suffix":""},{"dropping-particle":"","family":"Hussey","given":"Helen","non-dropping-particle":"","parse-names":false,"suffix":""},{"dropping-particle":"","family":"Baddiley","given":"J.","non-dropping-particle":"","parse-names":false,"suffix":""}],"container-title":"Nature New Biology","id":"ITEM-4","issue":"2","issued":{"date-parts":[["1971","1","13"]]},"page":"57-59","publisher":"Nature Publishing Group","title":"Shared lipid phosphate carrier in the biosynthesis of teichoic acid and peptidoglycan","type":"article-journal","volume":"229"},"uris":["http://www.mendeley.com/documents/?uuid=853a1dbb-5eda-3a04-b711-878161fecd7b"]}],"mendeley":{"formattedCitation":"&lt;sup&gt;[80,86,132,133]&lt;/sup&gt;","plainTextFormattedCitation":"[80,86,132,133]","previouslyFormattedCitation":"&lt;sup&gt;[80,86,132,133]&lt;/sup&gt;"},"properties":{"noteIndex":0},"schema":"https://github.com/citation-style-language/schema/raw/master/csl-citation.json"}</w:instrText>
      </w:r>
      <w:r w:rsidR="00DF23E3">
        <w:fldChar w:fldCharType="separate"/>
      </w:r>
      <w:r w:rsidR="00DF23E3" w:rsidRPr="00047733">
        <w:rPr>
          <w:noProof/>
          <w:vertAlign w:val="superscript"/>
        </w:rPr>
        <w:t>[80,86,132,133]</w:t>
      </w:r>
      <w:r w:rsidR="00DF23E3">
        <w:fldChar w:fldCharType="end"/>
      </w:r>
      <w:r w:rsidR="00DF23E3">
        <w:t>.</w:t>
      </w:r>
    </w:p>
    <w:p w14:paraId="6FD39FA5" w14:textId="1B7AF35F" w:rsidR="0036231C" w:rsidRDefault="00F259A1" w:rsidP="00163FD0">
      <w:r w:rsidRPr="00DA466C">
        <w:t>Glycosylation</w:t>
      </w:r>
      <w:r w:rsidR="00C56567">
        <w:t xml:space="preserve"> of WTA occur via TarM</w:t>
      </w:r>
      <w:r>
        <w:t xml:space="preserve"> and </w:t>
      </w:r>
      <w:r w:rsidR="00C56567">
        <w:t xml:space="preserve">TarS, whereby </w:t>
      </w:r>
      <w:r w:rsidR="008E0743">
        <w:t>Glc</w:t>
      </w:r>
      <w:r w:rsidR="008E0743">
        <w:rPr>
          <w:i/>
          <w:iCs/>
        </w:rPr>
        <w:t>N</w:t>
      </w:r>
      <w:r w:rsidR="008E0743">
        <w:t>Ac residues are added</w:t>
      </w:r>
      <w:r w:rsidR="00C56567">
        <w:t xml:space="preserve"> </w:t>
      </w:r>
      <w:r w:rsidR="00C56567">
        <w:fldChar w:fldCharType="begin" w:fldLock="1"/>
      </w:r>
      <w:r w:rsidR="00855E17">
        <w:instrText>ADDIN CSL_CITATION {"citationItems":[{"id":"ITEM-1","itemData":{"DOI":"10.1016/j.ijmm.2013.10.009","ISBN":"1618-0607 (Electronic)\\r1438-4221 (Linking)","ISSN":"16180607","PMID":"24365646","abstract":"The thick peptidoglycan layers of Gram-positive bacteria are connected to polyanionic glycopolymers called wall teichoic acids (WTA). Pathogens such as Staphylococcus aureus, Listeria monocytogenes, or Enterococcus faecalis produce WTA with diverse, usually strain-specific structure. Extensive studies on S. aureus WTA mutants revealed important functions of WTA in cell division, growth, morphogenesis, resistance to antimicrobials, and interaction with host or phages. While most of the S. aureus WTA-biosynthetic genes have been identified it remained unclear for long how and why S. aureus glycosylates WTA with α- or β-linked N-acetylglucosamine (GlcNAc). Only recently the discovery of two WTA glycosyltransferases, TarM and TarS, yielded fundamental insights into the roles of S. aureus WTA glycosylation. Mutants lacking WTA GlcNAc are resistant towards most of the S. aureus phages and, surprisingly, TarS-mediated WTA β-O-GlcNAc modification is essential for β-lactam resistance in methicillin-resistant S. aureus. Notably, S. aureus WTA GlcNAc residues are major antigens and activate the complement system contributing to opsonophagocytosis. WTA glycosylation with a variety of sugars and corresponding glycosyltransferases were also identified in other Gram-positive bacteria, which paves the way for detailed investigations on the diverse roles of WTA modification with sugar residues. © 2013 Elsevier GmbH.","author":[{"dropping-particle":"","family":"Winstel","given":"Volker","non-dropping-particle":"","parse-names":false,"suffix":""},{"dropping-particle":"","family":"Xia","given":"Guoqing","non-dropping-particle":"","parse-names":false,"suffix":""},{"dropping-particle":"","family":"Peschel","given":"Andreas","non-dropping-particle":"","parse-names":false,"suffix":""}],"container-title":"International Journal of Medical Microbiology","id":"ITEM-1","issue":"3-4","issued":{"date-parts":[["2014"]]},"page":"215-221","publisher":"Elsevier GmbH.","title":"Pathways and roles of wall teichoic acid glycosylation in Staphylococcus aureus","type":"article-journal","volume":"304"},"uris":["http://www.mendeley.com/documents/?uuid=e43dc68f-9873-468f-9d60-1109219e66e4"]},{"id":"ITEM-2","itemData":{"DOI":"10.1039/C6CS00270F","ISSN":"0306-0012","author":[{"dropping-particle":"","family":"Es","given":"Daan","non-dropping-particle":"van der","parse-names":false,"suffix":""},{"dropping-particle":"","family":"Hogendorf","given":"Wouter F. J.","non-dropping-particle":"","parse-names":false,"suffix":""},{"dropping-particle":"","family":"Overkleeft","given":"Herman S.","non-dropping-particle":"","parse-names":false,"suffix":""},{"dropping-particle":"","family":"Marel","given":"Gijsbert A.","non-dropping-particle":"van der","parse-names":false,"suffix":""},{"dropping-particle":"","family":"Codée","given":"Jeroen D. C.","non-dropping-particle":"","parse-names":false,"suffix":""}],"container-title":"Chem. Soc. Rev.","id":"ITEM-2","issue":"5","issued":{"date-parts":[["2017"]]},"page":"1464-1482","title":"Teichoic acids: synthesis and applications","type":"article-journal","volume":"46"},"uris":["http://www.mendeley.com/documents/?uuid=86587d57-be87-4384-a322-683b06e7ce62"]},{"id":"ITEM-3","itemData":{"DOI":"10.1038/s41598-019-39929-1","ISSN":"20452322","PMID":"30824758","abstract":"Wall teichoic acid (WTA) are major constituents of Staphylococcus aureus (S. aureus) cell envelopes with important roles in the bacteria’s physiology, resistance to antimicrobial molecules, host interaction, virulence and biofilm formation. They consist of ribitol phosphate repeat units in which the ribitol residue is substituted with D-alanine (D-Ala) and N-acetyl-D-glucosamine (GlcNAc). The complete S. aureus WTA biosynthesis pathways was recently revealed with the identification of the two glycosyltransferases, TarM and TarS, respectively responsible for the α- and β-GlcNAc anomeric substitutions. We performed structural analyses to characterize WTAs from a panel of 24 S. aureus strains responsible for invasive infections. A majority of the S. aureus strains produced the β-GlcNAc WTA form in accordance with the presence of the tarS gene in all strains assessed. The β-GlcNAc anomer was preferentially expressed at the expense of the α-GlcNAc anomer when grown on stress-inducing culture medium containing high NaCl concentration. Furthermore, WTA glycosylation of the prototype S. aureus Newman strain was characterized in vivo in two different animal models, namely peritonitis and deep wound infection. While the inoculum used to infect animals produced almost exclusively α-GlcNAc WTA, a complete switch to β-glycosylation was observed in infected kidneys, livers and muscles. Overall, our data demonstrate that S. aureus WTA glycosylation is strongly influenced by environmental conditions and suggest that β-GlcNAc WTA may bring competitive advantage in vivo.","author":[{"dropping-particle":"","family":"Mistretta","given":"Noëlle","non-dropping-particle":"","parse-names":false,"suffix":""},{"dropping-particle":"","family":"Brossaud","given":"Marina","non-dropping-particle":"","parse-names":false,"suffix":""},{"dropping-particle":"","family":"Telles","given":"Fabienne","non-dropping-particle":"","parse-names":false,"suffix":""},{"dropping-particle":"","family":"Sanchez","given":"Violette","non-dropping-particle":"","parse-names":false,"suffix":""},{"dropping-particle":"","family":"Talaga","given":"Philippe","non-dropping-particle":"","parse-names":false,"suffix":""},{"dropping-particle":"","family":"Rokbi","given":"Bachra","non-dropping-particle":"","parse-names":false,"suffix":""}],"container-title":"Scientific Reports","id":"ITEM-3","issue":"1","issued":{"date-parts":[["2019","3","1"]]},"page":"1-11","publisher":"Nature Publishing Group","title":"Glycosylation of Staphylococcus aureus cell wall teichoic acid is influenced by environmental conditions","type":"article-journal","volume":"9"},"uris":["http://www.mendeley.com/documents/?uuid=b3882589-651f-31e9-8b1a-a0e514ae04c2"]}],"mendeley":{"formattedCitation":"&lt;sup&gt;[80,134,135]&lt;/sup&gt;","plainTextFormattedCitation":"[80,134,135]","previouslyFormattedCitation":"&lt;sup&gt;[80,134,135]&lt;/sup&gt;"},"properties":{"noteIndex":0},"schema":"https://github.com/citation-style-language/schema/raw/master/csl-citation.json"}</w:instrText>
      </w:r>
      <w:r w:rsidR="00C56567">
        <w:fldChar w:fldCharType="separate"/>
      </w:r>
      <w:r w:rsidR="00047733" w:rsidRPr="00047733">
        <w:rPr>
          <w:noProof/>
          <w:vertAlign w:val="superscript"/>
        </w:rPr>
        <w:t>[80,134,135]</w:t>
      </w:r>
      <w:r w:rsidR="00C56567">
        <w:fldChar w:fldCharType="end"/>
      </w:r>
      <w:r w:rsidR="00C14330">
        <w:t xml:space="preserve">. </w:t>
      </w:r>
      <w:r w:rsidR="00295A76">
        <w:t>This</w:t>
      </w:r>
      <w:r w:rsidR="003E0576">
        <w:t xml:space="preserve"> decorated polymer</w:t>
      </w:r>
      <w:r w:rsidR="00295A76">
        <w:t xml:space="preserve"> i</w:t>
      </w:r>
      <w:r w:rsidR="005A02E1">
        <w:t>s</w:t>
      </w:r>
      <w:r w:rsidR="00295A76">
        <w:t xml:space="preserve"> then</w:t>
      </w:r>
      <w:r w:rsidR="003E0576">
        <w:t xml:space="preserve"> transported across the PM by TarG and TarH</w:t>
      </w:r>
      <w:r w:rsidR="009D0D04">
        <w:t>, a hetero-tetrameric complex.</w:t>
      </w:r>
      <w:r w:rsidR="00295A76">
        <w:t xml:space="preserve"> Finally</w:t>
      </w:r>
      <w:r w:rsidR="002B1821">
        <w:t xml:space="preserve">, </w:t>
      </w:r>
      <w:r w:rsidR="00E630BF">
        <w:t xml:space="preserve">it is transferred from the lipid carrier </w:t>
      </w:r>
      <w:r w:rsidR="004B1726">
        <w:t xml:space="preserve">and ligated </w:t>
      </w:r>
      <w:r w:rsidR="00E630BF">
        <w:t>to the</w:t>
      </w:r>
      <w:r w:rsidR="004B1726">
        <w:t xml:space="preserve"> Mur</w:t>
      </w:r>
      <w:r w:rsidR="004B1726">
        <w:rPr>
          <w:i/>
          <w:iCs/>
        </w:rPr>
        <w:t>N</w:t>
      </w:r>
      <w:r w:rsidR="004B1726">
        <w:t>Ac of</w:t>
      </w:r>
      <w:r w:rsidR="00E630BF">
        <w:t xml:space="preserve"> </w:t>
      </w:r>
      <w:r w:rsidR="0054658D">
        <w:t xml:space="preserve">uncrosslinked </w:t>
      </w:r>
      <w:r w:rsidR="00E630BF">
        <w:t>PG</w:t>
      </w:r>
      <w:r w:rsidR="00D0033F">
        <w:t xml:space="preserve">, by </w:t>
      </w:r>
      <w:r w:rsidR="004B1726">
        <w:t xml:space="preserve">the </w:t>
      </w:r>
      <w:r w:rsidR="002A07DA">
        <w:t>L</w:t>
      </w:r>
      <w:r w:rsidR="004B1726">
        <w:t xml:space="preserve">ytR-CpsA-Psr (LCP) </w:t>
      </w:r>
      <w:r w:rsidR="00D0033F">
        <w:t>enzymes</w:t>
      </w:r>
      <w:r w:rsidR="004B1726">
        <w:t xml:space="preserve"> </w:t>
      </w:r>
      <w:r w:rsidR="007E3461">
        <w:fldChar w:fldCharType="begin" w:fldLock="1"/>
      </w:r>
      <w:r w:rsidR="005F2DD4">
        <w:instrText>ADDIN CSL_CITATION {"citationItems":[{"id":"ITEM-1","itemData":{"DOI":"10.1111/j.1574-6968.2012.02603.x","ISBN":"1574-6968 (Electronic)\\r0378-1097 (Linking)","ISSN":"03781097","PMID":"22640011","abstract":"The Staphylococcus aureus cell wall stress stimulon (CWSS) is activated by cell envelope-targeting antibiotics or depletion of essential cell wall biosynthesis enzymes. The functionally uncharacterized S. aureus LytR-CpsA-Psr (LCP) proteins, MsrR, SA0908 and SA2103, all belong to the CWSS. Although not essential, deletion of all three LCP proteins severely impairs cell division. We show here that VraSR-dependent CWSS expression was up to 250-fold higher in single, double and triple LCP mutants than in wild type S. aureus in the absence of external stress. The LCP triple mutant was virtually depleted of wall teichoic acids (WTA), which could be restored to different degrees by any of the single LCP proteins. Subinhibitory concentrations of tunicamycin, which inhibits the first WTA synthesis enzyme TarO (TagO), could partially complement the severe growth defect of the LCP triple mutant. Both of the latter findings support a role for S. aureus LCP proteins in late WTA synthesis, as in Bacillus subtilis where LCP proteins were recently proposed to transfer WTA from lipid carriers to the cell wall peptidoglycan. Intrinsic activation of the CWSS upon LCP deletion and the fact that LCP proteins were essential for WTA-loading of the cell wall, highlight their important role(s) in S. aureus cell envelope biogenesis.","author":[{"dropping-particle":"","family":"Dengler","given":"V.","non-dropping-particle":"","parse-names":false,"suffix":""},{"dropping-particle":"","family":"Meier","given":"Patricia Stutzmann","non-dropping-particle":"","parse-names":false,"suffix":""},{"dropping-particle":"","family":"Heusser","given":"Ronald","non-dropping-particle":"","parse-names":false,"suffix":""},{"dropping-particle":"","family":"Kupferschmied","given":"Peter","non-dropping-particle":"","parse-names":false,"suffix":""},{"dropping-particle":"","family":"Fazekas","given":"Judit","non-dropping-particle":"","parse-names":false,"suffix":""},{"dropping-particle":"","family":"Friebe","given":"Sarah","non-dropping-particle":"","parse-names":false,"suffix":""},{"dropping-particle":"","family":"Staufer","given":"Sibylle Burger","non-dropping-particle":"","parse-names":false,"suffix":""},{"dropping-particle":"","family":"Majcherczyk","given":"Paul A.","non-dropping-particle":"","parse-names":false,"suffix":""},{"dropping-particle":"","family":"Moreillon","given":"Philippe","non-dropping-particle":"","parse-names":false,"suffix":""},{"dropping-particle":"","family":"Berger-Bächi","given":"Brigitte","non-dropping-particle":"","parse-names":false,"suffix":""},{"dropping-particle":"","family":"Mccallum","given":"Nadine","non-dropping-particle":"","parse-names":false,"suffix":""}],"container-title":"FEMS Microbiology Letters","id":"ITEM-1","issue":"2","issued":{"date-parts":[["2012"]]},"page":"109-120","title":"Deletion of hypothetical wall teichoic acid ligases in Staphylococcus aureus activates the cell wall stress response","type":"article-journal","volume":"333"},"uris":["http://www.mendeley.com/documents/?uuid=6154995a-f808-4cd7-8ae4-b89f64f1ac31"]},{"id":"ITEM-2","itemData":{"DOI":"10.1111/j.1574-6968.2009.01603.x","ISSN":"03781097","PMID":"19459977","abstract":"MsrR, a factor contributing to methicillin resistance in Staphylococcus aureus, belongs to the LytR-CpsA-Psr family of cell envelope-associated proteins. Deletion of msrR increased cell size and aggregation, and altered envelope properties, leading to a temporary reduction in cell surface hydrophobicity, diminished colony-spreading ability, and an increased susceptibility to Congo red. The reduced phosphorus content of purified cell walls of the msrR mutant suggested a reduction in wall teichoic acids, which may explain some of the observed phenotypes. Microarray analysis of the msrR deletion mutant revealed only minor changes in the global transcriptome, suggesting that MsrR has structural rather than regulatory functions. Importantly, virulence of the msrR mutant was decreased in a nematode-killing assay as well as in rat experimental endocarditis. MsrR is therefore likely to play a role in cell envelope maintenance, cell separation, and pathogenicity of S. aureus. © 2009 Federation of European Microbiological Societies. Published by Blackwell Publishing Ltd. All rights reserved.","author":[{"dropping-particle":"","family":"Hübscher","given":"Judith","non-dropping-particle":"","parse-names":false,"suffix":""},{"dropping-particle":"","family":"McCallum","given":"Nadine","non-dropping-particle":"","parse-names":false,"suffix":""},{"dropping-particle":"","family":"Sifri","given":"Costi D.","non-dropping-particle":"","parse-names":false,"suffix":""},{"dropping-particle":"","family":"Majcherczyk","given":"Paul A.","non-dropping-particle":"","parse-names":false,"suffix":""},{"dropping-particle":"","family":"Entenza","given":"José M.","non-dropping-particle":"","parse-names":false,"suffix":""},{"dropping-particle":"","family":"Heusser","given":"Roni","non-dropping-particle":"","parse-names":false,"suffix":""},{"dropping-particle":"","family":"Berger-Bächi","given":"Brigitte","non-dropping-particle":"","parse-names":false,"suffix":""},{"dropping-particle":"","family":"Stutzmann Meier","given":"Patricia","non-dropping-particle":"","parse-names":false,"suffix":""}],"container-title":"FEMS Microbiology Letters","id":"ITEM-2","issue":"2","issued":{"date-parts":[["2009"]]},"page":"251-260","title":"MsrR contributes to cell surface characteristics and virulence in Staphylococcus aureus","type":"article-journal","volume":"295"},"uris":["http://www.mendeley.com/documents/?uuid=ef86cf84-0454-4127-98ff-e68a9b625df9"]},{"id":"ITEM-3","itemData":{"DOI":"10.1111/j.1574-6968.2011.02303.x","ISSN":"03781097","PMID":"21554381","abstract":"Staphylococcus aureus contains three members of the LytR-CpsA-Psr (LCP) family of membrane proteins: MsrR, SA0908 and SA2103. The characterization of single-, double- and triple-deletion mutants revealed distinct phenotypes for each of the three proteins. MsrR was involved in cell separation and septum formation and influenced β-lactam resistance; SA0908 protected cells from autolysis; and SA2103, although displaying no apparent phenotype by itself, enhanced the properties of msrR and sa0908 mutants when deleted. The deletion of sa0908 and sa2103 also further attenuated the virulence of msrR mutants in a nematode-killing assay. The severely defective growth phenotype of the triple mutant revealed that LytR-CpsA-Psr proteins are essential for optimal cell division in S. aureus. Growth could be rescued to varying degrees by any one of the three proteins, indicating some functional redundancy within members of this protein family. However, differing phenotypic characteristics of all single and double mutants and complemented triple mutants indicated that each protein played a distinct role(s) and contributed differently to phenotypes influencing cell separation, autolysis, cell surface properties and virulence. © 2011 Federation of European Microbiological Societies. Published by Blackwell Publishing Ltd.","author":[{"dropping-particle":"","family":"Over","given":"Benjamin","non-dropping-particle":"","parse-names":false,"suffix":""},{"dropping-particle":"","family":"Heusser","given":"Ronald","non-dropping-particle":"","parse-names":false,"suffix":""},{"dropping-particle":"","family":"Mccallum","given":"Nadine","non-dropping-particle":"","parse-names":false,"suffix":""},{"dropping-particle":"","family":"Schulthess","given":"Bettina","non-dropping-particle":"","parse-names":false,"suffix":""},{"dropping-particle":"","family":"Kupferschmied","given":"Peter","non-dropping-particle":"","parse-names":false,"suffix":""},{"dropping-particle":"","family":"Gaiani","given":"Jessica M.","non-dropping-particle":"","parse-names":false,"suffix":""},{"dropping-particle":"","family":"Sifri","given":"Costi D.","non-dropping-particle":"","parse-names":false,"suffix":""},{"dropping-particle":"","family":"Berger-Bächi","given":"Brigitte","non-dropping-particle":"","parse-names":false,"suffix":""},{"dropping-particle":"","family":"Stutzmann Meier","given":"Patricia","non-dropping-particle":"","parse-names":false,"suffix":""}],"container-title":"FEMS Microbiology Letters","id":"ITEM-3","issue":"2","issued":{"date-parts":[["2011"]]},"page":"142-151","title":"LytR-CpsA-Psr proteins in Staphylococcus aureus display partial functional redundancy and the deletion of all three severely impairs septum placement and cell separation","type":"article-journal","volume":"320"},"uris":["http://www.mendeley.com/documents/?uuid=edaf7779-fd10-4bd3-b22e-0012474936d7"]},{"id":"ITEM-4","itemData":{"DOI":"10.1146/annurev-micro-092412-155620","ISBN":"0066-4227\\r978-0-8243-1167-4","ISSN":"0066-4227","PMID":"24024634","abstract":"The peptidoglycan layers of many gram-positive bacteria are densely functionalized with anionic glycopolymers known as wall teichoic acids (WTAs). These polymers play crucial roles in cell shape determination, regulation of cell division, and other fundamental aspects of gram-positive bacterial physiology. Additionally, WTAs are important in pathogenesis and play key roles in antibiotic resistance. We provide an overview of WTA structure and biosynthesis, review recent studies on the biological roles of these polymers, and highlight remaining questions. We also discuss prospects for exploiting WTA biosynthesis as a target for new therapies to overcome resistant infections.","author":[{"dropping-particle":"","family":"Brown","given":"Stephanie","non-dropping-particle":"","parse-names":false,"suffix":""},{"dropping-particle":"","family":"Santa Maria","given":"John P.","non-dropping-particle":"","parse-names":false,"suffix":""},{"dropping-particle":"","family":"Walker","given":"Suzanne","non-dropping-particle":"","parse-names":false,"suffix":""}],"container-title":"Annual Review of Microbiology","id":"ITEM-4","issue":"1","issued":{"date-parts":[["2013"]]},"page":"313-336","title":"Wall Teichoic Acids of Gram-Positive Bacteria","type":"article-journal","volume":"67"},"uris":["http://www.mendeley.com/documents/?uuid=60ae5b80-e4e7-4362-93a2-52855b0754e7"]},{"id":"ITEM-5","itemData":{"DOI":"10.3390/ijms22020908","ISSN":"14220067","PMID":"33477538","abstract":"The cell walls of Gram-positive bacteria contain a variety of glycopolymers (CWGPs), a significant proportion of which are covalently linked to the peptidoglycan (PGN) scaffolding struc-ture. Prominent CWGPs include wall teichoic acids of Staphylococcus aureus, streptococcal capsules, mycobacterial arabinogalactan, and rhamnose-containing polysaccharides of lactic acid bacteria. CWGPs serve important roles in bacterial cellular functions, morphology, and virulence. Despite evi-dent differences in composition, structure and underlaying biosynthesis pathways, the final ligation step of CWGPs to the PGN backbone involves a conserved class of enzymes—the LytR-CpsA-Psr (LCP) transferases. Typically, the enzymes are present in multiple copies displaying partly functional redundancy and/or preference for a distinct CWGP type. LCP enzymes require a lipid-phosphate-linked glycan precursor substrate and catalyse, with a certain degree of promiscuity, CWGP transfer to PGN of different maturation stages, according to in vitro evidence. The prototype attachment mode is that to the C6-OH of N-acetylmuramic acid residues via installation of a phosphodiester bond. In some cases, attachment proceeds to N-acetylglucosamine residues of PGN—in the case of the Streptococcus agalactiae capsule, even without involvement of a phosphate bond. A novel aspect of LCP enzymes concerns a predicted role in protein glycosylation in Actinomyces oris. Available crystal structures provide further insight into the catalytic mechanism of this biologically important class of enzymes, which are gaining attention as new targets for antibacterial drug discovery to counteract the emergence of multidrug resistant bacteria.","author":[{"dropping-particle":"","family":"Stefanović","given":"Cordula","non-dropping-particle":"","parse-names":false,"suffix":""},{"dropping-particle":"","family":"Hager","given":"Fiona F.","non-dropping-particle":"","parse-names":false,"suffix":""},{"dropping-particle":"","family":"Schäffer","given":"Christina","non-dropping-particle":"","parse-names":false,"suffix":""}],"container-title":"International Journal of Molecular Sciences","id":"ITEM-5","issue":"2","issued":{"date-parts":[["2021","1","18"]]},"page":"1-34","publisher":"Multidisciplinary Digital Publishing Institute","title":"Lytr-cpsa-psr glycopolymer transferases: Essential bricks in gram-positive bacterial cell wall assembly","type":"article-journal","volume":"22"},"uris":["http://www.mendeley.com/documents/?uuid=9a61f050-a75c-48be-8ac8-48ebc72b2d62"]},{"id":"ITEM-6","itemData":{"DOI":"10.1021/jacs.7b13551","ISSN":"15205126","PMID":"29402087","abstract":"The Gram-positive bacterial cell wall is a large supramolecular structure and its assembly requires coordination of complex biosynthetic pathways. In the step that merges the two major biosynthetic pathways in Staphylococcus aureus cell wall assembly, conserved protein ligases attach wall teichoic acids to peptidoglycan, but the order of biosynthetic events is a longstanding question. Here, we use a chemical approach to define which of the possible peptidoglycan intermediates are substrates for wall-teichoic acid ligases, thereby establishing the order of cell wall assembly. We have developed a strategy to make defined glycan chain-length polymers of either un-cross-linked or cross-linked peptidoglycan, and we find that wall teichoic acid ligases cannot transfer wall teichoic acid precursors to the cross-linked substrates. A 1.9 Å crystal structure of a LytR-CpsA-Psr (LCP) family ligase in complex with a wall teichoic acid precursor defines the location of the peptidoglycan binding site as a long, narrow groove, and suggests that the basis for selectivity is steric exclusion of cross-linked peptidoglycan. Consistent with this hypothesis, we have found that chitin oligomers are good substrates for transfer, showing that LCPs do not discriminate cross-linked from un-cross-linked peptidoglycan substrates by recognizing features of the un-cross-linked stem peptide. We conclude that wall teichoic acids are coupled to un-cross-linked peptidoglycan chains at an early stage of peptidoglycan synthesis and may create marks that define the proper spacing of subsequent cross-links.","author":[{"dropping-particle":"","family":"Schaefer","given":"Kaitlin","non-dropping-particle":"","parse-names":false,"suffix":""},{"dropping-particle":"","family":"Owens","given":"Tristan W","non-dropping-particle":"","parse-names":false,"suffix":""},{"dropping-particle":"","family":"Kahne","given":"Daniel","non-dropping-particle":"","parse-names":false,"suffix":""},{"dropping-particle":"","family":"Walker","given":"Suzanne","non-dropping-particle":"","parse-names":false,"suffix":""}],"container-title":"Journal of the American Chemical Society","id":"ITEM-6","issue":"7","issued":{"date-parts":[["2018"]]},"page":"2442-2445","title":"Substrate Preferences Establish the Order of Cell Wall Assembly in Staphylococcus aureus","type":"article-journal","volume":"140"},"uris":["http://www.mendeley.com/documents/?uuid=8e6ae4ef-9032-49c6-a162-71beec4cd88a"]}],"mendeley":{"formattedCitation":"&lt;sup&gt;[86,136–140]&lt;/sup&gt;","plainTextFormattedCitation":"[86,136–140]","previouslyFormattedCitation":"&lt;sup&gt;[86,136–140]&lt;/sup&gt;"},"properties":{"noteIndex":0},"schema":"https://github.com/citation-style-language/schema/raw/master/csl-citation.json"}</w:instrText>
      </w:r>
      <w:r w:rsidR="007E3461">
        <w:fldChar w:fldCharType="separate"/>
      </w:r>
      <w:r w:rsidR="0054658D" w:rsidRPr="0054658D">
        <w:rPr>
          <w:noProof/>
          <w:vertAlign w:val="superscript"/>
        </w:rPr>
        <w:t>[86,136–140]</w:t>
      </w:r>
      <w:r w:rsidR="007E3461">
        <w:fldChar w:fldCharType="end"/>
      </w:r>
      <w:r w:rsidR="00D0033F">
        <w:t>.</w:t>
      </w:r>
    </w:p>
    <w:p w14:paraId="3C7281F9" w14:textId="2E49CFA1" w:rsidR="00C56567" w:rsidRDefault="00F259A1" w:rsidP="00163FD0">
      <w:r w:rsidRPr="00DA466C">
        <w:t>D-alanylation</w:t>
      </w:r>
      <w:r w:rsidR="00B31903">
        <w:t xml:space="preserve"> is the last step</w:t>
      </w:r>
      <w:r w:rsidR="00AC04F5">
        <w:t xml:space="preserve"> of WTA modification</w:t>
      </w:r>
      <w:r w:rsidR="00B31903">
        <w:t xml:space="preserve">, </w:t>
      </w:r>
      <w:r w:rsidR="004A766F">
        <w:t xml:space="preserve">and although not fully </w:t>
      </w:r>
      <w:r w:rsidR="002C6D11">
        <w:t>comprehended</w:t>
      </w:r>
      <w:r w:rsidR="004A766F">
        <w:t xml:space="preserve">, it is believed </w:t>
      </w:r>
      <w:r w:rsidR="003B6174">
        <w:t>to be</w:t>
      </w:r>
      <w:r w:rsidR="004A766F">
        <w:t xml:space="preserve"> </w:t>
      </w:r>
      <w:r w:rsidR="00B31903">
        <w:t>carried out by</w:t>
      </w:r>
      <w:r w:rsidR="002C6D11">
        <w:t xml:space="preserve"> the</w:t>
      </w:r>
      <w:r w:rsidR="00B31903">
        <w:t xml:space="preserve"> Dlt</w:t>
      </w:r>
      <w:r w:rsidR="007031CA">
        <w:t>ABCD</w:t>
      </w:r>
      <w:r w:rsidR="00B31903">
        <w:t xml:space="preserve"> proteins</w:t>
      </w:r>
      <w:r w:rsidR="004A766F">
        <w:t xml:space="preserve"> and that D-alanyl </w:t>
      </w:r>
      <w:r w:rsidR="0006388B">
        <w:t>is</w:t>
      </w:r>
      <w:r w:rsidR="004A766F">
        <w:t xml:space="preserve"> transferred from LTA to WTA</w:t>
      </w:r>
      <w:r w:rsidR="007031CA">
        <w:t xml:space="preserve"> (more </w:t>
      </w:r>
      <w:r w:rsidR="00414070">
        <w:t xml:space="preserve">on this in section </w:t>
      </w:r>
      <w:r w:rsidR="00414070">
        <w:fldChar w:fldCharType="begin"/>
      </w:r>
      <w:r w:rsidR="00414070">
        <w:instrText xml:space="preserve"> REF _Ref77500307 \r \h </w:instrText>
      </w:r>
      <w:r w:rsidR="00414070">
        <w:fldChar w:fldCharType="separate"/>
      </w:r>
      <w:r w:rsidR="00183CC8">
        <w:t>1.5.2</w:t>
      </w:r>
      <w:r w:rsidR="00414070">
        <w:fldChar w:fldCharType="end"/>
      </w:r>
      <w:r w:rsidR="00AC04F5">
        <w:t xml:space="preserve">) </w:t>
      </w:r>
      <w:r w:rsidR="003E3C89">
        <w:fldChar w:fldCharType="begin" w:fldLock="1"/>
      </w:r>
      <w:r w:rsidR="005D1D77">
        <w:instrText>ADDIN CSL_CITATION {"citationItems":[{"id":"ITEM-1","itemData":{"DOI":"10.1074/JBC.274.13.8405","ISBN":"0021-9258 (Print)\\r0021-9258 (Linking)","ISSN":"0021-9258 (Print) 0021-9258 (Linking)","PMID":"10085071","abstract":"Positively charged antimicrobial peptides with membrane-damaging activity are produced by animals and humans as components of their innate immunity against bacterial infections and also by many bacteria to inhibit competing microorganisms. Staphylococcus aureus and Staphylococcus xylosus, which tolerate high concentrations of several antimicrobial peptides, were mutagenized to identify genes responsible for this insensitivity. Several mutants with increased sensitivity were obtained, which exhibited an altered structure of teichoic acids, major components of the Gram-positive cell wall. The mutant teichoic acids lacked D-alanine, as a result of which the cells carried an increased negative surface charge. The mutant cells bound fewer anionic, but more positively charged proteins. They were sensitive to human defensin HNP1-3, animal-derived protegrins, tachyplesins, and magainin II, and to the bacteria-derived peptides gallidermin and nisin. The mutated genes shared sequence similarity with the dlt genes involved in the transfer of D-alanine into teichoic acids from other Gram-positive bacteria. Wild-type strains bearing additional copies of the dlt operon produced teichoic acids with higher amounts of D-alanine esters, bound cationic proteins less effectively and were less sensitive to antimicrobial peptides. We propose a role of the D-alanine-esterified teichoic acids which occur in many pathogenic bacteria in the protection against human and animal defense systems.","author":[{"dropping-particle":"","family":"Peschel","given":"Andreas","non-dropping-particle":"","parse-names":false,"suffix":""},{"dropping-particle":"","family":"Otto","given":"M","non-dropping-particle":"","parse-names":false,"suffix":""},{"dropping-particle":"","family":"Jack","given":"Ralph W.","non-dropping-particle":"","parse-names":false,"suffix":""},{"dropping-particle":"","family":"Kalbacher","given":"Hubert","non-dropping-particle":"","parse-names":false,"suffix":""},{"dropping-particle":"","family":"Jung","given":"Günther","non-dropping-particle":"","parse-names":false,"suffix":""},{"dropping-particle":"","family":"Götz","given":"Friedrich","non-dropping-particle":"","parse-names":false,"suffix":""}],"container-title":"The Journal of Biological Chemistry","id":"ITEM-1","issue":"13","issued":{"date-parts":[["1999"]]},"page":"8405-8410","title":"Inactivation of the dlt operon in Staphylococcus aureus confers sensitivity to defensins, protegrins, and other antimicrobial peptides.","type":"article-journal","volume":"274"},"uris":["http://www.mendeley.com/documents/?uuid=a7aecce6-50a3-47ce-afb9-d07fa8bf8bd9"]},{"id":"ITEM-2","itemData":{"DOI":"10.1039/C6CS00270F","ISSN":"0306-0012","author":[{"dropping-particle":"","family":"Es","given":"Daan","non-dropping-particle":"van der","parse-names":false,"suffix":""},{"dropping-particle":"","family":"Hogendorf","given":"Wouter F. J.","non-dropping-particle":"","parse-names":false,"suffix":""},{"dropping-particle":"","family":"Overkleeft","given":"Herman S.","non-dropping-particle":"","parse-names":false,"suffix":""},{"dropping-particle":"","family":"Marel","given":"Gijsbert A.","non-dropping-particle":"van der","parse-names":false,"suffix":""},{"dropping-particle":"","family":"Codée","given":"Jeroen D. C.","non-dropping-particle":"","parse-names":false,"suffix":""}],"container-title":"Chem. Soc. Rev.","id":"ITEM-2","issue":"5","issued":{"date-parts":[["2017"]]},"page":"1464-1482","title":"Teichoic acids: synthesis and applications","type":"article-journal","volume":"46"},"uris":["http://www.mendeley.com/documents/?uuid=86587d57-be87-4384-a322-683b06e7ce62"]},{"id":"ITEM-3","itemData":{"DOI":"10.1128/JB.01155-13","ISBN":"1098-5530 (Electronic)\\r0021-9193 (Linking)","ISSN":"00219193","PMID":"24415723","abstract":"Lipoteichoic acids (LTA) are polymers of alternating units of a polyhydroxy alkane, including glycerol and ribitol, and phosphoric acid, joined to form phosphodiester units that are found in the envelope of Gram-positive bacteria. Here we review four different types of LTA that can be distinguished on the basis of their chemical structure and describe recent advances in the biosynthesis pathway for type I LTA, d-alanylated polyglycerol-phosphate linked to di-glucosyl-diacylglycerol. The physiological functions of type I LTA are discussed in the context of inhibitors that block their synthesis and of mutants with discrete synthesis defects. Research on LTA structure and function represents a large frontier that has been investigated in only few Gram-positive bacteria.","author":[{"dropping-particle":"","family":"Schneewind","given":"Olaf","non-dropping-particle":"","parse-names":false,"suffix":""},{"dropping-particle":"","family":"Missiakas","given":"Dominique","non-dropping-particle":"","parse-names":false,"suffix":""}],"container-title":"Journal of Bacteriology","id":"ITEM-3","issue":"6","issued":{"date-parts":[["2014"]]},"page":"1133-1142","title":"Lipoteichoic acids, phosphate-containing polymers in the envelope of gram-positive bacteria","type":"article-journal","volume":"196"},"uris":["http://www.mendeley.com/documents/?uuid=c08a640a-578c-4d45-b497-3709356c446f"]}],"mendeley":{"formattedCitation":"&lt;sup&gt;[80,100,141]&lt;/sup&gt;","plainTextFormattedCitation":"[80,100,141]","previouslyFormattedCitation":"&lt;sup&gt;[80,100,141]&lt;/sup&gt;"},"properties":{"noteIndex":0},"schema":"https://github.com/citation-style-language/schema/raw/master/csl-citation.json"}</w:instrText>
      </w:r>
      <w:r w:rsidR="003E3C89">
        <w:fldChar w:fldCharType="separate"/>
      </w:r>
      <w:r w:rsidR="00C825F9" w:rsidRPr="00C825F9">
        <w:rPr>
          <w:noProof/>
          <w:vertAlign w:val="superscript"/>
        </w:rPr>
        <w:t>[80,100,141]</w:t>
      </w:r>
      <w:r w:rsidR="003E3C89">
        <w:fldChar w:fldCharType="end"/>
      </w:r>
      <w:r w:rsidR="004B014A">
        <w:t>.</w:t>
      </w:r>
    </w:p>
    <w:p w14:paraId="04396D87" w14:textId="49713B22" w:rsidR="00E94002" w:rsidRDefault="00960E9D" w:rsidP="001D5E48">
      <w:pPr>
        <w:rPr>
          <w:rFonts w:ascii="Calibri" w:hAnsi="Calibri" w:cs="Calibri"/>
        </w:rPr>
        <w:sectPr w:rsidR="00E94002" w:rsidSect="004D0E05">
          <w:pgSz w:w="11906" w:h="16838"/>
          <w:pgMar w:top="1191" w:right="1247" w:bottom="1191" w:left="1247" w:header="709" w:footer="709" w:gutter="0"/>
          <w:cols w:space="708"/>
          <w:titlePg/>
          <w:docGrid w:linePitch="360"/>
        </w:sectPr>
      </w:pPr>
      <w:r>
        <w:t>A</w:t>
      </w:r>
      <w:r w:rsidR="00385120">
        <w:t xml:space="preserve"> paradox over the essentiality of the biosynthetic pathway of WTA</w:t>
      </w:r>
      <w:r w:rsidR="00E91FE6">
        <w:t xml:space="preserve"> </w:t>
      </w:r>
      <w:r w:rsidR="003B6174">
        <w:t>was</w:t>
      </w:r>
      <w:r w:rsidR="00E91FE6">
        <w:t xml:space="preserve"> discussed in the late 2000s</w:t>
      </w:r>
      <w:r>
        <w:t xml:space="preserve">. </w:t>
      </w:r>
      <w:r w:rsidR="000D68DE">
        <w:t xml:space="preserve">Weidenmaier </w:t>
      </w:r>
      <w:r w:rsidR="000D68DE">
        <w:rPr>
          <w:i/>
          <w:iCs/>
        </w:rPr>
        <w:t>et al</w:t>
      </w:r>
      <w:r w:rsidR="000D68DE">
        <w:t>.</w:t>
      </w:r>
      <w:r w:rsidR="00741D5C">
        <w:t>,</w:t>
      </w:r>
      <w:r w:rsidR="000D68DE">
        <w:t xml:space="preserve"> (2004) showed that WTA are</w:t>
      </w:r>
      <w:r w:rsidR="000E4342">
        <w:t xml:space="preserve"> not</w:t>
      </w:r>
      <w:r w:rsidR="000D68DE">
        <w:t xml:space="preserve"> essential in </w:t>
      </w:r>
      <w:r w:rsidR="000D68DE">
        <w:rPr>
          <w:i/>
          <w:iCs/>
        </w:rPr>
        <w:t>S. aureus</w:t>
      </w:r>
      <w:r w:rsidR="000D68DE">
        <w:t xml:space="preserve">, as inactivation of the </w:t>
      </w:r>
      <w:r w:rsidR="000D68DE">
        <w:rPr>
          <w:i/>
          <w:iCs/>
        </w:rPr>
        <w:t>tarO</w:t>
      </w:r>
      <w:r w:rsidR="000D68DE">
        <w:t xml:space="preserve"> gene had a similar growth to the wild type at 30</w:t>
      </w:r>
      <w:r w:rsidR="000D68DE">
        <w:rPr>
          <w:rFonts w:ascii="Calibri" w:hAnsi="Calibri" w:cs="Calibri"/>
        </w:rPr>
        <w:t xml:space="preserve"> °C and reduced growth at 37 °C </w:t>
      </w:r>
      <w:r w:rsidR="000D68DE">
        <w:rPr>
          <w:rFonts w:ascii="Calibri" w:hAnsi="Calibri" w:cs="Calibri"/>
        </w:rPr>
        <w:fldChar w:fldCharType="begin" w:fldLock="1"/>
      </w:r>
      <w:r w:rsidR="005F2DD4">
        <w:rPr>
          <w:rFonts w:ascii="Calibri" w:hAnsi="Calibri" w:cs="Calibri"/>
        </w:rPr>
        <w:instrText>ADDIN CSL_CITATION {"citationItems":[{"id":"ITEM-1","itemData":{"DOI":"10.1038/nm991","ISBN":"1078-8956 (Print)","ISSN":"1078-8956","PMID":"14758355","abstract":"Colonization of the anterior nares in approximately 37% of the population is a major risk factor for severe Staphylococcus aureus infections. Here we show that wall teichoic acid (WTA), a surface-exposed staphylococcal polymer, is essential for nasal colonization and mediates interaction with human nasal epithelial cells. WTA-deficient mutants were impaired in their adherence to nasal cells, and were completely unable to colonize cotton rat nares. This study describes the first essential factor for S. aureus nasal colonization.","author":[{"dropping-particle":"","family":"Weidenmaier","given":"Christopher","non-dropping-particle":"","parse-names":false,"suffix":""},{"dropping-particle":"","family":"Kokai-Kun","given":"John F","non-dropping-particle":"","parse-names":false,"suffix":""},{"dropping-particle":"","family":"Kristian","given":"Sascha A","non-dropping-particle":"","parse-names":false,"suffix":""},{"dropping-particle":"","family":"Chanturiya","given":"Tanya","non-dropping-particle":"","parse-names":false,"suffix":""},{"dropping-particle":"","family":"Kalbacher","given":"Hubert","non-dropping-particle":"","parse-names":false,"suffix":""},{"dropping-particle":"","family":"Gross","given":"Matthias","non-dropping-particle":"","parse-names":false,"suffix":""},{"dropping-particle":"","family":"Nicholson","given":"Graeme","non-dropping-particle":"","parse-names":false,"suffix":""},{"dropping-particle":"","family":"Neumeister","given":"Birgid","non-dropping-particle":"","parse-names":false,"suffix":""},{"dropping-particle":"","family":"Mond","given":"James J","non-dropping-particle":"","parse-names":false,"suffix":""},{"dropping-particle":"","family":"Peschel","given":"Andreas","non-dropping-particle":"","parse-names":false,"suffix":""}],"container-title":"Nature Medicine","id":"ITEM-1","issue":"3","issued":{"date-parts":[["2004"]]},"page":"243-245","title":"Role of teichoic acids in Staphylococcus aureus nasal colonization, a major risk factor in nosocomial infections","type":"article-journal","volume":"10"},"uris":["http://www.mendeley.com/documents/?uuid=14720aa1-1a05-4ebf-b650-fdbb3267edc7"]}],"mendeley":{"formattedCitation":"&lt;sup&gt;[142]&lt;/sup&gt;","plainTextFormattedCitation":"[142]","previouslyFormattedCitation":"&lt;sup&gt;[142]&lt;/sup&gt;"},"properties":{"noteIndex":0},"schema":"https://github.com/citation-style-language/schema/raw/master/csl-citation.json"}</w:instrText>
      </w:r>
      <w:r w:rsidR="000D68DE">
        <w:rPr>
          <w:rFonts w:ascii="Calibri" w:hAnsi="Calibri" w:cs="Calibri"/>
        </w:rPr>
        <w:fldChar w:fldCharType="separate"/>
      </w:r>
      <w:r w:rsidR="0054658D" w:rsidRPr="0054658D">
        <w:rPr>
          <w:rFonts w:ascii="Calibri" w:hAnsi="Calibri" w:cs="Calibri"/>
          <w:noProof/>
          <w:vertAlign w:val="superscript"/>
        </w:rPr>
        <w:t>[142]</w:t>
      </w:r>
      <w:r w:rsidR="000D68DE">
        <w:rPr>
          <w:rFonts w:ascii="Calibri" w:hAnsi="Calibri" w:cs="Calibri"/>
        </w:rPr>
        <w:fldChar w:fldCharType="end"/>
      </w:r>
      <w:r w:rsidR="000D68DE">
        <w:rPr>
          <w:rFonts w:ascii="Calibri" w:hAnsi="Calibri" w:cs="Calibri"/>
        </w:rPr>
        <w:t xml:space="preserve">. </w:t>
      </w:r>
      <w:r w:rsidR="00385120">
        <w:rPr>
          <w:rFonts w:ascii="Calibri" w:hAnsi="Calibri" w:cs="Calibri"/>
        </w:rPr>
        <w:t xml:space="preserve">Later, D’Elia </w:t>
      </w:r>
      <w:r w:rsidR="00385120">
        <w:rPr>
          <w:rFonts w:ascii="Calibri" w:hAnsi="Calibri" w:cs="Calibri"/>
          <w:i/>
          <w:iCs/>
        </w:rPr>
        <w:t>et al.</w:t>
      </w:r>
      <w:r w:rsidR="00741D5C">
        <w:rPr>
          <w:rFonts w:ascii="Calibri" w:hAnsi="Calibri" w:cs="Calibri"/>
          <w:i/>
          <w:iCs/>
        </w:rPr>
        <w:t>,</w:t>
      </w:r>
      <w:r w:rsidR="00385120">
        <w:rPr>
          <w:rFonts w:ascii="Calibri" w:hAnsi="Calibri" w:cs="Calibri"/>
        </w:rPr>
        <w:t xml:space="preserve"> (2006) confirmed these results and showed that while the WTA-depleted </w:t>
      </w:r>
      <w:r w:rsidR="00385120">
        <w:rPr>
          <w:rFonts w:ascii="Calibri" w:hAnsi="Calibri" w:cs="Calibri"/>
          <w:i/>
          <w:iCs/>
        </w:rPr>
        <w:t>tarO</w:t>
      </w:r>
      <w:r w:rsidR="00385120">
        <w:rPr>
          <w:rFonts w:ascii="Calibri" w:hAnsi="Calibri" w:cs="Calibri"/>
        </w:rPr>
        <w:t xml:space="preserve"> mutant was viable, any deletion on the late-acting genes </w:t>
      </w:r>
      <w:r w:rsidR="00385120">
        <w:rPr>
          <w:rFonts w:ascii="Calibri" w:hAnsi="Calibri" w:cs="Calibri"/>
          <w:i/>
          <w:iCs/>
        </w:rPr>
        <w:t>tarB</w:t>
      </w:r>
      <w:r w:rsidR="00385120">
        <w:rPr>
          <w:rFonts w:ascii="Calibri" w:hAnsi="Calibri" w:cs="Calibri"/>
        </w:rPr>
        <w:t xml:space="preserve">, </w:t>
      </w:r>
      <w:r w:rsidR="00385120">
        <w:rPr>
          <w:rFonts w:ascii="Calibri" w:hAnsi="Calibri" w:cs="Calibri"/>
          <w:i/>
          <w:iCs/>
        </w:rPr>
        <w:t>tarD</w:t>
      </w:r>
      <w:r w:rsidR="00385120">
        <w:rPr>
          <w:rFonts w:ascii="Calibri" w:hAnsi="Calibri" w:cs="Calibri"/>
        </w:rPr>
        <w:t xml:space="preserve">, </w:t>
      </w:r>
      <w:r w:rsidR="00385120">
        <w:rPr>
          <w:rFonts w:ascii="Calibri" w:hAnsi="Calibri" w:cs="Calibri"/>
          <w:i/>
          <w:iCs/>
        </w:rPr>
        <w:t>tarF</w:t>
      </w:r>
      <w:r w:rsidR="00385120">
        <w:rPr>
          <w:rFonts w:ascii="Calibri" w:hAnsi="Calibri" w:cs="Calibri"/>
        </w:rPr>
        <w:t xml:space="preserve">, </w:t>
      </w:r>
      <w:r w:rsidR="00385120">
        <w:rPr>
          <w:rFonts w:ascii="Calibri" w:hAnsi="Calibri" w:cs="Calibri"/>
          <w:i/>
          <w:iCs/>
        </w:rPr>
        <w:t>tarIJ</w:t>
      </w:r>
      <w:r w:rsidR="00385120">
        <w:rPr>
          <w:rFonts w:ascii="Calibri" w:hAnsi="Calibri" w:cs="Calibri"/>
        </w:rPr>
        <w:t xml:space="preserve"> and </w:t>
      </w:r>
      <w:r w:rsidR="00385120">
        <w:rPr>
          <w:rFonts w:ascii="Calibri" w:hAnsi="Calibri" w:cs="Calibri"/>
          <w:i/>
          <w:iCs/>
        </w:rPr>
        <w:t>tarH</w:t>
      </w:r>
      <w:r w:rsidR="00385120">
        <w:rPr>
          <w:rFonts w:ascii="Calibri" w:hAnsi="Calibri" w:cs="Calibri"/>
        </w:rPr>
        <w:t xml:space="preserve"> w</w:t>
      </w:r>
      <w:r w:rsidR="00451F43">
        <w:rPr>
          <w:rFonts w:ascii="Calibri" w:hAnsi="Calibri" w:cs="Calibri"/>
        </w:rPr>
        <w:t>ere</w:t>
      </w:r>
      <w:r w:rsidR="00385120">
        <w:rPr>
          <w:rFonts w:ascii="Calibri" w:hAnsi="Calibri" w:cs="Calibri"/>
        </w:rPr>
        <w:t xml:space="preserve"> impossible</w:t>
      </w:r>
      <w:r w:rsidR="00451F43">
        <w:rPr>
          <w:rFonts w:ascii="Calibri" w:hAnsi="Calibri" w:cs="Calibri"/>
        </w:rPr>
        <w:t xml:space="preserve"> </w:t>
      </w:r>
      <w:r w:rsidR="00451F43">
        <w:rPr>
          <w:rFonts w:ascii="Calibri" w:hAnsi="Calibri" w:cs="Calibri"/>
        </w:rPr>
        <w:fldChar w:fldCharType="begin" w:fldLock="1"/>
      </w:r>
      <w:r w:rsidR="005F2DD4">
        <w:rPr>
          <w:rFonts w:ascii="Calibri" w:hAnsi="Calibri" w:cs="Calibri"/>
        </w:rPr>
        <w:instrText>ADDIN CSL_CITATION {"citationItems":[{"id":"ITEM-1","itemData":{"DOI":"10.1128/JB.00197-06","ISBN":"0021-9193 (Print)","ISSN":"00219193","PMID":"16740924","abstract":"An extensive study of teichoic acid biosynthesis in the model organism Bacillus subtilis has established teichoic acid polymers as essential components of the gram-positive cell wall. However, similar studies pertaining to therapeutically relevant organisms, such as Staphylococcus aureus, are scarce. In this study we have carried out a meticulous examination of the dispensability of teichoic acid biosynthetic enzymes in S. aureus. By use of an allelic replacement methodology, we examined all facets of teichoic acid assembly, including intracellular polymer production and export. Using this approach we confirmed that the first-acting enzyme (TarO) was dispensable for growth, in contrast to dispensability studies in B. subtilis. Upon further characterization, we demonstrated that later-acting gene products (TarB, TarD, TarF, TarIJ, and TarH) responsible for polymer formation and export were essential for viability. We resolved this paradox by demonstrating that all of the apparently indispensable genes became dispensable in a tarO null genetic background. This work suggests a lethal gain-of-function mechanism where lesions beyond the initial step in wall teichoic acid biosynthesis render S. aureus nonviable. This discovery poses questions regarding the conventional understanding of essential gene sets, garnered through single-gene knockout experiments in bacteria and higher organisms, and points to a novel drug development strategy targeting late steps in teichoic acid synthesis for the infectious pathogen S. aureus.","author":[{"dropping-particle":"","family":"D'Elia","given":"Michael A.","non-dropping-particle":"","parse-names":false,"suffix":""},{"dropping-particle":"","family":"Pereira","given":"Mark P.","non-dropping-particle":"","parse-names":false,"suffix":""},{"dropping-particle":"","family":"Chung","given":"Yu Seon","non-dropping-particle":"","parse-names":false,"suffix":""},{"dropping-particle":"","family":"Zhao","given":"Wenjun","non-dropping-particle":"","parse-names":false,"suffix":""},{"dropping-particle":"","family":"Chau","given":"Andrew","non-dropping-particle":"","parse-names":false,"suffix":""},{"dropping-particle":"","family":"Kenney","given":"Teresa J.","non-dropping-particle":"","parse-names":false,"suffix":""},{"dropping-particle":"","family":"Sulavik","given":"Mark C.","non-dropping-particle":"","parse-names":false,"suffix":""},{"dropping-particle":"","family":"Black","given":"Todd A.","non-dropping-particle":"","parse-names":false,"suffix":""},{"dropping-particle":"","family":"Brown","given":"Eric D.","non-dropping-particle":"","parse-names":false,"suffix":""}],"container-title":"Journal of Bacteriology","id":"ITEM-1","issue":"12","issued":{"date-parts":[["2006"]]},"page":"4183-4189","title":"Lesions in teichoic acid biosynthesis in Staphylococcus aureus lead to a lethal gain of function in the otherwise dispensable pathway","type":"article-journal","volume":"188"},"uris":["http://www.mendeley.com/documents/?uuid=db1c0cb4-ca73-47a1-89dc-15eaac06854a"]}],"mendeley":{"formattedCitation":"&lt;sup&gt;[143]&lt;/sup&gt;","plainTextFormattedCitation":"[143]","previouslyFormattedCitation":"&lt;sup&gt;[143]&lt;/sup&gt;"},"properties":{"noteIndex":0},"schema":"https://github.com/citation-style-language/schema/raw/master/csl-citation.json"}</w:instrText>
      </w:r>
      <w:r w:rsidR="00451F43">
        <w:rPr>
          <w:rFonts w:ascii="Calibri" w:hAnsi="Calibri" w:cs="Calibri"/>
        </w:rPr>
        <w:fldChar w:fldCharType="separate"/>
      </w:r>
      <w:r w:rsidR="0054658D" w:rsidRPr="0054658D">
        <w:rPr>
          <w:rFonts w:ascii="Calibri" w:hAnsi="Calibri" w:cs="Calibri"/>
          <w:noProof/>
          <w:vertAlign w:val="superscript"/>
        </w:rPr>
        <w:t>[143]</w:t>
      </w:r>
      <w:r w:rsidR="00451F43">
        <w:rPr>
          <w:rFonts w:ascii="Calibri" w:hAnsi="Calibri" w:cs="Calibri"/>
        </w:rPr>
        <w:fldChar w:fldCharType="end"/>
      </w:r>
      <w:r w:rsidR="00385120">
        <w:rPr>
          <w:rFonts w:ascii="Calibri" w:hAnsi="Calibri" w:cs="Calibri"/>
        </w:rPr>
        <w:t>.</w:t>
      </w:r>
      <w:r w:rsidR="00AE49CA">
        <w:rPr>
          <w:rFonts w:ascii="Calibri" w:hAnsi="Calibri" w:cs="Calibri"/>
        </w:rPr>
        <w:t xml:space="preserve"> Interestingly, these late-acting gene deletions became dispensable in a </w:t>
      </w:r>
      <w:r w:rsidR="00AE49CA">
        <w:rPr>
          <w:rFonts w:ascii="Calibri" w:hAnsi="Calibri" w:cs="Calibri"/>
          <w:i/>
          <w:iCs/>
        </w:rPr>
        <w:t>tarO</w:t>
      </w:r>
      <w:r w:rsidR="00AE49CA">
        <w:rPr>
          <w:rFonts w:ascii="Calibri" w:hAnsi="Calibri" w:cs="Calibri"/>
        </w:rPr>
        <w:t xml:space="preserve"> mutant </w:t>
      </w:r>
      <w:r w:rsidR="00AE49CA">
        <w:rPr>
          <w:rFonts w:ascii="Calibri" w:hAnsi="Calibri" w:cs="Calibri"/>
        </w:rPr>
        <w:fldChar w:fldCharType="begin" w:fldLock="1"/>
      </w:r>
      <w:r w:rsidR="005F2DD4">
        <w:rPr>
          <w:rFonts w:ascii="Calibri" w:hAnsi="Calibri" w:cs="Calibri"/>
        </w:rPr>
        <w:instrText>ADDIN CSL_CITATION {"citationItems":[{"id":"ITEM-1","itemData":{"DOI":"10.1128/JB.00197-06","ISBN":"0021-9193 (Print)","ISSN":"00219193","PMID":"16740924","abstract":"An extensive study of teichoic acid biosynthesis in the model organism Bacillus subtilis has established teichoic acid polymers as essential components of the gram-positive cell wall. However, similar studies pertaining to therapeutically relevant organisms, such as Staphylococcus aureus, are scarce. In this study we have carried out a meticulous examination of the dispensability of teichoic acid biosynthetic enzymes in S. aureus. By use of an allelic replacement methodology, we examined all facets of teichoic acid assembly, including intracellular polymer production and export. Using this approach we confirmed that the first-acting enzyme (TarO) was dispensable for growth, in contrast to dispensability studies in B. subtilis. Upon further characterization, we demonstrated that later-acting gene products (TarB, TarD, TarF, TarIJ, and TarH) responsible for polymer formation and export were essential for viability. We resolved this paradox by demonstrating that all of the apparently indispensable genes became dispensable in a tarO null genetic background. This work suggests a lethal gain-of-function mechanism where lesions beyond the initial step in wall teichoic acid biosynthesis render S. aureus nonviable. This discovery poses questions regarding the conventional understanding of essential gene sets, garnered through single-gene knockout experiments in bacteria and higher organisms, and points to a novel drug development strategy targeting late steps in teichoic acid synthesis for the infectious pathogen S. aureus.","author":[{"dropping-particle":"","family":"D'Elia","given":"Michael A.","non-dropping-particle":"","parse-names":false,"suffix":""},{"dropping-particle":"","family":"Pereira","given":"Mark P.","non-dropping-particle":"","parse-names":false,"suffix":""},{"dropping-particle":"","family":"Chung","given":"Yu Seon","non-dropping-particle":"","parse-names":false,"suffix":""},{"dropping-particle":"","family":"Zhao","given":"Wenjun","non-dropping-particle":"","parse-names":false,"suffix":""},{"dropping-particle":"","family":"Chau","given":"Andrew","non-dropping-particle":"","parse-names":false,"suffix":""},{"dropping-particle":"","family":"Kenney","given":"Teresa J.","non-dropping-particle":"","parse-names":false,"suffix":""},{"dropping-particle":"","family":"Sulavik","given":"Mark C.","non-dropping-particle":"","parse-names":false,"suffix":""},{"dropping-particle":"","family":"Black","given":"Todd A.","non-dropping-particle":"","parse-names":false,"suffix":""},{"dropping-particle":"","family":"Brown","given":"Eric D.","non-dropping-particle":"","parse-names":false,"suffix":""}],"container-title":"Journal of Bacteriology","id":"ITEM-1","issue":"12","issued":{"date-parts":[["2006"]]},"page":"4183-4189","title":"Lesions in teichoic acid biosynthesis in Staphylococcus aureus lead to a lethal gain of function in the otherwise dispensable pathway","type":"article-journal","volume":"188"},"uris":["http://www.mendeley.com/documents/?uuid=db1c0cb4-ca73-47a1-89dc-15eaac06854a"]}],"mendeley":{"formattedCitation":"&lt;sup&gt;[143]&lt;/sup&gt;","plainTextFormattedCitation":"[143]","previouslyFormattedCitation":"&lt;sup&gt;[143]&lt;/sup&gt;"},"properties":{"noteIndex":0},"schema":"https://github.com/citation-style-language/schema/raw/master/csl-citation.json"}</w:instrText>
      </w:r>
      <w:r w:rsidR="00AE49CA">
        <w:rPr>
          <w:rFonts w:ascii="Calibri" w:hAnsi="Calibri" w:cs="Calibri"/>
        </w:rPr>
        <w:fldChar w:fldCharType="separate"/>
      </w:r>
      <w:r w:rsidR="0054658D" w:rsidRPr="0054658D">
        <w:rPr>
          <w:rFonts w:ascii="Calibri" w:hAnsi="Calibri" w:cs="Calibri"/>
          <w:noProof/>
          <w:vertAlign w:val="superscript"/>
        </w:rPr>
        <w:t>[143]</w:t>
      </w:r>
      <w:r w:rsidR="00AE49CA">
        <w:rPr>
          <w:rFonts w:ascii="Calibri" w:hAnsi="Calibri" w:cs="Calibri"/>
        </w:rPr>
        <w:fldChar w:fldCharType="end"/>
      </w:r>
      <w:r w:rsidR="00AE49CA">
        <w:rPr>
          <w:rFonts w:ascii="Calibri" w:hAnsi="Calibri" w:cs="Calibri"/>
        </w:rPr>
        <w:t>.</w:t>
      </w:r>
      <w:r w:rsidR="00410779">
        <w:rPr>
          <w:rFonts w:ascii="Calibri" w:hAnsi="Calibri" w:cs="Calibri"/>
        </w:rPr>
        <w:t xml:space="preserve"> The reason behind this enigma lies on the lipid carrier shared between the biosynthesis pathway of PG and WTA </w:t>
      </w:r>
      <w:r w:rsidR="00410779">
        <w:rPr>
          <w:rFonts w:ascii="Calibri" w:hAnsi="Calibri" w:cs="Calibri"/>
        </w:rPr>
        <w:fldChar w:fldCharType="begin" w:fldLock="1"/>
      </w:r>
      <w:r w:rsidR="00567695">
        <w:rPr>
          <w:rFonts w:ascii="Calibri" w:hAnsi="Calibri" w:cs="Calibri"/>
        </w:rPr>
        <w:instrText>ADDIN CSL_CITATION {"citationItems":[{"id":"ITEM-1","itemData":{"DOI":"10.1038/newbio229057a0","ISSN":"00900028","PMID":"4250444","abstract":"THE pathways for the formation of several bacterial wall polymers have been thoroughly investigated. In some cases it has been shown that the biosynthesis involves the participation of lipid intermediates that are concerned with the transfer, and transport through the membrane, of sugar residues and related components from intracellular nucleotide precursors to polymer chains in the wall. All these membrane lipids so far isolated and identified have been shown to be the C55 polyisöprenol, undecaprenol, although it has not yet been demonstrated that they are the same isomer. Thus poly-isoprenols have been demonstrated to participate in the synthesis of O-antigen1, peptidoglycan2, 3 and mannan4.","author":[{"dropping-particle":"","family":"Watkinson","given":"R. J.","non-dropping-particle":"","parse-names":false,"suffix":""},{"dropping-particle":"","family":"Hussey","given":"Helen","non-dropping-particle":"","parse-names":false,"suffix":""},{"dropping-particle":"","family":"Baddiley","given":"J.","non-dropping-particle":"","parse-names":false,"suffix":""}],"container-title":"Nature New Biology","id":"ITEM-1","issue":"2","issued":{"date-parts":[["1971","1","13"]]},"page":"57-59","publisher":"Nature Publishing Group","title":"Shared lipid phosphate carrier in the biosynthesis of teichoic acid and peptidoglycan","type":"article-journal","volume":"229"},"uris":["http://www.mendeley.com/documents/?uuid=853a1dbb-5eda-3a04-b711-878161fecd7b"]}],"mendeley":{"formattedCitation":"&lt;sup&gt;[133]&lt;/sup&gt;","plainTextFormattedCitation":"[133]","previouslyFormattedCitation":"&lt;sup&gt;[133]&lt;/sup&gt;"},"properties":{"noteIndex":0},"schema":"https://github.com/citation-style-language/schema/raw/master/csl-citation.json"}</w:instrText>
      </w:r>
      <w:r w:rsidR="00410779">
        <w:rPr>
          <w:rFonts w:ascii="Calibri" w:hAnsi="Calibri" w:cs="Calibri"/>
        </w:rPr>
        <w:fldChar w:fldCharType="separate"/>
      </w:r>
      <w:r w:rsidR="00047733" w:rsidRPr="00047733">
        <w:rPr>
          <w:rFonts w:ascii="Calibri" w:hAnsi="Calibri" w:cs="Calibri"/>
          <w:noProof/>
          <w:vertAlign w:val="superscript"/>
        </w:rPr>
        <w:t>[133]</w:t>
      </w:r>
      <w:r w:rsidR="00410779">
        <w:rPr>
          <w:rFonts w:ascii="Calibri" w:hAnsi="Calibri" w:cs="Calibri"/>
        </w:rPr>
        <w:fldChar w:fldCharType="end"/>
      </w:r>
      <w:r w:rsidR="00410779">
        <w:rPr>
          <w:rFonts w:ascii="Calibri" w:hAnsi="Calibri" w:cs="Calibri"/>
        </w:rPr>
        <w:t>.</w:t>
      </w:r>
      <w:r w:rsidR="001D5E48">
        <w:rPr>
          <w:rFonts w:ascii="Calibri" w:hAnsi="Calibri" w:cs="Calibri"/>
        </w:rPr>
        <w:t xml:space="preserve"> When </w:t>
      </w:r>
      <w:r w:rsidR="001D5E48">
        <w:rPr>
          <w:rFonts w:ascii="Calibri" w:hAnsi="Calibri" w:cs="Calibri"/>
          <w:i/>
          <w:iCs/>
        </w:rPr>
        <w:t>tarO</w:t>
      </w:r>
      <w:r w:rsidR="001D5E48">
        <w:rPr>
          <w:rFonts w:ascii="Calibri" w:hAnsi="Calibri" w:cs="Calibri"/>
        </w:rPr>
        <w:t xml:space="preserve"> is inactivated, undecaprenol is free to be used in PG biosynthesis. However, when </w:t>
      </w:r>
      <w:r w:rsidR="001D5E48">
        <w:rPr>
          <w:rFonts w:ascii="Calibri" w:hAnsi="Calibri" w:cs="Calibri"/>
          <w:i/>
          <w:iCs/>
        </w:rPr>
        <w:t>tarO</w:t>
      </w:r>
      <w:r w:rsidR="001D5E48">
        <w:rPr>
          <w:rFonts w:ascii="Calibri" w:hAnsi="Calibri" w:cs="Calibri"/>
        </w:rPr>
        <w:t xml:space="preserve"> is active but the following steps of WTA synthesis are interrupted, this lipid transported remains sequestered by TarO and cannot therefore </w:t>
      </w:r>
      <w:r w:rsidR="00A06CE7">
        <w:rPr>
          <w:rFonts w:ascii="Calibri" w:hAnsi="Calibri" w:cs="Calibri"/>
        </w:rPr>
        <w:t>be recycled for use in the PG biosynthesis pathway</w:t>
      </w:r>
      <w:r w:rsidR="00376564">
        <w:rPr>
          <w:rFonts w:ascii="Calibri" w:hAnsi="Calibri" w:cs="Calibri"/>
        </w:rPr>
        <w:t xml:space="preserve"> </w:t>
      </w:r>
      <w:r w:rsidR="00376564">
        <w:rPr>
          <w:rFonts w:ascii="Calibri" w:hAnsi="Calibri" w:cs="Calibri"/>
        </w:rPr>
        <w:fldChar w:fldCharType="begin" w:fldLock="1"/>
      </w:r>
      <w:r w:rsidR="005F2DD4">
        <w:rPr>
          <w:rFonts w:ascii="Calibri" w:hAnsi="Calibri" w:cs="Calibri"/>
        </w:rPr>
        <w:instrText>ADDIN CSL_CITATION {"citationItems":[{"id":"ITEM-1","itemData":{"DOI":"10.1038/newbio229057a0","ISSN":"00900028","PMID":"4250444","abstract":"THE pathways for the formation of several bacterial wall polymers have been thoroughly investigated. In some cases it has been shown that the biosynthesis involves the participation of lipid intermediates that are concerned with the transfer, and transport through the membrane, of sugar residues and related components from intracellular nucleotide precursors to polymer chains in the wall. All these membrane lipids so far isolated and identified have been shown to be the C55 polyisöprenol, undecaprenol, although it has not yet been demonstrated that they are the same isomer. Thus poly-isoprenols have been demonstrated to participate in the synthesis of O-antigen1, peptidoglycan2, 3 and mannan4.","author":[{"dropping-particle":"","family":"Watkinson","given":"R. J.","non-dropping-particle":"","parse-names":false,"suffix":""},{"dropping-particle":"","family":"Hussey","given":"Helen","non-dropping-particle":"","parse-names":false,"suffix":""},{"dropping-particle":"","family":"Baddiley","given":"J.","non-dropping-particle":"","parse-names":false,"suffix":""}],"container-title":"Nature New Biology","id":"ITEM-1","issue":"2","issued":{"date-parts":[["1971","1","13"]]},"page":"57-59","publisher":"Nature Publishing Group","title":"Shared lipid phosphate carrier in the biosynthesis of teichoic acid and peptidoglycan","type":"article-journal","volume":"229"},"uris":["http://www.mendeley.com/documents/?uuid=853a1dbb-5eda-3a04-b711-878161fecd7b"]},{"id":"ITEM-2","itemData":{"DOI":"10.1128/JB.00197-06","ISBN":"0021-9193 (Print)","ISSN":"00219193","PMID":"16740924","abstract":"An extensive study of teichoic acid biosynthesis in the model organism Bacillus subtilis has established teichoic acid polymers as essential components of the gram-positive cell wall. However, similar studies pertaining to therapeutically relevant organisms, such as Staphylococcus aureus, are scarce. In this study we have carried out a meticulous examination of the dispensability of teichoic acid biosynthetic enzymes in S. aureus. By use of an allelic replacement methodology, we examined all facets of teichoic acid assembly, including intracellular polymer production and export. Using this approach we confirmed that the first-acting enzyme (TarO) was dispensable for growth, in contrast to dispensability studies in B. subtilis. Upon further characterization, we demonstrated that later-acting gene products (TarB, TarD, TarF, TarIJ, and TarH) responsible for polymer formation and export were essential for viability. We resolved this paradox by demonstrating that all of the apparently indispensable genes became dispensable in a tarO null genetic background. This work suggests a lethal gain-of-function mechanism where lesions beyond the initial step in wall teichoic acid biosynthesis render S. aureus nonviable. This discovery poses questions regarding the conventional understanding of essential gene sets, garnered through single-gene knockout experiments in bacteria and higher organisms, and points to a novel drug development strategy targeting late steps in teichoic acid synthesis for the infectious pathogen S. aureus.","author":[{"dropping-particle":"","family":"D'Elia","given":"Michael A.","non-dropping-particle":"","parse-names":false,"suffix":""},{"dropping-particle":"","family":"Pereira","given":"Mark P.","non-dropping-particle":"","parse-names":false,"suffix":""},{"dropping-particle":"","family":"Chung","given":"Yu Seon","non-dropping-particle":"","parse-names":false,"suffix":""},{"dropping-particle":"","family":"Zhao","given":"Wenjun","non-dropping-particle":"","parse-names":false,"suffix":""},{"dropping-particle":"","family":"Chau","given":"Andrew","non-dropping-particle":"","parse-names":false,"suffix":""},{"dropping-particle":"","family":"Kenney","given":"Teresa J.","non-dropping-particle":"","parse-names":false,"suffix":""},{"dropping-particle":"","family":"Sulavik","given":"Mark C.","non-dropping-particle":"","parse-names":false,"suffix":""},{"dropping-particle":"","family":"Black","given":"Todd A.","non-dropping-particle":"","parse-names":false,"suffix":""},{"dropping-particle":"","family":"Brown","given":"Eric D.","non-dropping-particle":"","parse-names":false,"suffix":""}],"container-title":"Journal of Bacteriology","id":"ITEM-2","issue":"12","issued":{"date-parts":[["2006"]]},"page":"4183-4189","title":"Lesions in teichoic acid biosynthesis in Staphylococcus aureus lead to a lethal gain of function in the otherwise dispensable pathway","type":"article-journal","volume":"188"},"uris":["http://www.mendeley.com/documents/?uuid=db1c0cb4-ca73-47a1-89dc-15eaac06854a"]},{"id":"ITEM-3","itemData":{"DOI":"10.1128/AAC.05938-11","ISBN":"1098-6596 (Electronic)\\r0066-4804 (Linking)","ISSN":"00664804","PMID":"22290958","abstract":"Wall teichoic acids (WTAs) are phosphate-rich, sugar-based polymers attached to the cell walls of most Gram-positive bacteria. In Staphylococcus aureus, these anionic polymers regulate cell division, protect cells from osmotic stress, mediate host colonization, and mask enzymatically susceptible peptidoglycan bonds. Although WTAs are not required for survival in vitro, blocking the pathway at a late stage of synthesis is lethal. We recently discovered a novel antibiotic, targocil, that inhibits a late acting step in the WTA pathway. Its target is TarG, the transmembrane component of the ABC transporter (TarGH) that exports WTAs to the cell surface. We examined here the effects of targocil on S. aureus using transmission electron microscopy and gene expression profiling. We report that targocil treatment leads to multicellular clusters containing swollen cells displaying evidence of osmotic stress, strongly induces the cell wall stress stimulon, and reduces the expression of key virulence genes, including dlt-ABCD and capsule genes. We conclude that WTA inhibitors that act at a late stage of the biosynthetic pathway may be useful as antibiotics, and we present evidence that they could be particularly useful in combination with beta-lactams. Copyright © 2012, American Society for Microbiology. All Rights Reserved.","author":[{"dropping-particle":"","family":"Campbell","given":"Jennifer","non-dropping-particle":"","parse-names":false,"suffix":""},{"dropping-particle":"","family":"Singh","given":"Atul K.","non-dropping-particle":"","parse-names":false,"suffix":""},{"dropping-particle":"","family":"Swoboda","given":"Jonathan G.","non-dropping-particle":"","parse-names":false,"suffix":""},{"dropping-particle":"","family":"Gilmore","given":"Michael S.","non-dropping-particle":"","parse-names":false,"suffix":""},{"dropping-particle":"","family":"Wilkinson","given":"Brian J.","non-dropping-particle":"","parse-names":false,"suffix":""},{"dropping-particle":"","family":"Walker","given":"Suzanne","non-dropping-particle":"","parse-names":false,"suffix":""}],"container-title":"Antimicrobial Agents and Chemotherapy","id":"ITEM-3","issue":"4","issued":{"date-parts":[["2012"]]},"page":"1810-1820","title":"An antibiotic that inhibits a late step in wall teichoic acid biosynthesis induces the cell wall stress stimulon in Staphylococcus aureus","type":"article-journal","volume":"56"},"uris":["http://www.mendeley.com/documents/?uuid=dcda4da2-77b1-34b8-a208-1b264f948fed"]}],"mendeley":{"formattedCitation":"&lt;sup&gt;[133,143,144]&lt;/sup&gt;","plainTextFormattedCitation":"[133,143,144]","previouslyFormattedCitation":"&lt;sup&gt;[133,143,144]&lt;/sup&gt;"},"properties":{"noteIndex":0},"schema":"https://github.com/citation-style-language/schema/raw/master/csl-citation.json"}</w:instrText>
      </w:r>
      <w:r w:rsidR="00376564">
        <w:rPr>
          <w:rFonts w:ascii="Calibri" w:hAnsi="Calibri" w:cs="Calibri"/>
        </w:rPr>
        <w:fldChar w:fldCharType="separate"/>
      </w:r>
      <w:r w:rsidR="0054658D" w:rsidRPr="0054658D">
        <w:rPr>
          <w:rFonts w:ascii="Calibri" w:hAnsi="Calibri" w:cs="Calibri"/>
          <w:noProof/>
          <w:vertAlign w:val="superscript"/>
        </w:rPr>
        <w:t>[133,143,144]</w:t>
      </w:r>
      <w:r w:rsidR="00376564">
        <w:rPr>
          <w:rFonts w:ascii="Calibri" w:hAnsi="Calibri" w:cs="Calibri"/>
        </w:rPr>
        <w:fldChar w:fldCharType="end"/>
      </w:r>
      <w:r w:rsidR="00A06CE7">
        <w:rPr>
          <w:rFonts w:ascii="Calibri" w:hAnsi="Calibri" w:cs="Calibri"/>
        </w:rPr>
        <w:t>.</w:t>
      </w:r>
    </w:p>
    <w:p w14:paraId="2A2B91DC" w14:textId="77777777" w:rsidR="00E94002" w:rsidRDefault="00E94002" w:rsidP="00E94002">
      <w:pPr>
        <w:pStyle w:val="NoSpacing"/>
        <w:keepNext/>
        <w:jc w:val="center"/>
      </w:pPr>
      <w:r>
        <w:rPr>
          <w:noProof/>
        </w:rPr>
        <w:lastRenderedPageBreak/>
        <w:drawing>
          <wp:inline distT="0" distB="0" distL="0" distR="0" wp14:anchorId="60A9052E" wp14:editId="590D61EA">
            <wp:extent cx="8774515" cy="4556369"/>
            <wp:effectExtent l="0" t="0" r="1270" b="3175"/>
            <wp:docPr id="42" name="Picture 4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diagram&#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882400" cy="4612391"/>
                    </a:xfrm>
                    <a:prstGeom prst="rect">
                      <a:avLst/>
                    </a:prstGeom>
                  </pic:spPr>
                </pic:pic>
              </a:graphicData>
            </a:graphic>
          </wp:inline>
        </w:drawing>
      </w:r>
    </w:p>
    <w:p w14:paraId="64877924" w14:textId="14E0DA3E" w:rsidR="00E94002" w:rsidRDefault="00E94002" w:rsidP="00E94002">
      <w:pPr>
        <w:pStyle w:val="Caption"/>
      </w:pPr>
      <w:bookmarkStart w:id="77" w:name="_Ref76999181"/>
      <w:bookmarkStart w:id="78" w:name="_Toc90216932"/>
      <w:r>
        <w:t xml:space="preserve">Figure </w:t>
      </w:r>
      <w:fldSimple w:instr=" STYLEREF 1 \s ">
        <w:r w:rsidR="00183CC8">
          <w:rPr>
            <w:noProof/>
          </w:rPr>
          <w:t>1</w:t>
        </w:r>
      </w:fldSimple>
      <w:r>
        <w:t>.</w:t>
      </w:r>
      <w:fldSimple w:instr=" SEQ Figure \* ARABIC \s 1 ">
        <w:r w:rsidR="00183CC8">
          <w:rPr>
            <w:noProof/>
          </w:rPr>
          <w:t>7</w:t>
        </w:r>
      </w:fldSimple>
      <w:bookmarkEnd w:id="77"/>
      <w:r>
        <w:t xml:space="preserve"> Biosynthesis pathways of teichoic acids in </w:t>
      </w:r>
      <w:r>
        <w:rPr>
          <w:i/>
        </w:rPr>
        <w:t>S. aureus</w:t>
      </w:r>
      <w:bookmarkEnd w:id="78"/>
    </w:p>
    <w:p w14:paraId="3C3F3A36" w14:textId="77777777" w:rsidR="00E94002" w:rsidRDefault="00E94002" w:rsidP="00E94002">
      <w:pPr>
        <w:pStyle w:val="NoSpacing"/>
        <w:sectPr w:rsidR="00E94002" w:rsidSect="00B94EBC">
          <w:pgSz w:w="16838" w:h="11906" w:orient="landscape"/>
          <w:pgMar w:top="1247" w:right="1191" w:bottom="1247" w:left="1191" w:header="709" w:footer="709" w:gutter="0"/>
          <w:cols w:space="708"/>
          <w:titlePg/>
          <w:docGrid w:linePitch="360"/>
        </w:sectPr>
      </w:pPr>
      <w:r>
        <w:t xml:space="preserve">Biosynthesis pathway for </w:t>
      </w:r>
      <w:r>
        <w:rPr>
          <w:b/>
          <w:bCs/>
        </w:rPr>
        <w:t>(A)</w:t>
      </w:r>
      <w:r>
        <w:t xml:space="preserve"> lipoteichoic acids (LTA) and </w:t>
      </w:r>
      <w:r>
        <w:rPr>
          <w:b/>
          <w:bCs/>
        </w:rPr>
        <w:t>(B)</w:t>
      </w:r>
      <w:r>
        <w:t xml:space="preserve"> wall teichoic acids (WTA) in </w:t>
      </w:r>
      <w:r>
        <w:rPr>
          <w:i/>
          <w:iCs/>
        </w:rPr>
        <w:t xml:space="preserve">S. aureus. </w:t>
      </w:r>
      <w:r>
        <w:t xml:space="preserve">Obtained from van der Es </w:t>
      </w:r>
      <w:r>
        <w:rPr>
          <w:i/>
          <w:iCs/>
        </w:rPr>
        <w:t>et al.,</w:t>
      </w:r>
      <w:r>
        <w:t xml:space="preserve"> (2017) </w:t>
      </w:r>
      <w:r>
        <w:fldChar w:fldCharType="begin" w:fldLock="1"/>
      </w:r>
      <w:r>
        <w:instrText>ADDIN CSL_CITATION {"citationItems":[{"id":"ITEM-1","itemData":{"DOI":"10.1039/C6CS00270F","ISSN":"0306-0012","author":[{"dropping-particle":"","family":"Es","given":"Daan","non-dropping-particle":"van der","parse-names":false,"suffix":""},{"dropping-particle":"","family":"Hogendorf","given":"Wouter F. J.","non-dropping-particle":"","parse-names":false,"suffix":""},{"dropping-particle":"","family":"Overkleeft","given":"Herman S.","non-dropping-particle":"","parse-names":false,"suffix":""},{"dropping-particle":"","family":"Marel","given":"Gijsbert A.","non-dropping-particle":"van der","parse-names":false,"suffix":""},{"dropping-particle":"","family":"Codée","given":"Jeroen D. C.","non-dropping-particle":"","parse-names":false,"suffix":""}],"container-title":"Chem. Soc. Rev.","id":"ITEM-1","issue":"5","issued":{"date-parts":[["2017"]]},"page":"1464-1482","title":"Teichoic acids: synthesis and applications","type":"article-journal","volume":"46"},"uris":["http://www.mendeley.com/documents/?uuid=86587d57-be87-4384-a322-683b06e7ce62"]}],"mendeley":{"formattedCitation":"&lt;sup&gt;[80]&lt;/sup&gt;","plainTextFormattedCitation":"[80]","previouslyFormattedCitation":"&lt;sup&gt;[80]&lt;/sup&gt;"},"properties":{"noteIndex":0},"schema":"https://github.com/citation-style-language/schema/raw/master/csl-citation.json"}</w:instrText>
      </w:r>
      <w:r>
        <w:fldChar w:fldCharType="separate"/>
      </w:r>
      <w:r w:rsidRPr="00DA0A83">
        <w:rPr>
          <w:noProof/>
          <w:vertAlign w:val="superscript"/>
        </w:rPr>
        <w:t>[80]</w:t>
      </w:r>
      <w:r>
        <w:fldChar w:fldCharType="end"/>
      </w:r>
      <w:r>
        <w:t>.</w:t>
      </w:r>
    </w:p>
    <w:p w14:paraId="56F973FE" w14:textId="6894D70E" w:rsidR="00BB4678" w:rsidRDefault="00BB4678" w:rsidP="00BB4678">
      <w:pPr>
        <w:pStyle w:val="Heading3"/>
      </w:pPr>
      <w:bookmarkStart w:id="79" w:name="_Toc64276277"/>
      <w:bookmarkStart w:id="80" w:name="_Toc64276581"/>
      <w:bookmarkStart w:id="81" w:name="_Toc64276793"/>
      <w:bookmarkStart w:id="82" w:name="_Ref77500307"/>
      <w:bookmarkStart w:id="83" w:name="_Toc90216733"/>
      <w:r w:rsidRPr="005B0F81">
        <w:lastRenderedPageBreak/>
        <w:t>Lipoteichoic acid</w:t>
      </w:r>
      <w:bookmarkEnd w:id="79"/>
      <w:bookmarkEnd w:id="80"/>
      <w:bookmarkEnd w:id="81"/>
      <w:r w:rsidR="00012494">
        <w:t xml:space="preserve"> biosynthesis</w:t>
      </w:r>
      <w:r w:rsidR="002E27B3">
        <w:t xml:space="preserve"> in </w:t>
      </w:r>
      <w:r w:rsidR="002E27B3">
        <w:rPr>
          <w:i/>
          <w:iCs/>
        </w:rPr>
        <w:t>S. aureus</w:t>
      </w:r>
      <w:bookmarkEnd w:id="82"/>
      <w:r w:rsidR="007006CC">
        <w:rPr>
          <w:i/>
          <w:iCs/>
        </w:rPr>
        <w:t>.</w:t>
      </w:r>
      <w:bookmarkEnd w:id="83"/>
    </w:p>
    <w:p w14:paraId="620061FD" w14:textId="6D89ED98" w:rsidR="00163FD0" w:rsidRPr="00996462" w:rsidRDefault="00163FD0" w:rsidP="00163FD0">
      <w:r>
        <w:rPr>
          <w:i/>
          <w:iCs/>
        </w:rPr>
        <w:t>S. aureus</w:t>
      </w:r>
      <w:r>
        <w:t xml:space="preserve"> has </w:t>
      </w:r>
      <w:r w:rsidRPr="00DA466C">
        <w:t>type I LTA</w:t>
      </w:r>
      <w:r>
        <w:t xml:space="preserve"> often made up of </w:t>
      </w:r>
      <w:r w:rsidR="00825159">
        <w:t xml:space="preserve">~ 25 </w:t>
      </w:r>
      <w:r>
        <w:t xml:space="preserve">repeating units of </w:t>
      </w:r>
      <w:r w:rsidR="006A0608">
        <w:t>poly glycerol</w:t>
      </w:r>
      <w:r w:rsidR="00EE387C">
        <w:t xml:space="preserve"> phosphate (</w:t>
      </w:r>
      <w:r>
        <w:t>Gro-P</w:t>
      </w:r>
      <w:r w:rsidR="00EE387C">
        <w:t>)</w:t>
      </w:r>
      <w:r>
        <w:t xml:space="preserve">, with D-alanine ester or </w:t>
      </w:r>
      <w:r>
        <w:rPr>
          <w:lang w:val="el-GR"/>
        </w:rPr>
        <w:t>α</w:t>
      </w:r>
      <w:r>
        <w:t>-Glc</w:t>
      </w:r>
      <w:r>
        <w:rPr>
          <w:i/>
          <w:iCs/>
        </w:rPr>
        <w:t>N</w:t>
      </w:r>
      <w:r>
        <w:t xml:space="preserve">Ac substitutions at the </w:t>
      </w:r>
      <w:r w:rsidRPr="004A7540">
        <w:t>2</w:t>
      </w:r>
      <w:r>
        <w:t xml:space="preserve">-hydroxyl group of glycerol </w:t>
      </w:r>
      <w:r>
        <w:fldChar w:fldCharType="begin" w:fldLock="1"/>
      </w:r>
      <w:r w:rsidR="005F2DD4">
        <w:instrText>ADDIN CSL_CITATION {"citationItems":[{"id":"ITEM-1","itemData":{"DOI":"10.1016/S0065-2911(08)60349-5","ISSN":"00652911","PMID":"3289326","abstract":"The widespread occurrence of lipoteichoic acids and their assumed structural homogeneity, together with their singular location on the bacterial membrane, led to the hypothesis that they may play an essential part in the cell physiology of Gram-positive bacteria. In the meantime, deviant lipoteichoic acid structures have been detected and, more importantly, glycosyl and alanyl substituents have been found to affect considerably the biological activities of the classical poly (g1ycerophosphate) lipoteichoic acids. Mutants defective in lipoteichoic acid biosynthesis have not yet been described. However, loss of rather substantial fractions of cellular lipoteichoic acid, caused for example by phosphate limitation, osmotic shock, or treatment with penicillin can apparently be tolerated by certain bacteria without significantly affecting the ability of lipoteichoic acid-depleted cells to survive. This does not preclude that a minor fraction of lipoteichoic acid may be indispensable or, that its presence may provide selective advantages to the organism. © 1988, Academic Press Limited","author":[{"dropping-particle":"","family":"Fischer","given":"W.","non-dropping-particle":"","parse-names":false,"suffix":""}],"container-title":"Advances in Microbial Physiology","id":"ITEM-1","issue":"C","issued":{"date-parts":[["1988","1","1"]]},"page":"233-302","publisher":"Academic Press","title":"Physiology of Lipoteichoic Acids in Bacteria","type":"article-journal","volume":"29"},"uris":["http://www.mendeley.com/documents/?uuid=26a8ed9a-7b4e-314e-870c-46d90364210f"]},{"id":"ITEM-2","itemData":{"DOI":"10.1016/j.ijmm.2009.10.001","ISBN":"1618-0607 (Electronic)\\n1438-4221 (Linking)","ISSN":"14384221","PMID":"19896895","abstract":"Staphylococci and most other Gram-positive bacteria incorporate complex teichoic acid (TA) polymers into their cell envelopes. Several crucial roles in Staphylococcus aureus fitness and cell wall maintenance have been assigned to these polymers, which are either covalently linked to peptidoglycan (wall teichoic acid, WTA) or to the cytoplasmic membrane (lipoteichoic acid, LTA). However, the exact TA structures, functions, and biosynthetic pathways are only superficially understood. Recently, most of the enzymes mediating TA biosynthesis have been identified and mutants lacking or with defined changes in WTA or LTA have become available. Their characterization has revealed crucial roles of TAs in protection against harmful molecules and environmental stresses; in control of enzymes directing cell division or morphogenesis and of cation homeostasis; and in interaction with host or bacteriophage receptors and biomaterials. Accordingly, several in vivo studies have demonstrated the importance of WTA and LTA in S. aureus colonization, infection, and immune evasion. TAs and enzymes required for TA biosynthesis represent attractive candidates for novel vaccines and antibiotics and are targeted by recently developed antibacterial therapeutics. © 2009 Elsevier GmbH. All rights reserved.","author":[{"dropping-particle":"","family":"Xia","given":"Guoqing","non-dropping-particle":"","parse-names":false,"suffix":""},{"dropping-particle":"","family":"Kohler","given":"Thomas","non-dropping-particle":"","parse-names":false,"suffix":""},{"dropping-particle":"","family":"Peschel","given":"Andreas","non-dropping-particle":"","parse-names":false,"suffix":""}],"container-title":"International Journal of Medical Microbiology","id":"ITEM-2","issue":"2-3","issued":{"date-parts":[["2010"]]},"page":"148-154","publisher":"Elsevier","title":"The wall teichoic acid and lipoteichoic acid polymers of Staphylococcus aureus","type":"article-journal","volume":"300"},"uris":["http://www.mendeley.com/documents/?uuid=15421729-baff-4fb4-ae00-90cddebbfeda"]},{"id":"ITEM-3","itemData":{"DOI":"10.1111/j.1432-1033.1984.tb07923.x","ISBN":"0014-2956 (Print)\\r0014-2956 (Linking)","ISSN":"14321033","PMID":"6697992","abstract":"Pulse‐chase experiments with [2‐3H]glycerol and [14C]acetate revealed that in Staphylococcus aureus lipoteichoic acid biosynthesis plays a dominant role in membrane lipid metabolism. In the chase, 90% of the glycerophosphate moiety of phosphatidylglycerol was incorporated into the polymer: 25 phosphatidylglycerol + diglucosyldiacylglycerol → (glycerophospho)25‐diglucosyldiacylglycerol + 25 diacylglycerol. Glycerophosphodiglucosyldiacylglycerol was shown to be an intermediate, confirming that the hydrophilic chain is polymerized on the final lipid anchor. Total phosphatidylglycerol served as the precursor pool and was estimated to turn over more than twice for lipoteichoic acid synthesis in one bacterial doubling. Of the resulting diacylglycerol approximately 10% was used for the synthesis of glycolipids and the lipid anchor of lipoteichoic acid. The majority of diacylglycerol recycled via phosphatidic acid to phosphatidylglycerol. Synthesis of bisphosphatidylglycerol was negligible and only a minor fraction of phosphatidylglycerol passed through the metabolically labile lysyl derivative. In contrast to normal growth, energy deprivation caused an immediate switch‐over from the synthesis of lipoteichoic acid to the synthesis of bisphosphatidylglycerol. Copyright © 1984, Wiley Blackwell. All rights reserved","author":[{"dropping-particle":"","family":"Koch","given":"H. Uwe","non-dropping-particle":"","parse-names":false,"suffix":""},{"dropping-particle":"","family":"Haas","given":"Renate","non-dropping-particle":"","parse-names":false,"suffix":""},{"dropping-particle":"","family":"Fischer","given":"Werner","non-dropping-particle":"","parse-names":false,"suffix":""}],"container-title":"European Journal of Biochemistry","id":"ITEM-3","issue":"2","issued":{"date-parts":[["1984"]]},"page":"357-363","title":"The role of lipoteichoic acid biosynthesis in membrane lipid metabolism of growing Staphylococcus aureus","type":"article-journal","volume":"138"},"uris":["http://www.mendeley.com/documents/?uuid=04db086d-a2a1-480a-8567-43d45370409f"]}],"mendeley":{"formattedCitation":"&lt;sup&gt;[79,145,146]&lt;/sup&gt;","plainTextFormattedCitation":"[79,145,146]","previouslyFormattedCitation":"&lt;sup&gt;[79,145,146]&lt;/sup&gt;"},"properties":{"noteIndex":0},"schema":"https://github.com/citation-style-language/schema/raw/master/csl-citation.json"}</w:instrText>
      </w:r>
      <w:r>
        <w:fldChar w:fldCharType="separate"/>
      </w:r>
      <w:r w:rsidR="0054658D" w:rsidRPr="0054658D">
        <w:rPr>
          <w:noProof/>
          <w:vertAlign w:val="superscript"/>
        </w:rPr>
        <w:t>[79,145,146]</w:t>
      </w:r>
      <w:r>
        <w:fldChar w:fldCharType="end"/>
      </w:r>
      <w:r>
        <w:t>.</w:t>
      </w:r>
      <w:r>
        <w:rPr>
          <w:i/>
          <w:iCs/>
        </w:rPr>
        <w:t xml:space="preserve"> </w:t>
      </w:r>
      <w:r>
        <w:t>LTA attaches to the PM through a glycolipid anchor consisting of diglucosyl diacylglycerol</w:t>
      </w:r>
      <w:r w:rsidR="005436E0">
        <w:t xml:space="preserve"> (Glc</w:t>
      </w:r>
      <w:r w:rsidR="005436E0">
        <w:rPr>
          <w:vertAlign w:val="subscript"/>
        </w:rPr>
        <w:t>2</w:t>
      </w:r>
      <w:r w:rsidR="005436E0">
        <w:t>-DAG)</w:t>
      </w:r>
      <w:r w:rsidR="00C120F7">
        <w:t xml:space="preserve"> (</w:t>
      </w:r>
      <w:r w:rsidR="00C120F7">
        <w:fldChar w:fldCharType="begin"/>
      </w:r>
      <w:r w:rsidR="00C120F7">
        <w:instrText xml:space="preserve"> REF _Ref76833588 \h </w:instrText>
      </w:r>
      <w:r w:rsidR="00C120F7">
        <w:fldChar w:fldCharType="separate"/>
      </w:r>
      <w:r w:rsidR="00183CC8">
        <w:t xml:space="preserve">Figure </w:t>
      </w:r>
      <w:r w:rsidR="00183CC8">
        <w:rPr>
          <w:noProof/>
        </w:rPr>
        <w:t>1</w:t>
      </w:r>
      <w:r w:rsidR="00183CC8">
        <w:t>.</w:t>
      </w:r>
      <w:r w:rsidR="00183CC8">
        <w:rPr>
          <w:noProof/>
        </w:rPr>
        <w:t>5</w:t>
      </w:r>
      <w:r w:rsidR="00C120F7">
        <w:fldChar w:fldCharType="end"/>
      </w:r>
      <w:r w:rsidR="00C120F7">
        <w:t>b)</w:t>
      </w:r>
      <w:r>
        <w:t xml:space="preserve"> </w:t>
      </w:r>
      <w:r>
        <w:fldChar w:fldCharType="begin" w:fldLock="1"/>
      </w:r>
      <w:r w:rsidR="005F2DD4">
        <w:instrText>ADDIN CSL_CITATION {"citationItems":[{"id":"ITEM-1","itemData":{"DOI":"10.1016/S0065-2911(08)60349-5","ISSN":"00652911","PMID":"3289326","abstract":"The widespread occurrence of lipoteichoic acids and their assumed structural homogeneity, together with their singular location on the bacterial membrane, led to the hypothesis that they may play an essential part in the cell physiology of Gram-positive bacteria. In the meantime, deviant lipoteichoic acid structures have been detected and, more importantly, glycosyl and alanyl substituents have been found to affect considerably the biological activities of the classical poly (g1ycerophosphate) lipoteichoic acids. Mutants defective in lipoteichoic acid biosynthesis have not yet been described. However, loss of rather substantial fractions of cellular lipoteichoic acid, caused for example by phosphate limitation, osmotic shock, or treatment with penicillin can apparently be tolerated by certain bacteria without significantly affecting the ability of lipoteichoic acid-depleted cells to survive. This does not preclude that a minor fraction of lipoteichoic acid may be indispensable or, that its presence may provide selective advantages to the organism. © 1988, Academic Press Limited","author":[{"dropping-particle":"","family":"Fischer","given":"W.","non-dropping-particle":"","parse-names":false,"suffix":""}],"container-title":"Advances in Microbial Physiology","id":"ITEM-1","issue":"C","issued":{"date-parts":[["1988","1","1"]]},"page":"233-302","publisher":"Academic Press","title":"Physiology of Lipoteichoic Acids in Bacteria","type":"article-journal","volume":"29"},"uris":["http://www.mendeley.com/documents/?uuid=26a8ed9a-7b4e-314e-870c-46d90364210f"]},{"id":"ITEM-2","itemData":{"DOI":"10.1126/science.46620","ISBN":"154.59.124.32","ISSN":"00368075","PMID":"46620","abstract":"Membrane lipoteichoic acids can function as surface antigens of gram-positive bacteria.","author":[{"dropping-particle":"","family":"Wicken","given":"A J","non-dropping-particle":"","parse-names":false,"suffix":""},{"dropping-particle":"","family":"Knox","given":"K W","non-dropping-particle":"","parse-names":false,"suffix":""}],"container-title":"Science","id":"ITEM-2","issue":"4182","issued":{"date-parts":[["1975"]]},"page":"1161-1167","title":"Lipoteichoic acids: A new class of bacterial antigen","type":"article-journal","volume":"187"},"uris":["http://www.mendeley.com/documents/?uuid=6b5a6749-ca96-33dd-9405-f77b985b873d"]}],"mendeley":{"formattedCitation":"&lt;sup&gt;[145,147]&lt;/sup&gt;","plainTextFormattedCitation":"[145,147]","previouslyFormattedCitation":"&lt;sup&gt;[145,147]&lt;/sup&gt;"},"properties":{"noteIndex":0},"schema":"https://github.com/citation-style-language/schema/raw/master/csl-citation.json"}</w:instrText>
      </w:r>
      <w:r>
        <w:fldChar w:fldCharType="separate"/>
      </w:r>
      <w:r w:rsidR="0054658D" w:rsidRPr="0054658D">
        <w:rPr>
          <w:noProof/>
          <w:vertAlign w:val="superscript"/>
        </w:rPr>
        <w:t>[145,147]</w:t>
      </w:r>
      <w:r>
        <w:fldChar w:fldCharType="end"/>
      </w:r>
      <w:r>
        <w:t>.</w:t>
      </w:r>
    </w:p>
    <w:p w14:paraId="217CF698" w14:textId="3483EACA" w:rsidR="00136F25" w:rsidRDefault="00B43D6D" w:rsidP="00B85A76">
      <w:r w:rsidRPr="00DA466C">
        <w:t>Biosynthesis</w:t>
      </w:r>
      <w:r>
        <w:t xml:space="preserve"> of LTA</w:t>
      </w:r>
      <w:r w:rsidR="00DC09C3">
        <w:t xml:space="preserve"> in </w:t>
      </w:r>
      <w:r w:rsidR="00DC09C3">
        <w:rPr>
          <w:i/>
          <w:iCs/>
        </w:rPr>
        <w:t>S. aureus</w:t>
      </w:r>
      <w:r w:rsidR="00911F12">
        <w:t xml:space="preserve"> (</w:t>
      </w:r>
      <w:r w:rsidR="00911F12">
        <w:fldChar w:fldCharType="begin"/>
      </w:r>
      <w:r w:rsidR="00911F12">
        <w:instrText xml:space="preserve"> REF _Ref76999181 \h </w:instrText>
      </w:r>
      <w:r w:rsidR="00911F12">
        <w:fldChar w:fldCharType="separate"/>
      </w:r>
      <w:r w:rsidR="00183CC8">
        <w:t xml:space="preserve">Figure </w:t>
      </w:r>
      <w:r w:rsidR="00183CC8">
        <w:rPr>
          <w:noProof/>
        </w:rPr>
        <w:t>1</w:t>
      </w:r>
      <w:r w:rsidR="00183CC8">
        <w:t>.</w:t>
      </w:r>
      <w:r w:rsidR="00183CC8">
        <w:rPr>
          <w:noProof/>
        </w:rPr>
        <w:t>7</w:t>
      </w:r>
      <w:r w:rsidR="00911F12">
        <w:fldChar w:fldCharType="end"/>
      </w:r>
      <w:r w:rsidR="00911F12">
        <w:t>a)</w:t>
      </w:r>
      <w:r>
        <w:t xml:space="preserve"> commences at the cytoplasm with glycosyltransferase </w:t>
      </w:r>
      <w:r w:rsidR="00B41543">
        <w:t>YpfP</w:t>
      </w:r>
      <w:r>
        <w:t xml:space="preserve"> </w:t>
      </w:r>
      <w:r w:rsidR="007A4C99">
        <w:t>generat</w:t>
      </w:r>
      <w:r>
        <w:t>ing</w:t>
      </w:r>
      <w:r w:rsidR="007A4C99">
        <w:t xml:space="preserve"> the glycolipid anchor from UDP-glucose</w:t>
      </w:r>
      <w:r>
        <w:t>.</w:t>
      </w:r>
      <w:r w:rsidR="007A4C99">
        <w:t xml:space="preserve"> </w:t>
      </w:r>
      <w:r>
        <w:t xml:space="preserve">The flippase </w:t>
      </w:r>
      <w:r w:rsidR="007A4C99">
        <w:t>LtaA</w:t>
      </w:r>
      <w:r w:rsidR="00136F25">
        <w:t xml:space="preserve"> </w:t>
      </w:r>
      <w:r>
        <w:t xml:space="preserve">then transfers the </w:t>
      </w:r>
      <w:r w:rsidR="001A5078">
        <w:t>Glc</w:t>
      </w:r>
      <w:r w:rsidR="001A5078">
        <w:rPr>
          <w:vertAlign w:val="subscript"/>
        </w:rPr>
        <w:t>2</w:t>
      </w:r>
      <w:r w:rsidR="001A5078">
        <w:t>-DAG</w:t>
      </w:r>
      <w:r w:rsidR="00136F25">
        <w:t xml:space="preserve"> </w:t>
      </w:r>
      <w:r>
        <w:t>into</w:t>
      </w:r>
      <w:r w:rsidR="00136F25">
        <w:t xml:space="preserve"> the exoplasmic space. </w:t>
      </w:r>
      <w:r w:rsidR="00B85A76">
        <w:t>The Gro</w:t>
      </w:r>
      <w:r w:rsidR="000D40F6">
        <w:t>-</w:t>
      </w:r>
      <w:r w:rsidR="00B85A76">
        <w:t>P chain is then extended by the LTA synthase, LtaS</w:t>
      </w:r>
      <w:r w:rsidR="00015B64">
        <w:t>. This</w:t>
      </w:r>
      <w:r w:rsidR="00015B64" w:rsidRPr="00015B64">
        <w:t xml:space="preserve"> </w:t>
      </w:r>
      <w:r w:rsidR="00015B64">
        <w:t>membrane-bound polymerase has five transmembrane domains and a soluble extracellular catalytic domain with a type I peptidase (SpsB). The latter hydrolyses phosphatidylglycerol to obtain Gro</w:t>
      </w:r>
      <w:r w:rsidR="000D40F6">
        <w:t>-</w:t>
      </w:r>
      <w:r w:rsidR="00015B64">
        <w:t>P, and releasing DAG, which is later recycled</w:t>
      </w:r>
      <w:r w:rsidR="00F13080">
        <w:t xml:space="preserve"> in the cytoplasm back into </w:t>
      </w:r>
      <w:r w:rsidR="00104728">
        <w:t>phosphatidylglycerol</w:t>
      </w:r>
      <w:r w:rsidR="00015B64">
        <w:t>.</w:t>
      </w:r>
      <w:r w:rsidR="00E21570">
        <w:t xml:space="preserve"> The Gro-P used in LTA biosynthesis differs from the stereochemistry of the Gro-P used in WTA. </w:t>
      </w:r>
      <w:r w:rsidR="00D316D2">
        <w:fldChar w:fldCharType="begin" w:fldLock="1"/>
      </w:r>
      <w:r w:rsidR="00260ACA">
        <w:instrText>ADDIN CSL_CITATION {"citationItems":[{"id":"ITEM-1","itemData":{"DOI":"10.1111/j.1574-6968.2011.02260.x","ISBN":"1574-6968 (Electronic)\\r0378-1097 (Linking)","ISSN":"03781097","PMID":"21388439","abstract":"Lipoteichoic acid (LTA) is a zwitterionic polymer found in the cell wall of many Gram-positive bacteria. A widespread and one of the best-studied forms of LTA consists of a polyglycerolphosphate (PGP) chain that is tethered to the membrane via a glycolipid anchor. In this review, we will summarize our current understanding of the enzymes involved in glycolipid and PGP backbone synthesis in a variety of different Gram-positive bacteria. The recent identification of key LTA synthesis proteins allowed the construction and analysis of mutant strains with defined defects in glycolipid or backbone synthesis. Using these strains, new information on the functions of LTA for bacterial growth, physiology and during developmental processes was gained and will be discussed. Furthermore, we will reintroduce the idea that LTA remains in close proximity to the bacterial membrane for its function during bacterial growth rather than as a surface-exposed structure.","author":[{"dropping-particle":"","family":"Reichmann","given":"Nathalie T.","non-dropping-particle":"","parse-names":false,"suffix":""},{"dropping-particle":"","family":"Gründling","given":"Angelika","non-dropping-particle":"","parse-names":false,"suffix":""}],"container-title":"FEMS Microbiology Letters","id":"ITEM-1","issue":"2","issued":{"date-parts":[["2011"]]},"page":"97-105","title":"Location, synthesis and function of glycolipids and polyglycerolphosphate lipoteichoic acid in Gram-positive bacteria of the phylum Firmicutes","type":"article-journal","volume":"319"},"uris":["http://www.mendeley.com/documents/?uuid=54c81ffe-85fd-48ab-a836-a54897734997"]},{"id":"ITEM-2","itemData":{"DOI":"10.1039/C6CS00270F","ISSN":"0306-0012","author":[{"dropping-particle":"","family":"Es","given":"Daan","non-dropping-particle":"van der","parse-names":false,"suffix":""},{"dropping-particle":"","family":"Hogendorf","given":"Wouter F. J.","non-dropping-particle":"","parse-names":false,"suffix":""},{"dropping-particle":"","family":"Overkleeft","given":"Herman S.","non-dropping-particle":"","parse-names":false,"suffix":""},{"dropping-particle":"","family":"Marel","given":"Gijsbert A.","non-dropping-particle":"van der","parse-names":false,"suffix":""},{"dropping-particle":"","family":"Codée","given":"Jeroen D. C.","non-dropping-particle":"","parse-names":false,"suffix":""}],"container-title":"Chem. Soc. Rev.","id":"ITEM-2","issue":"5","issued":{"date-parts":[["2017"]]},"page":"1464-1482","title":"Teichoic acids: synthesis and applications","type":"article-journal","volume":"46"},"uris":["http://www.mendeley.com/documents/?uuid=86587d57-be87-4384-a322-683b06e7ce62"]},{"id":"ITEM-3","itemData":{"DOI":"10.1128/JB.01155-13","ISBN":"1098-5530 (Electronic)\\r0021-9193 (Linking)","ISSN":"00219193","PMID":"24415723","abstract":"Lipoteichoic acids (LTA) are polymers of alternating units of a polyhydroxy alkane, including glycerol and ribitol, and phosphoric acid, joined to form phosphodiester units that are found in the envelope of Gram-positive bacteria. Here we review four different types of LTA that can be distinguished on the basis of their chemical structure and describe recent advances in the biosynthesis pathway for type I LTA, d-alanylated polyglycerol-phosphate linked to di-glucosyl-diacylglycerol. The physiological functions of type I LTA are discussed in the context of inhibitors that block their synthesis and of mutants with discrete synthesis defects. Research on LTA structure and function represents a large frontier that has been investigated in only few Gram-positive bacteria.","author":[{"dropping-particle":"","family":"Schneewind","given":"Olaf","non-dropping-particle":"","parse-names":false,"suffix":""},{"dropping-particle":"","family":"Missiakas","given":"Dominique","non-dropping-particle":"","parse-names":false,"suffix":""}],"container-title":"Journal of Bacteriology","id":"ITEM-3","issue":"6","issued":{"date-parts":[["2014"]]},"page":"1133-1142","title":"Lipoteichoic acids, phosphate-containing polymers in the envelope of gram-positive bacteria","type":"article-journal","volume":"196"},"uris":["http://www.mendeley.com/documents/?uuid=c08a640a-578c-4d45-b497-3709356c446f"]},{"id":"ITEM-4","itemData":{"DOI":"10.1073/pnas.0701821104","ISBN":"0027-8424 (Print)\\r0027-8424 (Linking)","ISSN":"0027-8424","PMID":"17483484","abstract":"Lipoteichoic acid (LTA), a glycerol phosphate surface polymer, is a component of the envelope of Gram-positive bacteria. However, the molecular basis for its synthesis or function is not known. Here we report that Staphylococcus aureus LtaS synthesizes glycerol phosphate LTA. Construction of a mutant S. aureus strain with inducible ltaS expression revealed that LTA synthesis is required for bacterial growth and cell division. An ltaS homologue of Bacillus subtilis restored LTA synthesis and the growth of ltaS mutant staphylococci. Thus, LtaS inhibition can be used as a target to treat human infections caused by antibiotic-resistant S. aureus or other bacterial pathogens.","author":[{"dropping-particle":"","family":"Grundling","given":"A.","non-dropping-particle":"","parse-names":false,"suffix":""},{"dropping-particle":"","family":"Schneewind","given":"O.","non-dropping-particle":"","parse-names":false,"suffix":""}],"container-title":"Proceedings of the National Academy of Sciences","id":"ITEM-4","issue":"20","issued":{"date-parts":[["2007"]]},"page":"8478-8483","title":"Synthesis of glycerol phosphate lipoteichoic acid in Staphylococcus aureus","type":"article-journal","volume":"104"},"uris":["http://www.mendeley.com/documents/?uuid=33b7fcb3-ffde-4606-8a67-126926b4d10a"]},{"id":"ITEM-5","itemData":{"DOI":"10.1146/annurev-micro-091213-112949","abstract":"Lipoteichoic acid (LTA) is an important cell wall polymer found in gram- positive bacteria. Although the exact role of LTA is unknown, mutants dis- play significant growth and physiological defects. Additionally,modification of the LTA backbone structure can provide protection against cationic an- timicrobial peptides. This review provides an overview of the different LTA types and their chemical structures and synthesis pathways. The occurrence and mechanisms of LTA modifications with D-alanyl, glycosyl, and phos- phocholine residueswill be discussed alongwith their functions. Similarities between the production of type I LTA and osmoregulated periplasmic glu- cans in gram-negative bacteria are highlighted, indicating that LTA should perhaps be compared to these polymers rather than lipopolysaccharide, as is presently the case. Lastly, current efforts to use LTAs as vaccine candidates, synthesis proteins as novel antimicrobial targets, and LTAmutant strains as improved probiotics are highlighted. 81","author":[{"dropping-particle":"","family":"Percy","given":"Matthew G","non-dropping-particle":"","parse-names":false,"suffix":""},{"dropping-particle":"","family":"Grundling","given":"Angelika","non-dropping-particle":"","parse-names":false,"suffix":""}],"container-title":"Annual Review of Microbiology","id":"ITEM-5","issued":{"date-parts":[["2014"]]},"note":"LTA gram +\n\nevidence of a direct interaction between cell division proteins and LTA synthesis proteins was recently provided for S. aureus (105). An S. aureus ltaS mutant can only be maintained under osmotically stabilizing conditions in medium with a high concentration of NaCl or sucrose, after acquisition of compensatory mutations, or, for some strains, by lowering the growth temperature (22, 44, 97). The observa- tion that an S. aureus ltaS mutant can be rescued in high-osmolality medium or by an increase in the cellular concentration of cyclic-diadenosine-monophosphate (c-di-AMP), a nucleotide- signaling molecule that has been implicated in the control of potassium and/or other ion trans- port (9, 22–24, 94, 97), might indicate a crucial function of LTA in the osmoprotection of the cell.\nType","page":"81-100","title":"Lipoteichoic Acid Synthesis and Function in Gram-Positive Bacteria","type":"article-journal","volume":"68"},"uris":["http://www.mendeley.com/documents/?uuid=cf9f72fd-73c1-4d80-bfa0-ad9e73dc48f0"]}],"mendeley":{"formattedCitation":"&lt;sup&gt;[80,84,99,141,148]&lt;/sup&gt;","plainTextFormattedCitation":"[80,84,99,141,148]","previouslyFormattedCitation":"&lt;sup&gt;[80,84,99,141,148]&lt;/sup&gt;"},"properties":{"noteIndex":0},"schema":"https://github.com/citation-style-language/schema/raw/master/csl-citation.json"}</w:instrText>
      </w:r>
      <w:r w:rsidR="00D316D2">
        <w:fldChar w:fldCharType="separate"/>
      </w:r>
      <w:r w:rsidR="00C825F9" w:rsidRPr="00C825F9">
        <w:rPr>
          <w:noProof/>
          <w:vertAlign w:val="superscript"/>
        </w:rPr>
        <w:t>[80,84,99,141,148]</w:t>
      </w:r>
      <w:r w:rsidR="00D316D2">
        <w:fldChar w:fldCharType="end"/>
      </w:r>
    </w:p>
    <w:p w14:paraId="5217BC49" w14:textId="3C1FEB61" w:rsidR="00FF7683" w:rsidRDefault="006E0DF9" w:rsidP="00150D86">
      <w:r w:rsidRPr="00DA466C">
        <w:t>D-alanylatio</w:t>
      </w:r>
      <w:r w:rsidR="00261FE7" w:rsidRPr="00DA466C">
        <w:t>n</w:t>
      </w:r>
      <w:r>
        <w:t xml:space="preserve"> of LTA is carried out by enzymes DltA, B, C and D, encoded by the </w:t>
      </w:r>
      <w:r>
        <w:rPr>
          <w:i/>
          <w:iCs/>
        </w:rPr>
        <w:t xml:space="preserve">dltABCD </w:t>
      </w:r>
      <w:r>
        <w:t>operon</w:t>
      </w:r>
      <w:r w:rsidR="00B76A4C">
        <w:fldChar w:fldCharType="begin" w:fldLock="1"/>
      </w:r>
      <w:r w:rsidR="005F2DD4">
        <w:instrText>ADDIN CSL_CITATION {"citationItems":[{"id":"ITEM-1","itemData":{"DOI":"10.1146/annurev-micro-091213-112949","abstract":"Lipoteichoic acid (LTA) is an important cell wall polymer found in gram- positive bacteria. Although the exact role of LTA is unknown, mutants dis- play significant growth and physiological defects. Additionally,modification of the LTA backbone structure can provide protection against cationic an- timicrobial peptides. This review provides an overview of the different LTA types and their chemical structures and synthesis pathways. The occurrence and mechanisms of LTA modifications with D-alanyl, glycosyl, and phos- phocholine residueswill be discussed alongwith their functions. Similarities between the production of type I LTA and osmoregulated periplasmic glu- cans in gram-negative bacteria are highlighted, indicating that LTA should perhaps be compared to these polymers rather than lipopolysaccharide, as is presently the case. Lastly, current efforts to use LTAs as vaccine candidates, synthesis proteins as novel antimicrobial targets, and LTAmutant strains as improved probiotics are highlighted. 81","author":[{"dropping-particle":"","family":"Percy","given":"Matthew G","non-dropping-particle":"","parse-names":false,"suffix":""},{"dropping-particle":"","family":"Grundling","given":"Angelika","non-dropping-particle":"","parse-names":false,"suffix":""}],"container-title":"Annual Review of Microbiology","id":"ITEM-1","issued":{"date-parts":[["2014"]]},"note":"LTA gram +\n\nevidence of a direct interaction between cell division proteins and LTA synthesis proteins was recently provided for S. aureus (105). An S. aureus ltaS mutant can only be maintained under osmotically stabilizing conditions in medium with a high concentration of NaCl or sucrose, after acquisition of compensatory mutations, or, for some strains, by lowering the growth temperature (22, 44, 97). The observa- tion that an S. aureus ltaS mutant can be rescued in high-osmolality medium or by an increase in the cellular concentration of cyclic-diadenosine-monophosphate (c-di-AMP), a nucleotide- signaling molecule that has been implicated in the control of potassium and/or other ion trans- port (9, 22–24, 94, 97), might indicate a crucial function of LTA in the osmoprotection of the cell.\nType","page":"81-100","title":"Lipoteichoic Acid Synthesis and Function in Gram-Positive Bacteria","type":"article-journal","volume":"68"},"uris":["http://www.mendeley.com/documents/?uuid=cf9f72fd-73c1-4d80-bfa0-ad9e73dc48f0"]},{"id":"ITEM-2","itemData":{"DOI":"10.1128/MMBR.67.4.686","ISBN":"1092-2172\\r10922172","author":[{"dropping-particle":"","family":"Neuhaus","given":"Francis C","non-dropping-particle":"","parse-names":false,"suffix":""},{"dropping-particle":"","family":"Baddiley","given":"James","non-dropping-particle":"","parse-names":false,"suffix":""}],"container-title":"Microbiology and Molecular Biology Reviews","id":"ITEM-2","issue":"4","issued":{"date-parts":[["2003"]]},"page":"686","title":"A Continuum of Anionic Charge: Structures and Functions of D- Alanyl- Teichoic Acids in Gram- Positive Bacteria","type":"article-journal","volume":"67"},"uris":["http://www.mendeley.com/documents/?uuid=7e867f96-1f6e-41bc-b793-1eac09cb173a"]},{"id":"ITEM-3","itemData":{"DOI":"10.1128/jb.174.14.4707-4717.1992","ISSN":"00219193","PMID":"1385594","abstract":"The D-alanine-activating enzyme (Dae; EC 6.3.2.4) encoded by the dae gene from Lactobacillus casei ATCC 7469 is a cytosolic protein essential for the formation of the D-alanyl esters of membrane-bound lipoteichoic acid. The gene has been cloned, sequenced, and expressed in Escherichia coli, an organism which does not possess Dae activity. The open reading frame is 1,518 nucleotides and codes for a protein of 55.867 kDa, a value in agreement with the 56 kDa obtained by electrophoresis. A putative promoter and ribosome- binding site immediately precede the dae gene. A second open reading frame contiguous with the dae gene has also been partially sequenced. The organization of these genetic elements suggests that more than one enzyme necessary for the biosynthesis of D-alanyl-lipoteichoic acid may be present in this operon. Analysis of the amino acid sequence deduced from the dae gene identified three regions with significant homology to proteins in the following groups of ATP-utilizing enzymes: (i) the acid-thiol ligases, (ii) the activating enzymes for the biosynthesis of enterobactin, and (iii) the synthetases for tyrocidine, gramicidin S, and penicillin. From these comparisons, a common motif (GXXGXPK) has been identified that is conserved in the 19 protein domains analyzed. This motif may represent the phosphate- binding loop of an ATP-binding site for this class of enzymes. A DNA fragment (1,568 nucleotides) containing the dae gene and its putative ribosome-binding site has been subcloned and expressed in E. coli. Approximately 0.5% of the total cell protein is active Dae, whereas 21% is in the form of inclusion bodies. The isolation of this minimal fragment without a native promoter sequence provides the basis for designing a genetic system for modulating the D-alanine ester content of lipoteichoic acid.","author":[{"dropping-particle":"","family":"Heaton","given":"M. P.","non-dropping-particle":"","parse-names":false,"suffix":""},{"dropping-particle":"","family":"Neuhaus","given":"F. C.","non-dropping-particle":"","parse-names":false,"suffix":""}],"container-title":"Journal of Bacteriology","id":"ITEM-3","issue":"14","issued":{"date-parts":[["1992"]]},"page":"4707-4717","publisher":"J Bacteriol","title":"Biosynthesis of D-alanyl-lipoteichoic acid: Cloning, nucleotide sequence, and expression of the Lactobacillus casei gene for the D-alanine-activating enzyme","type":"article-journal","volume":"174"},"uris":["http://www.mendeley.com/documents/?uuid=7b790f86-e10f-3d09-940f-7466c0619371"]}],"mendeley":{"formattedCitation":"&lt;sup&gt;[84,85,149]&lt;/sup&gt;","plainTextFormattedCitation":"[84,85,149]","previouslyFormattedCitation":"&lt;sup&gt;[84,85,149]&lt;/sup&gt;"},"properties":{"noteIndex":0},"schema":"https://github.com/citation-style-language/schema/raw/master/csl-citation.json"}</w:instrText>
      </w:r>
      <w:r w:rsidR="00B76A4C">
        <w:fldChar w:fldCharType="separate"/>
      </w:r>
      <w:r w:rsidR="0054658D" w:rsidRPr="0054658D">
        <w:rPr>
          <w:noProof/>
          <w:vertAlign w:val="superscript"/>
        </w:rPr>
        <w:t>[84,85,149]</w:t>
      </w:r>
      <w:r w:rsidR="00B76A4C">
        <w:fldChar w:fldCharType="end"/>
      </w:r>
      <w:r>
        <w:t>.</w:t>
      </w:r>
      <w:r w:rsidR="00B76A4C">
        <w:t xml:space="preserve"> The</w:t>
      </w:r>
      <w:r w:rsidR="00137B79">
        <w:t xml:space="preserve"> Fischer model</w:t>
      </w:r>
      <w:r w:rsidR="001F69B4">
        <w:t>, supported by later studies,</w:t>
      </w:r>
      <w:r w:rsidR="00137B79">
        <w:t xml:space="preserve"> proposes that </w:t>
      </w:r>
      <w:r w:rsidR="00FF7683">
        <w:t>Dlt</w:t>
      </w:r>
      <w:r w:rsidR="00464907">
        <w:t>A</w:t>
      </w:r>
      <w:r w:rsidR="00FF7683">
        <w:t xml:space="preserve"> activate</w:t>
      </w:r>
      <w:r w:rsidR="00137B79">
        <w:t>s</w:t>
      </w:r>
      <w:r w:rsidR="00FF7683">
        <w:t xml:space="preserve"> D-ala </w:t>
      </w:r>
      <w:r w:rsidR="00137B79">
        <w:t xml:space="preserve">at the cytoplasm, </w:t>
      </w:r>
      <w:r w:rsidR="00FF7683">
        <w:t xml:space="preserve">using ATP. The resulting D-alanyl-AMP is </w:t>
      </w:r>
      <w:r w:rsidR="00137B79">
        <w:t xml:space="preserve">carried by </w:t>
      </w:r>
      <w:r w:rsidR="00FF7683">
        <w:t>DltC</w:t>
      </w:r>
      <w:r w:rsidR="00137B79">
        <w:t xml:space="preserve"> and transferred onto undecaprenyl phosphate (C55-P). Then, </w:t>
      </w:r>
      <w:r w:rsidR="00FF7683">
        <w:t xml:space="preserve">DltB </w:t>
      </w:r>
      <w:r w:rsidR="00137B79">
        <w:t>transports the D-ala across the PM into the exoplasmic space, where finally DltD aids the addition of this residue onto LTA</w:t>
      </w:r>
      <w:r w:rsidR="008220DF">
        <w:t>.</w:t>
      </w:r>
      <w:r w:rsidR="001F69B4">
        <w:t xml:space="preserve"> </w:t>
      </w:r>
      <w:r w:rsidR="001F69B4">
        <w:fldChar w:fldCharType="begin" w:fldLock="1"/>
      </w:r>
      <w:r w:rsidR="006F44CC">
        <w:instrText>ADDIN CSL_CITATION {"citationItems":[{"id":"ITEM-1","itemData":{"DOI":"10.1074/jbc.270.26.15598","ISSN":"00219258","PMID":"7797557","abstract":"The Bacillus subtilis dlt operon (D-alanyl-lipoteichoic acid) is responsible for o-alanine esterification of both lipoteichoic acid (LTA) and wall teichoic acid (WTA). The dit operon contains five genes, dltA-dltE. Insertional inactivation of dltA-dltD results in complete absence of D-alanine from both LTA and WTA. Based on protein sequence similarity with the Lactobacillus casei dit gene products (Heaton, M. P., and Neuhaus, F. C. (1992) J. Bacteriol. 174, 4707-4717), we propose that dltA encodes the D-alanine-D-alanyl carrier protein ligase (Del) and dltC the D-alanyl carrier protein (Dcp). We further hypothesize that the products of dltB and dltD are concerned with the transport of activated D-alanine through the membrane and the final incorporation of D-alanine into LTA. The hydropathy profiles of the dltB and dltD gene products suggest a transmembrane location for the former and an amino-terminal signal peptide for the latter. The incorporation of D-alanine into LTA and WTA did not separate in any of the mutants studied which indicates that either one and the same enzyme is responsible for D-alanine incorporation into both polymers or a separate enzyme, encoded outside the dit operon, transfers the o-alanyl residues from LTA to WTA (Haas, R., Koch, H.-U., and Fischer, W. (1984) FEMS Microbiol. Lett. 21, 27-31). Inactivation of dltE has no effect on D-alanine ester content of both LTA and WTA, and at present we cannot propose any function for its gene product. Transcription analysis shows that the dit operon is transcribed from a σD-dependent promoter and follows the pattern of transcription of genes belonging to the σD regulon. However, the turn off of transcription observed before sporulation starts seems to be dependent on the SpoOA and AbrB sporulation proteins and results in a D-alanine-free purely anionic LTA in the spore membrane. The dit operon is dispensable for cell growth; its inactivation does not affect cell growth or morphology as described for L. casei.","author":[{"dropping-particle":"","family":"Perego","given":"Marta","non-dropping-particle":"","parse-names":false,"suffix":""},{"dropping-particle":"","family":"Glaser","given":"Philippe","non-dropping-particle":"","parse-names":false,"suffix":""},{"dropping-particle":"","family":"Minutello","given":"Antonia","non-dropping-particle":"","parse-names":false,"suffix":""},{"dropping-particle":"","family":"Strauch","given":"Mark A.","non-dropping-particle":"","parse-names":false,"suffix":""},{"dropping-particle":"","family":"Leopold","given":"Klaus","non-dropping-particle":"","parse-names":false,"suffix":""},{"dropping-particle":"","family":"Fischer","given":"Werner","non-dropping-particle":"","parse-names":false,"suffix":""}],"container-title":"Journal of Biological Chemistry","id":"ITEM-1","issue":"26","issued":{"date-parts":[["1995","6","30"]]},"page":"15598-15606","publisher":"J Biol Chem","title":"Incorporation of D-alanine into lipoteichoic acid and wall teichoic acid in Bacillus subtilis: Identification of genes and regulation","type":"article-journal","volume":"270"},"uris":["http://www.mendeley.com/documents/?uuid=d58ff5be-caa7-309c-b835-0e5819559197"]},{"id":"ITEM-2","itemData":{"DOI":"10.1128/MMBR.67.4.686","ISBN":"1092-2172\\r10922172","author":[{"dropping-particle":"","family":"Neuhaus","given":"Francis C","non-dropping-particle":"","parse-names":false,"suffix":""},{"dropping-particle":"","family":"Baddiley","given":"James","non-dropping-particle":"","parse-names":false,"suffix":""}],"container-title":"Microbiology and Molecular Biology Reviews","id":"ITEM-2","issue":"4","issued":{"date-parts":[["2003"]]},"page":"686","title":"A Continuum of Anionic Charge: Structures and Functions of D- Alanyl- Teichoic Acids in Gram- Positive Bacteria","type":"article-journal","volume":"67"},"uris":["http://www.mendeley.com/documents/?uuid=7e867f96-1f6e-41bc-b793-1eac09cb173a"]},{"id":"ITEM-3","itemData":{"DOI":"10.1146/annurev-micro-091213-112949","abstract":"Lipoteichoic acid (LTA) is an important cell wall polymer found in gram- positive bacteria. Although the exact role of LTA is unknown, mutants dis- play significant growth and physiological defects. Additionally,modification of the LTA backbone structure can provide protection against cationic an- timicrobial peptides. This review provides an overview of the different LTA types and their chemical structures and synthesis pathways. The occurrence and mechanisms of LTA modifications with D-alanyl, glycosyl, and phos- phocholine residueswill be discussed alongwith their functions. Similarities between the production of type I LTA and osmoregulated periplasmic glu- cans in gram-negative bacteria are highlighted, indicating that LTA should perhaps be compared to these polymers rather than lipopolysaccharide, as is presently the case. Lastly, current efforts to use LTAs as vaccine candidates, synthesis proteins as novel antimicrobial targets, and LTAmutant strains as improved probiotics are highlighted. 81","author":[{"dropping-particle":"","family":"Percy","given":"Matthew G","non-dropping-particle":"","parse-names":false,"suffix":""},{"dropping-particle":"","family":"Grundling","given":"Angelika","non-dropping-particle":"","parse-names":false,"suffix":""}],"container-title":"Annual Review of Microbiology","id":"ITEM-3","issued":{"date-parts":[["2014"]]},"note":"LTA gram +\n\nevidence of a direct interaction between cell division proteins and LTA synthesis proteins was recently provided for S. aureus (105). An S. aureus ltaS mutant can only be maintained under osmotically stabilizing conditions in medium with a high concentration of NaCl or sucrose, after acquisition of compensatory mutations, or, for some strains, by lowering the growth temperature (22, 44, 97). The observa- tion that an S. aureus ltaS mutant can be rescued in high-osmolality medium or by an increase in the cellular concentration of cyclic-diadenosine-monophosphate (c-di-AMP), a nucleotide- signaling molecule that has been implicated in the control of potassium and/or other ion trans- port (9, 22–24, 94, 97), might indicate a crucial function of LTA in the osmoprotection of the cell.\nType","page":"81-100","title":"Lipoteichoic Acid Synthesis and Function in Gram-Positive Bacteria","type":"article-journal","volume":"68"},"uris":["http://www.mendeley.com/documents/?uuid=cf9f72fd-73c1-4d80-bfa0-ad9e73dc48f0"]},{"id":"ITEM-4","itemData":{"DOI":"10.1007/BF00277157","ISSN":"03008584","PMID":"7935161","author":[{"dropping-particle":"","family":"Fischer","given":"Werner","non-dropping-particle":"","parse-names":false,"suffix":""}],"container-title":"Medical Microbiology and Immunology","id":"ITEM-4","issue":"2","issued":{"date-parts":[["1994"]]},"page":"61-76","title":"Lipoteichoic acid and lipids in the membrane of Staphylococcus aureus","type":"article-journal","volume":"183"},"uris":["http://www.mendeley.com/documents/?uuid=aee8d4b6-ed86-4ce4-9afe-052ff848d383"]},{"id":"ITEM-5","itemData":{"DOI":"10.1099/mic.0.069898-0","ISSN":"13500872","PMID":"23858088","abstract":"Teichoic acids (TAs) are important for growth, biofilm formation, adhesion and virulence of Grampositive bacterial pathogens. The chemical structures of the TAs vary between bacteria, though they typically consist of zwitterionic polymers that are anchored to either the peptidoglycan layer as in the case of wall teichoic acid (WTA) or the cell membrane and named lipoteichoic acid (LTA). The polymers are modified with D-alanines and a lack of this decoration leads to increased susceptibility to cationic antimicrobial peptides. Four proteins, DltA-D, are essential for the incorporation of D-alanines into cell wall polymers and it has been established that DltA transfers D-alanines in the cytoplasm of the cell onto the carrier protein DltC. However, two conflicting models have been proposed for the remainder of the mechanism. Using a cellular protein localization and membrane topology analysis, we show here that DltC does not traverse the membrane and that DltD is anchored to the outside of the cell. These data are in agreement with the originally proposed model for D-alanine incorporation through a process that has been proposed to proceed via a D-alanine undecaprenyl phosphate membrane intermediate. Furthermore, we found that WTA isolated from a Staphylococcus aureus strain lacking LTA contains only a small amount of D-alanine, indicating that LTA has a role, either direct or indirect, in the efficient D-alanine incorporation into WTA in living cells. © 2013 SGM.","author":[{"dropping-particle":"","family":"Reichmann","given":"Nathalie T.","non-dropping-particle":"","parse-names":false,"suffix":""},{"dropping-particle":"","family":"Cassona","given":"Carolina Picarra","non-dropping-particle":"","parse-names":false,"suffix":""},{"dropping-particle":"","family":"Gründling","given":"Angelika","non-dropping-particle":"","parse-names":false,"suffix":""}],"container-title":"Microbiology (United Kingdom)","id":"ITEM-5","issue":"PART 9","issued":{"date-parts":[["2013","9"]]},"page":"1868-1877","publisher":"Microbiology Society","title":"Revised mechanism of D-alanine incorporation into cell wall polymers in Gram-positive bacteria","type":"article-journal","volume":"159"},"uris":["http://www.mendeley.com/documents/?uuid=96ffcdbc-fd2b-3288-a1a6-a8141a0040dc"]}],"mendeley":{"formattedCitation":"&lt;sup&gt;[84,85,150–152]&lt;/sup&gt;","plainTextFormattedCitation":"[84,85,150–152]","previouslyFormattedCitation":"&lt;sup&gt;[84,85,150–152]&lt;/sup&gt;"},"properties":{"noteIndex":0},"schema":"https://github.com/citation-style-language/schema/raw/master/csl-citation.json"}</w:instrText>
      </w:r>
      <w:r w:rsidR="001F69B4">
        <w:fldChar w:fldCharType="separate"/>
      </w:r>
      <w:r w:rsidR="0054658D" w:rsidRPr="0054658D">
        <w:rPr>
          <w:noProof/>
          <w:vertAlign w:val="superscript"/>
        </w:rPr>
        <w:t>[84,85,150–152]</w:t>
      </w:r>
      <w:r w:rsidR="001F69B4">
        <w:fldChar w:fldCharType="end"/>
      </w:r>
    </w:p>
    <w:p w14:paraId="2E2CA791" w14:textId="57E19002" w:rsidR="00997938" w:rsidRDefault="00997938" w:rsidP="00150D86">
      <w:r w:rsidRPr="00DA466C">
        <w:t>Glycosylation</w:t>
      </w:r>
      <w:r>
        <w:t xml:space="preserve"> of LTA</w:t>
      </w:r>
      <w:r w:rsidR="002D01B4">
        <w:t xml:space="preserve"> </w:t>
      </w:r>
      <w:r w:rsidR="0081026D">
        <w:t>occurs in some type I LTA</w:t>
      </w:r>
      <w:r w:rsidR="00676680">
        <w:t xml:space="preserve">, with some </w:t>
      </w:r>
      <w:r w:rsidR="00676680">
        <w:rPr>
          <w:i/>
          <w:iCs/>
        </w:rPr>
        <w:t>S. aureus</w:t>
      </w:r>
      <w:r w:rsidR="00676680">
        <w:t xml:space="preserve"> strain having incorporation of Glc</w:t>
      </w:r>
      <w:r w:rsidR="00676680">
        <w:rPr>
          <w:i/>
          <w:iCs/>
        </w:rPr>
        <w:t>N</w:t>
      </w:r>
      <w:r w:rsidR="00676680">
        <w:t xml:space="preserve">Ac </w:t>
      </w:r>
      <w:r w:rsidR="00676680">
        <w:fldChar w:fldCharType="begin" w:fldLock="1"/>
      </w:r>
      <w:r w:rsidR="005F2DD4">
        <w:instrText>ADDIN CSL_CITATION {"citationItems":[{"id":"ITEM-1","itemData":{"DOI":"10.1146/annurev-micro-091213-112949","abstract":"Lipoteichoic acid (LTA) is an important cell wall polymer found in gram- positive bacteria. Although the exact role of LTA is unknown, mutants dis- play significant growth and physiological defects. Additionally,modification of the LTA backbone structure can provide protection against cationic an- timicrobial peptides. This review provides an overview of the different LTA types and their chemical structures and synthesis pathways. The occurrence and mechanisms of LTA modifications with D-alanyl, glycosyl, and phos- phocholine residueswill be discussed alongwith their functions. Similarities between the production of type I LTA and osmoregulated periplasmic glu- cans in gram-negative bacteria are highlighted, indicating that LTA should perhaps be compared to these polymers rather than lipopolysaccharide, as is presently the case. Lastly, current efforts to use LTAs as vaccine candidates, synthesis proteins as novel antimicrobial targets, and LTAmutant strains as improved probiotics are highlighted. 81","author":[{"dropping-particle":"","family":"Percy","given":"Matthew G","non-dropping-particle":"","parse-names":false,"suffix":""},{"dropping-particle":"","family":"Grundling","given":"Angelika","non-dropping-particle":"","parse-names":false,"suffix":""}],"container-title":"Annual Review of Microbiology","id":"ITEM-1","issued":{"date-parts":[["2014"]]},"note":"LTA gram +\n\nevidence of a direct interaction between cell division proteins and LTA synthesis proteins was recently provided for S. aureus (105). An S. aureus ltaS mutant can only be maintained under osmotically stabilizing conditions in medium with a high concentration of NaCl or sucrose, after acquisition of compensatory mutations, or, for some strains, by lowering the growth temperature (22, 44, 97). The observa- tion that an S. aureus ltaS mutant can be rescued in high-osmolality medium or by an increase in the cellular concentration of cyclic-diadenosine-monophosphate (c-di-AMP), a nucleotide- signaling molecule that has been implicated in the control of potassium and/or other ion trans- port (9, 22–24, 94, 97), might indicate a crucial function of LTA in the osmoprotection of the cell.\nType","page":"81-100","title":"Lipoteichoic Acid Synthesis and Function in Gram-Positive Bacteria","type":"article-journal","volume":"68"},"uris":["http://www.mendeley.com/documents/?uuid=cf9f72fd-73c1-4d80-bfa0-ad9e73dc48f0"]},{"id":"ITEM-2","itemData":{"DOI":"10.1016/0005-2736(73)90468-9","ISSN":"00052736","PMID":"4696410","abstract":"Recent studies have shown that teichoic acids are functionally involved in the uptake of Mg2+ and that their ability to bind Mg is reduced by the presence of alanine ester substituents. Walls of Staphylococcus aureaus H grown at pH 5 contain more ester alanine and bind less magnesium than do walls of S. aureaus grown under similar conditions at pH 6 and 7. The differences in alanine content are largely due to its removal by base catalysed hydrolysis of the labile ester linkages during growth in media of pH 6 and 7 and the incorporation of alanine esters into the walls does not appear to be influenced by the pH of the medium in which the bacteria are grown under the conditions described. The decreased magnesium binding capacity of walls of S. aureus grown at pH 5 correlates with their increased alanine ester content but there is no proportional relationship between these two quantities. ?? 1973.","author":[{"dropping-particle":"","family":"Ronald Archibald","given":"A.","non-dropping-particle":"","parse-names":false,"suffix":""},{"dropping-particle":"","family":"Baddiley","given":"James","non-dropping-particle":"","parse-names":false,"suffix":""},{"dropping-particle":"","family":"Heptinstall","given":"Stanley","non-dropping-particle":"","parse-names":false,"suffix":""}],"container-title":"BBA - Biomembranes","id":"ITEM-2","issued":{"date-parts":[["1973"]]},"title":"The alanine ester content and magnesium binding capacity of walls of Staphylococcus aureus H grown at different pH values","type":"article-journal"},"uris":["http://www.mendeley.com/documents/?uuid=2099b177-0acf-3edd-bb0c-2aac77e57711"]}],"mendeley":{"formattedCitation":"&lt;sup&gt;[84,153]&lt;/sup&gt;","plainTextFormattedCitation":"[84,153]","previouslyFormattedCitation":"&lt;sup&gt;[84,153]&lt;/sup&gt;"},"properties":{"noteIndex":0},"schema":"https://github.com/citation-style-language/schema/raw/master/csl-citation.json"}</w:instrText>
      </w:r>
      <w:r w:rsidR="00676680">
        <w:fldChar w:fldCharType="separate"/>
      </w:r>
      <w:r w:rsidR="0054658D" w:rsidRPr="0054658D">
        <w:rPr>
          <w:noProof/>
          <w:vertAlign w:val="superscript"/>
        </w:rPr>
        <w:t>[84,153]</w:t>
      </w:r>
      <w:r w:rsidR="00676680">
        <w:fldChar w:fldCharType="end"/>
      </w:r>
      <w:r w:rsidR="00676680">
        <w:t>.</w:t>
      </w:r>
      <w:r w:rsidR="001901B4">
        <w:t xml:space="preserve"> Although the enzymes involved have not been identified yet, it is proposed that it requires two separate glycosyltransferases, one that forms the sugar-C55-P intermediate in the cytoplasm and another that links it to LTA</w:t>
      </w:r>
      <w:r w:rsidR="003740D8">
        <w:t xml:space="preserve"> </w:t>
      </w:r>
      <w:r w:rsidR="001901B4">
        <w:fldChar w:fldCharType="begin" w:fldLock="1"/>
      </w:r>
      <w:r w:rsidR="005F2DD4">
        <w:instrText>ADDIN CSL_CITATION {"citationItems":[{"id":"ITEM-1","itemData":{"DOI":"10.1146/annurev-micro-091213-112949","abstract":"Lipoteichoic acid (LTA) is an important cell wall polymer found in gram- positive bacteria. Although the exact role of LTA is unknown, mutants dis- play significant growth and physiological defects. Additionally,modification of the LTA backbone structure can provide protection against cationic an- timicrobial peptides. This review provides an overview of the different LTA types and their chemical structures and synthesis pathways. The occurrence and mechanisms of LTA modifications with D-alanyl, glycosyl, and phos- phocholine residueswill be discussed alongwith their functions. Similarities between the production of type I LTA and osmoregulated periplasmic glu- cans in gram-negative bacteria are highlighted, indicating that LTA should perhaps be compared to these polymers rather than lipopolysaccharide, as is presently the case. Lastly, current efforts to use LTAs as vaccine candidates, synthesis proteins as novel antimicrobial targets, and LTAmutant strains as improved probiotics are highlighted. 81","author":[{"dropping-particle":"","family":"Percy","given":"Matthew G","non-dropping-particle":"","parse-names":false,"suffix":""},{"dropping-particle":"","family":"Grundling","given":"Angelika","non-dropping-particle":"","parse-names":false,"suffix":""}],"container-title":"Annual Review of Microbiology","id":"ITEM-1","issued":{"date-parts":[["2014"]]},"note":"LTA gram +\n\nevidence of a direct interaction between cell division proteins and LTA synthesis proteins was recently provided for S. aureus (105). An S. aureus ltaS mutant can only be maintained under osmotically stabilizing conditions in medium with a high concentration of NaCl or sucrose, after acquisition of compensatory mutations, or, for some strains, by lowering the growth temperature (22, 44, 97). The observa- tion that an S. aureus ltaS mutant can be rescued in high-osmolality medium or by an increase in the cellular concentration of cyclic-diadenosine-monophosphate (c-di-AMP), a nucleotide- signaling molecule that has been implicated in the control of potassium and/or other ion trans- port (9, 22–24, 94, 97), might indicate a crucial function of LTA in the osmoprotection of the cell.\nType","page":"81-100","title":"Lipoteichoic Acid Synthesis and Function in Gram-Positive Bacteria","type":"article-journal","volume":"68"},"uris":["http://www.mendeley.com/documents/?uuid=cf9f72fd-73c1-4d80-bfa0-ad9e73dc48f0"]},{"id":"ITEM-2","itemData":{"DOI":"10.1007/BF00277157","ISSN":"03008584","PMID":"7935161","author":[{"dropping-particle":"","family":"Fischer","given":"Werner","non-dropping-particle":"","parse-names":false,"suffix":""}],"container-title":"Medical Microbiology and Immunology","id":"ITEM-2","issue":"2","issued":{"date-parts":[["1994"]]},"page":"61-76","title":"Lipoteichoic acid and lipids in the membrane of Staphylococcus aureus","type":"article-journal","volume":"183"},"uris":["http://www.mendeley.com/documents/?uuid=aee8d4b6-ed86-4ce4-9afe-052ff848d383"]}],"mendeley":{"formattedCitation":"&lt;sup&gt;[84,151]&lt;/sup&gt;","plainTextFormattedCitation":"[84,151]","previouslyFormattedCitation":"&lt;sup&gt;[84,151]&lt;/sup&gt;"},"properties":{"noteIndex":0},"schema":"https://github.com/citation-style-language/schema/raw/master/csl-citation.json"}</w:instrText>
      </w:r>
      <w:r w:rsidR="001901B4">
        <w:fldChar w:fldCharType="separate"/>
      </w:r>
      <w:r w:rsidR="0054658D" w:rsidRPr="0054658D">
        <w:rPr>
          <w:noProof/>
          <w:vertAlign w:val="superscript"/>
        </w:rPr>
        <w:t>[84,151]</w:t>
      </w:r>
      <w:r w:rsidR="001901B4">
        <w:fldChar w:fldCharType="end"/>
      </w:r>
      <w:r w:rsidR="003740D8">
        <w:t>.</w:t>
      </w:r>
    </w:p>
    <w:p w14:paraId="51BD470C" w14:textId="407CEE93" w:rsidR="008B1808" w:rsidRDefault="00590DA7" w:rsidP="00CC11A9">
      <w:r>
        <w:t xml:space="preserve">Interruption of the LTA biosynthetic pathway by inactivation of </w:t>
      </w:r>
      <w:r>
        <w:rPr>
          <w:i/>
          <w:iCs/>
        </w:rPr>
        <w:t>ltaS</w:t>
      </w:r>
      <w:r w:rsidR="008B1808">
        <w:t xml:space="preserve"> leads to growth arrest, </w:t>
      </w:r>
      <w:r w:rsidR="00D740BC">
        <w:t>reduced PG cross-linking</w:t>
      </w:r>
      <w:r w:rsidR="005D2704">
        <w:t xml:space="preserve"> (~ 30 %)</w:t>
      </w:r>
      <w:r w:rsidR="00D740BC">
        <w:t xml:space="preserve">, difficulty coping </w:t>
      </w:r>
      <w:r w:rsidR="00A53427">
        <w:t>with</w:t>
      </w:r>
      <w:r w:rsidR="00D740BC">
        <w:t xml:space="preserve"> cell wall stresses, </w:t>
      </w:r>
      <w:r w:rsidR="008B1808">
        <w:t>division aberrations (numerous and misplaced septa), and morphological defects such as thickened CW, increased cell size and cell clumping</w:t>
      </w:r>
      <w:r w:rsidR="00DB765F">
        <w:t xml:space="preserve"> </w:t>
      </w:r>
      <w:r w:rsidR="00DB765F">
        <w:fldChar w:fldCharType="begin" w:fldLock="1"/>
      </w:r>
      <w:r w:rsidR="00260ACA">
        <w:instrText>ADDIN CSL_CITATION {"citationItems":[{"id":"ITEM-1","itemData":{"DOI":"10.1128/JB.01221-08","ISBN":"1098-5530 (Electronic)\\r0021-9193 (Linking)","ISSN":"00219193","PMID":"18952789","abstract":"Lipoteichoic acid (LTA) is one of two anionic polymers on the surface of the gram-positive bacterium Staphylococcus aureus. LTA is critical for the bacterium-host cell interaction and has recently been shown to be required for cell growth and division. To determine additional biological roles of LTA, we found it necessary to identify permissive conditions for the growth of an LTA-deficient mutant. We found that an LTA-deficient S. aureus Delta ltaS mutant could grow at 30 degrees C but not at 37 degrees C. Even at the permissive temperature, Delta ltaS mutant cells had aberrant cell division and separation, decreased autolysis, and reduced levels of peptidoglycan hydrolases. Upshift of Delta ltaS mutant cells to a nonpermissive temperature caused an inability to exclude Sytox green dye. A high-osmolarity growth medium remarkably rescued the colony-forming ability of the Delta ltaS mutant at 37 degrees C, indicating that LTA synthesis is required for growth under low-osmolarity conditions. In addition, the Delta ltaS mutation was found to be synthetically lethal with the Delta tagO mutation, which disrupts the synthesis of the other anionic polymer, wall teichoic acid (WTA), at 30 degrees C, suggesting that LTA and WTA compensate for one another in an essential function.","author":[{"dropping-particle":"","family":"Oku","given":"Yusuke","non-dropping-particle":"","parse-names":false,"suffix":""},{"dropping-particle":"","family":"Kurokawa","given":"Kenji","non-dropping-particle":"","parse-names":false,"suffix":""},{"dropping-particle":"","family":"Matsuo","given":"Miki","non-dropping-particle":"","parse-names":false,"suffix":""},{"dropping-particle":"","family":"Yamada","given":"Sakuo","non-dropping-particle":"","parse-names":false,"suffix":""},{"dropping-particle":"","family":"Lee","given":"Bok Luel","non-dropping-particle":"","parse-names":false,"suffix":""},{"dropping-particle":"","family":"Sekimizu","given":"Kazuhisa","non-dropping-particle":"","parse-names":false,"suffix":""}],"container-title":"Journal of Bacteriology","id":"ITEM-1","issue":"1","issued":{"date-parts":[["2009"]]},"page":"141-151","title":"Pleiotropic roles of polyglycerolphosphate synthase of lipoteichoic acid in growth of Staphylococcus aureus cells","type":"article-journal","volume":"91"},"uris":["http://www.mendeley.com/documents/?uuid=e654d4a5-6a63-46cd-9e2b-a2a36f52bd7e"]},{"id":"ITEM-2","itemData":{"DOI":"10.1073/pnas.0701821104","ISBN":"0027-8424 (Print)\\r0027-8424 (Linking)","ISSN":"0027-8424","PMID":"17483484","abstract":"Lipoteichoic acid (LTA), a glycerol phosphate surface polymer, is a component of the envelope of Gram-positive bacteria. However, the molecular basis for its synthesis or function is not known. Here we report that Staphylococcus aureus LtaS synthesizes glycerol phosphate LTA. Construction of a mutant S. aureus strain with inducible ltaS expression revealed that LTA synthesis is required for bacterial growth and cell division. An ltaS homologue of Bacillus subtilis restored LTA synthesis and the growth of ltaS mutant staphylococci. Thus, LtaS inhibition can be used as a target to treat human infections caused by antibiotic-resistant S. aureus or other bacterial pathogens.","author":[{"dropping-particle":"","family":"Grundling","given":"A.","non-dropping-particle":"","parse-names":false,"suffix":""},{"dropping-particle":"","family":"Schneewind","given":"O.","non-dropping-particle":"","parse-names":false,"suffix":""}],"container-title":"Proceedings of the National Academy of Sciences","id":"ITEM-2","issue":"20","issued":{"date-parts":[["2007"]]},"page":"8478-8483","title":"Synthesis of glycerol phosphate lipoteichoic acid in Staphylococcus aureus","type":"article-journal","volume":"104"},"uris":["http://www.mendeley.com/documents/?uuid=33b7fcb3-ffde-4606-8a67-126926b4d10a"]},{"id":"ITEM-3","itemData":{"DOI":"10.1128/JB.00574-18","ISSN":"10985530","PMID":"30322854","abstract":"The cell wall of Staphylococcus aureus is composed of peptidoglycan and the anionic polymers lipoteichoic acid (LTA) and wall teichoic acid. LTA is required for growth and normal cell morphology in S. aureus. Strains lacking LTA are usually viable only when grown under osmotically stabilizing conditions or after the acquisition of compensatory mutations. LTA-negative suppressor strains with inactivating mutations in gdpP, which resulted in increased intracellular c-di-AMP levels, were described previously. Here, we sought to identify factors other than c-di-AMP that allow S. aureus to survive without LTA. LTA-negative strains able to grow in unsupplemented medium were obtained and found to contain mutations in sgtB, mazE, clpX, or vraT. The growth improvement through mutations in mazE and sgtB was confirmed by complementation analysis. We also showed that an S. aureus sgtB transposon mutant, with the monofunctional peptidoglycan glycosyltransferase SgtB inactivated, displayed a 4-fold increase in the MIC of oxacillin, suggesting that alterations in the peptidoglycan structure could help bacteria compensate for the lack of LTA. Muropeptide analysis of peptidoglycans isolated from a wild-type strain and sgtB mutant strain did not reveal any sizable alterations in the peptidoglycan structure. In contrast, the peptidoglycan isolated from an LTA-negative ltaS mutant strain showed a significant reduction in the fraction of highly cross-linked peptidoglycan, which was partially rescued in the sgtB ltaS double mutant suppressor strain. Taken together, these data point toward an important function of LTA in cell wall integrity through its necessity for proper peptidoglycan assembly. IMPORTANCE The bacterial cell wall acts as a primary defense against environmental insults such as changes in osmolarity. It is also a vulnerable structure, as defects in its synthesis can lead to growth arrest or cell death. The important human pathogen Staphylococcus aureus has a typical Gram-positive cell wall, which consists of peptidoglycan and the anionic polymers LTA and wall teichoic acid. Several clinically relevant antibiotics inhibit the synthesis of peptidoglycan; therefore, it and teichoic acids are considered attractive targets for the development of new antimicrobials. We show that LTA is required for efficient peptidoglycan cross-linking in S. aureus and inactivation of a peptidoglycan glycosyltransferase can partially rescue this defect, together revealing an intimat…","author":[{"dropping-particle":"","family":"Karinou","given":"Eleni","non-dropping-particle":"","parse-names":false,"suffix":""},{"dropping-particle":"","family":"Schuster","given":"Christopher F","non-dropping-particle":"","parse-names":false,"suffix":""},{"dropping-particle":"","family":"Pazos","given":"Manuel","non-dropping-particle":"","parse-names":false,"suffix":""},{"dropping-particle":"","family":"Vollmer","given":"Waldemar","non-dropping-particle":"","parse-names":false,"suffix":""},{"dropping-particle":"","family":"Gründling","given":"Angelika","non-dropping-particle":"","parse-names":false,"suffix":""}],"container-title":"Journal of Bacteriology","id":"ITEM-3","issue":"1","issued":{"date-parts":[["2019"]]},"page":"e00574-18","title":"Inactivation of the monofunctional peptidoglycan glycosyltransferase sgtb allows staphylococcus aureus to survive in the absence of lipoteichoic acid","type":"article-journal","volume":"201"},"uris":["http://www.mendeley.com/documents/?uuid=275993e3-df46-3806-86a8-3d77f43c6096"]}],"mendeley":{"formattedCitation":"&lt;sup&gt;[91,99,154]&lt;/sup&gt;","plainTextFormattedCitation":"[91,99,154]","previouslyFormattedCitation":"&lt;sup&gt;[91,99,154]&lt;/sup&gt;"},"properties":{"noteIndex":0},"schema":"https://github.com/citation-style-language/schema/raw/master/csl-citation.json"}</w:instrText>
      </w:r>
      <w:r w:rsidR="00DB765F">
        <w:fldChar w:fldCharType="separate"/>
      </w:r>
      <w:r w:rsidR="00C825F9" w:rsidRPr="00C825F9">
        <w:rPr>
          <w:noProof/>
          <w:vertAlign w:val="superscript"/>
        </w:rPr>
        <w:t>[91,99,154]</w:t>
      </w:r>
      <w:r w:rsidR="00DB765F">
        <w:fldChar w:fldCharType="end"/>
      </w:r>
      <w:r w:rsidR="008B1808">
        <w:t>.</w:t>
      </w:r>
      <w:r w:rsidR="00DB765F">
        <w:t xml:space="preserve"> </w:t>
      </w:r>
      <w:r w:rsidR="00CC11A9">
        <w:t xml:space="preserve">LTA-depleted </w:t>
      </w:r>
      <w:r w:rsidR="00CC11A9">
        <w:rPr>
          <w:i/>
          <w:iCs/>
        </w:rPr>
        <w:t>S. aureus</w:t>
      </w:r>
      <w:r w:rsidR="00CC11A9">
        <w:t xml:space="preserve"> strains can only survive when either grown under osmotically stabilising conditions (high NaCl or sucrose concentrations), lower temperatures, or after acquiring compensatory mutations </w:t>
      </w:r>
      <w:r w:rsidR="00CC11A9">
        <w:fldChar w:fldCharType="begin" w:fldLock="1"/>
      </w:r>
      <w:r w:rsidR="00260ACA">
        <w:instrText>ADDIN CSL_CITATION {"citationItems":[{"id":"ITEM-1","itemData":{"DOI":"10.1146/annurev-micro-091213-112949","abstract":"Lipoteichoic acid (LTA) is an important cell wall polymer found in gram- positive bacteria. Although the exact role of LTA is unknown, mutants dis- play significant growth and physiological defects. Additionally,modification of the LTA backbone structure can provide protection against cationic an- timicrobial peptides. This review provides an overview of the different LTA types and their chemical structures and synthesis pathways. The occurrence and mechanisms of LTA modifications with D-alanyl, glycosyl, and phos- phocholine residueswill be discussed alongwith their functions. Similarities between the production of type I LTA and osmoregulated periplasmic glu- cans in gram-negative bacteria are highlighted, indicating that LTA should perhaps be compared to these polymers rather than lipopolysaccharide, as is presently the case. Lastly, current efforts to use LTAs as vaccine candidates, synthesis proteins as novel antimicrobial targets, and LTAmutant strains as improved probiotics are highlighted. 81","author":[{"dropping-particle":"","family":"Percy","given":"Matthew G","non-dropping-particle":"","parse-names":false,"suffix":""},{"dropping-particle":"","family":"Grundling","given":"Angelika","non-dropping-particle":"","parse-names":false,"suffix":""}],"container-title":"Annual Review of Microbiology","id":"ITEM-1","issued":{"date-parts":[["2014"]]},"note":"LTA gram +\n\nevidence of a direct interaction between cell division proteins and LTA synthesis proteins was recently provided for S. aureus (105). An S. aureus ltaS mutant can only be maintained under osmotically stabilizing conditions in medium with a high concentration of NaCl or sucrose, after acquisition of compensatory mutations, or, for some strains, by lowering the growth temperature (22, 44, 97). The observa- tion that an S. aureus ltaS mutant can be rescued in high-osmolality medium or by an increase in the cellular concentration of cyclic-diadenosine-monophosphate (c-di-AMP), a nucleotide- signaling molecule that has been implicated in the control of potassium and/or other ion trans- port (9, 22–24, 94, 97), might indicate a crucial function of LTA in the osmoprotection of the cell.\nType","page":"81-100","title":"Lipoteichoic Acid Synthesis and Function in Gram-Positive Bacteria","type":"article-journal","volume":"68"},"uris":["http://www.mendeley.com/documents/?uuid=cf9f72fd-73c1-4d80-bfa0-ad9e73dc48f0"]},{"id":"ITEM-2","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Pathogens","id":"ITEM-2","issue":"9","issued":{"date-parts":[["2011"]]},"title":"C-di-amp is a new second messenger in staphylococcus aureus with a role in controlling cell size and envelope stress","type":"article-journal","volume":"7"},"uris":["http://www.mendeley.com/documents/?uuid=6999529d-9f41-47d1-a708-ec2e7a140162"]},{"id":"ITEM-3","itemData":{"DOI":"10.1073/pnas.0701821104","ISBN":"0027-8424 (Print)\\r0027-8424 (Linking)","ISSN":"0027-8424","PMID":"17483484","abstract":"Lipoteichoic acid (LTA), a glycerol phosphate surface polymer, is a component of the envelope of Gram-positive bacteria. However, the molecular basis for its synthesis or function is not known. Here we report that Staphylococcus aureus LtaS synthesizes glycerol phosphate LTA. Construction of a mutant S. aureus strain with inducible ltaS expression revealed that LTA synthesis is required for bacterial growth and cell division. An ltaS homologue of Bacillus subtilis restored LTA synthesis and the growth of ltaS mutant staphylococci. Thus, LtaS inhibition can be used as a target to treat human infections caused by antibiotic-resistant S. aureus or other bacterial pathogens.","author":[{"dropping-particle":"","family":"Grundling","given":"A.","non-dropping-particle":"","parse-names":false,"suffix":""},{"dropping-particle":"","family":"Schneewind","given":"O.","non-dropping-particle":"","parse-names":false,"suffix":""}],"container-title":"Proceedings of the National Academy of Sciences","id":"ITEM-3","issue":"20","issued":{"date-parts":[["2007"]]},"page":"8478-8483","title":"Synthesis of glycerol phosphate lipoteichoic acid in Staphylococcus aureus","type":"article-journal","volume":"104"},"uris":["http://www.mendeley.com/documents/?uuid=33b7fcb3-ffde-4606-8a67-126926b4d10a"]},{"id":"ITEM-4","itemData":{"DOI":"10.1128/JB.01221-08","ISBN":"1098-5530 (Electronic)\\r0021-9193 (Linking)","ISSN":"00219193","PMID":"18952789","abstract":"Lipoteichoic acid (LTA) is one of two anionic polymers on the surface of the gram-positive bacterium Staphylococcus aureus. LTA is critical for the bacterium-host cell interaction and has recently been shown to be required for cell growth and division. To determine additional biological roles of LTA, we found it necessary to identify permissive conditions for the growth of an LTA-deficient mutant. We found that an LTA-deficient S. aureus Delta ltaS mutant could grow at 30 degrees C but not at 37 degrees C. Even at the permissive temperature, Delta ltaS mutant cells had aberrant cell division and separation, decreased autolysis, and reduced levels of peptidoglycan hydrolases. Upshift of Delta ltaS mutant cells to a nonpermissive temperature caused an inability to exclude Sytox green dye. A high-osmolarity growth medium remarkably rescued the colony-forming ability of the Delta ltaS mutant at 37 degrees C, indicating that LTA synthesis is required for growth under low-osmolarity conditions. In addition, the Delta ltaS mutation was found to be synthetically lethal with the Delta tagO mutation, which disrupts the synthesis of the other anionic polymer, wall teichoic acid (WTA), at 30 degrees C, suggesting that LTA and WTA compensate for one another in an essential function.","author":[{"dropping-particle":"","family":"Oku","given":"Yusuke","non-dropping-particle":"","parse-names":false,"suffix":""},{"dropping-particle":"","family":"Kurokawa","given":"Kenji","non-dropping-particle":"","parse-names":false,"suffix":""},{"dropping-particle":"","family":"Matsuo","given":"Miki","non-dropping-particle":"","parse-names":false,"suffix":""},{"dropping-particle":"","family":"Yamada","given":"Sakuo","non-dropping-particle":"","parse-names":false,"suffix":""},{"dropping-particle":"","family":"Lee","given":"Bok Luel","non-dropping-particle":"","parse-names":false,"suffix":""},{"dropping-particle":"","family":"Sekimizu","given":"Kazuhisa","non-dropping-particle":"","parse-names":false,"suffix":""}],"container-title":"Journal of Bacteriology","id":"ITEM-4","issue":"1","issued":{"date-parts":[["2009"]]},"page":"141-151","title":"Pleiotropic roles of polyglycerolphosphate synthase of lipoteichoic acid in growth of Staphylococcus aureus cells","type":"article-journal","volume":"91"},"uris":["http://www.mendeley.com/documents/?uuid=e654d4a5-6a63-46cd-9e2b-a2a36f52bd7e"]}],"mendeley":{"formattedCitation":"&lt;sup&gt;[63,84,91,99]&lt;/sup&gt;","plainTextFormattedCitation":"[63,84,91,99]","previouslyFormattedCitation":"&lt;sup&gt;[63,84,91,99]&lt;/sup&gt;"},"properties":{"noteIndex":0},"schema":"https://github.com/citation-style-language/schema/raw/master/csl-citation.json"}</w:instrText>
      </w:r>
      <w:r w:rsidR="00CC11A9">
        <w:fldChar w:fldCharType="separate"/>
      </w:r>
      <w:r w:rsidR="00C825F9" w:rsidRPr="00C825F9">
        <w:rPr>
          <w:noProof/>
          <w:vertAlign w:val="superscript"/>
        </w:rPr>
        <w:t>[63,84,91,99]</w:t>
      </w:r>
      <w:r w:rsidR="00CC11A9">
        <w:fldChar w:fldCharType="end"/>
      </w:r>
      <w:r w:rsidR="00CC11A9">
        <w:t>.</w:t>
      </w:r>
    </w:p>
    <w:p w14:paraId="78CE9C6A" w14:textId="1FE6AC94" w:rsidR="00183A80" w:rsidRPr="002D5ECA" w:rsidRDefault="008B1808" w:rsidP="00183A80">
      <w:r>
        <w:lastRenderedPageBreak/>
        <w:t xml:space="preserve">Corrigan </w:t>
      </w:r>
      <w:r>
        <w:rPr>
          <w:i/>
          <w:iCs/>
        </w:rPr>
        <w:t>et al.</w:t>
      </w:r>
      <w:r w:rsidR="00741D5C">
        <w:rPr>
          <w:i/>
          <w:iCs/>
        </w:rPr>
        <w:t>,</w:t>
      </w:r>
      <w:r>
        <w:t xml:space="preserve"> (20</w:t>
      </w:r>
      <w:r w:rsidR="00741D5C">
        <w:t>11</w:t>
      </w:r>
      <w:r>
        <w:t>) has shown that</w:t>
      </w:r>
      <w:r w:rsidR="006835B8">
        <w:t xml:space="preserve"> one </w:t>
      </w:r>
      <w:r w:rsidR="00C02A9E">
        <w:t>suppressor</w:t>
      </w:r>
      <w:r w:rsidR="006835B8">
        <w:t xml:space="preserve"> mutation </w:t>
      </w:r>
      <w:r w:rsidR="003B6174">
        <w:t>cap</w:t>
      </w:r>
      <w:r w:rsidR="003570B0">
        <w:t xml:space="preserve">able </w:t>
      </w:r>
      <w:r w:rsidR="003B6174">
        <w:t>of</w:t>
      </w:r>
      <w:r w:rsidR="003570B0">
        <w:t xml:space="preserve"> rescu</w:t>
      </w:r>
      <w:r w:rsidR="003B6174">
        <w:t>ing</w:t>
      </w:r>
      <w:r w:rsidR="003570B0">
        <w:t xml:space="preserve"> LTA-depleted cells is</w:t>
      </w:r>
      <w:r w:rsidR="006835B8">
        <w:t xml:space="preserve"> </w:t>
      </w:r>
      <w:r w:rsidR="006835B8" w:rsidRPr="00D47225">
        <w:rPr>
          <w:i/>
          <w:iCs/>
        </w:rPr>
        <w:t>gdpP</w:t>
      </w:r>
      <w:r w:rsidR="003570B0">
        <w:t xml:space="preserve"> </w:t>
      </w:r>
      <w:r w:rsidR="003570B0">
        <w:fldChar w:fldCharType="begin" w:fldLock="1"/>
      </w:r>
      <w:r w:rsidR="00DA0A83">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mendeley":{"formattedCitation":"&lt;sup&gt;[63]&lt;/sup&gt;","plainTextFormattedCitation":"[63]","previouslyFormattedCitation":"&lt;sup&gt;[63]&lt;/sup&gt;"},"properties":{"noteIndex":0},"schema":"https://github.com/citation-style-language/schema/raw/master/csl-citation.json"}</w:instrText>
      </w:r>
      <w:r w:rsidR="003570B0">
        <w:fldChar w:fldCharType="separate"/>
      </w:r>
      <w:r w:rsidR="00DA0A83" w:rsidRPr="00DA0A83">
        <w:rPr>
          <w:noProof/>
          <w:vertAlign w:val="superscript"/>
        </w:rPr>
        <w:t>[63]</w:t>
      </w:r>
      <w:r w:rsidR="003570B0">
        <w:fldChar w:fldCharType="end"/>
      </w:r>
      <w:r w:rsidR="003570B0">
        <w:rPr>
          <w:i/>
          <w:iCs/>
        </w:rPr>
        <w:t>.</w:t>
      </w:r>
      <w:r w:rsidR="003570B0" w:rsidRPr="003570B0">
        <w:t xml:space="preserve"> </w:t>
      </w:r>
      <w:r w:rsidR="003570B0">
        <w:t>GdpP is a membrane phosphodiesterase</w:t>
      </w:r>
      <w:r w:rsidR="008D5BA2">
        <w:t xml:space="preserve"> </w:t>
      </w:r>
      <w:r w:rsidR="00BC39B6">
        <w:t>that hydrolys</w:t>
      </w:r>
      <w:r w:rsidR="00ED2884">
        <w:t>e</w:t>
      </w:r>
      <w:r w:rsidR="00BC39B6">
        <w:t>s the essential signalling molecule</w:t>
      </w:r>
      <w:r w:rsidR="008D5BA2">
        <w:t xml:space="preserve"> </w:t>
      </w:r>
      <w:r w:rsidR="005F45D4">
        <w:t>c-di-AMP</w:t>
      </w:r>
      <w:r w:rsidR="00DD7F98">
        <w:t xml:space="preserve"> into 5’-phosphadenylyl-adenosine (5’-pApA)</w:t>
      </w:r>
      <w:r w:rsidR="00272B90" w:rsidRPr="00272B90">
        <w:t xml:space="preserve"> </w:t>
      </w:r>
      <w:r w:rsidR="00272B90">
        <w:t>(</w:t>
      </w:r>
      <w:r w:rsidR="00272B90">
        <w:fldChar w:fldCharType="begin"/>
      </w:r>
      <w:r w:rsidR="00272B90">
        <w:instrText xml:space="preserve"> REF _Ref77086607 \h </w:instrText>
      </w:r>
      <w:r w:rsidR="00272B90">
        <w:fldChar w:fldCharType="separate"/>
      </w:r>
      <w:r w:rsidR="00183CC8">
        <w:t xml:space="preserve">Figure </w:t>
      </w:r>
      <w:r w:rsidR="00183CC8">
        <w:rPr>
          <w:noProof/>
        </w:rPr>
        <w:t>1</w:t>
      </w:r>
      <w:r w:rsidR="00183CC8">
        <w:t>.</w:t>
      </w:r>
      <w:r w:rsidR="00183CC8">
        <w:rPr>
          <w:noProof/>
        </w:rPr>
        <w:t>8</w:t>
      </w:r>
      <w:r w:rsidR="00272B90">
        <w:fldChar w:fldCharType="end"/>
      </w:r>
      <w:r w:rsidR="00272B90">
        <w:t xml:space="preserve">a) </w:t>
      </w:r>
      <w:r w:rsidR="00272B90">
        <w:fldChar w:fldCharType="begin" w:fldLock="1"/>
      </w:r>
      <w:r w:rsidR="00DA0A83">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mendeley":{"formattedCitation":"&lt;sup&gt;[63]&lt;/sup&gt;","plainTextFormattedCitation":"[63]","previouslyFormattedCitation":"&lt;sup&gt;[63]&lt;/sup&gt;"},"properties":{"noteIndex":0},"schema":"https://github.com/citation-style-language/schema/raw/master/csl-citation.json"}</w:instrText>
      </w:r>
      <w:r w:rsidR="00272B90">
        <w:fldChar w:fldCharType="separate"/>
      </w:r>
      <w:r w:rsidR="00DA0A83" w:rsidRPr="00DA0A83">
        <w:rPr>
          <w:noProof/>
          <w:vertAlign w:val="superscript"/>
        </w:rPr>
        <w:t>[63]</w:t>
      </w:r>
      <w:r w:rsidR="00272B90">
        <w:fldChar w:fldCharType="end"/>
      </w:r>
      <w:r w:rsidR="00BC39B6">
        <w:t>. This cyclic dinucleotide is</w:t>
      </w:r>
      <w:r w:rsidR="008D5BA2">
        <w:t xml:space="preserve"> </w:t>
      </w:r>
      <w:r w:rsidR="005F45D4">
        <w:t>found in</w:t>
      </w:r>
      <w:r w:rsidR="00505C10">
        <w:t xml:space="preserve"> the</w:t>
      </w:r>
      <w:r w:rsidR="005F45D4">
        <w:t xml:space="preserve"> </w:t>
      </w:r>
      <w:r w:rsidR="005F45D4">
        <w:rPr>
          <w:i/>
          <w:iCs/>
        </w:rPr>
        <w:t>S. aureus</w:t>
      </w:r>
      <w:r w:rsidR="005F45D4">
        <w:t xml:space="preserve"> cytoplasm and </w:t>
      </w:r>
      <w:r w:rsidR="008D5BA2">
        <w:t>synthesised</w:t>
      </w:r>
      <w:r w:rsidR="005F45D4">
        <w:t xml:space="preserve"> by the essential membrane </w:t>
      </w:r>
      <w:r w:rsidR="001D3A30">
        <w:t>diadenylate cyclase</w:t>
      </w:r>
      <w:r w:rsidR="005F45D4">
        <w:t xml:space="preserve"> DacA</w:t>
      </w:r>
      <w:r w:rsidR="0077134D">
        <w:t xml:space="preserve"> from 2 ATP molecules </w:t>
      </w:r>
      <w:r w:rsidR="00A02169">
        <w:t>(</w:t>
      </w:r>
      <w:r w:rsidR="00A02169">
        <w:fldChar w:fldCharType="begin"/>
      </w:r>
      <w:r w:rsidR="00A02169">
        <w:instrText xml:space="preserve"> REF _Ref77086607 \h </w:instrText>
      </w:r>
      <w:r w:rsidR="00A02169">
        <w:fldChar w:fldCharType="separate"/>
      </w:r>
      <w:r w:rsidR="00183CC8">
        <w:t xml:space="preserve">Figure </w:t>
      </w:r>
      <w:r w:rsidR="00183CC8">
        <w:rPr>
          <w:noProof/>
        </w:rPr>
        <w:t>1</w:t>
      </w:r>
      <w:r w:rsidR="00183CC8">
        <w:t>.</w:t>
      </w:r>
      <w:r w:rsidR="00183CC8">
        <w:rPr>
          <w:noProof/>
        </w:rPr>
        <w:t>8</w:t>
      </w:r>
      <w:r w:rsidR="00A02169">
        <w:fldChar w:fldCharType="end"/>
      </w:r>
      <w:r w:rsidR="00926D86">
        <w:t>a</w:t>
      </w:r>
      <w:r w:rsidR="00A02169">
        <w:t>)</w:t>
      </w:r>
      <w:r w:rsidR="00A02169" w:rsidRPr="00A02169">
        <w:t xml:space="preserve"> </w:t>
      </w:r>
      <w:r w:rsidR="00A02169">
        <w:fldChar w:fldCharType="begin" w:fldLock="1"/>
      </w:r>
      <w:r w:rsidR="005F2DD4">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stress","type":"article-journal","volume":"7"},"uris":["http://www.mendeley.com/documents/?uuid=6999529d-9f41-47d1-a708-ec2e7a140162"]},{"id":"ITEM-2","itemData":{"DOI":"10.1074/jbc.M116.747709","ISSN":"1083351X","PMID":"27834680","abstract":"Nucleotide signaling networks are key to facilitate alterations in gene expression, protein function, and enzyme activity in response to diverse stimuli. Cyclic di-adenosine monophosphate (c-di-AMP) is an important secondary messenger molecule produced by the human pathogen Staphylococcus aureus and is involved in regulating a number of physiological processes including potassium transport. S. aureus must ensure tight control over its cellular levels as both high levels of the dinucleotide and its absence result in a number of detrimental phenotypes. Here we show that in addition to the membrane-bound Asp-His-His and Asp-His-His-associated (DHH/DHHA1) domain-containing phosphodiesterase (PDE) GdpP, S. aureus produces a second cytoplasmic DHH/DHHA1 PDE Pde2. Although capable of hydrolyzing c-di-AMP, Pde2 preferentially converts linear 5′-phosphadenylyl-adenosine (pApA) to AMP. Using a pde2 mutant strain, pApA was detected for the first time in S. aureus, leading us to speculate that this dinucleotide may have a regulatory role under certain conditions. Moreover, pApA is involved in a feedback inhibition loop that limits GdpP-dependent c-di-AMP hydrolysis. Another protein linked to the regulation of c-di-AMP levels in bacteria is the predicted regulator protein YbbR. Here, it is shown that a ybbR mutant S. aureus strain has increased acid sensitivity that can be bypassed by the acquisition of mutations in a number of genes, including the gene coding for the diadenylate cyclase DacA. We further show that c-di-AMP levels are slightly elevated in the ybbR suppressor strains tested as compared with the wild-type strain. With this, we not only identified a new role for YbbR in acid stress resistance in S. aureus but also provide further insight into how c-di-AMP levels impact acid tolerance in this organism.","author":[{"dropping-particle":"","family":"Bowman","given":"Lisa","non-dropping-particle":"","parse-names":false,"suffix":""},{"dropping-particle":"","family":"Zeden","given":"Merve S.","non-dropping-particle":"","parse-names":false,"suffix":""},{"dropping-particle":"","family":"Schuster","given":"Christopher F.","non-dropping-particle":"","parse-names":false,"suffix":""},{"dropping-particle":"","family":"Kaever","given":"Volkhard","non-dropping-particle":"","parse-names":false,"suffix":""},{"dropping-particle":"","family":"Gründling","given":"Angelika","non-dropping-particle":"","parse-names":false,"suffix":""}],"container-title":"Journal of Biological Chemistry","id":"ITEM-2","issue":"53","issued":{"date-parts":[["2016"]]},"page":"26970-26986","title":"New insights into the cyclic di-adenosine monophosphate (c-di-AMP) degradation pathway and the requirement of the cyclic dinucleotide for acid stress resistance in Staphylococcus aureu","type":"article-journal","volume":"291"},"uris":["http://www.mendeley.com/documents/?uuid=39878c46-c304-3fc1-8a78-c895c0290891"]}],"mendeley":{"formattedCitation":"&lt;sup&gt;[63,155]&lt;/sup&gt;","plainTextFormattedCitation":"[63,155]","previouslyFormattedCitation":"&lt;sup&gt;[63,155]&lt;/sup&gt;"},"properties":{"noteIndex":0},"schema":"https://github.com/citation-style-language/schema/raw/master/csl-citation.json"}</w:instrText>
      </w:r>
      <w:r w:rsidR="00A02169">
        <w:fldChar w:fldCharType="separate"/>
      </w:r>
      <w:r w:rsidR="0054658D" w:rsidRPr="0054658D">
        <w:rPr>
          <w:noProof/>
          <w:vertAlign w:val="superscript"/>
        </w:rPr>
        <w:t>[63,155]</w:t>
      </w:r>
      <w:r w:rsidR="00A02169">
        <w:fldChar w:fldCharType="end"/>
      </w:r>
      <w:r w:rsidR="008D5BA2">
        <w:t>.</w:t>
      </w:r>
      <w:r w:rsidR="002D545F">
        <w:t xml:space="preserve"> </w:t>
      </w:r>
      <w:r w:rsidR="00284EC8">
        <w:t xml:space="preserve">Inactivation of </w:t>
      </w:r>
      <w:r w:rsidR="00284EC8">
        <w:rPr>
          <w:i/>
          <w:iCs/>
        </w:rPr>
        <w:t>gdpP</w:t>
      </w:r>
      <w:r w:rsidR="00284EC8">
        <w:t xml:space="preserve"> leads to an</w:t>
      </w:r>
      <w:r w:rsidR="000573FE">
        <w:t xml:space="preserve"> ~ 10</w:t>
      </w:r>
      <w:r w:rsidR="00F03BD2">
        <w:t>-</w:t>
      </w:r>
      <w:r w:rsidR="000573FE">
        <w:t>fold</w:t>
      </w:r>
      <w:r w:rsidR="00284EC8">
        <w:t xml:space="preserve"> increase in the intracellular levels of c-di-AMP, </w:t>
      </w:r>
      <w:r w:rsidR="000573FE">
        <w:t xml:space="preserve">reduced bacterial cell size, increased PG cross-linking and </w:t>
      </w:r>
      <w:r w:rsidR="005B041B">
        <w:t xml:space="preserve">decreased susceptibility to </w:t>
      </w:r>
      <w:r w:rsidR="00572AAC">
        <w:rPr>
          <w:lang w:val="el-GR"/>
        </w:rPr>
        <w:t>β</w:t>
      </w:r>
      <w:r w:rsidR="00572AAC" w:rsidRPr="00572AAC">
        <w:t>-</w:t>
      </w:r>
      <w:r w:rsidR="00572AAC">
        <w:t>lactam</w:t>
      </w:r>
      <w:r w:rsidR="005B041B">
        <w:t xml:space="preserve"> antibiotics </w:t>
      </w:r>
      <w:r w:rsidR="005B041B">
        <w:fldChar w:fldCharType="begin" w:fldLock="1"/>
      </w:r>
      <w:r w:rsidR="005F2DD4">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stress","type":"article-journal","volume":"7"},"uris":["http://www.mendeley.com/documents/?uuid=6999529d-9f41-47d1-a708-ec2e7a140162"]},{"id":"ITEM-2","itemData":{"DOI":"10.1074/jbc.M116.747709","ISSN":"1083351X","PMID":"27834680","abstract":"Nucleotide signaling networks are key to facilitate alterations in gene expression, protein function, and enzyme activity in response to diverse stimuli. Cyclic di-adenosine monophosphate (c-di-AMP) is an important secondary messenger molecule produced by the human pathogen Staphylococcus aureus and is involved in regulating a number of physiological processes including potassium transport. S. aureus must ensure tight control over its cellular levels as both high levels of the dinucleotide and its absence result in a number of detrimental phenotypes. Here we show that in addition to the membrane-bound Asp-His-His and Asp-His-His-associated (DHH/DHHA1) domain-containing phosphodiesterase (PDE) GdpP, S. aureus produces a second cytoplasmic DHH/DHHA1 PDE Pde2. Although capable of hydrolyzing c-di-AMP, Pde2 preferentially converts linear 5′-phosphadenylyl-adenosine (pApA) to AMP. Using a pde2 mutant strain, pApA was detected for the first time in S. aureus, leading us to speculate that this dinucleotide may have a regulatory role under certain conditions. Moreover, pApA is involved in a feedback inhibition loop that limits GdpP-dependent c-di-AMP hydrolysis. Another protein linked to the regulation of c-di-AMP levels in bacteria is the predicted regulator protein YbbR. Here, it is shown that a ybbR mutant S. aureus strain has increased acid sensitivity that can be bypassed by the acquisition of mutations in a number of genes, including the gene coding for the diadenylate cyclase DacA. We further show that c-di-AMP levels are slightly elevated in the ybbR suppressor strains tested as compared with the wild-type strain. With this, we not only identified a new role for YbbR in acid stress resistance in S. aureus but also provide further insight into how c-di-AMP levels impact acid tolerance in this organism.","author":[{"dropping-particle":"","family":"Bowman","given":"Lisa","non-dropping-particle":"","parse-names":false,"suffix":""},{"dropping-particle":"","family":"Zeden","given":"Merve S.","non-dropping-particle":"","parse-names":false,"suffix":""},{"dropping-particle":"","family":"Schuster","given":"Christopher F.","non-dropping-particle":"","parse-names":false,"suffix":""},{"dropping-particle":"","family":"Kaever","given":"Volkhard","non-dropping-particle":"","parse-names":false,"suffix":""},{"dropping-particle":"","family":"Gründling","given":"Angelika","non-dropping-particle":"","parse-names":false,"suffix":""}],"container-title":"Journal of Biological Chemistry","id":"ITEM-2","issue":"53","issued":{"date-parts":[["2016"]]},"page":"26970-26986","title":"New insights into the cyclic di-adenosine monophosphate (c-di-AMP) degradation pathway and the requirement of the cyclic dinucleotide for acid stress resistance in Staphylococcus aureu","type":"article-journal","volume":"291"},"uris":["http://www.mendeley.com/documents/?uuid=39878c46-c304-3fc1-8a78-c895c0290891"]},{"id":"ITEM-3","itemData":{"DOI":"10.1128/AAC.05148-11","ISSN":"00664804","PMID":"21986827","abstract":"The genetic basis of tolerance to inhibitors of peptidoglycan biosynthesis in Staphylococcus aureus was investigated by generating tolerant mutants in vitro and characterizing them by comparative genome sequencing. Two independently selected tolerant mutants harbored nonsynonymous mutations in gdpP, a gene encoding a putative membrane-located signaling protein. Insertional inactivation of gdpP also conferred tolerance. Our findings further implicate altered signal transduction as a route to antibiotic tolerance in S. aureus. Copyright © 2012, American Society for Microbiology. All Rights Reserved.","author":[{"dropping-particle":"","family":"Griffiths","given":"J. M.","non-dropping-particle":"","parse-names":false,"suffix":""},{"dropping-particle":"","family":"O'Neill","given":"A. J.","non-dropping-particle":"","parse-names":false,"suffix":""}],"container-title":"Antimicrobial Agents and Chemotherapy","id":"ITEM-3","issue":"1","issued":{"date-parts":[["2012","1"]]},"page":"579-581","publisher":"American Society for Microbiology (ASM)","title":"Loss of function of the GdpP protein leads to joint β-lactam/ glycopeptide tolerance in Staphylococcus aureus","type":"article-journal","volume":"56"},"uris":["http://www.mendeley.com/documents/?uuid=c6d3e68f-1b85-39ec-9033-4ed4236d2eea"]},{"id":"ITEM-4","itemData":{"DOI":"10.1371/journal.pone.0073512","ISSN":"19326203","PMID":"24013956","abstract":"Faster growing and more virulent strains of methicillin resistant Staphylococcus aureus (MRSA) are increasingly displacing highly resistant MRSA. Elevated fitness in these MRSA is often accompanied by decreased and heterogeneous levels of methicillin resistance; however, the mechanisms for this phenomenon are not yet fully understood. Whole genome sequencing was used to investigate the genetic basis of this apparent correlation, in an isogenic MRSA strain pair that differed in methicillin resistance levels and fitness, with respect to growth rate. Sequencing revealed only one single nucleotide polymorphism (SNP) in the diadenylate cyclase gene dacA in the faster growing but less resistant strain. Diadenylate cyclases were recently discovered to synthesize the new second messenger cyclic diadenosine monophosphate (c-di-AMP). Introduction of this mutation into the highly resistant but slower growing strain reduced resistance and increased its growth rate, suggesting a direct connection between the dacA mutation and the phenotypic differences of these strains. Quantification of cellular c-di-AMP revealed that the dacA mutation decreased c-di-AMP levels resulting in reduced autolysis, increased salt tolerance and a reduction in the basal expression of the cell wall stress stimulon. These results indicate that c-di-AMP affects cell envelope-related signalling in S. aureus. The influence of c-di-AMP on growth rate and methicillin resistance in MRSA indicate that altering c-di-AMP levels could be a mechanism by which MRSA strains can increase their fitness levels by reducing their methicillin resistance levels. © 2013 Dengler et al.","author":[{"dropping-particle":"","family":"Dengler","given":"Vanina","non-dropping-particle":"","parse-names":false,"suffix":""},{"dropping-particle":"","family":"McCallum","given":"Nadine","non-dropping-particle":"","parse-names":false,"suffix":""},{"dropping-particle":"","family":"Kiefer","given":"Patrick","non-dropping-particle":"","parse-names":false,"suffix":""},{"dropping-particle":"","family":"Christen","given":"Philipp","non-dropping-particle":"","parse-names":false,"suffix":""},{"dropping-particle":"","family":"Patrignani","given":"Andrea","non-dropping-particle":"","parse-names":false,"suffix":""},{"dropping-particle":"","family":"Vorholt","given":"Julia A.","non-dropping-particle":"","parse-names":false,"suffix":""},{"dropping-particle":"","family":"Berger-Bächi","given":"Brigitte","non-dropping-particle":"","parse-names":false,"suffix":""},{"dropping-particle":"","family":"Senn","given":"Maria M.","non-dropping-particle":"","parse-names":false,"suffix":""}],"container-title":"PLoS ONE","id":"ITEM-4","issue":"8","issued":{"date-parts":[["2013","8","27"]]},"page":"e73512","publisher":"Public Library of Science","title":"Mutation in the C-Di-AMP Cyclase dacA Affects Fitness and Resistance of Methicillin Resistant Staphylococcus aureus","type":"article-journal","volume":"8"},"uris":["http://www.mendeley.com/documents/?uuid=7954835c-25b7-3ac8-9e30-ffec9799315e"]}],"mendeley":{"formattedCitation":"&lt;sup&gt;[63,155–157]&lt;/sup&gt;","plainTextFormattedCitation":"[63,155–157]","previouslyFormattedCitation":"&lt;sup&gt;[63,155–157]&lt;/sup&gt;"},"properties":{"noteIndex":0},"schema":"https://github.com/citation-style-language/schema/raw/master/csl-citation.json"}</w:instrText>
      </w:r>
      <w:r w:rsidR="005B041B">
        <w:fldChar w:fldCharType="separate"/>
      </w:r>
      <w:r w:rsidR="0054658D" w:rsidRPr="0054658D">
        <w:rPr>
          <w:noProof/>
          <w:vertAlign w:val="superscript"/>
        </w:rPr>
        <w:t>[63,155–157]</w:t>
      </w:r>
      <w:r w:rsidR="005B041B">
        <w:fldChar w:fldCharType="end"/>
      </w:r>
      <w:r w:rsidR="005B041B">
        <w:t>.</w:t>
      </w:r>
      <w:r w:rsidR="00D7467C">
        <w:t xml:space="preserve"> Additionally, it</w:t>
      </w:r>
      <w:r w:rsidR="00D7467C">
        <w:rPr>
          <w:i/>
          <w:iCs/>
        </w:rPr>
        <w:t xml:space="preserve"> </w:t>
      </w:r>
      <w:r w:rsidR="00D7467C">
        <w:t xml:space="preserve">rescues </w:t>
      </w:r>
      <w:r w:rsidR="00D7467C">
        <w:rPr>
          <w:i/>
          <w:iCs/>
        </w:rPr>
        <w:t>ltaS</w:t>
      </w:r>
      <w:r w:rsidR="00D7467C">
        <w:t>-depleted strains by restoring</w:t>
      </w:r>
      <w:r w:rsidR="003570B0">
        <w:t xml:space="preserve"> </w:t>
      </w:r>
      <w:r w:rsidR="00EE4DEB">
        <w:t>parental</w:t>
      </w:r>
      <w:r w:rsidR="00284EC8">
        <w:t xml:space="preserve"> bacterial growth, size, and </w:t>
      </w:r>
      <w:r w:rsidR="003570B0">
        <w:t>morphology</w:t>
      </w:r>
      <w:r w:rsidR="00D3253C">
        <w:t xml:space="preserve"> (</w:t>
      </w:r>
      <w:r w:rsidR="00D3253C">
        <w:fldChar w:fldCharType="begin"/>
      </w:r>
      <w:r w:rsidR="00D3253C">
        <w:instrText xml:space="preserve"> REF _Ref77086607 \h </w:instrText>
      </w:r>
      <w:r w:rsidR="00D3253C">
        <w:fldChar w:fldCharType="separate"/>
      </w:r>
      <w:r w:rsidR="00183CC8">
        <w:t xml:space="preserve">Figure </w:t>
      </w:r>
      <w:r w:rsidR="00183CC8">
        <w:rPr>
          <w:noProof/>
        </w:rPr>
        <w:t>1</w:t>
      </w:r>
      <w:r w:rsidR="00183CC8">
        <w:t>.</w:t>
      </w:r>
      <w:r w:rsidR="00183CC8">
        <w:rPr>
          <w:noProof/>
        </w:rPr>
        <w:t>8</w:t>
      </w:r>
      <w:r w:rsidR="00D3253C">
        <w:fldChar w:fldCharType="end"/>
      </w:r>
      <w:r w:rsidR="00D3253C">
        <w:t>b)</w:t>
      </w:r>
      <w:r w:rsidR="00ED28D2">
        <w:t xml:space="preserve"> </w:t>
      </w:r>
      <w:r w:rsidR="00ED28D2">
        <w:fldChar w:fldCharType="begin" w:fldLock="1"/>
      </w:r>
      <w:r w:rsidR="00DA0A83">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mendeley":{"formattedCitation":"&lt;sup&gt;[63]&lt;/sup&gt;","plainTextFormattedCitation":"[63]","previouslyFormattedCitation":"&lt;sup&gt;[63]&lt;/sup&gt;"},"properties":{"noteIndex":0},"schema":"https://github.com/citation-style-language/schema/raw/master/csl-citation.json"}</w:instrText>
      </w:r>
      <w:r w:rsidR="00ED28D2">
        <w:fldChar w:fldCharType="separate"/>
      </w:r>
      <w:r w:rsidR="00DA0A83" w:rsidRPr="00DA0A83">
        <w:rPr>
          <w:noProof/>
          <w:vertAlign w:val="superscript"/>
        </w:rPr>
        <w:t>[63]</w:t>
      </w:r>
      <w:r w:rsidR="00ED28D2">
        <w:fldChar w:fldCharType="end"/>
      </w:r>
      <w:r w:rsidR="00ED28D2">
        <w:rPr>
          <w:i/>
          <w:iCs/>
        </w:rPr>
        <w:t>.</w:t>
      </w:r>
      <w:r w:rsidR="001135E5">
        <w:rPr>
          <w:i/>
          <w:iCs/>
        </w:rPr>
        <w:t xml:space="preserve"> </w:t>
      </w:r>
      <w:r w:rsidR="00D47C14">
        <w:t>C-di-AMP has also been shown to enable growth in low potassium (K</w:t>
      </w:r>
      <w:r w:rsidR="00D47C14" w:rsidRPr="00D47C14">
        <w:rPr>
          <w:vertAlign w:val="superscript"/>
        </w:rPr>
        <w:t>+</w:t>
      </w:r>
      <w:r w:rsidR="00D47C14">
        <w:t>) conditions</w:t>
      </w:r>
      <w:r w:rsidR="00856A2B">
        <w:t xml:space="preserve"> as it binds to the potassium transporter-gating component KtrA </w:t>
      </w:r>
      <w:r w:rsidR="00856A2B">
        <w:fldChar w:fldCharType="begin" w:fldLock="1"/>
      </w:r>
      <w:r w:rsidR="005F2DD4">
        <w:instrText>ADDIN CSL_CITATION {"citationItems":[{"id":"ITEM-1","itemData":{"DOI":"10.1073/pnas.1300595110/-/DCSupplemental.www.pnas.org/cgi/doi/10.1073/pnas.1300595110","author":[{"dropping-particle":"","family":"Corrigan","given":"Rebecca M","non-dropping-particle":"","parse-names":false,"suffix":""},{"dropping-particle":"","family":"Campeotto","given":"Ivan","non-dropping-particle":"","parse-names":false,"suffix":""},{"dropping-particle":"","family":"Jeganathan","given":"Tharshika","non-dropping-particle":"","parse-names":false,"suffix":""},{"dropping-particle":"","family":"Roelofs","given":"Kevin G","non-dropping-particle":"","parse-names":false,"suffix":""},{"dropping-particle":"","family":"Lee","given":"Vincent T","non-dropping-particle":"","parse-names":false,"suffix":""},{"dropping-particle":"","family":"Gründling","given":"Angelika","non-dropping-particle":"","parse-names":false,"suffix":""}],"container-title":"PNAS","id":"ITEM-1","issue":"22","issued":{"date-parts":[["2013"]]},"page":"9084-9089","title":"Systematic identifi cation of conserved bacterial c-di-AMP receptor proteins","type":"article-journal","volume":"110"},"uris":["http://www.mendeley.com/documents/?uuid=0ae969c6-5bf7-4e8f-b91e-26b05cb7378a"]}],"mendeley":{"formattedCitation":"&lt;sup&gt;[158]&lt;/sup&gt;","plainTextFormattedCitation":"[158]","previouslyFormattedCitation":"&lt;sup&gt;[158]&lt;/sup&gt;"},"properties":{"noteIndex":0},"schema":"https://github.com/citation-style-language/schema/raw/master/csl-citation.json"}</w:instrText>
      </w:r>
      <w:r w:rsidR="00856A2B">
        <w:fldChar w:fldCharType="separate"/>
      </w:r>
      <w:r w:rsidR="0054658D" w:rsidRPr="0054658D">
        <w:rPr>
          <w:noProof/>
          <w:vertAlign w:val="superscript"/>
        </w:rPr>
        <w:t>[158]</w:t>
      </w:r>
      <w:r w:rsidR="00856A2B">
        <w:fldChar w:fldCharType="end"/>
      </w:r>
      <w:r w:rsidR="00856A2B">
        <w:t>.</w:t>
      </w:r>
      <w:r w:rsidR="000517DA">
        <w:t xml:space="preserve"> This second messenger also binds to CpaA, a predicted proton/cation antiporter</w:t>
      </w:r>
      <w:r w:rsidR="00D033C4">
        <w:t>, and to two more additional</w:t>
      </w:r>
      <w:r w:rsidR="00183A80">
        <w:t xml:space="preserve"> c-di-AMP proteins: </w:t>
      </w:r>
      <w:r w:rsidR="00183A80" w:rsidRPr="00D033C4">
        <w:t>PstA</w:t>
      </w:r>
      <w:r w:rsidR="00183A80">
        <w:t xml:space="preserve"> </w:t>
      </w:r>
      <w:r w:rsidR="00183A80" w:rsidRPr="00D033C4">
        <w:t>and the histidine kinase KdpD</w:t>
      </w:r>
      <w:r w:rsidR="00183A80">
        <w:t xml:space="preserve"> involved in potassium transport </w:t>
      </w:r>
      <w:r w:rsidR="00183A80">
        <w:fldChar w:fldCharType="begin" w:fldLock="1"/>
      </w:r>
      <w:r w:rsidR="00183A80">
        <w:instrText>ADDIN CSL_CITATION {"citationItems":[{"id":"ITEM-1","itemData":{"DOI":"10.1073/pnas.1300595110/-/DCSupplemental.www.pnas.org/cgi/doi/10.1073/pnas.1300595110","author":[{"dropping-particle":"","family":"Corrigan","given":"Rebecca M","non-dropping-particle":"","parse-names":false,"suffix":""},{"dropping-particle":"","family":"Campeotto","given":"Ivan","non-dropping-particle":"","parse-names":false,"suffix":""},{"dropping-particle":"","family":"Jeganathan","given":"Tharshika","non-dropping-particle":"","parse-names":false,"suffix":""},{"dropping-particle":"","family":"Roelofs","given":"Kevin G","non-dropping-particle":"","parse-names":false,"suffix":""},{"dropping-particle":"","family":"Lee","given":"Vincent T","non-dropping-particle":"","parse-names":false,"suffix":""},{"dropping-particle":"","family":"Gründling","given":"Angelika","non-dropping-particle":"","parse-names":false,"suffix":""}],"container-title":"PNAS","id":"ITEM-1","issue":"22","issued":{"date-parts":[["2013"]]},"page":"9084-9089","title":"Systematic identifi cation of conserved bacterial c-di-AMP receptor proteins","type":"article-journal","volume":"110"},"uris":["http://www.mendeley.com/documents/?uuid=0ae969c6-5bf7-4e8f-b91e-26b05cb7378a"]}],"mendeley":{"formattedCitation":"&lt;sup&gt;[158]&lt;/sup&gt;","plainTextFormattedCitation":"[158]","previouslyFormattedCitation":"&lt;sup&gt;[158]&lt;/sup&gt;"},"properties":{"noteIndex":0},"schema":"https://github.com/citation-style-language/schema/raw/master/csl-citation.json"}</w:instrText>
      </w:r>
      <w:r w:rsidR="00183A80">
        <w:fldChar w:fldCharType="separate"/>
      </w:r>
      <w:r w:rsidR="00183A80" w:rsidRPr="0054658D">
        <w:rPr>
          <w:noProof/>
          <w:vertAlign w:val="superscript"/>
        </w:rPr>
        <w:t>[158]</w:t>
      </w:r>
      <w:r w:rsidR="00183A80">
        <w:fldChar w:fldCharType="end"/>
      </w:r>
      <w:r w:rsidR="00183A80">
        <w:t xml:space="preserve">. These discoveries showed the importance of c-di-AMP in ion transport in </w:t>
      </w:r>
      <w:r w:rsidR="00183A80">
        <w:rPr>
          <w:i/>
          <w:iCs/>
        </w:rPr>
        <w:t>S. aureus</w:t>
      </w:r>
      <w:r w:rsidR="00183A80">
        <w:t xml:space="preserve">, and thus how increased levels due to inactivation of </w:t>
      </w:r>
      <w:r w:rsidR="00183A80">
        <w:rPr>
          <w:i/>
          <w:iCs/>
        </w:rPr>
        <w:t>gdpP</w:t>
      </w:r>
      <w:r w:rsidR="00183A80">
        <w:t xml:space="preserve"> compensate for the disruption in ion homoeostasis caused by LTA depletion.</w:t>
      </w:r>
    </w:p>
    <w:p w14:paraId="29538D37" w14:textId="77777777" w:rsidR="00183A80" w:rsidRPr="00FC619B" w:rsidRDefault="00183A80" w:rsidP="00183A80">
      <w:pPr>
        <w:rPr>
          <w:i/>
          <w:iCs/>
        </w:rPr>
      </w:pPr>
      <w:r>
        <w:t xml:space="preserve">The following additional compensatory mutations have also been found to bypass the requirement for LTA: </w:t>
      </w:r>
      <w:r w:rsidRPr="00D47225">
        <w:rPr>
          <w:i/>
          <w:iCs/>
        </w:rPr>
        <w:t>clpX</w:t>
      </w:r>
      <w:r>
        <w:t xml:space="preserve">, </w:t>
      </w:r>
      <w:r w:rsidRPr="00D47225">
        <w:rPr>
          <w:i/>
          <w:iCs/>
        </w:rPr>
        <w:t>sgtB</w:t>
      </w:r>
      <w:r>
        <w:t xml:space="preserve">, and </w:t>
      </w:r>
      <w:r w:rsidRPr="00D47225">
        <w:rPr>
          <w:i/>
          <w:iCs/>
        </w:rPr>
        <w:t>mazE</w:t>
      </w:r>
      <w:r>
        <w:rPr>
          <w:i/>
          <w:iCs/>
        </w:rPr>
        <w:t xml:space="preserve"> </w:t>
      </w:r>
      <w:r>
        <w:fldChar w:fldCharType="begin" w:fldLock="1"/>
      </w:r>
      <w:r>
        <w:instrText>ADDIN CSL_CITATION {"citationItems":[{"id":"ITEM-1","itemData":{"DOI":"10.1128/JB.00574-18","ISSN":"10985530","PMID":"30322854","abstract":"The cell wall of Staphylococcus aureus is composed of peptidoglycan and the anionic polymers lipoteichoic acid (LTA) and wall teichoic acid. LTA is required for growth and normal cell morphology in S. aureus. Strains lacking LTA are usually viable only when grown under osmotically stabilizing conditions or after the acquisition of compensatory mutations. LTA-negative suppressor strains with inactivating mutations in gdpP, which resulted in increased intracellular c-di-AMP levels, were described previously. Here, we sought to identify factors other than c-di-AMP that allow S. aureus to survive without LTA. LTA-negative strains able to grow in unsupplemented medium were obtained and found to contain mutations in sgtB, mazE, clpX, or vraT. The growth improvement through mutations in mazE and sgtB was confirmed by complementation analysis. We also showed that an S. aureus sgtB transposon mutant, with the monofunctional peptidoglycan glycosyltransferase SgtB inactivated, displayed a 4-fold increase in the MIC of oxacillin, suggesting that alterations in the peptidoglycan structure could help bacteria compensate for the lack of LTA. Muropeptide analysis of peptidoglycans isolated from a wild-type strain and sgtB mutant strain did not reveal any sizable alterations in the peptidoglycan structure. In contrast, the peptidoglycan isolated from an LTA-negative ltaS mutant strain showed a significant reduction in the fraction of highly cross-linked peptidoglycan, which was partially rescued in the sgtB ltaS double mutant suppressor strain. Taken together, these data point toward an important function of LTA in cell wall integrity through its necessity for proper peptidoglycan assembly. IMPORTANCE The bacterial cell wall acts as a primary defense against environmental insults such as changes in osmolarity. It is also a vulnerable structure, as defects in its synthesis can lead to growth arrest or cell death. The important human pathogen Staphylococcus aureus has a typical Gram-positive cell wall, which consists of peptidoglycan and the anionic polymers LTA and wall teichoic acid. Several clinically relevant antibiotics inhibit the synthesis of peptidoglycan; therefore, it and teichoic acids are considered attractive targets for the development of new antimicrobials. We show that LTA is required for efficient peptidoglycan cross-linking in S. aureus and inactivation of a peptidoglycan glycosyltransferase can partially rescue this defect, together revealing an intimat…","author":[{"dropping-particle":"","family":"Karinou","given":"Eleni","non-dropping-particle":"","parse-names":false,"suffix":""},{"dropping-particle":"","family":"Schuster","given":"Christopher F","non-dropping-particle":"","parse-names":false,"suffix":""},{"dropping-particle":"","family":"Pazos","given":"Manuel","non-dropping-particle":"","parse-names":false,"suffix":""},{"dropping-particle":"","family":"Vollmer","given":"Waldemar","non-dropping-particle":"","parse-names":false,"suffix":""},{"dropping-particle":"","family":"Gründling","given":"Angelika","non-dropping-particle":"","parse-names":false,"suffix":""}],"container-title":"Journal of Bacteriology","id":"ITEM-1","issue":"1","issued":{"date-parts":[["2019"]]},"page":"e00574-18","title":"Inactivation of the monofunctional peptidoglycan glycosyltransferase sgtb allows staphylococcus aureus to survive in the absence of lipoteichoic acid","type":"article-journal","volume":"201"},"uris":["http://www.mendeley.com/documents/?uuid=275993e3-df46-3806-86a8-3d77f43c6096"]},{"id":"ITEM-2","itemData":{"DOI":"10.1128/mBio.01228-16.Invited","ISSN":"2150-7511","PMID":"27507828","abstract":"Lipoteichoic acid (LTA) is an important cell wall component of Gram-positive bacteria and a promising target for the development of vaccines and antimicrobial compounds against Staphylococcus aureus . Here we demonstrate that mutations in the conditionally essential ltaS (LTA synthase) gene arise spontaneously in an S. aureus mutant lacking the ClpX chaperone. A wide variety of ltaS mutations were selected, and among these, a substantial portion resulted in premature stop codons and other changes predicted to abolish LtaS synthesis. Consistent with this assumption, the clpX ltaS double mutants did not produce LTA, and genetic analyses confirmed that LTA becomes nonessential in the absence of the ClpX chaperone. In fact, inactivation of ltaS alleviated the severe growth defect conferred by the clpX deletion. Microscopic analyses showed that the absence of ClpX partly alleviates the septum placement defects of an LTA-depleted strain, while other phenotypes typical of LTA-negative S. aureus mutants, including increased cell size and decreased autolytic activity, are retained. In conclusion, our results indicate that LTA has an essential role in septum placement that can be bypassed by inactivating the ClpX chaperone.","author":[{"dropping-particle":"","family":"Bæk","given":"Kristoffer T.","non-dropping-particle":"","parse-names":false,"suffix":""},{"dropping-particle":"","family":"Bowman","given":"Lisa","non-dropping-particle":"","parse-names":false,"suffix":""},{"dropping-particle":"","family":"Millership","given":"Charlotte","non-dropping-particle":"","parse-names":false,"suffix":""},{"dropping-particle":"","family":"Søgaard","given":"Dupont","non-dropping-particle":"","parse-names":false,"suffix":""},{"dropping-particle":"","family":"Kaever","given":"Volkhard","non-dropping-particle":"","parse-names":false,"suffix":""},{"dropping-particle":"","family":"Siljamäki","given":"Pia","non-dropping-particle":"","parse-names":false,"suffix":""},{"dropping-particle":"","family":"Savijoki","given":"Kirsi","non-dropping-particle":"","parse-names":false,"suffix":""},{"dropping-particle":"","family":"Dupont Søgaard","given":"Mia","non-dropping-particle":"","parse-names":false,"suffix":""},{"dropping-particle":"","family":"Kaever","given":"Volkhard","non-dropping-particle":"","parse-names":false,"suffix":""},{"dropping-particle":"","family":"Siljamäki","given":"Pia","non-dropping-particle":"","parse-names":false,"suffix":""},{"dropping-particle":"","family":"Savijoki","given":"Kirsi","non-dropping-particle":"","parse-names":false,"suffix":""},{"dropping-particle":"","family":"Varmanen","given":"Pekka","non-dropping-particle":"","parse-names":false,"suffix":""},{"dropping-particle":"","family":"Nyman","given":"Tuula A.","non-dropping-particle":"","parse-names":false,"suffix":""},{"dropping-particle":"","family":"Gründling","given":"Angelika","non-dropping-particle":"","parse-names":false,"suffix":""},{"dropping-particle":"","family":"Frees","given":"Dorte","non-dropping-particle":"","parse-names":false,"suffix":""}],"container-title":"mBio","id":"ITEM-2","issue":"4","issued":{"date-parts":[["2016"]]},"page":"1-11","title":"The Cell Wall Polymer Lipoteichoic Acid Becomes Nonessential in Staphylococcus aureus Cells Lacking the ClpX Chaperone Kristoffer","type":"article-journal","volume":"7"},"uris":["http://www.mendeley.com/documents/?uuid=c2036bfc-7c03-4079-9670-e60a12a25742"]}],"mendeley":{"formattedCitation":"&lt;sup&gt;[154,159]&lt;/sup&gt;","plainTextFormattedCitation":"[154,159]","previouslyFormattedCitation":"&lt;sup&gt;[154,159]&lt;/sup&gt;"},"properties":{"noteIndex":0},"schema":"https://github.com/citation-style-language/schema/raw/master/csl-citation.json"}</w:instrText>
      </w:r>
      <w:r>
        <w:fldChar w:fldCharType="separate"/>
      </w:r>
      <w:r w:rsidRPr="0054658D">
        <w:rPr>
          <w:noProof/>
          <w:vertAlign w:val="superscript"/>
        </w:rPr>
        <w:t>[154,159]</w:t>
      </w:r>
      <w:r>
        <w:fldChar w:fldCharType="end"/>
      </w:r>
      <w:r>
        <w:rPr>
          <w:i/>
          <w:iCs/>
        </w:rPr>
        <w:t xml:space="preserve">. </w:t>
      </w:r>
      <w:r w:rsidRPr="00D47225">
        <w:t>ClpX</w:t>
      </w:r>
      <w:r>
        <w:t xml:space="preserve"> is a highly conserved chaperone involved in protein degradation, and its inactivation allows </w:t>
      </w:r>
      <w:r>
        <w:rPr>
          <w:i/>
          <w:iCs/>
        </w:rPr>
        <w:t>S. aureus</w:t>
      </w:r>
      <w:r>
        <w:t xml:space="preserve"> to grow without LTA </w:t>
      </w:r>
      <w:r>
        <w:fldChar w:fldCharType="begin" w:fldLock="1"/>
      </w:r>
      <w:r>
        <w:instrText>ADDIN CSL_CITATION {"citationItems":[{"id":"ITEM-1","itemData":{"DOI":"10.1128/mBio.01228-16.Invited","ISSN":"2150-7511","PMID":"27507828","abstract":"Lipoteichoic acid (LTA) is an important cell wall component of Gram-positive bacteria and a promising target for the development of vaccines and antimicrobial compounds against Staphylococcus aureus . Here we demonstrate that mutations in the conditionally essential ltaS (LTA synthase) gene arise spontaneously in an S. aureus mutant lacking the ClpX chaperone. A wide variety of ltaS mutations were selected, and among these, a substantial portion resulted in premature stop codons and other changes predicted to abolish LtaS synthesis. Consistent with this assumption, the clpX ltaS double mutants did not produce LTA, and genetic analyses confirmed that LTA becomes nonessential in the absence of the ClpX chaperone. In fact, inactivation of ltaS alleviated the severe growth defect conferred by the clpX deletion. Microscopic analyses showed that the absence of ClpX partly alleviates the septum placement defects of an LTA-depleted strain, while other phenotypes typical of LTA-negative S. aureus mutants, including increased cell size and decreased autolytic activity, are retained. In conclusion, our results indicate that LTA has an essential role in septum placement that can be bypassed by inactivating the ClpX chaperone.","author":[{"dropping-particle":"","family":"Bæk","given":"Kristoffer T.","non-dropping-particle":"","parse-names":false,"suffix":""},{"dropping-particle":"","family":"Bowman","given":"Lisa","non-dropping-particle":"","parse-names":false,"suffix":""},{"dropping-particle":"","family":"Millership","given":"Charlotte","non-dropping-particle":"","parse-names":false,"suffix":""},{"dropping-particle":"","family":"Søgaard","given":"Dupont","non-dropping-particle":"","parse-names":false,"suffix":""},{"dropping-particle":"","family":"Kaever","given":"Volkhard","non-dropping-particle":"","parse-names":false,"suffix":""},{"dropping-particle":"","family":"Siljamäki","given":"Pia","non-dropping-particle":"","parse-names":false,"suffix":""},{"dropping-particle":"","family":"Savijoki","given":"Kirsi","non-dropping-particle":"","parse-names":false,"suffix":""},{"dropping-particle":"","family":"Dupont Søgaard","given":"Mia","non-dropping-particle":"","parse-names":false,"suffix":""},{"dropping-particle":"","family":"Kaever","given":"Volkhard","non-dropping-particle":"","parse-names":false,"suffix":""},{"dropping-particle":"","family":"Siljamäki","given":"Pia","non-dropping-particle":"","parse-names":false,"suffix":""},{"dropping-particle":"","family":"Savijoki","given":"Kirsi","non-dropping-particle":"","parse-names":false,"suffix":""},{"dropping-particle":"","family":"Varmanen","given":"Pekka","non-dropping-particle":"","parse-names":false,"suffix":""},{"dropping-particle":"","family":"Nyman","given":"Tuula A.","non-dropping-particle":"","parse-names":false,"suffix":""},{"dropping-particle":"","family":"Gründling","given":"Angelika","non-dropping-particle":"","parse-names":false,"suffix":""},{"dropping-particle":"","family":"Frees","given":"Dorte","non-dropping-particle":"","parse-names":false,"suffix":""}],"container-title":"mBio","id":"ITEM-1","issue":"4","issued":{"date-parts":[["2016"]]},"page":"1-11","title":"The Cell Wall Polymer Lipoteichoic Acid Becomes Nonessential in Staphylococcus aureus Cells Lacking the ClpX Chaperone Kristoffer","type":"article-journal","volume":"7"},"uris":["http://www.mendeley.com/documents/?uuid=c2036bfc-7c03-4079-9670-e60a12a25742"]}],"mendeley":{"formattedCitation":"&lt;sup&gt;[159]&lt;/sup&gt;","plainTextFormattedCitation":"[159]","previouslyFormattedCitation":"&lt;sup&gt;[159]&lt;/sup&gt;"},"properties":{"noteIndex":0},"schema":"https://github.com/citation-style-language/schema/raw/master/csl-citation.json"}</w:instrText>
      </w:r>
      <w:r>
        <w:fldChar w:fldCharType="separate"/>
      </w:r>
      <w:r w:rsidRPr="0054658D">
        <w:rPr>
          <w:noProof/>
          <w:vertAlign w:val="superscript"/>
        </w:rPr>
        <w:t>[159]</w:t>
      </w:r>
      <w:r>
        <w:fldChar w:fldCharType="end"/>
      </w:r>
      <w:r>
        <w:t xml:space="preserve">. Unlike GdpP, ClpX compensates for the absence of LTA by a c-di-AMP independent pathway most likely associated with cell division </w:t>
      </w:r>
      <w:r>
        <w:fldChar w:fldCharType="begin" w:fldLock="1"/>
      </w:r>
      <w:r>
        <w:instrText>ADDIN CSL_CITATION {"citationItems":[{"id":"ITEM-1","itemData":{"DOI":"10.1128/mBio.01228-16.Invited","ISSN":"2150-7511","PMID":"27507828","abstract":"Lipoteichoic acid (LTA) is an important cell wall component of Gram-positive bacteria and a promising target for the development of vaccines and antimicrobial compounds against Staphylococcus aureus . Here we demonstrate that mutations in the conditionally essential ltaS (LTA synthase) gene arise spontaneously in an S. aureus mutant lacking the ClpX chaperone. A wide variety of ltaS mutations were selected, and among these, a substantial portion resulted in premature stop codons and other changes predicted to abolish LtaS synthesis. Consistent with this assumption, the clpX ltaS double mutants did not produce LTA, and genetic analyses confirmed that LTA becomes nonessential in the absence of the ClpX chaperone. In fact, inactivation of ltaS alleviated the severe growth defect conferred by the clpX deletion. Microscopic analyses showed that the absence of ClpX partly alleviates the septum placement defects of an LTA-depleted strain, while other phenotypes typical of LTA-negative S. aureus mutants, including increased cell size and decreased autolytic activity, are retained. In conclusion, our results indicate that LTA has an essential role in septum placement that can be bypassed by inactivating the ClpX chaperone.","author":[{"dropping-particle":"","family":"Bæk","given":"Kristoffer T.","non-dropping-particle":"","parse-names":false,"suffix":""},{"dropping-particle":"","family":"Bowman","given":"Lisa","non-dropping-particle":"","parse-names":false,"suffix":""},{"dropping-particle":"","family":"Millership","given":"Charlotte","non-dropping-particle":"","parse-names":false,"suffix":""},{"dropping-particle":"","family":"Søgaard","given":"Dupont","non-dropping-particle":"","parse-names":false,"suffix":""},{"dropping-particle":"","family":"Kaever","given":"Volkhard","non-dropping-particle":"","parse-names":false,"suffix":""},{"dropping-particle":"","family":"Siljamäki","given":"Pia","non-dropping-particle":"","parse-names":false,"suffix":""},{"dropping-particle":"","family":"Savijoki","given":"Kirsi","non-dropping-particle":"","parse-names":false,"suffix":""},{"dropping-particle":"","family":"Dupont Søgaard","given":"Mia","non-dropping-particle":"","parse-names":false,"suffix":""},{"dropping-particle":"","family":"Kaever","given":"Volkhard","non-dropping-particle":"","parse-names":false,"suffix":""},{"dropping-particle":"","family":"Siljamäki","given":"Pia","non-dropping-particle":"","parse-names":false,"suffix":""},{"dropping-particle":"","family":"Savijoki","given":"Kirsi","non-dropping-particle":"","parse-names":false,"suffix":""},{"dropping-particle":"","family":"Varmanen","given":"Pekka","non-dropping-particle":"","parse-names":false,"suffix":""},{"dropping-particle":"","family":"Nyman","given":"Tuula A.","non-dropping-particle":"","parse-names":false,"suffix":""},{"dropping-particle":"","family":"Gründling","given":"Angelika","non-dropping-particle":"","parse-names":false,"suffix":""},{"dropping-particle":"","family":"Frees","given":"Dorte","non-dropping-particle":"","parse-names":false,"suffix":""}],"container-title":"mBio","id":"ITEM-1","issue":"4","issued":{"date-parts":[["2016"]]},"page":"1-11","title":"The Cell Wall Polymer Lipoteichoic Acid Becomes Nonessential in Staphylococcus aureus Cells Lacking the ClpX Chaperone Kristoffer","type":"article-journal","volume":"7"},"uris":["http://www.mendeley.com/documents/?uuid=c2036bfc-7c03-4079-9670-e60a12a25742"]}],"mendeley":{"formattedCitation":"&lt;sup&gt;[159]&lt;/sup&gt;","plainTextFormattedCitation":"[159]","previouslyFormattedCitation":"&lt;sup&gt;[159]&lt;/sup&gt;"},"properties":{"noteIndex":0},"schema":"https://github.com/citation-style-language/schema/raw/master/csl-citation.json"}</w:instrText>
      </w:r>
      <w:r>
        <w:fldChar w:fldCharType="separate"/>
      </w:r>
      <w:r w:rsidRPr="0054658D">
        <w:rPr>
          <w:noProof/>
          <w:vertAlign w:val="superscript"/>
        </w:rPr>
        <w:t>[159]</w:t>
      </w:r>
      <w:r>
        <w:fldChar w:fldCharType="end"/>
      </w:r>
      <w:r>
        <w:t xml:space="preserve">. </w:t>
      </w:r>
    </w:p>
    <w:p w14:paraId="055D3074" w14:textId="00100380" w:rsidR="00183A80" w:rsidRDefault="00183A80" w:rsidP="00183A80">
      <w:r>
        <w:t xml:space="preserve">LTA-lacking </w:t>
      </w:r>
      <w:r>
        <w:rPr>
          <w:i/>
          <w:iCs/>
        </w:rPr>
        <w:t xml:space="preserve">S. </w:t>
      </w:r>
      <w:r w:rsidRPr="007240F3">
        <w:rPr>
          <w:i/>
          <w:iCs/>
        </w:rPr>
        <w:t>aureus</w:t>
      </w:r>
      <w:r>
        <w:t xml:space="preserve"> strains have also shown to survive with a mutation in </w:t>
      </w:r>
      <w:r w:rsidRPr="00D47225">
        <w:rPr>
          <w:i/>
          <w:iCs/>
        </w:rPr>
        <w:t>sgtB</w:t>
      </w:r>
      <w:r>
        <w:t xml:space="preserve"> </w:t>
      </w:r>
      <w:r>
        <w:fldChar w:fldCharType="begin" w:fldLock="1"/>
      </w:r>
      <w:r>
        <w:instrText>ADDIN CSL_CITATION {"citationItems":[{"id":"ITEM-1","itemData":{"DOI":"10.1128/JB.00574-18","ISSN":"10985530","PMID":"30322854","abstract":"The cell wall of Staphylococcus aureus is composed of peptidoglycan and the anionic polymers lipoteichoic acid (LTA) and wall teichoic acid. LTA is required for growth and normal cell morphology in S. aureus. Strains lacking LTA are usually viable only when grown under osmotically stabilizing conditions or after the acquisition of compensatory mutations. LTA-negative suppressor strains with inactivating mutations in gdpP, which resulted in increased intracellular c-di-AMP levels, were described previously. Here, we sought to identify factors other than c-di-AMP that allow S. aureus to survive without LTA. LTA-negative strains able to grow in unsupplemented medium were obtained and found to contain mutations in sgtB, mazE, clpX, or vraT. The growth improvement through mutations in mazE and sgtB was confirmed by complementation analysis. We also showed that an S. aureus sgtB transposon mutant, with the monofunctional peptidoglycan glycosyltransferase SgtB inactivated, displayed a 4-fold increase in the MIC of oxacillin, suggesting that alterations in the peptidoglycan structure could help bacteria compensate for the lack of LTA. Muropeptide analysis of peptidoglycans isolated from a wild-type strain and sgtB mutant strain did not reveal any sizable alterations in the peptidoglycan structure. In contrast, the peptidoglycan isolated from an LTA-negative ltaS mutant strain showed a significant reduction in the fraction of highly cross-linked peptidoglycan, which was partially rescued in the sgtB ltaS double mutant suppressor strain. Taken together, these data point toward an important function of LTA in cell wall integrity through its necessity for proper peptidoglycan assembly. IMPORTANCE The bacterial cell wall acts as a primary defense against environmental insults such as changes in osmolarity. It is also a vulnerable structure, as defects in its synthesis can lead to growth arrest or cell death. The important human pathogen Staphylococcus aureus has a typical Gram-positive cell wall, which consists of peptidoglycan and the anionic polymers LTA and wall teichoic acid. Several clinically relevant antibiotics inhibit the synthesis of peptidoglycan; therefore, it and teichoic acids are considered attractive targets for the development of new antimicrobials. We show that LTA is required for efficient peptidoglycan cross-linking in S. aureus and inactivation of a peptidoglycan glycosyltransferase can partially rescue this defect, together revealing an intimat…","author":[{"dropping-particle":"","family":"Karinou","given":"Eleni","non-dropping-particle":"","parse-names":false,"suffix":""},{"dropping-particle":"","family":"Schuster","given":"Christopher F","non-dropping-particle":"","parse-names":false,"suffix":""},{"dropping-particle":"","family":"Pazos","given":"Manuel","non-dropping-particle":"","parse-names":false,"suffix":""},{"dropping-particle":"","family":"Vollmer","given":"Waldemar","non-dropping-particle":"","parse-names":false,"suffix":""},{"dropping-particle":"","family":"Gründling","given":"Angelika","non-dropping-particle":"","parse-names":false,"suffix":""}],"container-title":"Journal of Bacteriology","id":"ITEM-1","issue":"1","issued":{"date-parts":[["2019"]]},"page":"e00574-18","title":"Inactivation of the monofunctional peptidoglycan glycosyltransferase sgtb allows staphylococcus aureus to survive in the absence of lipoteichoic acid","type":"article-journal","volume":"201"},"uris":["http://www.mendeley.com/documents/?uuid=275993e3-df46-3806-86a8-3d77f43c6096"]}],"mendeley":{"formattedCitation":"&lt;sup&gt;[154]&lt;/sup&gt;","plainTextFormattedCitation":"[154]","previouslyFormattedCitation":"&lt;sup&gt;[154]&lt;/sup&gt;"},"properties":{"noteIndex":0},"schema":"https://github.com/citation-style-language/schema/raw/master/csl-citation.json"}</w:instrText>
      </w:r>
      <w:r>
        <w:fldChar w:fldCharType="separate"/>
      </w:r>
      <w:r w:rsidRPr="0054658D">
        <w:rPr>
          <w:noProof/>
          <w:vertAlign w:val="superscript"/>
        </w:rPr>
        <w:t>[154]</w:t>
      </w:r>
      <w:r>
        <w:fldChar w:fldCharType="end"/>
      </w:r>
      <w:r>
        <w:t xml:space="preserve">. SgtB is a dispensable monofunctional transglycosylase that can support bacterial growth in the absence of the essential PBP2 </w:t>
      </w:r>
      <w:r>
        <w:fldChar w:fldCharType="begin" w:fldLock="1"/>
      </w:r>
      <w:r w:rsidR="00260ACA">
        <w:instrText>ADDIN CSL_CITATION {"citationItems":[{"id":"ITEM-1","itemData":{"DOI":"10.1128/JB.01474-10","ISSN":"00219193","PMID":"21441517","abstract":"The polymerization of peptidoglycan is the result of two types of enzymatic activities: transglycosylation, the formation of linear glycan chains, and transpeptidation, the formation of peptide cross-bridges between the glycan strands. Staphylococcus aureus has four penicillin binding proteins (PBP1 to PBP4) with transpeptidation activity, one of which, PBP2, is a bifunctional enzyme that is also capable of catalyzing transglycosylation reactions. Additionally, two monofunctional transglycosylases have been reported in S. aureus: MGT, which has been shown to have in vitro transglycosylase activity, and a second putative transglycosylase, SgtA, identified only by sequence analysis. We have now shown that purified SgtA has in vitro transglycosylase activity and that both MGT and SgtA are not essential in S. aureus. However, in the absence of PBP2 transglycosylase activity, MGT but not SgtA becomes essential for cell viability. This indicates that S. aureus cells require one transglycosylase for survival, either PBP2 or MGT, both of which can act as the sole synthetic transglycosylase for cell wall synthesis. We have also shown that both MGT and SgtA interact with PBP2 and other enzymes involved in cell wall synthesis in a bacterial two-hybrid assay, suggesting that these enzymes may work in collaboration as part of a larger, as-yet-uncharacterized cell wall-synthetic complex. © 2011, American Society for Microbiology.","author":[{"dropping-particle":"","family":"Reed","given":"Patricia","non-dropping-particle":"","parse-names":false,"suffix":""},{"dropping-particle":"","family":"Veiga","given":"Helena","non-dropping-particle":"","parse-names":false,"suffix":""},{"dropping-particle":"","family":"Jorge","given":"Ana M.","non-dropping-particle":"","parse-names":false,"suffix":""},{"dropping-particle":"","family":"Terrak","given":"Mohammed","non-dropping-particle":"","parse-names":false,"suffix":""},{"dropping-particle":"","family":"Pinho","given":"Mariana G.","non-dropping-particle":"","parse-names":false,"suffix":""}],"container-title":"Journal of Bacteriology","id":"ITEM-1","issue":"10","issued":{"date-parts":[["2011","5"]]},"page":"2549-2556","publisher":"American Society for Microbiology (ASM)","title":"Monofunctional transglycosylases are not essential for Staphylococcus aureus cell wall synthesis","type":"article-journal","volume":"193"},"uris":["http://www.mendeley.com/documents/?uuid=c59fc61a-69f3-354f-adb9-79fc76b8d722"]}],"mendeley":{"formattedCitation":"&lt;sup&gt;[46]&lt;/sup&gt;","plainTextFormattedCitation":"[46]","previouslyFormattedCitation":"&lt;sup&gt;[46]&lt;/sup&gt;"},"properties":{"noteIndex":0},"schema":"https://github.com/citation-style-language/schema/raw/master/csl-citation.json"}</w:instrText>
      </w:r>
      <w:r>
        <w:fldChar w:fldCharType="separate"/>
      </w:r>
      <w:r w:rsidR="00C825F9" w:rsidRPr="00C825F9">
        <w:rPr>
          <w:noProof/>
          <w:vertAlign w:val="superscript"/>
        </w:rPr>
        <w:t>[46]</w:t>
      </w:r>
      <w:r>
        <w:fldChar w:fldCharType="end"/>
      </w:r>
      <w:r>
        <w:t xml:space="preserve">. Similarly to the above described mutation, the </w:t>
      </w:r>
      <w:r>
        <w:rPr>
          <w:i/>
          <w:iCs/>
        </w:rPr>
        <w:t>sgtB</w:t>
      </w:r>
      <w:r>
        <w:t xml:space="preserve"> transposon mutant showed a 4-fold increase in the MIC for oxacillin, suggesting that alterations in the PG structure could be involved in compensating the absence of LTA </w:t>
      </w:r>
      <w:r>
        <w:fldChar w:fldCharType="begin" w:fldLock="1"/>
      </w:r>
      <w:r>
        <w:instrText>ADDIN CSL_CITATION {"citationItems":[{"id":"ITEM-1","itemData":{"DOI":"10.1128/JB.00574-18","ISSN":"10985530","PMID":"30322854","abstract":"The cell wall of Staphylococcus aureus is composed of peptidoglycan and the anionic polymers lipoteichoic acid (LTA) and wall teichoic acid. LTA is required for growth and normal cell morphology in S. aureus. Strains lacking LTA are usually viable only when grown under osmotically stabilizing conditions or after the acquisition of compensatory mutations. LTA-negative suppressor strains with inactivating mutations in gdpP, which resulted in increased intracellular c-di-AMP levels, were described previously. Here, we sought to identify factors other than c-di-AMP that allow S. aureus to survive without LTA. LTA-negative strains able to grow in unsupplemented medium were obtained and found to contain mutations in sgtB, mazE, clpX, or vraT. The growth improvement through mutations in mazE and sgtB was confirmed by complementation analysis. We also showed that an S. aureus sgtB transposon mutant, with the monofunctional peptidoglycan glycosyltransferase SgtB inactivated, displayed a 4-fold increase in the MIC of oxacillin, suggesting that alterations in the peptidoglycan structure could help bacteria compensate for the lack of LTA. Muropeptide analysis of peptidoglycans isolated from a wild-type strain and sgtB mutant strain did not reveal any sizable alterations in the peptidoglycan structure. In contrast, the peptidoglycan isolated from an LTA-negative ltaS mutant strain showed a significant reduction in the fraction of highly cross-linked peptidoglycan, which was partially rescued in the sgtB ltaS double mutant suppressor strain. Taken together, these data point toward an important function of LTA in cell wall integrity through its necessity for proper peptidoglycan assembly. IMPORTANCE The bacterial cell wall acts as a primary defense against environmental insults such as changes in osmolarity. It is also a vulnerable structure, as defects in its synthesis can lead to growth arrest or cell death. The important human pathogen Staphylococcus aureus has a typical Gram-positive cell wall, which consists of peptidoglycan and the anionic polymers LTA and wall teichoic acid. Several clinically relevant antibiotics inhibit the synthesis of peptidoglycan; therefore, it and teichoic acids are considered attractive targets for the development of new antimicrobials. We show that LTA is required for efficient peptidoglycan cross-linking in S. aureus and inactivation of a peptidoglycan glycosyltransferase can partially rescue this defect, together revealing an intimat…","author":[{"dropping-particle":"","family":"Karinou","given":"Eleni","non-dropping-particle":"","parse-names":false,"suffix":""},{"dropping-particle":"","family":"Schuster","given":"Christopher F","non-dropping-particle":"","parse-names":false,"suffix":""},{"dropping-particle":"","family":"Pazos","given":"Manuel","non-dropping-particle":"","parse-names":false,"suffix":""},{"dropping-particle":"","family":"Vollmer","given":"Waldemar","non-dropping-particle":"","parse-names":false,"suffix":""},{"dropping-particle":"","family":"Gründling","given":"Angelika","non-dropping-particle":"","parse-names":false,"suffix":""}],"container-title":"Journal of Bacteriology","id":"ITEM-1","issue":"1","issued":{"date-parts":[["2019"]]},"page":"e00574-18","title":"Inactivation of the monofunctional peptidoglycan glycosyltransferase sgtb allows staphylococcus aureus to survive in the absence of lipoteichoic acid","type":"article-journal","volume":"201"},"uris":["http://www.mendeley.com/documents/?uuid=275993e3-df46-3806-86a8-3d77f43c6096"]}],"mendeley":{"formattedCitation":"&lt;sup&gt;[154]&lt;/sup&gt;","plainTextFormattedCitation":"[154]","previouslyFormattedCitation":"&lt;sup&gt;[154]&lt;/sup&gt;"},"properties":{"noteIndex":0},"schema":"https://github.com/citation-style-language/schema/raw/master/csl-citation.json"}</w:instrText>
      </w:r>
      <w:r>
        <w:fldChar w:fldCharType="separate"/>
      </w:r>
      <w:r w:rsidRPr="0054658D">
        <w:rPr>
          <w:noProof/>
          <w:vertAlign w:val="superscript"/>
        </w:rPr>
        <w:t>[154]</w:t>
      </w:r>
      <w:r>
        <w:fldChar w:fldCharType="end"/>
      </w:r>
      <w:r>
        <w:t xml:space="preserve">. This was further confirmed by showing that double </w:t>
      </w:r>
      <w:r>
        <w:rPr>
          <w:i/>
          <w:iCs/>
        </w:rPr>
        <w:t>ltaS sgtB</w:t>
      </w:r>
      <w:r>
        <w:t xml:space="preserve"> mutants rescued the levels of PG cross-linking, which might indicate that LTA compensation occurs by strengthening the CW to withstand the high internal turgor pressure </w:t>
      </w:r>
      <w:r>
        <w:fldChar w:fldCharType="begin" w:fldLock="1"/>
      </w:r>
      <w:r>
        <w:instrText>ADDIN CSL_CITATION {"citationItems":[{"id":"ITEM-1","itemData":{"DOI":"10.1128/JB.00574-18","ISSN":"10985530","PMID":"30322854","abstract":"The cell wall of Staphylococcus aureus is composed of peptidoglycan and the anionic polymers lipoteichoic acid (LTA) and wall teichoic acid. LTA is required for growth and normal cell morphology in S. aureus. Strains lacking LTA are usually viable only when grown under osmotically stabilizing conditions or after the acquisition of compensatory mutations. LTA-negative suppressor strains with inactivating mutations in gdpP, which resulted in increased intracellular c-di-AMP levels, were described previously. Here, we sought to identify factors other than c-di-AMP that allow S. aureus to survive without LTA. LTA-negative strains able to grow in unsupplemented medium were obtained and found to contain mutations in sgtB, mazE, clpX, or vraT. The growth improvement through mutations in mazE and sgtB was confirmed by complementation analysis. We also showed that an S. aureus sgtB transposon mutant, with the monofunctional peptidoglycan glycosyltransferase SgtB inactivated, displayed a 4-fold increase in the MIC of oxacillin, suggesting that alterations in the peptidoglycan structure could help bacteria compensate for the lack of LTA. Muropeptide analysis of peptidoglycans isolated from a wild-type strain and sgtB mutant strain did not reveal any sizable alterations in the peptidoglycan structure. In contrast, the peptidoglycan isolated from an LTA-negative ltaS mutant strain showed a significant reduction in the fraction of highly cross-linked peptidoglycan, which was partially rescued in the sgtB ltaS double mutant suppressor strain. Taken together, these data point toward an important function of LTA in cell wall integrity through its necessity for proper peptidoglycan assembly. IMPORTANCE The bacterial cell wall acts as a primary defense against environmental insults such as changes in osmolarity. It is also a vulnerable structure, as defects in its synthesis can lead to growth arrest or cell death. The important human pathogen Staphylococcus aureus has a typical Gram-positive cell wall, which consists of peptidoglycan and the anionic polymers LTA and wall teichoic acid. Several clinically relevant antibiotics inhibit the synthesis of peptidoglycan; therefore, it and teichoic acids are considered attractive targets for the development of new antimicrobials. We show that LTA is required for efficient peptidoglycan cross-linking in S. aureus and inactivation of a peptidoglycan glycosyltransferase can partially rescue this defect, together revealing an intimat…","author":[{"dropping-particle":"","family":"Karinou","given":"Eleni","non-dropping-particle":"","parse-names":false,"suffix":""},{"dropping-particle":"","family":"Schuster","given":"Christopher F","non-dropping-particle":"","parse-names":false,"suffix":""},{"dropping-particle":"","family":"Pazos","given":"Manuel","non-dropping-particle":"","parse-names":false,"suffix":""},{"dropping-particle":"","family":"Vollmer","given":"Waldemar","non-dropping-particle":"","parse-names":false,"suffix":""},{"dropping-particle":"","family":"Gründling","given":"Angelika","non-dropping-particle":"","parse-names":false,"suffix":""}],"container-title":"Journal of Bacteriology","id":"ITEM-1","issue":"1","issued":{"date-parts":[["2019"]]},"page":"e00574-18","title":"Inactivation of the monofunctional peptidoglycan glycosyltransferase sgtb allows staphylococcus aureus to survive in the absence of lipoteichoic acid","type":"article-journal","volume":"201"},"uris":["http://www.mendeley.com/documents/?uuid=275993e3-df46-3806-86a8-3d77f43c6096"]}],"mendeley":{"formattedCitation":"&lt;sup&gt;[154]&lt;/sup&gt;","plainTextFormattedCitation":"[154]","previouslyFormattedCitation":"&lt;sup&gt;[154]&lt;/sup&gt;"},"properties":{"noteIndex":0},"schema":"https://github.com/citation-style-language/schema/raw/master/csl-citation.json"}</w:instrText>
      </w:r>
      <w:r>
        <w:fldChar w:fldCharType="separate"/>
      </w:r>
      <w:r w:rsidRPr="0054658D">
        <w:rPr>
          <w:noProof/>
          <w:vertAlign w:val="superscript"/>
        </w:rPr>
        <w:t>[154]</w:t>
      </w:r>
      <w:r>
        <w:fldChar w:fldCharType="end"/>
      </w:r>
      <w:r>
        <w:t>.</w:t>
      </w:r>
    </w:p>
    <w:p w14:paraId="631891D4" w14:textId="7410806D" w:rsidR="00183A80" w:rsidRDefault="00183A80" w:rsidP="00183A80">
      <w:r w:rsidRPr="00D47225">
        <w:t>MazE</w:t>
      </w:r>
      <w:r w:rsidRPr="0072599B">
        <w:t>,</w:t>
      </w:r>
      <w:r>
        <w:rPr>
          <w:i/>
          <w:iCs/>
        </w:rPr>
        <w:t xml:space="preserve"> </w:t>
      </w:r>
      <w:r>
        <w:t>as part of the MazEF type II toxin-antitoxin system, is involved in the full activity of the alternative sigma factor SigB (</w:t>
      </w:r>
      <w:r>
        <w:rPr>
          <w:lang w:val="el-GR"/>
        </w:rPr>
        <w:t>σ</w:t>
      </w:r>
      <w:r>
        <w:rPr>
          <w:vertAlign w:val="superscript"/>
        </w:rPr>
        <w:t>B</w:t>
      </w:r>
      <w:r>
        <w:t xml:space="preserve">) </w:t>
      </w:r>
      <w:r>
        <w:fldChar w:fldCharType="begin" w:fldLock="1"/>
      </w:r>
      <w:r>
        <w:instrText>ADDIN CSL_CITATION {"citationItems":[{"id":"ITEM-1","itemData":{"DOI":"10.1128/JB.01713-08","ISSN":"00219193","PMID":"19181798","abstract":"In Staphylococcus aureus, the sigB operon codes for the alternative sigma factor σ B and its regulators that enable the bacteria to rapidly respond to environmental stresses via redirection of transcriptional priorities. However, a full model of σ B regulation in S. aureus has not yet emerged. Earlier data has suggested that mazEF, a toxin-antitoxin (TA) module immediately upstream of the sigB operon, was transcribed with the sigB operon. Here we demonstrate that the promoter P mazE upstream of mazEF is essential for full σ B activity and that instead of utilizing autorepression typical of TA systems, sigB downregulates this promoter, providing a negative-feedback loop for sigB to repress its own transcription. We have also found that the transcriptional regulator SarA binds and activates P mazE. In addition, P mazE was shown to respond to environmental and antibiotic stresses in a way that provides an additional layer of control over sigB expression. The antibiotic response also appears to occur in two other TA systems in S. aureus, indicating a shared mechanism of regulation.Copyright © 2009, American Society for Microbiology. All Rights Reserved.","author":[{"dropping-particle":"","family":"Donegan","given":"Niles P.","non-dropping-particle":"","parse-names":false,"suffix":""},{"dropping-particle":"","family":"Cheung","given":"Ambrose L.","non-dropping-particle":"","parse-names":false,"suffix":""}],"container-title":"Journal of Bacteriology","id":"ITEM-1","issue":"8","issued":{"date-parts":[["2009","4"]]},"page":"2795-2805","publisher":"American Society for Microbiology (ASM)","title":"Regulation of the mazEF toxin-antitoxin module in Staphylococcus aureus and its impact on sigB expression","type":"article-journal","volume":"191"},"uris":["http://www.mendeley.com/documents/?uuid=fdc57633-f8b6-3c24-89cc-ef0bc197689b"]}],"mendeley":{"formattedCitation":"&lt;sup&gt;[160]&lt;/sup&gt;","plainTextFormattedCitation":"[160]","previouslyFormattedCitation":"&lt;sup&gt;[160]&lt;/sup&gt;"},"properties":{"noteIndex":0},"schema":"https://github.com/citation-style-language/schema/raw/master/csl-citation.json"}</w:instrText>
      </w:r>
      <w:r>
        <w:fldChar w:fldCharType="separate"/>
      </w:r>
      <w:r w:rsidRPr="0054658D">
        <w:rPr>
          <w:noProof/>
          <w:vertAlign w:val="superscript"/>
        </w:rPr>
        <w:t>[160]</w:t>
      </w:r>
      <w:r>
        <w:fldChar w:fldCharType="end"/>
      </w:r>
      <w:r>
        <w:t xml:space="preserve">. Over expression of this factor results in a 20 % thicker CW and increased resistance to CW antibiotic </w:t>
      </w:r>
      <w:r>
        <w:fldChar w:fldCharType="begin" w:fldLock="1"/>
      </w:r>
      <w:r>
        <w:instrText>ADDIN CSL_CITATION {"citationItems":[{"id":"ITEM-1","itemData":{"DOI":"10.1006/bbrc.2001.5774","ISSN":"0006291X","PMID":"11606054","abstract":"Whole genome sequence analysis revealed that Staphylococcus aureus is provided with only a few sigma factors, including the alternative sigma factor, σB, which is thought to regulate some stress responses. Since the sigB knock-out mutant did not show remarkable phenotypic difference, we constructed the over expressed mutant to examine the role of the sigB. Electron microscopic observation revealed that the mutant showed a variety of cell sizes compared with the parent strain which showed almost homogeneous cell sizes. The mutant delivered a thicker cell wall, about 20% thicker than the parent strain. It became resistant to the lytic activity of lysostaphin and also raised MICs to the cell-wall-affecting antibiotics. The yield of carotenoids and transcripts of pbps were also increased in the mutant. The result suggests that sigB plays some important roles in cell wall synthesis and in resistance to antibiotics that perturb the cell wall synthesis. © 2001 Academic Press.","author":[{"dropping-particle":"","family":"Morikawa","given":"Kazuya","non-dropping-particle":"","parse-names":false,"suffix":""},{"dropping-particle":"","family":"Maruyama","given":"Atsushi","non-dropping-particle":"","parse-names":false,"suffix":""},{"dropping-particle":"","family":"Inose","given":"Yumiko","non-dropping-particle":"","parse-names":false,"suffix":""},{"dropping-particle":"","family":"Higashide","given":"Masato","non-dropping-particle":"","parse-names":false,"suffix":""},{"dropping-particle":"","family":"Hayashi","given":"Hideo","non-dropping-particle":"","parse-names":false,"suffix":""},{"dropping-particle":"","family":"Ohta","given":"Toshiko","non-dropping-particle":"","parse-names":false,"suffix":""}],"container-title":"Biochemical and Biophysical Research Communications","id":"ITEM-1","issue":"2","issued":{"date-parts":[["2001","10","26"]]},"page":"385-389","publisher":"Academic Press","title":"Overexpression of sigma factor, σB, urges Staphylococcus aureus to thicken the cell wall and to resist β-lactams","type":"article-journal","volume":"288"},"uris":["http://www.mendeley.com/documents/?uuid=c48787b0-d2df-3cab-9106-273006a9989e"]}],"mendeley":{"formattedCitation":"&lt;sup&gt;[161]&lt;/sup&gt;","plainTextFormattedCitation":"[161]","previouslyFormattedCitation":"&lt;sup&gt;[161]&lt;/sup&gt;"},"properties":{"noteIndex":0},"schema":"https://github.com/citation-style-language/schema/raw/master/csl-citation.json"}</w:instrText>
      </w:r>
      <w:r>
        <w:fldChar w:fldCharType="separate"/>
      </w:r>
      <w:r w:rsidRPr="0054658D">
        <w:rPr>
          <w:noProof/>
          <w:vertAlign w:val="superscript"/>
        </w:rPr>
        <w:t>[161]</w:t>
      </w:r>
      <w:r>
        <w:fldChar w:fldCharType="end"/>
      </w:r>
      <w:r>
        <w:t xml:space="preserve">. Inactivation of </w:t>
      </w:r>
      <w:r>
        <w:rPr>
          <w:i/>
          <w:iCs/>
        </w:rPr>
        <w:t>mazE</w:t>
      </w:r>
      <w:r>
        <w:t xml:space="preserve"> leads to viable </w:t>
      </w:r>
      <w:r>
        <w:rPr>
          <w:i/>
          <w:iCs/>
        </w:rPr>
        <w:t>ltaS</w:t>
      </w:r>
      <w:r>
        <w:t xml:space="preserve"> mutant </w:t>
      </w:r>
    </w:p>
    <w:p w14:paraId="28113102" w14:textId="3319BECC" w:rsidR="00183A80" w:rsidRDefault="00183A80" w:rsidP="00D7467C">
      <w:pPr>
        <w:sectPr w:rsidR="00183A80" w:rsidSect="004D0E05">
          <w:pgSz w:w="11906" w:h="16838"/>
          <w:pgMar w:top="1191" w:right="1247" w:bottom="1191" w:left="1247" w:header="709" w:footer="709" w:gutter="0"/>
          <w:cols w:space="708"/>
          <w:titlePg/>
          <w:docGrid w:linePitch="360"/>
        </w:sectPr>
      </w:pPr>
    </w:p>
    <w:p w14:paraId="3691D84B" w14:textId="77777777" w:rsidR="00117EB6" w:rsidRDefault="00117EB6" w:rsidP="00117EB6">
      <w:pPr>
        <w:pStyle w:val="NoSpacing"/>
        <w:keepNext/>
        <w:jc w:val="center"/>
      </w:pPr>
      <w:r>
        <w:rPr>
          <w:noProof/>
        </w:rPr>
        <w:lastRenderedPageBreak/>
        <w:drawing>
          <wp:inline distT="0" distB="0" distL="0" distR="0" wp14:anchorId="49513BA0" wp14:editId="4C6944C3">
            <wp:extent cx="5790838" cy="2871088"/>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20">
                      <a:extLst>
                        <a:ext uri="{28A0092B-C50C-407E-A947-70E740481C1C}">
                          <a14:useLocalDpi xmlns:a14="http://schemas.microsoft.com/office/drawing/2010/main" val="0"/>
                        </a:ext>
                      </a:extLst>
                    </a:blip>
                    <a:stretch>
                      <a:fillRect/>
                    </a:stretch>
                  </pic:blipFill>
                  <pic:spPr>
                    <a:xfrm>
                      <a:off x="0" y="0"/>
                      <a:ext cx="5809876" cy="2880527"/>
                    </a:xfrm>
                    <a:prstGeom prst="rect">
                      <a:avLst/>
                    </a:prstGeom>
                  </pic:spPr>
                </pic:pic>
              </a:graphicData>
            </a:graphic>
          </wp:inline>
        </w:drawing>
      </w:r>
    </w:p>
    <w:p w14:paraId="1423826D" w14:textId="289136B4" w:rsidR="00117EB6" w:rsidRDefault="00117EB6" w:rsidP="00117EB6">
      <w:pPr>
        <w:pStyle w:val="Caption"/>
      </w:pPr>
      <w:bookmarkStart w:id="84" w:name="_Ref77086607"/>
      <w:bookmarkStart w:id="85" w:name="_Toc90216933"/>
      <w:r>
        <w:t xml:space="preserve">Figure </w:t>
      </w:r>
      <w:fldSimple w:instr=" STYLEREF 1 \s ">
        <w:r w:rsidR="00183CC8">
          <w:rPr>
            <w:noProof/>
          </w:rPr>
          <w:t>1</w:t>
        </w:r>
      </w:fldSimple>
      <w:r>
        <w:t>.</w:t>
      </w:r>
      <w:fldSimple w:instr=" SEQ Figure \* ARABIC \s 1 ">
        <w:r w:rsidR="00183CC8">
          <w:rPr>
            <w:noProof/>
          </w:rPr>
          <w:t>8</w:t>
        </w:r>
      </w:fldSimple>
      <w:bookmarkEnd w:id="84"/>
      <w:r>
        <w:t xml:space="preserve"> GdpP involvement in c-di-AMP degradation and LTA-depletion compensation.</w:t>
      </w:r>
      <w:bookmarkEnd w:id="85"/>
    </w:p>
    <w:p w14:paraId="7517B121" w14:textId="77777777" w:rsidR="009C7AFB" w:rsidRDefault="00117EB6" w:rsidP="00117EB6">
      <w:pPr>
        <w:pStyle w:val="NoSpacing"/>
        <w:sectPr w:rsidR="009C7AFB" w:rsidSect="004D0E05">
          <w:pgSz w:w="11906" w:h="16838"/>
          <w:pgMar w:top="1191" w:right="1247" w:bottom="1191" w:left="1247" w:header="709" w:footer="709" w:gutter="0"/>
          <w:cols w:space="708"/>
          <w:titlePg/>
          <w:docGrid w:linePitch="360"/>
        </w:sectPr>
      </w:pPr>
      <w:r>
        <w:rPr>
          <w:b/>
          <w:bCs/>
        </w:rPr>
        <w:t>(A)</w:t>
      </w:r>
      <w:r>
        <w:t xml:space="preserve"> c-di-AMP (dark blue circles) is synthesised by DacA (grey) from two ATP molecules (pale blue circles). GdpP (red) hydrolyses c-di-AMP into 5’-pApA (purple circles). </w:t>
      </w:r>
      <w:r>
        <w:rPr>
          <w:b/>
          <w:bCs/>
        </w:rPr>
        <w:t>(B)</w:t>
      </w:r>
      <w:r>
        <w:t xml:space="preserve"> LTA-depleted cells surviving with a suppressor mutation in </w:t>
      </w:r>
      <w:r>
        <w:rPr>
          <w:i/>
          <w:iCs/>
        </w:rPr>
        <w:t>gdpP</w:t>
      </w:r>
      <w:r>
        <w:t xml:space="preserve">, lead to an increase in intracellular levels of c-di-AMP. It is suggested that these later bind to other target proteins (bright orange) and affect their activity or the expression of additional proteins. Yellow– cell wall, Peach– lipoteichoic acids (LTA), Green– cytoplasm. Obtained from Corrigan </w:t>
      </w:r>
      <w:r>
        <w:rPr>
          <w:i/>
          <w:iCs/>
        </w:rPr>
        <w:t>et al.,</w:t>
      </w:r>
      <w:r>
        <w:t xml:space="preserve"> (2011) </w:t>
      </w:r>
      <w:r>
        <w:fldChar w:fldCharType="begin" w:fldLock="1"/>
      </w:r>
      <w:r>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mendeley":{"formattedCitation":"&lt;sup&gt;[63]&lt;/sup&gt;","plainTextFormattedCitation":"[63]","previouslyFormattedCitation":"&lt;sup&gt;[63]&lt;/sup&gt;"},"properties":{"noteIndex":0},"schema":"https://github.com/citation-style-language/schema/raw/master/csl-citation.json"}</w:instrText>
      </w:r>
      <w:r>
        <w:fldChar w:fldCharType="separate"/>
      </w:r>
      <w:r w:rsidRPr="00DA0A83">
        <w:rPr>
          <w:noProof/>
          <w:vertAlign w:val="superscript"/>
        </w:rPr>
        <w:t>[63]</w:t>
      </w:r>
      <w:r>
        <w:fldChar w:fldCharType="end"/>
      </w:r>
      <w:r>
        <w:t>.</w:t>
      </w:r>
      <w:r w:rsidRPr="00382196">
        <w:t xml:space="preserve"> </w:t>
      </w:r>
    </w:p>
    <w:p w14:paraId="34FD2621" w14:textId="77777777" w:rsidR="00117EB6" w:rsidRDefault="009C7AFB" w:rsidP="009F1AAB">
      <w:r>
        <w:lastRenderedPageBreak/>
        <w:t xml:space="preserve">strains, and its compensatory mechanism could involve the CW homeostasis as a result of its effect on </w:t>
      </w:r>
      <w:r>
        <w:rPr>
          <w:lang w:val="el-GR"/>
        </w:rPr>
        <w:t>σ</w:t>
      </w:r>
      <w:r>
        <w:rPr>
          <w:vertAlign w:val="superscript"/>
        </w:rPr>
        <w:t>B</w:t>
      </w:r>
      <w:r>
        <w:t xml:space="preserve"> </w:t>
      </w:r>
      <w:r>
        <w:fldChar w:fldCharType="begin" w:fldLock="1"/>
      </w:r>
      <w:r>
        <w:instrText>ADDIN CSL_CITATION {"citationItems":[{"id":"ITEM-1","itemData":{"DOI":"10.1128/JB.00574-18","ISSN":"10985530","PMID":"30322854","abstract":"The cell wall of Staphylococcus aureus is composed of peptidoglycan and the anionic polymers lipoteichoic acid (LTA) and wall teichoic acid. LTA is required for growth and normal cell morphology in S. aureus. Strains lacking LTA are usually viable only when grown under osmotically stabilizing conditions or after the acquisition of compensatory mutations. LTA-negative suppressor strains with inactivating mutations in gdpP, which resulted in increased intracellular c-di-AMP levels, were described previously. Here, we sought to identify factors other than c-di-AMP that allow S. aureus to survive without LTA. LTA-negative strains able to grow in unsupplemented medium were obtained and found to contain mutations in sgtB, mazE, clpX, or vraT. The growth improvement through mutations in mazE and sgtB was confirmed by complementation analysis. We also showed that an S. aureus sgtB transposon mutant, with the monofunctional peptidoglycan glycosyltransferase SgtB inactivated, displayed a 4-fold increase in the MIC of oxacillin, suggesting that alterations in the peptidoglycan structure could help bacteria compensate for the lack of LTA. Muropeptide analysis of peptidoglycans isolated from a wild-type strain and sgtB mutant strain did not reveal any sizable alterations in the peptidoglycan structure. In contrast, the peptidoglycan isolated from an LTA-negative ltaS mutant strain showed a significant reduction in the fraction of highly cross-linked peptidoglycan, which was partially rescued in the sgtB ltaS double mutant suppressor strain. Taken together, these data point toward an important function of LTA in cell wall integrity through its necessity for proper peptidoglycan assembly. IMPORTANCE The bacterial cell wall acts as a primary defense against environmental insults such as changes in osmolarity. It is also a vulnerable structure, as defects in its synthesis can lead to growth arrest or cell death. The important human pathogen Staphylococcus aureus has a typical Gram-positive cell wall, which consists of peptidoglycan and the anionic polymers LTA and wall teichoic acid. Several clinically relevant antibiotics inhibit the synthesis of peptidoglycan; therefore, it and teichoic acids are considered attractive targets for the development of new antimicrobials. We show that LTA is required for efficient peptidoglycan cross-linking in S. aureus and inactivation of a peptidoglycan glycosyltransferase can partially rescue this defect, together revealing an intimat…","author":[{"dropping-particle":"","family":"Karinou","given":"Eleni","non-dropping-particle":"","parse-names":false,"suffix":""},{"dropping-particle":"","family":"Schuster","given":"Christopher F","non-dropping-particle":"","parse-names":false,"suffix":""},{"dropping-particle":"","family":"Pazos","given":"Manuel","non-dropping-particle":"","parse-names":false,"suffix":""},{"dropping-particle":"","family":"Vollmer","given":"Waldemar","non-dropping-particle":"","parse-names":false,"suffix":""},{"dropping-particle":"","family":"Gründling","given":"Angelika","non-dropping-particle":"","parse-names":false,"suffix":""}],"container-title":"Journal of Bacteriology","id":"ITEM-1","issue":"1","issued":{"date-parts":[["2019"]]},"page":"e00574-18","title":"Inactivation of the monofunctional peptidoglycan glycosyltransferase sgtb allows staphylococcus aureus to survive in the absence of lipoteichoic acid","type":"article-journal","volume":"201"},"uris":["http://www.mendeley.com/documents/?uuid=275993e3-df46-3806-86a8-3d77f43c6096"]}],"mendeley":{"formattedCitation":"&lt;sup&gt;[154]&lt;/sup&gt;","plainTextFormattedCitation":"[154]","previouslyFormattedCitation":"&lt;sup&gt;[154]&lt;/sup&gt;"},"properties":{"noteIndex":0},"schema":"https://github.com/citation-style-language/schema/raw/master/csl-citation.json"}</w:instrText>
      </w:r>
      <w:r>
        <w:fldChar w:fldCharType="separate"/>
      </w:r>
      <w:r w:rsidRPr="0054658D">
        <w:rPr>
          <w:noProof/>
          <w:vertAlign w:val="superscript"/>
        </w:rPr>
        <w:t>[154]</w:t>
      </w:r>
      <w:r>
        <w:fldChar w:fldCharType="end"/>
      </w:r>
      <w:r>
        <w:t>.</w:t>
      </w:r>
    </w:p>
    <w:p w14:paraId="0141DF1F" w14:textId="310B1F9C" w:rsidR="00382196" w:rsidRPr="005B0F81" w:rsidRDefault="00382196" w:rsidP="00382196">
      <w:pPr>
        <w:pStyle w:val="Heading2"/>
      </w:pPr>
      <w:bookmarkStart w:id="86" w:name="_Toc64276278"/>
      <w:bookmarkStart w:id="87" w:name="_Toc64276582"/>
      <w:bookmarkStart w:id="88" w:name="_Toc64276794"/>
      <w:bookmarkStart w:id="89" w:name="_Toc90216734"/>
      <w:r w:rsidRPr="005B0F81">
        <w:t>The exoplasmic space</w:t>
      </w:r>
      <w:bookmarkEnd w:id="86"/>
      <w:bookmarkEnd w:id="87"/>
      <w:bookmarkEnd w:id="88"/>
      <w:r w:rsidR="002E27B3">
        <w:t xml:space="preserve"> of Gram-positives</w:t>
      </w:r>
      <w:r w:rsidR="007006CC">
        <w:t>.</w:t>
      </w:r>
      <w:bookmarkEnd w:id="89"/>
    </w:p>
    <w:p w14:paraId="00EC51DF" w14:textId="35EEF0A2" w:rsidR="00382196" w:rsidRDefault="00382196" w:rsidP="00382196">
      <w:r>
        <w:t xml:space="preserve">Gram-positives have a single </w:t>
      </w:r>
      <w:r w:rsidRPr="00320A11">
        <w:t xml:space="preserve">phospholipid bilayer </w:t>
      </w:r>
      <w:r>
        <w:t>which is of great importance, as it is where a lot of bacterial functions are carried</w:t>
      </w:r>
      <w:r w:rsidR="000D7771">
        <w:t xml:space="preserve"> out</w:t>
      </w:r>
      <w:r>
        <w:t xml:space="preserve"> </w:t>
      </w:r>
      <w:r>
        <w:fldChar w:fldCharType="begin" w:fldLock="1"/>
      </w:r>
      <w:r w:rsidR="00DA0A83">
        <w:instrText>ADDIN CSL_CITATION {"citationItems":[{"id":"ITEM-1","itemData":{"DOI":"10.1101/cshperspect.a000414","ISBN":"1943-0264 (Electronic)","ISSN":"19430264","PMID":"20452953","abstract":"The bacteria cell envelope is a complex multilayered structure that serves to protect these organisms from their unpredictable and often hostile environment. The cell envelopes of most bacteria fall into one of two major groups. Gram-negative bacteria are surrounded by a thin peptidoglycan cell wall, which itself is surrounded by an outer membrane containing lipopolysaccharide. Gram-positive bacteria lack an outer membrane but are surrounded by layers of peptidoglycan many times thicker than is found in the gram-negatives. Threading through these layers of peptidoglycan are long anionic polymers, called teichoic acids. The composition and organization of these envelope layers and recent insights into the mechanisms of cell envelope assembly are discussed.","author":[{"dropping-particle":"","family":"Silhavy","given":"Thomas","non-dropping-particle":"","parse-names":false,"suffix":""},{"dropping-particle":"","family":"Kahne","given":"Daniel","non-dropping-particle":"","parse-names":false,"suffix":""},{"dropping-particle":"","family":"Walker","given":"Suzanne","non-dropping-particle":"","parse-names":false,"suffix":""}],"container-title":"Cold Spring Harbor perspectives in biology","id":"ITEM-1","issue":"5","issued":{"date-parts":[["2010"]]},"page":"1-16","title":"The bacterial cell envelope.","type":"article-journal","volume":"2"},"uris":["http://www.mendeley.com/documents/?uuid=cabb3e66-261f-40a6-becd-647af3e2f1c7"]}],"mendeley":{"formattedCitation":"&lt;sup&gt;[14]&lt;/sup&gt;","plainTextFormattedCitation":"[14]","previouslyFormattedCitation":"&lt;sup&gt;[14]&lt;/sup&gt;"},"properties":{"noteIndex":0},"schema":"https://github.com/citation-style-language/schema/raw/master/csl-citation.json"}</w:instrText>
      </w:r>
      <w:r>
        <w:fldChar w:fldCharType="separate"/>
      </w:r>
      <w:r w:rsidR="00DA0A83" w:rsidRPr="00DA0A83">
        <w:rPr>
          <w:noProof/>
          <w:vertAlign w:val="superscript"/>
        </w:rPr>
        <w:t>[14]</w:t>
      </w:r>
      <w:r>
        <w:fldChar w:fldCharType="end"/>
      </w:r>
      <w:r>
        <w:t xml:space="preserve">. </w:t>
      </w:r>
      <w:r w:rsidR="000D7771">
        <w:t>As described above, s</w:t>
      </w:r>
      <w:r>
        <w:t>ome key membrane-associated processes include energy production, lipid biosynthesis, PG biosynthesis, and teichoic acids biosynthesis</w:t>
      </w:r>
      <w:r w:rsidR="007F6A78">
        <w:t>.</w:t>
      </w:r>
      <w:r>
        <w:t xml:space="preserve"> Later stages of these processes are carried out</w:t>
      </w:r>
      <w:r w:rsidR="004C720B">
        <w:t xml:space="preserve"> on the outside,</w:t>
      </w:r>
      <w:r>
        <w:t xml:space="preserve"> in the </w:t>
      </w:r>
      <w:r w:rsidR="007E0CF2">
        <w:t>region</w:t>
      </w:r>
      <w:r>
        <w:t xml:space="preserve"> between the membrane and the CW.</w:t>
      </w:r>
      <w:r w:rsidR="00ED3F35">
        <w:t xml:space="preserve"> </w:t>
      </w:r>
      <w:r w:rsidR="007F6A78">
        <w:t xml:space="preserve">The periplasmic space of Gram-negative bacteria has </w:t>
      </w:r>
      <w:r w:rsidR="002D7C92">
        <w:t xml:space="preserve">been </w:t>
      </w:r>
      <w:r w:rsidR="007F6A78">
        <w:t>thoroughly described</w:t>
      </w:r>
      <w:r w:rsidR="008D088C">
        <w:t xml:space="preserve"> </w:t>
      </w:r>
      <w:r w:rsidR="008D088C">
        <w:fldChar w:fldCharType="begin" w:fldLock="1"/>
      </w:r>
      <w:r w:rsidR="005F2DD4">
        <w:instrText>ADDIN CSL_CITATION {"citationItems":[{"id":"ITEM-1","itemData":{"DOI":"10.1080/10408419891294172","ISSN":"15497828","abstract":"When subject to an osmotic ‘up-shock’, water flows outward from bacterial cytoplasm of the bacterium. Lipid bilayers can shrink very little in area and therefore must wrinkle to accommodate the smaller volume. The usual consequence is that all the layers of the cell envelope must become wrinkled together because they adhere to each other and must now cover a smaller surface. Plasmolysis spaces are formed if the cytoplasmic membrane (CM) separates from the other components of the wall. However, because the CM bilayer is essentially an incompressible two-dimensional liquid, this constraint restricts the location and shape of plasmolysis spaces. With mild up-shocks they form at the pole and around constricting regions in the cell. Elsewhere their creation requires the formation of endocytotic or exocytotic vesicles. The formation of endocytotic vesicles occurs in animal and plant cells as well as in bacterial cells. With stronger up-shocks tubular structures (Bayer adhesion sites), or other special geometric shapes (e.g., Scheie structures) allow the bilayer to surround an irregular shaped cytoplast. Periosmotic agents, that is, those that extract water from the periplasm as well as the cytoplasm, are molecules such as poly-vinyl-pyrrolidone and alpha-cyclodextrin that are too large to pass through the porins in the outer membrane. They were found to significantly inhibit the formation of plasmolysis spaces. Presumably, they inhibit the plasmolysis process, which requires that extracellular fluid enter between the CM and the outer membrane (OM). In the extreme case, with the dehydrating action of both osmotic agents and periosmotic agents, periplasmic space formation tends to be prevented and a new kind of space develops within the cytoplasm. We have designated these as ‘cytoplasmic voids’. These novel structures are not bounded by lipid bilayers, in contrast to the endocytotic vesicles. These new spaces appear to result from the negative turgor pressure generated by the application of the combination of osmotic and periosmotic agents causing bubble formation. Several ideas in the literature about the wall biology (periseptal annuli, leading edge, osmotic pressure in the periplasm) are presented and critiqued. The basic criticism of these is that much of the phenomena can be explained because of the physics of the phospholipid bilayers and osmotic forces and thus does not imply the existence of a special control mechanism to regulate growth and division. ©…","author":[{"dropping-particle":"","family":"Koch","given":"Arthur L.","non-dropping-particle":"","parse-names":false,"suffix":""}],"container-title":"Critical Reviews in Microbiology","id":"ITEM-1","issue":"1","issued":{"date-parts":[["1998"]]},"page":"23-59","title":"The Biophysics of the Gram-Negative Periplasmic Space","type":"article-journal","volume":"24"},"uris":["http://www.mendeley.com/documents/?uuid=1bc1c248-0533-43b7-b28b-617de1c5ce6b"]},{"id":"ITEM-2","itemData":{"DOI":"10.1101/cshperspect.a000414","ISBN":"1943-0264 (Electronic)","ISSN":"19430264","PMID":"20452953","abstract":"The bacteria cell envelope is a complex multilayered structure that serves to protect these organisms from their unpredictable and often hostile environment. The cell envelopes of most bacteria fall into one of two major groups. Gram-negative bacteria are surrounded by a thin peptidoglycan cell wall, which itself is surrounded by an outer membrane containing lipopolysaccharide. Gram-positive bacteria lack an outer membrane but are surrounded by layers of peptidoglycan many times thicker than is found in the gram-negatives. Threading through these layers of peptidoglycan are long anionic polymers, called teichoic acids. The composition and organization of these envelope layers and recent insights into the mechanisms of cell envelope assembly are discussed.","author":[{"dropping-particle":"","family":"Silhavy","given":"Thomas","non-dropping-particle":"","parse-names":false,"suffix":""},{"dropping-particle":"","family":"Kahne","given":"Daniel","non-dropping-particle":"","parse-names":false,"suffix":""},{"dropping-particle":"","family":"Walker","given":"Suzanne","non-dropping-particle":"","parse-names":false,"suffix":""}],"container-title":"Cold Spring Harbor perspectives in biology","id":"ITEM-2","issue":"5","issued":{"date-parts":[["2010"]]},"page":"1-16","title":"The bacterial cell envelope.","type":"article-journal","volume":"2"},"uris":["http://www.mendeley.com/documents/?uuid=cabb3e66-261f-40a6-becd-647af3e2f1c7"]}],"mendeley":{"formattedCitation":"&lt;sup&gt;[14,162]&lt;/sup&gt;","plainTextFormattedCitation":"[14,162]","previouslyFormattedCitation":"&lt;sup&gt;[14,162]&lt;/sup&gt;"},"properties":{"noteIndex":0},"schema":"https://github.com/citation-style-language/schema/raw/master/csl-citation.json"}</w:instrText>
      </w:r>
      <w:r w:rsidR="008D088C">
        <w:fldChar w:fldCharType="separate"/>
      </w:r>
      <w:r w:rsidR="0054658D" w:rsidRPr="0054658D">
        <w:rPr>
          <w:noProof/>
          <w:vertAlign w:val="superscript"/>
        </w:rPr>
        <w:t>[14,162]</w:t>
      </w:r>
      <w:r w:rsidR="008D088C">
        <w:fldChar w:fldCharType="end"/>
      </w:r>
      <w:r w:rsidR="007F6A78">
        <w:t xml:space="preserve">. However, it </w:t>
      </w:r>
      <w:r w:rsidR="009A6E7B">
        <w:t>was only when</w:t>
      </w:r>
      <w:r w:rsidR="007F6A78">
        <w:t xml:space="preserve"> Matias &amp; Beveridge analysed </w:t>
      </w:r>
      <w:r w:rsidR="000D7771">
        <w:t xml:space="preserve">vitreous thin-sections from </w:t>
      </w:r>
      <w:r w:rsidR="007F6A78">
        <w:t xml:space="preserve">samples of </w:t>
      </w:r>
      <w:r w:rsidR="007F6A78">
        <w:rPr>
          <w:i/>
          <w:iCs/>
        </w:rPr>
        <w:t>B. subtilis</w:t>
      </w:r>
      <w:r w:rsidR="007F6A78">
        <w:t xml:space="preserve"> and </w:t>
      </w:r>
      <w:r w:rsidR="007F6A78">
        <w:rPr>
          <w:i/>
          <w:iCs/>
        </w:rPr>
        <w:t>S. aureus</w:t>
      </w:r>
      <w:r w:rsidR="000D7771">
        <w:t xml:space="preserve"> by cryo electro</w:t>
      </w:r>
      <w:r w:rsidR="009A6E7B">
        <w:t>n</w:t>
      </w:r>
      <w:r w:rsidR="000D7771">
        <w:t xml:space="preserve"> microscopy (cryo-EM)</w:t>
      </w:r>
      <w:r w:rsidR="007F6A78">
        <w:t xml:space="preserve"> that </w:t>
      </w:r>
      <w:r w:rsidR="009A6E7B">
        <w:t>the equivalent space in</w:t>
      </w:r>
      <w:r w:rsidR="007F6A78">
        <w:t xml:space="preserve"> Gram-positives was described </w:t>
      </w:r>
      <w:r w:rsidR="007F6A78">
        <w:fldChar w:fldCharType="begin" w:fldLock="1"/>
      </w:r>
      <w:r w:rsidR="005F2DD4">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aureus","type":"article-journal","volume":"188"},"uris":["http://www.mendeley.com/documents/?uuid=5570428f-abef-4c52-8423-1f18c58db060"]},{"id":"ITEM-2","itemData":{"DOI":"10.1017/S1431927604881583","author":[{"dropping-particle":"","family":"Matias","given":"V R F","non-dropping-particle":"","parse-names":false,"suffix":""},{"dropping-particle":"","family":"Beveridge","given":"T J","non-dropping-particle":"","parse-names":false,"suffix":""}],"container-title":"Microscopy and Microanalysis","id":"ITEM-2","issue":"Supplementary Information 2","issued":{"date-parts":[["2004"]]},"page":"2003-2005","title":"Cryo-Transmission Electron Microscopy of Vitreous Sections of Gram-Positive Bacteria","type":"article-journal","volume":"10"},"uris":["http://www.mendeley.com/documents/?uuid=a532748a-a68b-4732-89bc-67b0c691362b"]},{"id":"ITEM-3","itemData":{"DOI":"10.1111/j.1365-2958.2005.04535.x","ISBN":"0950-382X (Print)\\r0950-382X (Linking)","ISSN":"0950382X","PMID":"15773993","abstract":"Ultrarapid freezing of bacteria (i.e. vitrification) results in optimal preservation of native structure. In this study, cryo-transmission electron microscopy of frozen-hydrated sections was used to gain insight into the organization of the Bacillus subtilis 168 cell envelope. A bipartite structure was seen above the plasma membrane consisting of a low-density 22 nm region above which a higher-density 33 nm region or outer wall zone (OWZ) resided. The interface between these two regions appeared to possess the most mass. In intact and in teichoic acid-extracted wall fragments, only a single region was seen but the mass distribution varied from being dense on the inside to less dense on the outside (i.e. similar to the OWZ). In plasmolysed cells, the inner wall zone (IWZ)'s thickness expanded in size but the OWZ's thickness remained constant. As the IWZ expanded it became filled with plasma membrane vesicles indicating that the IWZ had little substance and was empty of the wall's polymeric network of peptidoglycan and teichoic acid. Together these results strongly suggest that the inner zone actually represents a periplasmic space confined between the plasma membrane and the wall matrix and that the OWZ is the peptidoglycan-teichoic acid polymeric network of the wall.","author":[{"dropping-particle":"","family":"Matias","given":"V. R F","non-dropping-particle":"","parse-names":false,"suffix":""},{"dropping-particle":"","family":"Beveridge","given":"Terry J.","non-dropping-particle":"","parse-names":false,"suffix":""}],"container-title":"Molecular Microbiology","id":"ITEM-3","issue":"1","issued":{"date-parts":[["2005"]]},"page":"240-251","title":"Cryo-electron microscopy reveals native polymeric cell wall structure in Bacillus subtilis 168 and the existence of a periplasmic space","type":"article-journal","volume":"56"},"uris":["http://www.mendeley.com/documents/?uuid=3274a9ad-3640-4744-a55b-e8277897fa77"]}],"mendeley":{"formattedCitation":"&lt;sup&gt;[16,163,164]&lt;/sup&gt;","plainTextFormattedCitation":"[16,163,164]","previouslyFormattedCitation":"&lt;sup&gt;[16,163,164]&lt;/sup&gt;"},"properties":{"noteIndex":0},"schema":"https://github.com/citation-style-language/schema/raw/master/csl-citation.json"}</w:instrText>
      </w:r>
      <w:r w:rsidR="007F6A78">
        <w:fldChar w:fldCharType="separate"/>
      </w:r>
      <w:r w:rsidR="0054658D" w:rsidRPr="0054658D">
        <w:rPr>
          <w:noProof/>
          <w:vertAlign w:val="superscript"/>
        </w:rPr>
        <w:t>[16,163,164]</w:t>
      </w:r>
      <w:r w:rsidR="007F6A78">
        <w:fldChar w:fldCharType="end"/>
      </w:r>
      <w:r w:rsidR="007F6A78">
        <w:t>.</w:t>
      </w:r>
    </w:p>
    <w:p w14:paraId="050D954F" w14:textId="2DDB2E35" w:rsidR="00382196" w:rsidRDefault="00382196" w:rsidP="00382196">
      <w:r>
        <w:t xml:space="preserve">The space between the PM and the CW has been referred to by Matias &amp; Beveridge as the periplasmic space of Gram-positives </w:t>
      </w:r>
      <w:r>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5570428f-abef-4c52-8423-1f18c58db060"]}],"mendeley":{"formattedCitation":"&lt;sup&gt;[16]&lt;/sup&gt;","plainTextFormattedCitation":"[16]","previouslyFormattedCitation":"&lt;sup&gt;[16]&lt;/sup&gt;"},"properties":{"noteIndex":0},"schema":"https://github.com/citation-style-language/schema/raw/master/csl-citation.json"}</w:instrText>
      </w:r>
      <w:r>
        <w:fldChar w:fldCharType="separate"/>
      </w:r>
      <w:r w:rsidR="00DA0A83" w:rsidRPr="00DA0A83">
        <w:rPr>
          <w:noProof/>
          <w:vertAlign w:val="superscript"/>
        </w:rPr>
        <w:t>[16]</w:t>
      </w:r>
      <w:r>
        <w:fldChar w:fldCharType="end"/>
      </w:r>
      <w:r>
        <w:t xml:space="preserve">. However, as previously explained, </w:t>
      </w:r>
      <w:r w:rsidR="00EB69CA">
        <w:t xml:space="preserve">with the absence of an outer membrane </w:t>
      </w:r>
      <w:r>
        <w:t xml:space="preserve">this space should more appropriately be called </w:t>
      </w:r>
      <w:r w:rsidRPr="00250197">
        <w:t>the exoplasmic space</w:t>
      </w:r>
      <w:r w:rsidR="002E59CE" w:rsidRPr="00250197">
        <w:t xml:space="preserve"> (ES)</w:t>
      </w:r>
      <w:r>
        <w:t xml:space="preserve">. Thus, </w:t>
      </w:r>
      <w:r w:rsidR="00E32133">
        <w:t>it</w:t>
      </w:r>
      <w:r>
        <w:t xml:space="preserve"> will </w:t>
      </w:r>
      <w:r w:rsidR="00E32133">
        <w:t xml:space="preserve">be </w:t>
      </w:r>
      <w:r w:rsidR="0004604B">
        <w:t>referred</w:t>
      </w:r>
      <w:r>
        <w:t xml:space="preserve"> to in this study as the exoplasmic space, and its contents as the exoplasm.</w:t>
      </w:r>
    </w:p>
    <w:p w14:paraId="75259B23" w14:textId="03ECDB1E" w:rsidR="00382196" w:rsidRDefault="00382196" w:rsidP="00382196">
      <w:r>
        <w:t>The exoplasm</w:t>
      </w:r>
      <w:r w:rsidR="002E59CE">
        <w:t>ic space</w:t>
      </w:r>
      <w:r>
        <w:t xml:space="preserve"> is a</w:t>
      </w:r>
      <w:r w:rsidR="00874430">
        <w:t xml:space="preserve"> ~ 16 nm thick </w:t>
      </w:r>
      <w:r>
        <w:t>“aqueous compartment”</w:t>
      </w:r>
      <w:r w:rsidR="000017B0">
        <w:t xml:space="preserve"> filled with a low-density substance</w:t>
      </w:r>
      <w:r w:rsidR="00D158AA">
        <w:t xml:space="preserve"> </w:t>
      </w:r>
      <w:r w:rsidR="00D158AA">
        <w:fldChar w:fldCharType="begin" w:fldLock="1"/>
      </w:r>
      <w:r w:rsidR="005F2DD4">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aureus","type":"article-journal","volume":"188"},"uris":["http://www.mendeley.com/documents/?uuid=5570428f-abef-4c52-8423-1f18c58db060"]},{"id":"ITEM-2","itemData":{"DOI":"10.1111/j.1365-2958.2005.04535.x","ISBN":"0950-382X (Print)\\r0950-382X (Linking)","ISSN":"0950382X","PMID":"15773993","abstract":"Ultrarapid freezing of bacteria (i.e. vitrification) results in optimal preservation of native structure. In this study, cryo-transmission electron microscopy of frozen-hydrated sections was used to gain insight into the organization of the Bacillus subtilis 168 cell envelope. A bipartite structure was seen above the plasma membrane consisting of a low-density 22 nm region above which a higher-density 33 nm region or outer wall zone (OWZ) resided. The interface between these two regions appeared to possess the most mass. In intact and in teichoic acid-extracted wall fragments, only a single region was seen but the mass distribution varied from being dense on the inside to less dense on the outside (i.e. similar to the OWZ). In plasmolysed cells, the inner wall zone (IWZ)'s thickness expanded in size but the OWZ's thickness remained constant. As the IWZ expanded it became filled with plasma membrane vesicles indicating that the IWZ had little substance and was empty of the wall's polymeric network of peptidoglycan and teichoic acid. Together these results strongly suggest that the inner zone actually represents a periplasmic space confined between the plasma membrane and the wall matrix and that the OWZ is the peptidoglycan-teichoic acid polymeric network of the wall.","author":[{"dropping-particle":"","family":"Matias","given":"V. R F","non-dropping-particle":"","parse-names":false,"suffix":""},{"dropping-particle":"","family":"Beveridge","given":"Terry J.","non-dropping-particle":"","parse-names":false,"suffix":""}],"container-title":"Molecular Microbiology","id":"ITEM-2","issue":"1","issued":{"date-parts":[["2005"]]},"page":"240-251","title":"Cryo-electron microscopy reveals native polymeric cell wall structure in Bacillus subtilis 168 and the existence of a periplasmic space","type":"article-journal","volume":"56"},"uris":["http://www.mendeley.com/documents/?uuid=3274a9ad-3640-4744-a55b-e8277897fa77"]},{"id":"ITEM-3","itemData":{"DOI":"10.1128/JB.185.20.6112","ISBN":"0021-9193 (Print)\\r0021-9193 (Linking)","ISSN":"00219193","PMID":"14526023","abstract":"High-pressure freezing of Escherichia coli K-12 and Pseudomonas aeruginosa PAO1 in the presence of cryoprotectants provided consistent vitrification of cells so that frozen-hydrated sections could be cut, provid- ing ?2-nm resolution of structure. The size and shape of the bacteria, as well as their surface and cytoplasmic constituents, were nicely preserved and compared well with other published high-resolution techniques. Cells possessed a rich cytoplasm containing a diffuse dispersion of ribosomes and genetic material. Close exami- nation of cells revealed that the periplasmic space was compressed during cryosectioning, a finding which provided supporting evidence that this space is filled by a compressible gel. Since the outer membrane and peptidoglycan layer are bonded together via lipoproteins, the space between them (although still part of the periplasmic space) was not as compacted. Even when this cryosectioning compression was taken into account, there was still substantial variability in the width of the periplasmic space. It is possible that the protoplast has some capacity to float freely within the periplasm.","author":[{"dropping-particle":"","family":"Matias","given":"Valério R. F.","non-dropping-particle":"","parse-names":false,"suffix":""},{"dropping-particle":"","family":"Al-amoudi","given":"Ashraf","non-dropping-particle":"","parse-names":false,"suffix":""},{"dropping-particle":"","family":"Dubochet","given":"Jacques","non-dropping-particle":"","parse-names":false,"suffix":""},{"dropping-particle":"","family":"Beveridge","given":"Terry J.","non-dropping-particle":"","parse-names":false,"suffix":""}],"container-title":"Journal of Bacteriology","id":"ITEM-3","issue":"20","issued":{"date-parts":[["2003"]]},"note":"Simon","page":"6112-6118","title":"Cryo-Transmission Electron Microscopy of Frozen-Hydrated Sections of Escherichia coli and Pseudomonas aeruginosa Cryo-Transmission Electron Microscopy of Frozen-Hydrated Sections of Escherichia coli and Pseudomonas aeruginosa","type":"article-journal","volume":"185"},"uris":["http://www.mendeley.com/documents/?uuid=592fae2d-fe02-4eb9-b638-1cc1e1936cbd"]}],"mendeley":{"formattedCitation":"&lt;sup&gt;[16,164,165]&lt;/sup&gt;","plainTextFormattedCitation":"[16,164,165]","previouslyFormattedCitation":"&lt;sup&gt;[16,164,165]&lt;/sup&gt;"},"properties":{"noteIndex":0},"schema":"https://github.com/citation-style-language/schema/raw/master/csl-citation.json"}</w:instrText>
      </w:r>
      <w:r w:rsidR="00D158AA">
        <w:fldChar w:fldCharType="separate"/>
      </w:r>
      <w:r w:rsidR="0054658D" w:rsidRPr="0054658D">
        <w:rPr>
          <w:noProof/>
          <w:vertAlign w:val="superscript"/>
        </w:rPr>
        <w:t>[16,164,165]</w:t>
      </w:r>
      <w:r w:rsidR="00D158AA">
        <w:fldChar w:fldCharType="end"/>
      </w:r>
      <w:r w:rsidR="002E59CE">
        <w:t xml:space="preserve">. The </w:t>
      </w:r>
      <w:r w:rsidR="00D158AA">
        <w:t>e</w:t>
      </w:r>
      <w:r w:rsidR="002E59CE">
        <w:t>xoplasm is</w:t>
      </w:r>
      <w:r w:rsidR="00A444BF">
        <w:t xml:space="preserve"> made up mostly of </w:t>
      </w:r>
      <w:r>
        <w:t>exoplasmic proteins, including hydrolytic enzymes and synthetases,</w:t>
      </w:r>
      <w:r w:rsidR="00A444BF">
        <w:t xml:space="preserve"> and LTA </w:t>
      </w:r>
      <w:r w:rsidR="00A444BF">
        <w:fldChar w:fldCharType="begin" w:fldLock="1"/>
      </w:r>
      <w:r w:rsidR="005F2DD4">
        <w:instrText xml:space="preserve">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aureus","type":"article-journal","volume":"188"},"uris":["http://www.mendeley.com/documents/?uuid=5570428f-abef-4c52-8423-1f18c58db060"]},{"id":"ITEM-2","itemData":{"DOI":"10.1017/S1431927604881583","author":[{"dropping-particle":"","family":"Matias","given":"V R F","non-dropping-particle":"","parse-names":false,"suffix":""},{"dropping-particle":"","family":"Beveridge","given":"T J","non-dropping-particle":"","parse-names":false,"suffix":""}],"container-title":"Microscopy and Microanalysis","id":"ITEM-2","issue":"Supplementary Information 2","issued":{"date-parts":[["2004"]]},"page":"2003-2005","title":"Cryo-Transmission Electron Microscopy of Vitreous Sections of Gram-Positive Bacteria","type":"article-journal","volume":"10"},"uris":["http://www.mendeley.com/documents/?uuid=a532748a-a68b-4732-89bc-67b0c691362b"]},{"id":"ITEM-3","itemData":{"DOI":"10.3389/fmicb.2021.664704","ISSN":"1664302X","abstract":"The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F2DD4">
        <w:rPr>
          <w:rFonts w:ascii="Cambria Math" w:hAnsi="Cambria Math" w:cs="Cambria Math"/>
        </w:rPr>
        <w:instrText>∼</w:instrText>
      </w:r>
      <w:r w:rsidR="005F2DD4">
        <w:instrText xml:space="preserve">0.5 M, which would bring in </w:instrText>
      </w:r>
      <w:r w:rsidR="005F2DD4">
        <w:rPr>
          <w:rFonts w:ascii="Cambria Math" w:hAnsi="Cambria Math" w:cs="Cambria Math"/>
        </w:rPr>
        <w:instrText>∼</w:instrText>
      </w:r>
      <w:r w:rsidR="005F2DD4">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Microbiology","id":"ITEM-3","issue":"May","issued":{"date-parts":[["2021"]]},"page":"1-11","title":"How Teichoic Acids Could Support a Periplasm in Gram-Positive Bacteria, and Let Cell Division Cheat Turgor Pressure","type":"article-journal","volume":"12"},"uris":["http://www.mendeley.com/documents/?uuid=8e106983-147c-42ae-88fd-3e44783b571f"]}],"mendeley":{"formattedCitation":"&lt;sup&gt;[16,163,166]&lt;/sup&gt;","plainTextFormattedCitation":"[16,163,166]","previouslyFormattedCitation":"&lt;sup&gt;[16,163,166]&lt;/sup&gt;"},"properties":{"noteIndex":0},"schema":"https://github.com/citation-style-language/schema/raw/master/csl-citation.json"}</w:instrText>
      </w:r>
      <w:r w:rsidR="00A444BF">
        <w:fldChar w:fldCharType="separate"/>
      </w:r>
      <w:r w:rsidR="0054658D" w:rsidRPr="0054658D">
        <w:rPr>
          <w:noProof/>
          <w:vertAlign w:val="superscript"/>
        </w:rPr>
        <w:t>[16,163,166]</w:t>
      </w:r>
      <w:r w:rsidR="00A444BF">
        <w:fldChar w:fldCharType="end"/>
      </w:r>
      <w:r>
        <w:t xml:space="preserve">. </w:t>
      </w:r>
    </w:p>
    <w:p w14:paraId="1645ADA6" w14:textId="12C87040" w:rsidR="00382196" w:rsidRPr="005B0F81" w:rsidRDefault="00505879" w:rsidP="00505879">
      <w:pPr>
        <w:pStyle w:val="Heading3"/>
      </w:pPr>
      <w:bookmarkStart w:id="90" w:name="_Ref89351887"/>
      <w:bookmarkStart w:id="91" w:name="_Toc90216735"/>
      <w:r>
        <w:t>Maintenance of the exoplasmic space</w:t>
      </w:r>
      <w:r w:rsidR="007006CC">
        <w:t>.</w:t>
      </w:r>
      <w:bookmarkEnd w:id="90"/>
      <w:bookmarkEnd w:id="91"/>
    </w:p>
    <w:p w14:paraId="15EC1698" w14:textId="6C05128D" w:rsidR="001724E1" w:rsidRDefault="00254F3A" w:rsidP="00382196">
      <w:r>
        <w:rPr>
          <w:i/>
          <w:iCs/>
        </w:rPr>
        <w:t xml:space="preserve">S. aureus </w:t>
      </w:r>
      <w:r>
        <w:t xml:space="preserve">is able to withstand high internal turgor pressure </w:t>
      </w:r>
      <w:r w:rsidR="005B1A94">
        <w:t>of ~ 20 – 30 atm</w:t>
      </w:r>
      <w:r w:rsidR="00B77338">
        <w:t xml:space="preserve"> </w:t>
      </w:r>
      <w:r w:rsidR="005E22CF">
        <w:t>because of</w:t>
      </w:r>
      <w:r w:rsidR="00B77338">
        <w:t xml:space="preserve"> its major stress-bearing </w:t>
      </w:r>
      <w:r w:rsidR="005E22CF">
        <w:t xml:space="preserve">polymer, </w:t>
      </w:r>
      <w:r w:rsidR="00B77338">
        <w:t>PG</w:t>
      </w:r>
      <w:r w:rsidR="006E4F87">
        <w:t xml:space="preserve"> </w:t>
      </w:r>
      <w:r w:rsidR="006E4F87">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5570428f-abef-4c52-8423-1f18c58db060"]}],"mendeley":{"formattedCitation":"&lt;sup&gt;[16]&lt;/sup&gt;","plainTextFormattedCitation":"[16]","previouslyFormattedCitation":"&lt;sup&gt;[16]&lt;/sup&gt;"},"properties":{"noteIndex":0},"schema":"https://github.com/citation-style-language/schema/raw/master/csl-citation.json"}</w:instrText>
      </w:r>
      <w:r w:rsidR="006E4F87">
        <w:fldChar w:fldCharType="separate"/>
      </w:r>
      <w:r w:rsidR="00DA0A83" w:rsidRPr="00DA0A83">
        <w:rPr>
          <w:noProof/>
          <w:vertAlign w:val="superscript"/>
        </w:rPr>
        <w:t>[16]</w:t>
      </w:r>
      <w:r w:rsidR="006E4F87">
        <w:fldChar w:fldCharType="end"/>
      </w:r>
      <w:r w:rsidR="00B77338">
        <w:t>.</w:t>
      </w:r>
      <w:r w:rsidR="006E4F87">
        <w:t xml:space="preserve"> </w:t>
      </w:r>
      <w:r w:rsidR="005E22CF">
        <w:t xml:space="preserve">This high cellular pressure means that the ES is maintained </w:t>
      </w:r>
      <w:r w:rsidR="00503106">
        <w:t>by being in</w:t>
      </w:r>
      <w:r w:rsidR="005E22CF">
        <w:t xml:space="preserve"> an isosmotic condition to the cytoplasm</w:t>
      </w:r>
      <w:r w:rsidR="00503106">
        <w:t>.</w:t>
      </w:r>
    </w:p>
    <w:p w14:paraId="73039828" w14:textId="4C9EE8D1" w:rsidR="00AD06E3" w:rsidRDefault="00AD06E3" w:rsidP="00382196">
      <w:r>
        <w:t>Recent studies have proposed that LTA and WTA could be responsible for the maintenance of the ES</w:t>
      </w:r>
      <w:r w:rsidR="002659E5">
        <w:t xml:space="preserve"> </w:t>
      </w:r>
      <w:r w:rsidR="002659E5">
        <w:fldChar w:fldCharType="begin" w:fldLock="1"/>
      </w:r>
      <w:r w:rsidR="00260ACA">
        <w:instrText xml:space="preserve">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aureus","type":"article-journal","volume":"188"},"uris":["http://www.mendeley.com/documents/?uuid=5570428f-abef-4c52-8423-1f18c58db060"]},{"id":"ITEM-2","itemData":{"DOI":"10.3389/fmicb.2021.664704","ISSN":"1664302X","abstract":"The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260ACA">
        <w:rPr>
          <w:rFonts w:ascii="Cambria Math" w:hAnsi="Cambria Math" w:cs="Cambria Math"/>
        </w:rPr>
        <w:instrText>∼</w:instrText>
      </w:r>
      <w:r w:rsidR="00260ACA">
        <w:instrText xml:space="preserve">0.5 M, which would bring in </w:instrText>
      </w:r>
      <w:r w:rsidR="00260ACA">
        <w:rPr>
          <w:rFonts w:ascii="Cambria Math" w:hAnsi="Cambria Math" w:cs="Cambria Math"/>
        </w:rPr>
        <w:instrText>∼</w:instrText>
      </w:r>
      <w:r w:rsidR="00260ACA">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Microbiology","id":"ITEM-2","issue":"May","issued":{"date-parts":[["2021"]]},"page":"1-11","title":"How Teichoic Acids Could Support a Periplasm in Gram-Positive Bacteria, and Let Cell Division Cheat Turgor Pressure","type":"article-journal","volume":"12"},"uris":["http://www.mendeley.com/documents/?uuid=8e106983-147c-42ae-88fd-3e44783b571f"]},{"id":"ITEM-3","itemData":{"DOI":"10.1128/JB.01221-08","ISBN":"1098-5530 (Electronic)\\r0021-9193 (Linking)","ISSN":"00219193","PMID":"18952789","abstract":"Lipoteichoic acid (LTA) is one of two anionic polymers on the surface of the gram-positive bacterium Staphylococcus aureus. LTA is critical for the bacterium-host cell interaction and has recently been shown to be required for cell growth and division. To determine additional biological roles of LTA, we found it necessary to identify permissive conditions for the growth of an LTA-deficient mutant. We found that an LTA-deficient S. aureus Delta ltaS mutant could grow at 30 degrees C but not at 37 degrees C. Even at the permissive temperature, Delta ltaS mutant cells had aberrant cell division and separation, decreased autolysis, and reduced levels of peptidoglycan hydrolases. Upshift of Delta ltaS mutant cells to a nonpermissive temperature caused an inability to exclude Sytox green dye. A high-osmolarity growth medium remarkably rescued the colony-forming ability of the Delta ltaS mutant at 37 degrees C, indicating that LTA synthesis is required for growth under low-osmolarity conditions. In addition, the Delta ltaS mutation was found to be synthetically lethal with the Delta tagO mutation, which disrupts the synthesis of the other anionic polymer, wall teichoic acid (WTA), at 30 degrees C, suggesting that LTA and WTA compensate for one another in an essential function.","author":[{"dropping-particle":"","family":"Oku","given":"Yusuke","non-dropping-particle":"","parse-names":false,"suffix":""},{"dropping-particle":"","family":"Kurokawa","given":"Kenji","non-dropping-particle":"","parse-names":false,"suffix":""},{"dropping-particle":"","family":"Matsuo","given":"Miki","non-dropping-particle":"","parse-names":false,"suffix":""},{"dropping-particle":"","family":"Yamada","given":"Sakuo","non-dropping-particle":"","parse-names":false,"suffix":""},{"dropping-particle":"","family":"Lee","given":"Bok Luel","non-dropping-particle":"","parse-names":false,"suffix":""},{"dropping-particle":"","family":"Sekimizu","given":"Kazuhisa","non-dropping-particle":"","parse-names":false,"suffix":""}],"container-title":"Journal of Bacteriology","id":"ITEM-3","issue":"1","issued":{"date-parts":[["2009"]]},"page":"141-151","title":"Pleiotropic roles of polyglycerolphosphate synthase of lipoteichoic acid in growth of Staphylococcus aureus cells","type":"article-journal","volume":"91"},"uris":["http://www.mendeley.com/documents/?uuid=e654d4a5-6a63-46cd-9e2b-a2a36f52bd7e"]},{"id":"ITEM-4","itemData":{"DOI":"10.1002/bies.201700045","ISSN":"15211878","author":[{"dropping-particle":"","family":"Erickson","given":"Harold P","non-dropping-particle":"","parse-names":false,"suffix":""}],"container-title":"BioEssays","id":"ITEM-4","issue":"8","issued":{"date-parts":[["2017"]]},"page":"1-10","title":"How bacterial cell division might cheat turgor pressure – a unified mechanism of septal division in Gram-positive and Gram-negative bacteria","type":"article","volume":"39"},"uris":["http://www.mendeley.com/documents/?uuid=814c8e5c-6117-4fba-bc70-e9c869a2578a"]},{"id":"ITEM-5","itemData":{"DOI":"10.1073/pnas.0701821104","ISBN":"0027-8424 (Print)\\r0027-8424 (Linking)","ISSN":"0027-8424","PMID":"17483484","abstract":"Lipoteichoic acid (LTA), a glycerol phosphate surface polymer, is a component of the envelope of Gram-positive bacteria. However, the molecular basis for its synthesis or function is not known. Here we report that Staphylococcus aureus LtaS synthesizes glycerol phosphate LTA. Construction of a mutant S. aureus strain with inducible ltaS expression revealed that LTA synthesis is required for bacterial growth and cell division. An ltaS homologue of Bacillus subtilis restored LTA synthesis and the growth of ltaS mutant staphylococci. Thus, LtaS inhibition can be used as a target to treat human infections caused by antibiotic-resistant S. aureus or other bacterial pathogens.","author":[{"dropping-particle":"","family":"Grundling","given":"A.","non-dropping-particle":"","parse-names":false,"suffix":""},{"dropping-particle":"","family":"Schneewind","given":"O.","non-dropping-particle":"","parse-names":false,"suffix":""}],"container-title":"Proceedings of the National Academy of Sciences","id":"ITEM-5","issue":"20","issued":{"date-parts":[["2007"]]},"page":"8478-8483","title":"Synthesis of glycerol phosphate lipoteichoic acid in Staphylococcus aureus","type":"article-journal","volume":"104"},"uris":["http://www.mendeley.com/documents/?uuid=33b7fcb3-ffde-4606-8a67-126926b4d10a"]}],"mendeley":{"formattedCitation":"&lt;sup&gt;[16,88,91,99,166]&lt;/sup&gt;","plainTextFormattedCitation":"[16,88,91,99,166]","previouslyFormattedCitation":"&lt;sup&gt;[16,88,91,99,166]&lt;/sup&gt;"},"properties":{"noteIndex":0},"schema":"https://github.com/citation-style-language/schema/raw/master/csl-citation.json"}</w:instrText>
      </w:r>
      <w:r w:rsidR="002659E5">
        <w:fldChar w:fldCharType="separate"/>
      </w:r>
      <w:r w:rsidR="00C825F9" w:rsidRPr="00C825F9">
        <w:rPr>
          <w:noProof/>
          <w:vertAlign w:val="superscript"/>
        </w:rPr>
        <w:t>[16,88,91,99,166]</w:t>
      </w:r>
      <w:r w:rsidR="002659E5">
        <w:fldChar w:fldCharType="end"/>
      </w:r>
      <w:r>
        <w:t>.</w:t>
      </w:r>
      <w:r w:rsidR="001724E1">
        <w:t xml:space="preserve"> Some propose that LTA and other membrane-bound polymers could play this role in a similar way to the osmo</w:t>
      </w:r>
      <w:r w:rsidR="00330ED8">
        <w:t>-</w:t>
      </w:r>
      <w:r w:rsidR="001724E1">
        <w:t>regulated periplasmic glucans (OPGs) found in Gram-negative bacteria</w:t>
      </w:r>
      <w:r w:rsidR="00EF1E53">
        <w:t xml:space="preserve"> </w:t>
      </w:r>
      <w:r w:rsidR="00EF1E53">
        <w:fldChar w:fldCharType="begin" w:fldLock="1"/>
      </w:r>
      <w:r w:rsidR="005F2DD4">
        <w:instrText xml:space="preserve">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aureus","type":"article-journal","volume":"188"},"uris":["http://www.mendeley.com/documents/?uuid=5570428f-abef-4c52-8423-1f18c58db060"]},{"id":"ITEM-2","itemData":{"DOI":"10.3389/fmicb.2021.664704","ISSN":"1664302X","abstract":"The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F2DD4">
        <w:rPr>
          <w:rFonts w:ascii="Cambria Math" w:hAnsi="Cambria Math" w:cs="Cambria Math"/>
        </w:rPr>
        <w:instrText>∼</w:instrText>
      </w:r>
      <w:r w:rsidR="005F2DD4">
        <w:instrText xml:space="preserve">0.5 M, which would bring in </w:instrText>
      </w:r>
      <w:r w:rsidR="005F2DD4">
        <w:rPr>
          <w:rFonts w:ascii="Cambria Math" w:hAnsi="Cambria Math" w:cs="Cambria Math"/>
        </w:rPr>
        <w:instrText>∼</w:instrText>
      </w:r>
      <w:r w:rsidR="005F2DD4">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Microbiology","id":"ITEM-2","issue":"May","issued":{"date-parts":[["2021"]]},"page":"1-11","title":"How Teichoic Acids Could Support a Periplasm in Gram-Positive Bacteria, and Let Cell Division Cheat Turgor Pressure","type":"article-journal","volume":"12"},"uris":["http://www.mendeley.com/documents/?uuid=8e106983-147c-42ae-88fd-3e44783b571f"]},{"id":"ITEM-3","itemData":{"DOI":"10.1128/JB.01221-08","ISBN":"1098-5530 (Electronic)\\r0021-9193 (Linking)","ISSN":"00219193","PMID":"18952789","abstract":"Lipoteichoic acid (LTA) is one of two anionic polymers on the surface of the gram-positive bacterium Staphylococcus aureus. LTA is critical for the bacterium-host cell interaction and has recently been shown to be required for cell growth and division. To determine additional biological roles of LTA, we found it necessary to identify permissive conditions for the growth of an LTA-deficient mutant. We found that an LTA-deficient S. aureus Delta ltaS mutant could grow at 30 degrees C but not at 37 degrees C. Even at the permissive temperature, Delta ltaS mutant cells had aberrant cell division and separation, decreased autolysis, and reduced levels of peptidoglycan hydrolases. Upshift of Delta ltaS mutant cells to a nonpermissive temperature caused an inability to exclude Sytox green dye. A high-osmolarity growth medium remarkably rescued the colony-forming ability of the Delta ltaS mutant at 37 degrees C, indicating that LTA synthesis is required for growth under low-osmolarity conditions. In addition, the Delta ltaS mutation was found to be synthetically lethal with the Delta tagO mutation, which disrupts the synthesis of the other anionic polymer, wall teichoic acid (WTA), at 30 degrees C, suggesting that LTA and WTA compensate for one another in an essential function.","author":[{"dropping-particle":"","family":"Oku","given":"Yusuke","non-dropping-particle":"","parse-names":false,"suffix":""},{"dropping-particle":"","family":"Kurokawa","given":"Kenji","non-dropping-particle":"","parse-names":false,"suffix":""},{"dropping-particle":"","family":"Matsuo","given":"Miki","non-dropping-particle":"","parse-names":false,"suffix":""},{"dropping-particle":"","family":"Yamada","given":"Sakuo","non-dropping-particle":"","parse-names":false,"suffix":""},{"dropping-particle":"","family":"Lee","given":"Bok Luel","non-dropping-particle":"","parse-names":false,"suffix":""},{"dropping-particle":"","family":"Sekimizu","given":"Kazuhisa","non-dropping-particle":"","parse-names":false,"suffix":""}],"container-title":"Journal of Bacteriology","id":"ITEM-3","issue":"1","issued":{"date-parts":[["2009"]]},"page":"141-151","title":"Pleiotropic roles of polyglycerolphosphate synthase of lipoteichoic acid in growth of Staphylococcus aureus cells","type":"article-journal","volume":"91"},"uris":["http://www.mendeley.com/documents/?uuid=e654d4a5-6a63-46cd-9e2b-a2a36f52bd7e"]},{"id":"ITEM-4","itemData":{"DOI":"10.1002/bies.201700045","ISSN":"15211878","author":[{"dropping-particle":"","family":"Erickson","given":"Harold P","non-dropping-particle":"","parse-names":false,"suffix":""}],"container-title":"BioEssays","id":"ITEM-4","issue":"8","issued":{"date-parts":[["2017"]]},"page":"1-10","title":"How bacterial cell division might cheat turgor pressure – a unified mechanism of septal division in Gram-positive and Gram-negative bacteria","type":"article","volume":"39"},"uris":["http://www.mendeley.com/documents/?uuid=814c8e5c-6117-4fba-bc70-e9c869a2578a"]}],"mendeley":{"formattedCitation":"&lt;sup&gt;[16,88,91,166]&lt;/sup&gt;","plainTextFormattedCitation":"[16,88,91,166]","previouslyFormattedCitation":"&lt;sup&gt;[16,88,91,166]&lt;/sup&gt;"},"properties":{"noteIndex":0},"schema":"https://github.com/citation-style-language/schema/raw/master/csl-citation.json"}</w:instrText>
      </w:r>
      <w:r w:rsidR="00EF1E53">
        <w:fldChar w:fldCharType="separate"/>
      </w:r>
      <w:r w:rsidR="0054658D" w:rsidRPr="0054658D">
        <w:rPr>
          <w:noProof/>
          <w:vertAlign w:val="superscript"/>
        </w:rPr>
        <w:t>[16,88,91,166]</w:t>
      </w:r>
      <w:r w:rsidR="00EF1E53">
        <w:fldChar w:fldCharType="end"/>
      </w:r>
      <w:r w:rsidR="001724E1">
        <w:t xml:space="preserve">. OPGs are negatively charged anionic glucose oligomers that are just too big to escape the OM-CW barrier, </w:t>
      </w:r>
      <w:r w:rsidR="00865E65">
        <w:t xml:space="preserve">and </w:t>
      </w:r>
      <w:r w:rsidR="001724E1">
        <w:t>thus stay trapped in the periplasmic space</w:t>
      </w:r>
      <w:r w:rsidR="00EF1E53">
        <w:t xml:space="preserve"> </w:t>
      </w:r>
      <w:r w:rsidR="00EF1E53">
        <w:fldChar w:fldCharType="begin" w:fldLock="1"/>
      </w:r>
      <w:r w:rsidR="006F44CC">
        <w:instrText xml:space="preserve">ADDIN CSL_CITATION {"citationItems":[{"id":"ITEM-1","itemData":{"DOI":"10.1002/bies.201700045","ISSN":"15211878","author":[{"dropping-particle":"","family":"Erickson","given":"Harold P","non-dropping-particle":"","parse-names":false,"suffix":""}],"container-title":"BioEssays","id":"ITEM-1","issue":"8","issued":{"date-parts":[["2017"]]},"page":"1-10","title":"How bacterial cell division might cheat turgor pressure – a unified mechanism of septal division in Gram-positive and Gram-negative bacteria","type":"article","volume":"39"},"uris":["http://www.mendeley.com/documents/?uuid=814c8e5c-6117-4fba-bc70-e9c869a2578a"]},{"id":"ITEM-2","itemData":{"DOI":"10.3389/fmicb.2021.664704","ISSN":"1664302X","abstract":"The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6F44CC">
        <w:rPr>
          <w:rFonts w:ascii="Cambria Math" w:hAnsi="Cambria Math" w:cs="Cambria Math"/>
        </w:rPr>
        <w:instrText>∼</w:instrText>
      </w:r>
      <w:r w:rsidR="006F44CC">
        <w:instrText xml:space="preserve">0.5 M, which would bring in </w:instrText>
      </w:r>
      <w:r w:rsidR="006F44CC">
        <w:rPr>
          <w:rFonts w:ascii="Cambria Math" w:hAnsi="Cambria Math" w:cs="Cambria Math"/>
        </w:rPr>
        <w:instrText>∼</w:instrText>
      </w:r>
      <w:r w:rsidR="006F44CC">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Microbiology","id":"ITEM-2","issue":"May","issued":{"date-parts":[["2021"]]},"page":"1-11","title":"How Teichoic Acids Could Support a Periplasm in Gram-Positive Bacteria, and Let Cell Division Cheat Turgor Pressure","type":"article-journal","volume":"12"},"uris":["http://www.mendeley.com/documents/?uuid=8e106983-147c-42ae-88fd-3e44783b571f"]},{"id":"ITEM-3","itemData":{"DOI":"10.1073/pnas.79.4.1092","ISSN":"00278424","PMID":"7041113","abstract":"The membrane-derived oligosaccharides (MDO) of E. coli are periplasmic constituents containing 8-10 glucose units in a highly branched structure, linked by β 1-2 and β 1-6 bonds. The MDO are multiply substituted with sn-1-phosphoglycerol residues (derived from membrane phosphatidylglycerol) and with O-succinyl ester residues and, thus, are highly anionic. Experiments in this paper offer evidence that the biosynthesis of MDO is an important aspect of osmoregulation in E. coli. Cells grown in medium of low osmolarity (ca. 50 mosM) synthesize 16 times more MDO than those grown in the same medium with 0.4 M NaCl. In cells grown in medium of low osmolarity, it appears that MDO is the principal source of fixed anion in the periplasmic space and, thus, acts to maintain the high osmotic pressure and Donnan membrane potential of the periplasmic compartment. Regulation of MDO synthesis in response to changes in osmolarity of the medium appears to occur at the genetic level because the synthesis of new protein is needed to permit the production of MDO at high rates after shift of cells to medium of low osmolarity.","author":[{"dropping-particle":"","family":"Kennedy","given":"E. P.","non-dropping-particle":"","parse-names":false,"suffix":""}],"container-title":"Proceedings of the National Academy of Sciences of the United States of America","id":"ITEM-3","issue":"4 I","issued":{"date-parts":[["1982"]]},"page":"1092-1095","publisher":"National Academy of Sciences","title":"Osmotic regulation and the biosynthesis of membrane derived oligosaccharides in Escherichia coli","type":"article-journal","volume":"79"},"uris":["http://www.mendeley.com/documents/?uuid=ad179372-bf3f-3da8-832f-f417fa6c630e"]},{"id":"ITEM-4","itemData":{"DOI":"10.1128/ecosalplus.esp-0001-2017","ISSN":"2324-6200","PMID":"28593831","abstract":"Among all the systems developed by enterobacteria to face osmotic stress, only osmoregulated periplasmic glucans (OPGs) were found to be modulated during osmotic fluxes. First detected in 1973 by E.P. Kennedy’s group in a study of phospholipid turnover in Escherichia coli , OPGs have been shown across alpha, beta, and gamma subdivisions of the proteobacteria. Discovery of OPG-like compounds in the epsilon subdivision strongly suggested that the presence of periplasmic glucans is essential for almost all proteobacteria. This article offers an overview of the different classes of OPGs. Then, the biosynthesis of OPGs and their regulation in E. coli and other species are discussed. Finally, the biological role of OPGs is developed. Beyond structural function, OPGs are involved in pathogenicity, in particular, by playing a role in signal transduction pathways. Recently, OPG synthesis proteins have been suggested to control cell division and growth rate.","author":[{"dropping-particle":"","family":"Bontemps-Gallo","given":"Sébastien","non-dropping-particle":"","parse-names":false,"suffix":""},{"dropping-particle":"","family":"Bohin","given":"Jean-Pierre","non-dropping-particle":"","parse-names":false,"suffix":""},{"dropping-particle":"","family":"Lacroix","given":"Jean-Marie","non-dropping-particle":"","parse-names":false,"suffix":""}],"container-title":"EcoSal Plus","id":"ITEM-4","issue":"2","issued":{"date-parts":[["2017","4","25"]]},"publisher":"American Society for Microbiology","title":"Osmoregulated Periplasmic Glucans","type":"article-journal","volume":"7"},"uris":["http://www.mendeley.com/documents/?uuid=4e70228c-d17e-3687-930c-6c88070aad23"]},{"id":"ITEM-5","itemData":{"DOI":"10.1016/s0006-3495(00)76726-9","ISSN":"00063495","PMID":"10733957","abstract":"To obtain turgor pressure, intracellular osmolalities, and cytoplasmic water activity of Escherichia coli as a function of osmolality of growth, we have quantified and analyzed amounts of cell, cytoplasmic, and periplasmic water as functions of osmolality of growth and osmolality of plasmolysis of nongrowing cells with NaCl. The effects are large; NaCl (plasmolysis) titrations of cells grown in minimal medium at 0.03 Osm reduce cytoplasmic and cell water to ~20% and ~50% of their original values, and increase periplasmic water by ~300%. Independent analysis of amounts of cytoplasmic and cell water demonstrate that turgor pressure decreases with increasing osmolality of growth, from ~3.1 atm at 0.03 Osm to ~1.5 at 0.1 Osm and to less than 0.5 atm above 0.5 Osm. Analysis of periplasmic membrane-derived oligosaccharide (MDO) concentrations as a function of osmolality, calculated from literature analytical data and measured periplasmic volumes, provides independent evidence that turgor pressure decreases with increasing osmolality, and verifies that cytoplasmic and periplasmic osmolalities are equal. We propose that MDO play a key role in periplasmic volume regulation at low-to-moderate osmolality. At high growth osmolalities, where only a small amount of cytoplasmic water is observed, the small turgor pressure of E. coli demonstrates that cytoplasmic water activity is only slightly less than extracellular water activity. From these findings, we deduce that the activity of cytoplasmic water exceeds its mole fraction at high osmolality, and, therefore, conclude that the activity coefficient of cytoplasmic water increases with increasing growth osmolality and exceeds unity at high osmolality, presumably as a consequence of macromolecular crowding. These novel findings are significant for thermodynamic analyses of effects of changes in growth osmolality on biopolymer processes in general and osmoregulatory processes in particular in the E. coli cytoplasm.","author":[{"dropping-particle":"","family":"Cayley","given":"D. Scott","non-dropping-particle":"","parse-names":false,"suffix":""},{"dropping-particle":"","family":"Guttman","given":"Harry J.","non-dropping-particle":"","parse-names":false,"suffix":""},{"dropping-particle":"","family":"Record","given":"M. Thomas","non-dropping-particle":"","parse-names":false,"suffix":""}],"container-title":"Biophysical Journal","id":"ITEM-5","issue":"4","issued":{"date-parts":[["2000"]]},"page":"1748-1764","publisher":"Biophysical Society","title":"Biophysical characterization of changes in amounts and activity of Escherichia coli cell and compartment water and turgor pressure in response to osmotic stress","type":"article-journal","volume":"78"},"uris":["http://www.mendeley.com/documents/?uuid=2b140ae2-c60b-3f2f-907c-82ff5dce5370"]},{"id":"ITEM-6","itemData":{"DOI":"10.3389/fmicb.2018.00111","ISSN":"1664302X","abstract":"Bacterial cytokinesis begins with the assembly of FtsZ into a Z ring at the center of the cell. The Z-ring constriction in Gram-negative bacteria may occur in an environment where the periplasm and the cytoplasm are isoosmotic, but in Gram-positive bacteria the constriction may have to overcome a substantial turgor pressure. We address three potential sources of invagination force. (1) FtsZ itself may generate force by curved protofilaments bending the attached membrane. This is sufficient to constrict liposomes in vitro. However, this force is on the order of a few pN, and would not be enough to overcome turgor. (2) Cell wall (CW) synthesis may generate force by pushing the plasma membrane from the outside. However, this would probably require some kind of Brownian ratchet to separate the CW and membrane sufficiently to allow a glycan strand to slip in. The elastic element is not obvious. (3) Excess membrane production has the potential to contribute significantly to the invagination force. If the excess membrane is produced under the CW, it would force the membrane to bleb inward. We propose here that a combination of FtsZ pulling from the inside, and excess membrane pushing membrane inward may generate a substantial constriction force at the division site. This combined force generation mechanism may be sufficient to overcome turgor pressure. This would abolish the need for a Brownian ratchet for CW growth, and would permit CW to operate by reinforcing the constrictions generated by FtsZ and excess membrane.","author":[{"dropping-particle":"","family":"Osawa","given":"Masaki","non-dropping-particle":"","parse-names":false,"suffix":""},{"dropping-particle":"","family":"Erickson","given":"Harold P.","non-dropping-particle":"","parse-names":false,"suffix":""}],"container-title":"Frontiers in Microbiology","id":"ITEM-6","issue":"January","issued":{"date-parts":[["2018","1","31"]]},"page":"111","publisher":"Frontiers Media S.A.","title":"Turgor pressure and possible constriction mechanisms in bacterial division","type":"article","volume":"9"},"uris":["http://www.mendeley.com/documents/?uuid=b3fd2ce5-19e8-3459-8dcf-a736c6b6a4e4"]}],"mendeley":{"formattedCitation":"&lt;sup&gt;[88,166–170]&lt;/sup&gt;","plainTextFormattedCitation":"[88,166–170]","previouslyFormattedCitation":"&lt;sup&gt;[88,166–170]&lt;/sup&gt;"},"properties":{"noteIndex":0},"schema":"https://github.com/citation-style-language/schema/raw/master/csl-citation.json"}</w:instrText>
      </w:r>
      <w:r w:rsidR="00EF1E53">
        <w:fldChar w:fldCharType="separate"/>
      </w:r>
      <w:r w:rsidR="002659E5" w:rsidRPr="002659E5">
        <w:rPr>
          <w:noProof/>
          <w:vertAlign w:val="superscript"/>
        </w:rPr>
        <w:t>[88,166–170]</w:t>
      </w:r>
      <w:r w:rsidR="00EF1E53">
        <w:fldChar w:fldCharType="end"/>
      </w:r>
      <w:r w:rsidR="001724E1">
        <w:t xml:space="preserve">. </w:t>
      </w:r>
      <w:r w:rsidR="001724E1">
        <w:lastRenderedPageBreak/>
        <w:t xml:space="preserve">Their synthesis can be regulated according to </w:t>
      </w:r>
      <w:r w:rsidR="00E71B9B">
        <w:t xml:space="preserve">any </w:t>
      </w:r>
      <w:r w:rsidR="001724E1">
        <w:t>osmotic changes in the medium, and  together with neutralising cations, help maintain the periplasmic space</w:t>
      </w:r>
      <w:r w:rsidR="00EF1E53">
        <w:t xml:space="preserve"> </w:t>
      </w:r>
      <w:r w:rsidR="00EF1E53">
        <w:fldChar w:fldCharType="begin" w:fldLock="1"/>
      </w:r>
      <w:r w:rsidR="0058736C">
        <w:instrText>ADDIN CSL_CITATION {"citationItems":[{"id":"ITEM-1","itemData":{"DOI":"10.1002/bies.201700045","ISSN":"15211878","author":[{"dropping-particle":"","family":"Erickson","given":"Harold P","non-dropping-particle":"","parse-names":false,"suffix":""}],"container-title":"BioEssays","id":"ITEM-1","issue":"8","issued":{"date-parts":[["2017"]]},"page":"1-10","title":"How bacterial cell division might cheat turgor pressure – a unified mechanism of septal division in Gram-positive and Gram-negative bacteria","type":"article","volume":"39"},"uris":["http://www.mendeley.com/documents/?uuid=814c8e5c-6117-4fba-bc70-e9c869a2578a"]},{"id":"ITEM-2","itemData":{"DOI":"10.1073/pnas.79.4.1092","ISSN":"00278424","PMID":"7041113","abstract":"The membrane-derived oligosaccharides (MDO) of E. coli are periplasmic constituents containing 8-10 glucose units in a highly branched structure, linked by β 1-2 and β 1-6 bonds. The MDO are multiply substituted with sn-1-phosphoglycerol residues (derived from membrane phosphatidylglycerol) and with O-succinyl ester residues and, thus, are highly anionic. Experiments in this paper offer evidence that the biosynthesis of MDO is an important aspect of osmoregulation in E. coli. Cells grown in medium of low osmolarity (ca. 50 mosM) synthesize 16 times more MDO than those grown in the same medium with 0.4 M NaCl. In cells grown in medium of low osmolarity, it appears that MDO is the principal source of fixed anion in the periplasmic space and, thus, acts to maintain the high osmotic pressure and Donnan membrane potential of the periplasmic compartment. Regulation of MDO synthesis in response to changes in osmolarity of the medium appears to occur at the genetic level because the synthesis of new protein is needed to permit the production of MDO at high rates after shift of cells to medium of low osmolarity.","author":[{"dropping-particle":"","family":"Kennedy","given":"E. P.","non-dropping-particle":"","parse-names":false,"suffix":""}],"container-title":"Proceedings of the National Academy of Sciences of the United States of America","id":"ITEM-2","issue":"4 I","issued":{"date-parts":[["1982"]]},"page":"1092-1095","publisher":"National Academy of Sciences","title":"Osmotic regulation and the biosynthesis of membrane derived oligosaccharides in Escherichia coli","type":"article-journal","volume":"79"},"uris":["http://www.mendeley.com/documents/?uuid=ad179372-bf3f-3da8-832f-f417fa6c630e"]},{"id":"ITEM-3","itemData":{"DOI":"10.1016/s0006-3495(00)76726-9","ISSN":"00063495","PMID":"10733957","abstract":"To obtain turgor pressure, intracellular osmolalities, and cytoplasmic water activity of Escherichia coli as a function of osmolality of growth, we have quantified and analyzed amounts of cell, cytoplasmic, and periplasmic water as functions of osmolality of growth and osmolality of plasmolysis of nongrowing cells with NaCl. The effects are large; NaCl (plasmolysis) titrations of cells grown in minimal medium at 0.03 Osm reduce cytoplasmic and cell water to ~20% and ~50% of their original values, and increase periplasmic water by ~300%. Independent analysis of amounts of cytoplasmic and cell water demonstrate that turgor pressure decreases with increasing osmolality of growth, from ~3.1 atm at 0.03 Osm to ~1.5 at 0.1 Osm and to less than 0.5 atm above 0.5 Osm. Analysis of periplasmic membrane-derived oligosaccharide (MDO) concentrations as a function of osmolality, calculated from literature analytical data and measured periplasmic volumes, provides independent evidence that turgor pressure decreases with increasing osmolality, and verifies that cytoplasmic and periplasmic osmolalities are equal. We propose that MDO play a key role in periplasmic volume regulation at low-to-moderate osmolality. At high growth osmolalities, where only a small amount of cytoplasmic water is observed, the small turgor pressure of E. coli demonstrates that cytoplasmic water activity is only slightly less than extracellular water activity. From these findings, we deduce that the activity of cytoplasmic water exceeds its mole fraction at high osmolality, and, therefore, conclude that the activity coefficient of cytoplasmic water increases with increasing growth osmolality and exceeds unity at high osmolality, presumably as a consequence of macromolecular crowding. These novel findings are significant for thermodynamic analyses of effects of changes in growth osmolality on biopolymer processes in general and osmoregulatory processes in particular in the E. coli cytoplasm.","author":[{"dropping-particle":"","family":"Cayley","given":"D. Scott","non-dropping-particle":"","parse-names":false,"suffix":""},{"dropping-particle":"","family":"Guttman","given":"Harry J.","non-dropping-particle":"","parse-names":false,"suffix":""},{"dropping-particle":"","family":"Record","given":"M. Thomas","non-dropping-particle":"","parse-names":false,"suffix":""}],"container-title":"Biophysical Journal","id":"ITEM-3","issue":"4","issued":{"date-parts":[["2000"]]},"page":"1748-1764","publisher":"Biophysical Society","title":"Biophysical characterization of changes in amounts and activity of Escherichia coli cell and compartment water and turgor pressure in response to osmotic stress","type":"article-journal","volume":"78"},"uris":["http://www.mendeley.com/documents/?uuid=2b140ae2-c60b-3f2f-907c-82ff5dce5370"]}],"mendeley":{"formattedCitation":"&lt;sup&gt;[88,167,169]&lt;/sup&gt;","plainTextFormattedCitation":"[88,167,169]","previouslyFormattedCitation":"&lt;sup&gt;[88,167,169]&lt;/sup&gt;"},"properties":{"noteIndex":0},"schema":"https://github.com/citation-style-language/schema/raw/master/csl-citation.json"}</w:instrText>
      </w:r>
      <w:r w:rsidR="00EF1E53">
        <w:fldChar w:fldCharType="separate"/>
      </w:r>
      <w:r w:rsidR="002659E5" w:rsidRPr="002659E5">
        <w:rPr>
          <w:noProof/>
          <w:vertAlign w:val="superscript"/>
        </w:rPr>
        <w:t>[88,167,169]</w:t>
      </w:r>
      <w:r w:rsidR="00EF1E53">
        <w:fldChar w:fldCharType="end"/>
      </w:r>
      <w:r w:rsidR="001724E1">
        <w:t>.</w:t>
      </w:r>
      <w:r w:rsidR="00415F95">
        <w:t xml:space="preserve"> Studies showing </w:t>
      </w:r>
      <w:r w:rsidR="00E71B9B">
        <w:t>that</w:t>
      </w:r>
      <w:r w:rsidR="00415F95">
        <w:t xml:space="preserve"> LTA-depleted strains are only able to survive in high osmolarity medium, suggested that LTA play </w:t>
      </w:r>
      <w:r w:rsidR="00E71B9B">
        <w:t>an equivalent</w:t>
      </w:r>
      <w:r w:rsidR="00415F95">
        <w:t xml:space="preserve"> role in </w:t>
      </w:r>
      <w:r w:rsidR="00E71B9B">
        <w:t>Gram-positives</w:t>
      </w:r>
      <w:r w:rsidR="00F55C56">
        <w:t xml:space="preserve"> </w:t>
      </w:r>
      <w:r w:rsidR="00F55C56">
        <w:fldChar w:fldCharType="begin" w:fldLock="1"/>
      </w:r>
      <w:r w:rsidR="00260ACA">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stress","type":"article-journal","volume":"7"},"uris":["http://www.mendeley.com/documents/?uuid=6999529d-9f41-47d1-a708-ec2e7a140162"]},{"id":"ITEM-2","itemData":{"DOI":"10.1073/pnas.0701821104","ISBN":"0027-8424 (Print)\\r0027-8424 (Linking)","ISSN":"0027-8424","PMID":"17483484","abstract":"Lipoteichoic acid (LTA), a glycerol phosphate surface polymer, is a component of the envelope of Gram-positive bacteria. However, the molecular basis for its synthesis or function is not known. Here we report that Staphylococcus aureus LtaS synthesizes glycerol phosphate LTA. Construction of a mutant S. aureus strain with inducible ltaS expression revealed that LTA synthesis is required for bacterial growth and cell division. An ltaS homologue of Bacillus subtilis restored LTA synthesis and the growth of ltaS mutant staphylococci. Thus, LtaS inhibition can be used as a target to treat human infections caused by antibiotic-resistant S. aureus or other bacterial pathogens.","author":[{"dropping-particle":"","family":"Grundling","given":"A.","non-dropping-particle":"","parse-names":false,"suffix":""},{"dropping-particle":"","family":"Schneewind","given":"O.","non-dropping-particle":"","parse-names":false,"suffix":""}],"container-title":"Proceedings of the National Academy of Sciences","id":"ITEM-2","issue":"20","issued":{"date-parts":[["2007"]]},"page":"8478-8483","title":"Synthesis of glycerol phosphate lipoteichoic acid in Staphylococcus aureus","type":"article-journal","volume":"104"},"uris":["http://www.mendeley.com/documents/?uuid=33b7fcb3-ffde-4606-8a67-126926b4d10a"]},{"id":"ITEM-3","itemData":{"DOI":"10.1128/JB.01221-08","ISBN":"1098-5530 (Electronic)\\r0021-9193 (Linking)","ISSN":"00219193","PMID":"18952789","abstract":"Lipoteichoic acid (LTA) is one of two anionic polymers on the surface of the gram-positive bacterium Staphylococcus aureus. LTA is critical for the bacterium-host cell interaction and has recently been shown to be required for cell growth and division. To determine additional biological roles of LTA, we found it necessary to identify permissive conditions for the growth of an LTA-deficient mutant. We found that an LTA-deficient S. aureus Delta ltaS mutant could grow at 30 degrees C but not at 37 degrees C. Even at the permissive temperature, Delta ltaS mutant cells had aberrant cell division and separation, decreased autolysis, and reduced levels of peptidoglycan hydrolases. Upshift of Delta ltaS mutant cells to a nonpermissive temperature caused an inability to exclude Sytox green dye. A high-osmolarity growth medium remarkably rescued the colony-forming ability of the Delta ltaS mutant at 37 degrees C, indicating that LTA synthesis is required for growth under low-osmolarity conditions. In addition, the Delta ltaS mutation was found to be synthetically lethal with the Delta tagO mutation, which disrupts the synthesis of the other anionic polymer, wall teichoic acid (WTA), at 30 degrees C, suggesting that LTA and WTA compensate for one another in an essential function.","author":[{"dropping-particle":"","family":"Oku","given":"Yusuke","non-dropping-particle":"","parse-names":false,"suffix":""},{"dropping-particle":"","family":"Kurokawa","given":"Kenji","non-dropping-particle":"","parse-names":false,"suffix":""},{"dropping-particle":"","family":"Matsuo","given":"Miki","non-dropping-particle":"","parse-names":false,"suffix":""},{"dropping-particle":"","family":"Yamada","given":"Sakuo","non-dropping-particle":"","parse-names":false,"suffix":""},{"dropping-particle":"","family":"Lee","given":"Bok Luel","non-dropping-particle":"","parse-names":false,"suffix":""},{"dropping-particle":"","family":"Sekimizu","given":"Kazuhisa","non-dropping-particle":"","parse-names":false,"suffix":""}],"container-title":"Journal of Bacteriology","id":"ITEM-3","issue":"1","issued":{"date-parts":[["2009"]]},"page":"141-151","title":"Pleiotropic roles of polyglycerolphosphate synthase of lipoteichoic acid in growth of Staphylococcus aureus cells","type":"article-journal","volume":"91"},"uris":["http://www.mendeley.com/documents/?uuid=e654d4a5-6a63-46cd-9e2b-a2a36f52bd7e"]}],"mendeley":{"formattedCitation":"&lt;sup&gt;[63,91,99]&lt;/sup&gt;","plainTextFormattedCitation":"[63,91,99]","previouslyFormattedCitation":"&lt;sup&gt;[63,91,99]&lt;/sup&gt;"},"properties":{"noteIndex":0},"schema":"https://github.com/citation-style-language/schema/raw/master/csl-citation.json"}</w:instrText>
      </w:r>
      <w:r w:rsidR="00F55C56">
        <w:fldChar w:fldCharType="separate"/>
      </w:r>
      <w:r w:rsidR="00C825F9" w:rsidRPr="00C825F9">
        <w:rPr>
          <w:noProof/>
          <w:vertAlign w:val="superscript"/>
        </w:rPr>
        <w:t>[63,91,99]</w:t>
      </w:r>
      <w:r w:rsidR="00F55C56">
        <w:fldChar w:fldCharType="end"/>
      </w:r>
      <w:r w:rsidR="00F55C56">
        <w:t xml:space="preserve">. </w:t>
      </w:r>
      <w:r w:rsidR="002037A6">
        <w:t>More precisely</w:t>
      </w:r>
      <w:r w:rsidR="00F55C56">
        <w:t>, n</w:t>
      </w:r>
      <w:r w:rsidR="00C22DAB">
        <w:t>eutralising cations like Mg</w:t>
      </w:r>
      <w:r w:rsidR="00C22DAB">
        <w:rPr>
          <w:vertAlign w:val="superscript"/>
        </w:rPr>
        <w:t>+2</w:t>
      </w:r>
      <w:r w:rsidR="00C22DAB">
        <w:t xml:space="preserve"> and the</w:t>
      </w:r>
      <w:r w:rsidR="007A3ACB">
        <w:t xml:space="preserve"> positively charged amino groups from the D-alanine ester</w:t>
      </w:r>
      <w:r w:rsidR="00F55C56">
        <w:t xml:space="preserve"> residues bound to LTA</w:t>
      </w:r>
      <w:r w:rsidR="007A3ACB">
        <w:t xml:space="preserve"> </w:t>
      </w:r>
      <w:r w:rsidR="00F55C56">
        <w:t>could be involved in</w:t>
      </w:r>
      <w:r w:rsidR="007A3ACB">
        <w:t xml:space="preserve"> </w:t>
      </w:r>
      <w:r w:rsidR="00D01726">
        <w:t>maintain</w:t>
      </w:r>
      <w:r w:rsidR="00F55C56">
        <w:t>ing</w:t>
      </w:r>
      <w:r w:rsidR="007A3ACB">
        <w:t xml:space="preserve"> the ES</w:t>
      </w:r>
      <w:r w:rsidR="00D01726">
        <w:t>.</w:t>
      </w:r>
    </w:p>
    <w:p w14:paraId="4EA75538" w14:textId="0C5AE295" w:rsidR="002E27B3" w:rsidRPr="00254F3A" w:rsidRDefault="009943FC" w:rsidP="00382196">
      <w:r>
        <w:t xml:space="preserve">Another alternative theory involves the anionic electrostatic repulsion between WTA and LTA, generating a balance between the cellular turgor pressure and the forces resulting from the WTA-LTA interaction </w:t>
      </w:r>
      <w:r>
        <w:fldChar w:fldCharType="begin" w:fldLock="1"/>
      </w:r>
      <w:r w:rsidR="005F2DD4">
        <w:instrText xml:space="preserve">ADDIN CSL_CITATION {"citationItems":[{"id":"ITEM-1","itemData":{"DOI":"10.3389/fmicb.2021.664704","ISSN":"1664302X","abstract":"The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F2DD4">
        <w:rPr>
          <w:rFonts w:ascii="Cambria Math" w:hAnsi="Cambria Math" w:cs="Cambria Math"/>
        </w:rPr>
        <w:instrText>∼</w:instrText>
      </w:r>
      <w:r w:rsidR="005F2DD4">
        <w:instrText xml:space="preserve">0.5 M, which would bring in </w:instrText>
      </w:r>
      <w:r w:rsidR="005F2DD4">
        <w:rPr>
          <w:rFonts w:ascii="Cambria Math" w:hAnsi="Cambria Math" w:cs="Cambria Math"/>
        </w:rPr>
        <w:instrText>∼</w:instrText>
      </w:r>
      <w:r w:rsidR="005F2DD4">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Microbiology","id":"ITEM-1","issue":"May","issued":{"date-parts":[["2021"]]},"page":"1-11","title":"How Teichoic Acids Could Support a Periplasm in Gram-Positive Bacteria, and Let Cell Division Cheat Turgor Pressure","type":"article-journal","volume":"12"},"uris":["http://www.mendeley.com/documents/?uuid=8e106983-147c-42ae-88fd-3e44783b571f"]}],"mendeley":{"formattedCitation":"&lt;sup&gt;[166]&lt;/sup&gt;","plainTextFormattedCitation":"[166]","previouslyFormattedCitation":"&lt;sup&gt;[166]&lt;/sup&gt;"},"properties":{"noteIndex":0},"schema":"https://github.com/citation-style-language/schema/raw/master/csl-citation.json"}</w:instrText>
      </w:r>
      <w:r>
        <w:fldChar w:fldCharType="separate"/>
      </w:r>
      <w:r w:rsidR="0054658D" w:rsidRPr="0054658D">
        <w:rPr>
          <w:noProof/>
          <w:vertAlign w:val="superscript"/>
        </w:rPr>
        <w:t>[166]</w:t>
      </w:r>
      <w:r>
        <w:fldChar w:fldCharType="end"/>
      </w:r>
      <w:r>
        <w:t>.</w:t>
      </w:r>
    </w:p>
    <w:p w14:paraId="0D197A6F" w14:textId="2E871327" w:rsidR="00382196" w:rsidRPr="005B0F81" w:rsidRDefault="00382196" w:rsidP="00382196">
      <w:pPr>
        <w:pStyle w:val="Heading2"/>
      </w:pPr>
      <w:bookmarkStart w:id="92" w:name="_Toc64276280"/>
      <w:bookmarkStart w:id="93" w:name="_Toc64276584"/>
      <w:bookmarkStart w:id="94" w:name="_Toc64276796"/>
      <w:bookmarkStart w:id="95" w:name="_Ref76213557"/>
      <w:bookmarkStart w:id="96" w:name="_Ref76216612"/>
      <w:bookmarkStart w:id="97" w:name="_Ref76217707"/>
      <w:bookmarkStart w:id="98" w:name="_Toc90216736"/>
      <w:r w:rsidRPr="005B0F81">
        <w:t>Antibiotics</w:t>
      </w:r>
      <w:bookmarkEnd w:id="92"/>
      <w:bookmarkEnd w:id="93"/>
      <w:bookmarkEnd w:id="94"/>
      <w:bookmarkEnd w:id="95"/>
      <w:bookmarkEnd w:id="96"/>
      <w:bookmarkEnd w:id="97"/>
      <w:r w:rsidR="007006CC">
        <w:t>.</w:t>
      </w:r>
      <w:bookmarkEnd w:id="98"/>
    </w:p>
    <w:p w14:paraId="257AABD9" w14:textId="03338F50" w:rsidR="00382196" w:rsidRDefault="00382196" w:rsidP="00382196">
      <w:r>
        <w:t>CW homeostasis is essential for bacterial viability and it requires a continued turnover of PG</w:t>
      </w:r>
      <w:r w:rsidR="00BF6F81">
        <w:t xml:space="preserve"> </w:t>
      </w:r>
      <w:r w:rsidR="00BF6F81">
        <w:fldChar w:fldCharType="begin" w:fldLock="1"/>
      </w:r>
      <w:r w:rsidR="00DA0A83">
        <w:instrText>ADDIN CSL_CITATION {"citationItems":[{"id":"ITEM-1","itemData":{"DOI":"10.1111/j.1574-6976.2007.00094.x","ISSN":"01686445","PMID":"18194336","abstract":"The peptidoglycan (murein) sacculus is a unique and essential structural element in the cell wall of most bacteria. Made of glycan strands cross-linked by short peptides, the sacculus forms a closed, bag-shaped structure surrounding the cytoplasmic membrane. There is a high diversity in the composition and sequence of the peptides in the peptidoglycan from different species. Furthermore, in several species examined, the fine structure of the peptidoglycan significantly varies with the growth conditions. Limited number of biophysical data on the thickness, elasticity and porosity of peptidoglycan are available. The different models for the architecture of peptidoglycan are discussed with respect to structural and physical parameters. © 2008 Federation of European Microbiological Societies.","author":[{"dropping-particle":"","family":"Vollmer","given":"Waldemar","non-dropping-particle":"","parse-names":false,"suffix":""},{"dropping-particle":"","family":"Blanot","given":"Didier","non-dropping-particle":"","parse-names":false,"suffix":""},{"dropping-particle":"","family":"Pedro","given":"Miguel A.","non-dropping-particle":"De","parse-names":false,"suffix":""}],"container-title":"FEMS Microbiology Reviews","id":"ITEM-1","issue":"2","issued":{"date-parts":[["2008"]]},"page":"149-167","title":"Peptidoglycan structure and architecture","type":"article-journal","volume":"32"},"uris":["http://www.mendeley.com/documents/?uuid=110d6ad8-28ec-4a1d-b35f-220827b9decf"]},{"id":"ITEM-2","itemData":{"DOI":"10.3389/fmicb.2019.00331","ISSN":"1664302X","abstract":"The cell wall (CW) of bacteria is an intricate arrangement of macromolecules, at least constituted of peptidoglycan (PG) but also of (lipo)teichoic acids, various polysaccharides, polyglutamate and/or proteins. During bacterial growth and division, there is a constant balance between CW degradation and biosynthesis. The CW is remodeled by bacterial hydrolases, whose activities are carefully regulated to maintain cell integrity or lead to bacterial death. Each cell wall hydrolase (CWH) has a specific role regarding the PG: (i) cell wall amidase (CWA) cleaves the amide bond between N-acetylmuramic acid and L-alanine residue at the N-terminal of the stem peptide, (ii) cell wall glycosidase (CWG) catalyses the hydrolysis of the glycosidic linkages, whereas (iii) cell wall peptidase (CWP) cleaves amide bonds between amino acids within the PG chain. After an exhaustive overview of all known conserved catalytic domains responsible for CWA, CWG, and CWP activities, this review stresses that the CWHs frequently display a modular architecture combining multiple and/or different catalytic domains, including some lytic transglycosylases as well as CW binding domains. From there, direct physiological and collateral roles of CWHs in bacterial cells are further discussed.","author":[{"dropping-particle":"","family":"Vermassen","given":"Aurore","non-dropping-particle":"","parse-names":false,"suffix":""},{"dropping-particle":"","family":"Leroy","given":"Sabine","non-dropping-particle":"","parse-names":false,"suffix":""},{"dropping-particle":"","family":"Talon","given":"Régine","non-dropping-particle":"","parse-names":false,"suffix":""},{"dropping-particle":"","family":"Provot","given":"Christian","non-dropping-particle":"","parse-names":false,"suffix":""},{"dropping-particle":"","family":"Popowska","given":"Magdalena","non-dropping-particle":"","parse-names":false,"suffix":""},{"dropping-particle":"","family":"Desvaux","given":"Mickaël","non-dropping-particle":"","parse-names":false,"suffix":""}],"container-title":"Frontiers in Microbiology","id":"ITEM-2","issue":"FEB","issued":{"date-parts":[["2019"]]},"title":"Cell wall hydrolases in bacteria: Insight on the diversity of cell wall amidases, glycosidases and peptidases toward peptidoglycan","type":"article-journal","volume":"10"},"uris":["http://www.mendeley.com/documents/?uuid=1a96685d-bc08-4d83-8c50-d9a126623ce6"]}],"mendeley":{"formattedCitation":"&lt;sup&gt;[17,22]&lt;/sup&gt;","plainTextFormattedCitation":"[17,22]","previouslyFormattedCitation":"&lt;sup&gt;[17,22]&lt;/sup&gt;"},"properties":{"noteIndex":0},"schema":"https://github.com/citation-style-language/schema/raw/master/csl-citation.json"}</w:instrText>
      </w:r>
      <w:r w:rsidR="00BF6F81">
        <w:fldChar w:fldCharType="separate"/>
      </w:r>
      <w:r w:rsidR="00DA0A83" w:rsidRPr="00DA0A83">
        <w:rPr>
          <w:noProof/>
          <w:vertAlign w:val="superscript"/>
        </w:rPr>
        <w:t>[17,22]</w:t>
      </w:r>
      <w:r w:rsidR="00BF6F81">
        <w:fldChar w:fldCharType="end"/>
      </w:r>
      <w:r>
        <w:t xml:space="preserve">. Thus, the balance between PG synthases and hydrolases consequently plays a main role throughout the cell cycle </w:t>
      </w:r>
      <w:r>
        <w:fldChar w:fldCharType="begin" w:fldLock="1"/>
      </w:r>
      <w:r w:rsidR="00DA0A83">
        <w:instrText>ADDIN CSL_CITATION {"citationItems":[{"id":"ITEM-1","itemData":{"DOI":"10.1128/mBio.00660-15","ISSN":"21507511","PMID":"26220963","abstract":"UNLABELLED: Most bacterial cells are enclosed in a single macromolecule of the cell wall polymer, peptidoglycan, which is required for shape determination and maintenance of viability, while peptidoglycan biosynthesis is an important antibiotic target. It is hypothesized that cellular enlargement requires regional expansion of the cell wall through coordinated insertion and hydrolysis of peptidoglycan. Here, a group of (apparent glucosaminidase) peptidoglycan hydrolases are identified that are together required for cell enlargement and correct cellular morphology of Staphylococcus aureus, demonstrating the overall importance of this enzyme activity. These are Atl, SagA, ScaH, and SagB. The major advance here is the explanation of the observed morphological defects in terms of the mechanical and biochemical properties of peptidoglycan. It was shown that cells lacking groups of these hydrolases have increased surface stiffness and, in the absence of SagB, substantially increased glycan chain length. This indicates that, beyond their established roles (for example in cell separation), some hydrolases enable cellular enlargement by making peptidoglycan easier to stretch, providing the first direct evidence demonstrating that cellular enlargement occurs via modulation of the mechanical properties of peptidoglycan.\\n\\nIMPORTANCE: Understanding bacterial growth and division is a fundamental problem, and knowledge in this area underlies the treatment of many infectious diseases. Almost all bacteria are surrounded by a macromolecule of peptidoglycan that encloses the cell and maintains shape, and bacterial cells must increase the size of this molecule in order to enlarge themselves. This requires not only the insertion of new peptidoglycan monomers, a process targeted by antibiotics, including penicillin, but also breakage of existing bonds, a potentially hazardous activity for the cell. Using Staphylococcus aureus, we have identified a set of enzymes that are critical for cellular enlargement. We show that these enzymes are required for normal growth and define the mechanism through which cellular enlargement is accomplished, i.e., by breaking bonds in the peptidoglycan, which reduces the stiffness of the cell wall, enabling it to stretch and expand, a process that is likely to be fundamental to many bacteria.","author":[{"dropping-particle":"","family":"Wheeler","given":"Richard","non-dropping-particle":"","parse-names":false,"suffix":""},{"dropping-particle":"","family":"Turner","given":"Robert D.","non-dropping-particle":"","parse-names":false,"suffix":""},{"dropping-particle":"","family":"Bailey","given":"Richard G.","non-dropping-particle":"","parse-names":false,"suffix":""},{"dropping-particle":"","family":"Salamaga","given":"Bartłomiej","non-dropping-particle":"","parse-names":false,"suffix":""},{"dropping-particle":"","family":"Mesnage","given":"Stéphane","non-dropping-particle":"","parse-names":false,"suffix":""},{"dropping-particle":"","family":"Mohamad","given":"Sharifah A.S.","non-dropping-particle":"","parse-names":false,"suffix":""},{"dropping-particle":"","family":"Hayhurst","given":"Emma J.","non-dropping-particle":"","parse-names":false,"suffix":""},{"dropping-particle":"","family":"Horsburgh","given":"Malcolm","non-dropping-particle":"","parse-names":false,"suffix":""},{"dropping-particle":"","family":"Hobbs","given":"Jamie K.","non-dropping-particle":"","parse-names":false,"suffix":""},{"dropping-particle":"","family":"Foster","given":"Simon J.","non-dropping-particle":"","parse-names":false,"suffix":""}],"container-title":"mBio","id":"ITEM-1","issue":"4","issued":{"date-parts":[["2015"]]},"page":"1-10","title":"Bacterial cell enlargement requires control of cell wall stiffness mediated by peptidoglycan hydrolases","type":"article-journal","volume":"6"},"uris":["http://www.mendeley.com/documents/?uuid=d2ac9efd-feb5-4e30-a1e2-88eccd09b8af"]}],"mendeley":{"formattedCitation":"&lt;sup&gt;[53]&lt;/sup&gt;","plainTextFormattedCitation":"[53]","previouslyFormattedCitation":"&lt;sup&gt;[53]&lt;/sup&gt;"},"properties":{"noteIndex":0},"schema":"https://github.com/citation-style-language/schema/raw/master/csl-citation.json"}</w:instrText>
      </w:r>
      <w:r>
        <w:fldChar w:fldCharType="separate"/>
      </w:r>
      <w:r w:rsidR="00DA0A83" w:rsidRPr="00DA0A83">
        <w:rPr>
          <w:noProof/>
          <w:vertAlign w:val="superscript"/>
        </w:rPr>
        <w:t>[53]</w:t>
      </w:r>
      <w:r>
        <w:fldChar w:fldCharType="end"/>
      </w:r>
      <w:r>
        <w:t xml:space="preserve"> and is therefore the main target of CW antibiotics</w:t>
      </w:r>
      <w:r w:rsidR="0046179F">
        <w:t>.</w:t>
      </w:r>
      <w:r>
        <w:t xml:space="preserve"> </w:t>
      </w:r>
    </w:p>
    <w:p w14:paraId="6E1F6E29" w14:textId="2F51F72F" w:rsidR="00382196" w:rsidRPr="008305C4" w:rsidRDefault="00382196" w:rsidP="00382196">
      <w:r>
        <w:t>Antibiotics are produced naturally by mostly bacteria and fungi, and they can inhibit growth or kill bacteria</w:t>
      </w:r>
      <w:r w:rsidR="00EB5972">
        <w:t> </w:t>
      </w:r>
      <w:r w:rsidR="00EB5972">
        <w:fldChar w:fldCharType="begin" w:fldLock="1"/>
      </w:r>
      <w:r w:rsidR="00260ACA">
        <w:instrText>ADDIN CSL_CITATION {"citationItems":[{"id":"ITEM-1","itemData":{"ISBN":"1-292-23510-1","author":[{"dropping-particle":"","family":"Madigan","given":"Michael T","non-dropping-particle":"","parse-names":false,"suffix":""},{"dropping-particle":"","family":"Bender","given":"Kelly S.","non-dropping-particle":"","parse-names":false,"suffix":""},{"dropping-particle":"","family":"Buckley","given":"Daniel H.","non-dropping-particle":"","parse-names":false,"suffix":""},{"dropping-particle":"","family":"Stahl","given":"David A.","non-dropping-particle":"","parse-names":false,"suffix":""}],"edition":"15","id":"ITEM-1","issued":{"date-parts":[["2019"]]},"publisher":"Pearson Education","publisher-place":"New York","title":"Brock Biology of Microorganisms","type":"book"},"uris":["http://www.mendeley.com/documents/?uuid=6ca63403-2ce5-47fd-bca0-5d6d3f6c22d0"]}],"mendeley":{"formattedCitation":"&lt;sup&gt;[15]&lt;/sup&gt;","plainTextFormattedCitation":"[15]","previouslyFormattedCitation":"&lt;sup&gt;[15]&lt;/sup&gt;"},"properties":{"noteIndex":0},"schema":"https://github.com/citation-style-language/schema/raw/master/csl-citation.json"}</w:instrText>
      </w:r>
      <w:r w:rsidR="00EB5972">
        <w:fldChar w:fldCharType="separate"/>
      </w:r>
      <w:r w:rsidR="00EB5972" w:rsidRPr="00C825F9">
        <w:rPr>
          <w:noProof/>
          <w:vertAlign w:val="superscript"/>
        </w:rPr>
        <w:t>[15]</w:t>
      </w:r>
      <w:r w:rsidR="00EB5972">
        <w:fldChar w:fldCharType="end"/>
      </w:r>
      <w:r>
        <w:t xml:space="preserve">. The former, known as </w:t>
      </w:r>
      <w:r w:rsidRPr="00250197">
        <w:t>bacteriostatic</w:t>
      </w:r>
      <w:r w:rsidRPr="0029364B">
        <w:rPr>
          <w:b/>
          <w:bCs/>
        </w:rPr>
        <w:t xml:space="preserve"> </w:t>
      </w:r>
      <w:r w:rsidRPr="00250197">
        <w:t>antibiotics</w:t>
      </w:r>
      <w:r>
        <w:t>, usually target major molecular processes like DNA replication, RNA synthesis and translation</w:t>
      </w:r>
      <w:r w:rsidR="00EB5972">
        <w:t> </w:t>
      </w:r>
      <w:r w:rsidR="00EB5972">
        <w:fldChar w:fldCharType="begin" w:fldLock="1"/>
      </w:r>
      <w:r w:rsidR="00260ACA">
        <w:instrText>ADDIN CSL_CITATION {"citationItems":[{"id":"ITEM-1","itemData":{"ISBN":"1-292-23510-1","author":[{"dropping-particle":"","family":"Madigan","given":"Michael T","non-dropping-particle":"","parse-names":false,"suffix":""},{"dropping-particle":"","family":"Bender","given":"Kelly S.","non-dropping-particle":"","parse-names":false,"suffix":""},{"dropping-particle":"","family":"Buckley","given":"Daniel H.","non-dropping-particle":"","parse-names":false,"suffix":""},{"dropping-particle":"","family":"Stahl","given":"David A.","non-dropping-particle":"","parse-names":false,"suffix":""}],"edition":"15","id":"ITEM-1","issued":{"date-parts":[["2019"]]},"publisher":"Pearson Education","publisher-place":"New York","title":"Brock Biology of Microorganisms","type":"book"},"uris":["http://www.mendeley.com/documents/?uuid=6ca63403-2ce5-47fd-bca0-5d6d3f6c22d0"]}],"mendeley":{"formattedCitation":"&lt;sup&gt;[15]&lt;/sup&gt;","plainTextFormattedCitation":"[15]","previouslyFormattedCitation":"&lt;sup&gt;[15]&lt;/sup&gt;"},"properties":{"noteIndex":0},"schema":"https://github.com/citation-style-language/schema/raw/master/csl-citation.json"}</w:instrText>
      </w:r>
      <w:r w:rsidR="00EB5972">
        <w:fldChar w:fldCharType="separate"/>
      </w:r>
      <w:r w:rsidR="00EB5972" w:rsidRPr="00C825F9">
        <w:rPr>
          <w:noProof/>
          <w:vertAlign w:val="superscript"/>
        </w:rPr>
        <w:t>[15]</w:t>
      </w:r>
      <w:r w:rsidR="00EB5972">
        <w:fldChar w:fldCharType="end"/>
      </w:r>
      <w:r>
        <w:t xml:space="preserve">. An example of a bacteriostatic antibiotic is </w:t>
      </w:r>
      <w:r w:rsidR="00250197">
        <w:t>c</w:t>
      </w:r>
      <w:r w:rsidRPr="00250197">
        <w:t>erulenin</w:t>
      </w:r>
      <w:r>
        <w:t xml:space="preserve">, an inhibitor of fatty acid synthetase discovered by Hata </w:t>
      </w:r>
      <w:r>
        <w:rPr>
          <w:i/>
          <w:iCs/>
        </w:rPr>
        <w:t>et al.</w:t>
      </w:r>
      <w:r>
        <w:t xml:space="preserve"> in 1960 as an antifungal antibiotic </w:t>
      </w:r>
      <w:r>
        <w:fldChar w:fldCharType="begin" w:fldLock="1"/>
      </w:r>
      <w:r w:rsidR="00CD3AA4">
        <w:instrText>ADDIN CSL_CITATION {"citationItems":[{"id":"ITEM-1","itemData":{"author":[{"dropping-particle":"","family":"Hata T","given":"","non-dropping-particle":"","parse-names":false,"suffix":""},{"dropping-particle":"","family":"Matsumae A","given":"","non-dropping-particle":"","parse-names":false,"suffix":""},{"dropping-particle":"","family":"Nomura S","given":"","non-dropping-particle":"","parse-names":false,"suffix":""},{"dropping-particle":"","family":"Kim T","given":"","non-dropping-particle":"","parse-names":false,"suffix":""},{"dropping-particle":"","family":"Ryan K","given":"","non-dropping-particle":"","parse-names":false,"suffix":""}],"container-title":"Japanese Journal of Bacteriology","id":"ITEM-1","issued":{"date-parts":[["1960"]]},"page":"1075-1076","title":"Study of new antifungal antibiotic","type":"article-journal","volume":"15"},"uris":["http://www.mendeley.com/documents/?uuid=0062e49a-5084-3b40-a739-2559d0989bfc"]},{"id":"ITEM-2","itemData":{"DOI":"10.1016/0006-291X(72)90397-X","ISSN":"10902104","PMID":"4625866","abstract":"The antibiotic cerulenin is a potent and apparently non-competitive inhibitor of fatty acid synthetase systems isolated from various microorganisms and from rat liver. Cerulenin specifically blocks the activity of β-keto acyl thioester synthetase (condensing enzyme). This effect may account for the inhibition of overall fatty acid synthesis by the antibiotic. © 1972.","author":[{"dropping-particle":"","family":"Vance","given":"D.","non-dropping-particle":"","parse-names":false,"suffix":""},{"dropping-particle":"","family":"Goldberg","given":"I.","non-dropping-particle":"","parse-names":false,"suffix":""},{"dropping-particle":"","family":"Mitsuhashi","given":"O.","non-dropping-particle":"","parse-names":false,"suffix":""},{"dropping-particle":"","family":"Bloch","given":"K.","non-dropping-particle":"","parse-names":false,"suffix":""},{"dropping-particle":"","family":"Omura","given":"Satoshi","non-dropping-particle":"","parse-names":false,"suffix":""},{"dropping-particle":"","family":"Nomura","given":"Setsuzo","non-dropping-particle":"","parse-names":false,"suffix":""}],"container-title":"Biochemical and Biophysical Research Communications","id":"ITEM-2","issue":"3","issued":{"date-parts":[["1972","8","7"]]},"page":"649-656","publisher":"Academic Press","title":"Inhibition of fatty acid synthetases by the antibiotic cerulenin","type":"article-journal","volume":"48"},"uris":["http://www.mendeley.com/documents/?uuid=75319644-1d02-3118-89d4-d79540d485f2"]},{"id":"ITEM-3","itemData":{"DOI":"10.1128/mmbr.40.3.681-697.1976","ISSN":"00053678","PMID":"791237","author":[{"dropping-particle":"","family":"Omura","given":"S.","non-dropping-particle":"","parse-names":false,"suffix":""}],"container-title":"Bacteriological Reviews","id":"ITEM-3","issue":"3","issued":{"date-parts":[["1976"]]},"page":"681-697","publisher":"American Society for Microbiology (ASM)","title":"The antibiotic cerulenin, a novel tool for biochemistry as an inhibitor of fatty acid synthesis","type":"article","volume":"40"},"uris":["http://www.mendeley.com/documents/?uuid=495b24f2-7206-39bf-adfa-e992c621db71"]}],"mendeley":{"formattedCitation":"&lt;sup&gt;[171–173]&lt;/sup&gt;","plainTextFormattedCitation":"[171–173]","previouslyFormattedCitation":"&lt;sup&gt;[171–173]&lt;/sup&gt;"},"properties":{"noteIndex":0},"schema":"https://github.com/citation-style-language/schema/raw/master/csl-citation.json"}</w:instrText>
      </w:r>
      <w:r>
        <w:fldChar w:fldCharType="separate"/>
      </w:r>
      <w:r w:rsidR="002659E5" w:rsidRPr="002659E5">
        <w:rPr>
          <w:noProof/>
          <w:vertAlign w:val="superscript"/>
        </w:rPr>
        <w:t>[171–173]</w:t>
      </w:r>
      <w:r>
        <w:fldChar w:fldCharType="end"/>
      </w:r>
      <w:r>
        <w:t>. Later studies have shown that it not only inhibits fatty acid synthesis, but also other related processes like sterol synthesis and protein acylation</w:t>
      </w:r>
      <w:r w:rsidR="00E651E2">
        <w:t>, to name a few</w:t>
      </w:r>
      <w:r>
        <w:t xml:space="preserve">, </w:t>
      </w:r>
      <w:r w:rsidR="00D66993">
        <w:t xml:space="preserve">by blocking the activity of </w:t>
      </w:r>
      <w:r w:rsidR="00D66993">
        <w:rPr>
          <w:lang w:val="el-GR"/>
        </w:rPr>
        <w:t>β</w:t>
      </w:r>
      <w:r w:rsidR="00D66993">
        <w:t xml:space="preserve">-ketoacyl acyl carrier proteins (ACP) synthetases </w:t>
      </w:r>
      <w:r>
        <w:fldChar w:fldCharType="begin" w:fldLock="1"/>
      </w:r>
      <w:r w:rsidR="0058736C">
        <w:instrText>ADDIN CSL_CITATION {"citationItems":[{"id":"ITEM-1","itemData":{"DOI":"10.1099/mic.0.28102-0","ISSN":"13500872","abstract":"Cerulenin is an antibiotic that inhibits fatty acid synthesis by covalent modification of the active thiol of the chain-elongation subtypes of β-ketoacyl-acyl carrier protein synthase. It also inhibits other processes that utilize essential thiols. Cerulenin has been widely reported to block protein secretion at sub-MIC levels, an effect that has been postulated to represent interference with membrane function through interference with normal fatty acid synthesis. This study confirms the profound reduction in extracellular proteins caused by low concentrations of the antibiotic, and shows by Northern blot hybridization that this reduction is due to interference with transcription. By exchanging promoters between entB, a gene that is inhibited by cerulenin, and entA, a gene that is not, it was also shown that the antibiotic does not block secretion. Subinhibitory concentrations of cerulenin were also found to block transcriptional activation of at least two regulatory determinants, agr and sae, that function by signal transduction. Interference with the activation of these and other regulatory determinants probably accounts for much of the inhibitory effect on exoprotein production of sub-MIC concentrations of cerulenin. © 2005 SGM.","author":[{"dropping-particle":"","family":"Adhikari","given":"Rajan P.","non-dropping-particle":"","parse-names":false,"suffix":""},{"dropping-particle":"","family":"Novick","given":"Richard P.","non-dropping-particle":"","parse-names":false,"suffix":""}],"container-title":"Microbiology","id":"ITEM-1","issue":"9","issued":{"date-parts":[["2005"]]},"page":"3059-3069","title":"Subinhibitory cerulenin inhibits staphylococcal exoprotein production by blocking transcription rather than by blocking secretion","type":"article-journal","volume":"151"},"uris":["http://www.mendeley.com/documents/?uuid=574d31a7-9aad-43ba-aa77-aad8845944a3"]}],"mendeley":{"formattedCitation":"&lt;sup&gt;[174]&lt;/sup&gt;","plainTextFormattedCitation":"[174]","previouslyFormattedCitation":"&lt;sup&gt;[174]&lt;/sup&gt;"},"properties":{"noteIndex":0},"schema":"https://github.com/citation-style-language/schema/raw/master/csl-citation.json"}</w:instrText>
      </w:r>
      <w:r>
        <w:fldChar w:fldCharType="separate"/>
      </w:r>
      <w:r w:rsidR="002659E5" w:rsidRPr="002659E5">
        <w:rPr>
          <w:noProof/>
          <w:vertAlign w:val="superscript"/>
        </w:rPr>
        <w:t>[174]</w:t>
      </w:r>
      <w:r>
        <w:fldChar w:fldCharType="end"/>
      </w:r>
      <w:r>
        <w:t>.</w:t>
      </w:r>
    </w:p>
    <w:p w14:paraId="6FEC60E4" w14:textId="27292F23" w:rsidR="00135D92" w:rsidRDefault="00382196" w:rsidP="00382196">
      <w:pPr>
        <w:sectPr w:rsidR="00135D92" w:rsidSect="004D0E05">
          <w:pgSz w:w="11906" w:h="16838"/>
          <w:pgMar w:top="1191" w:right="1247" w:bottom="1191" w:left="1247" w:header="709" w:footer="709" w:gutter="0"/>
          <w:cols w:space="708"/>
          <w:titlePg/>
          <w:docGrid w:linePitch="360"/>
        </w:sectPr>
      </w:pPr>
      <w:r w:rsidRPr="00250197">
        <w:t>Bactericidal antibiotics</w:t>
      </w:r>
      <w:r w:rsidR="0029364B">
        <w:t xml:space="preserve"> </w:t>
      </w:r>
      <w:r>
        <w:t xml:space="preserve">kill bacteria by </w:t>
      </w:r>
      <w:r w:rsidR="00A673E7">
        <w:t xml:space="preserve">often </w:t>
      </w:r>
      <w:r>
        <w:t>targeting bacterial CW synthesis</w:t>
      </w:r>
      <w:r w:rsidR="00EB5972">
        <w:t> </w:t>
      </w:r>
      <w:r w:rsidR="00EB5972">
        <w:fldChar w:fldCharType="begin" w:fldLock="1"/>
      </w:r>
      <w:r w:rsidR="00260ACA">
        <w:instrText>ADDIN CSL_CITATION {"citationItems":[{"id":"ITEM-1","itemData":{"ISBN":"1-292-23510-1","author":[{"dropping-particle":"","family":"Madigan","given":"Michael T","non-dropping-particle":"","parse-names":false,"suffix":""},{"dropping-particle":"","family":"Bender","given":"Kelly S.","non-dropping-particle":"","parse-names":false,"suffix":""},{"dropping-particle":"","family":"Buckley","given":"Daniel H.","non-dropping-particle":"","parse-names":false,"suffix":""},{"dropping-particle":"","family":"Stahl","given":"David A.","non-dropping-particle":"","parse-names":false,"suffix":""}],"edition":"15","id":"ITEM-1","issued":{"date-parts":[["2019"]]},"publisher":"Pearson Education","publisher-place":"New York","title":"Brock Biology of Microorganisms","type":"book"},"uris":["http://www.mendeley.com/documents/?uuid=6ca63403-2ce5-47fd-bca0-5d6d3f6c22d0"]}],"mendeley":{"formattedCitation":"&lt;sup&gt;[15]&lt;/sup&gt;","plainTextFormattedCitation":"[15]","previouslyFormattedCitation":"&lt;sup&gt;[15]&lt;/sup&gt;"},"properties":{"noteIndex":0},"schema":"https://github.com/citation-style-language/schema/raw/master/csl-citation.json"}</w:instrText>
      </w:r>
      <w:r w:rsidR="00EB5972">
        <w:fldChar w:fldCharType="separate"/>
      </w:r>
      <w:r w:rsidR="00EB5972" w:rsidRPr="00C825F9">
        <w:rPr>
          <w:noProof/>
          <w:vertAlign w:val="superscript"/>
        </w:rPr>
        <w:t>[15]</w:t>
      </w:r>
      <w:r w:rsidR="00EB5972">
        <w:fldChar w:fldCharType="end"/>
      </w:r>
      <w:r>
        <w:t xml:space="preserve">. An example is </w:t>
      </w:r>
      <w:r w:rsidR="00250197">
        <w:t>m</w:t>
      </w:r>
      <w:r w:rsidRPr="00250197">
        <w:t>oenomycin</w:t>
      </w:r>
      <w:r>
        <w:t xml:space="preserve">, a phosphoglycolipid CW antibiotic that inhibits transglycosylases (TGs) PBP2 and SgtB in </w:t>
      </w:r>
      <w:r>
        <w:rPr>
          <w:i/>
          <w:iCs/>
        </w:rPr>
        <w:t>S. aureus</w:t>
      </w:r>
      <w:r>
        <w:t xml:space="preserve"> (</w:t>
      </w:r>
      <w:r>
        <w:fldChar w:fldCharType="begin"/>
      </w:r>
      <w:r>
        <w:instrText xml:space="preserve"> REF _Ref71464537 \h </w:instrText>
      </w:r>
      <w:r>
        <w:fldChar w:fldCharType="separate"/>
      </w:r>
      <w:r w:rsidR="00183CC8">
        <w:t xml:space="preserve">Figure </w:t>
      </w:r>
      <w:r w:rsidR="00183CC8">
        <w:rPr>
          <w:noProof/>
        </w:rPr>
        <w:t>1</w:t>
      </w:r>
      <w:r w:rsidR="00183CC8">
        <w:t>.</w:t>
      </w:r>
      <w:r w:rsidR="00183CC8">
        <w:rPr>
          <w:noProof/>
        </w:rPr>
        <w:t>9</w:t>
      </w:r>
      <w:r>
        <w:fldChar w:fldCharType="end"/>
      </w:r>
      <w:r>
        <w:t xml:space="preserve">d-e) </w:t>
      </w:r>
      <w:r>
        <w:fldChar w:fldCharType="begin" w:fldLock="1"/>
      </w:r>
      <w:r w:rsidR="0058736C">
        <w:instrText>ADDIN CSL_CITATION {"citationItems":[{"id":"ITEM-1","itemData":{"DOI":"10.1021/cb4006744","ISSN":"15548929","PMID":"24255971","abstract":"Staphylococcus aureus is a Gram-positive pathogen with an unusual mode of cell division in that it divides in orthogonal rather than parallel planes. Through selection using moenomycin, an antibiotic proposed to target peptidoglycan glycosyltransferases (PGTs), we have generated resistant mutants containing a single point mutation in the active site of the PGT domain of an essential peptidoglycan (PG) biosynthetic enzyme, PBP2. Using cell free polymerization assays, we show that this mutation alters PGT activity so that much shorter PG chains are made. The same mutation in another S. aureus PGT, SgtB, has a similar effect on glycan chain length. Moenomycin-resistant S. aureus strains containing mutated PGTs that make only short glycan polymers display major cell division defects, implicating PG chain length in determining bacterial cell morphology and division site placement. © 2013 American Chemical Society.","author":[{"dropping-particle":"","family":"Rebets","given":"Yuriy","non-dropping-particle":"","parse-names":false,"suffix":""},{"dropping-particle":"","family":"Lupoli","given":"Tania","non-dropping-particle":"","parse-names":false,"suffix":""},{"dropping-particle":"","family":"Qiao","given":"Yuan","non-dropping-particle":"","parse-names":false,"suffix":""},{"dropping-particle":"","family":"Schirner","given":"Kathrin","non-dropping-particle":"","parse-names":false,"suffix":""},{"dropping-particle":"","family":"Villet","given":"Regis","non-dropping-particle":"","parse-names":false,"suffix":""},{"dropping-particle":"","family":"Hooper","given":"David","non-dropping-particle":"","parse-names":false,"suffix":""},{"dropping-particle":"","family":"Kahne","given":"Daniel","non-dropping-particle":"","parse-names":false,"suffix":""},{"dropping-particle":"","family":"Walker","given":"Suzanne","non-dropping-particle":"","parse-names":false,"suffix":""}],"container-title":"ACS Chemical Biology","id":"ITEM-1","issue":"2","issued":{"date-parts":[["2014"]]},"page":"459-467","title":"Moenomycin resistance mutations in Staphylococcus aureus reduce peptidoglycan chain length and cause aberrant cell division","type":"article-journal","volume":"9"},"uris":["http://www.mendeley.com/documents/?uuid=3b09024d-4adb-3966-b965-0e5dd9f75f79"]}],"mendeley":{"formattedCitation":"&lt;sup&gt;[175]&lt;/sup&gt;","plainTextFormattedCitation":"[175]","previouslyFormattedCitation":"&lt;sup&gt;[175]&lt;/sup&gt;"},"properties":{"noteIndex":0},"schema":"https://github.com/citation-style-language/schema/raw/master/csl-citation.json"}</w:instrText>
      </w:r>
      <w:r>
        <w:fldChar w:fldCharType="separate"/>
      </w:r>
      <w:r w:rsidR="002659E5" w:rsidRPr="002659E5">
        <w:rPr>
          <w:noProof/>
          <w:vertAlign w:val="superscript"/>
        </w:rPr>
        <w:t>[175]</w:t>
      </w:r>
      <w:r>
        <w:fldChar w:fldCharType="end"/>
      </w:r>
      <w:r>
        <w:t xml:space="preserve">. </w:t>
      </w:r>
      <w:r w:rsidR="00100C6D">
        <w:t>Moenomycin</w:t>
      </w:r>
      <w:r>
        <w:t xml:space="preserve"> is able to mimic lipid II and </w:t>
      </w:r>
      <w:r w:rsidR="002D7C92">
        <w:t>is</w:t>
      </w:r>
      <w:r>
        <w:t xml:space="preserve"> a</w:t>
      </w:r>
      <w:r w:rsidR="00A615C3">
        <w:t xml:space="preserve">n </w:t>
      </w:r>
      <w:r w:rsidR="0009621E">
        <w:t>analogous</w:t>
      </w:r>
      <w:r>
        <w:t xml:space="preserve"> substrate that binds to the active site of PBPs </w:t>
      </w:r>
      <w:r>
        <w:fldChar w:fldCharType="begin" w:fldLock="1"/>
      </w:r>
      <w:r w:rsidR="0058736C">
        <w:instrText>ADDIN CSL_CITATION {"citationItems":[{"id":"ITEM-1","itemData":{"DOI":"10.1039/c001461n","author":[{"dropping-particle":"","family":"Ostash","given":"Bohdan","non-dropping-particle":"","parse-names":false,"suffix":""},{"dropping-particle":"","family":"Walker","given":"Suzanne","non-dropping-particle":"","parse-names":false,"suffix":""}],"container-title":"Natural Products Reports","id":"ITEM-1","issue":"11","issued":{"date-parts":[["2010"]]},"page":"1594-1617","title":"Moenomycin family antibiotics: chemical synthesis, biosynthesis, and biological activity","type":"article-journal","volume":"27"},"uris":["http://www.mendeley.com/documents/?uuid=c82ff310-6115-34cb-92b4-3f34ba8f0cde"]},{"id":"ITEM-2","itemData":{"DOI":"10.1126/science.1136611","ISSN":"00368075","PMID":"17347437","abstract":"Peptidoglycan glycosyltransferases (GTs) catalyze the polymerization step of cell-wall biosynthesis, are membrane-bound, and are highly conserved across all bacteria. Long considered the \"holy grail\" of antibiotic research, they represent an essential and easily accessible drug target for antibiotic-resistant bacteria, including methicillin-resistant Staphylococcus aureus. We have determined the 2.8 angstrom structure of a bifunctional cell-wall cross-linking enzyme, including its transpeptidase and GT domains, both unliganded and complexed with the substrate analog moenomycin. The peptidoglycan GTs adopt a fold distinct from those of other GT classes. The structures give insight into critical features of the catalytic mechanism and key interactions required for enzyme inhibition.","author":[{"dropping-particle":"","family":"Lovering","given":"Andrew L.","non-dropping-particle":"","parse-names":false,"suffix":""},{"dropping-particle":"","family":"Castro","given":"Liza H.","non-dropping-particle":"De","parse-names":false,"suffix":""},{"dropping-particle":"","family":"Lim","given":"Daniel","non-dropping-particle":"","parse-names":false,"suffix":""},{"dropping-particle":"","family":"Strynadka","given":"Natalie C.J.","non-dropping-particle":"","parse-names":false,"suffix":""}],"container-title":"Science","id":"ITEM-2","issue":"5817","issued":{"date-parts":[["2007","3","9"]]},"page":"1402-1405","publisher":"American Association for the Advancement of Science","title":"Structural insight into the transglycosylation step of bacterial cell-wall biosynthesis","type":"article-journal","volume":"315"},"uris":["http://www.mendeley.com/documents/?uuid=77de2f94-68a0-3364-bd3a-db9351cbec89"]},{"id":"ITEM-3","itemData":{"DOI":"10.1016/j.ijmm.2009.10.005","ISSN":"14384221","PMID":"20005776","abstract":"Bacterial cell wall biosynthesis represents the target pathway for penicillin, the first antibiotic that was clinically applied on a large scale. Penicillin, by means of its beta-lactam ring, inhibits a number of enzymes which participate in inserting monomeric cell wall building blocks into the cell wall polymer and which have been termed penicillin-binding proteins (PBPs). Ever since the introduction of penicillin, hundreds of beta-lactam antibiotics have been developed and details of their molecular activities elaborated. Meanwhile, various additional classes of antibiotics have been described, which inhibit the same pathway, yet use target molecules others than the PBPs. Such classes include the glycopeptide antibiotics, lipopeptide and lipodepsipeptide antibiotics, the lantibiotics and various other natural product antibiotics with comparatively complex structures. They usually target the membrane-bound steps of the biosynthesis pathway and the highly conserved lipid-bound intermediates of the building block such as lipid II, which represents a particular \"Achilles' heel\" for antibiotic attack. With in-depth analysis of the activity of more recently identified inhibitors and with the availability of novel techniques for studying prokaryotic cell biology, new insights were obtained into the molecular organisation of the cell wall biosynthesis machinery and its interconnections with other vital cellular processes such as cell division. This, in turn, provides hints for new targets to be exploited and for the development of novel cell wall biosynthesis inhibitors. © 2009 Elsevier GmbH. All rights reserved.","author":[{"dropping-particle":"","family":"Schneider","given":"Tanja","non-dropping-particle":"","parse-names":false,"suffix":""},{"dropping-particle":"","family":"Sahl","given":"Hans Georg","non-dropping-particle":"","parse-names":false,"suffix":""}],"container-title":"International Journal of Medical Microbiology","id":"ITEM-3","issue":"2-3","issued":{"date-parts":[["2010"]]},"page":"161-169","publisher":"Elsevier","title":"An oldie but a goodie - cell wall biosynthesis as antibiotic target pathway","type":"article-journal","volume":"300"},"uris":["http://www.mendeley.com/documents/?uuid=a01acd86-0b25-4882-bf39-919c1fc39a7f"]}],"mendeley":{"formattedCitation":"&lt;sup&gt;[176–178]&lt;/sup&gt;","plainTextFormattedCitation":"[176–178]","previouslyFormattedCitation":"&lt;sup&gt;[176–178]&lt;/sup&gt;"},"properties":{"noteIndex":0},"schema":"https://github.com/citation-style-language/schema/raw/master/csl-citation.json"}</w:instrText>
      </w:r>
      <w:r>
        <w:fldChar w:fldCharType="separate"/>
      </w:r>
      <w:r w:rsidR="002659E5" w:rsidRPr="002659E5">
        <w:rPr>
          <w:noProof/>
          <w:vertAlign w:val="superscript"/>
        </w:rPr>
        <w:t>[176–178]</w:t>
      </w:r>
      <w:r>
        <w:fldChar w:fldCharType="end"/>
      </w:r>
      <w:r>
        <w:t>.</w:t>
      </w:r>
      <w:r w:rsidR="00A615C3">
        <w:t xml:space="preserve"> </w:t>
      </w:r>
      <w:r w:rsidR="000948A4">
        <w:t>However, t</w:t>
      </w:r>
      <w:r>
        <w:t xml:space="preserve">he </w:t>
      </w:r>
      <w:r w:rsidR="0004604B">
        <w:t>best-known</w:t>
      </w:r>
      <w:r>
        <w:t xml:space="preserve"> bactericidal antibiotics are </w:t>
      </w:r>
      <w:r w:rsidR="006652CD">
        <w:t xml:space="preserve">β-lactams (penicillin, methicillin) and </w:t>
      </w:r>
      <w:r w:rsidR="00DC2DC5">
        <w:t>glycopeptides (vancomycin)</w:t>
      </w:r>
      <w:r w:rsidR="006652CD">
        <w:t xml:space="preserve">, </w:t>
      </w:r>
      <w:r w:rsidR="008C1529">
        <w:t>described below</w:t>
      </w:r>
      <w:r>
        <w:t>.</w:t>
      </w:r>
    </w:p>
    <w:p w14:paraId="5A4DF0CE" w14:textId="77777777" w:rsidR="00135D92" w:rsidRDefault="00135D92" w:rsidP="00135D92">
      <w:pPr>
        <w:keepNext/>
        <w:spacing w:before="0" w:line="259" w:lineRule="auto"/>
        <w:jc w:val="center"/>
      </w:pPr>
      <w:r>
        <w:rPr>
          <w:b/>
          <w:bCs/>
          <w:noProof/>
          <w:lang w:val="el-GR"/>
        </w:rPr>
        <w:lastRenderedPageBreak/>
        <w:drawing>
          <wp:inline distT="0" distB="0" distL="0" distR="0" wp14:anchorId="75DA75AD" wp14:editId="58E1655B">
            <wp:extent cx="5900294" cy="6714126"/>
            <wp:effectExtent l="0" t="0" r="5715" b="4445"/>
            <wp:docPr id="44"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16777" cy="6732883"/>
                    </a:xfrm>
                    <a:prstGeom prst="rect">
                      <a:avLst/>
                    </a:prstGeom>
                  </pic:spPr>
                </pic:pic>
              </a:graphicData>
            </a:graphic>
          </wp:inline>
        </w:drawing>
      </w:r>
    </w:p>
    <w:p w14:paraId="7B1BF0EA" w14:textId="740006B5" w:rsidR="00135D92" w:rsidRDefault="00135D92" w:rsidP="00135D92">
      <w:pPr>
        <w:pStyle w:val="Caption"/>
      </w:pPr>
      <w:bookmarkStart w:id="99" w:name="_Ref71464537"/>
      <w:bookmarkStart w:id="100" w:name="_Toc90216934"/>
      <w:r>
        <w:t xml:space="preserve">Figure </w:t>
      </w:r>
      <w:fldSimple w:instr=" STYLEREF 1 \s ">
        <w:r w:rsidR="00183CC8">
          <w:rPr>
            <w:noProof/>
          </w:rPr>
          <w:t>1</w:t>
        </w:r>
      </w:fldSimple>
      <w:r>
        <w:t>.</w:t>
      </w:r>
      <w:fldSimple w:instr=" SEQ Figure \* ARABIC \s 1 ">
        <w:r w:rsidR="00183CC8">
          <w:rPr>
            <w:noProof/>
          </w:rPr>
          <w:t>9</w:t>
        </w:r>
      </w:fldSimple>
      <w:bookmarkEnd w:id="99"/>
      <w:r>
        <w:t xml:space="preserve">  Structure and targets of CW antibiotics.</w:t>
      </w:r>
      <w:bookmarkEnd w:id="100"/>
    </w:p>
    <w:p w14:paraId="79F6384A" w14:textId="77777777" w:rsidR="00135D92" w:rsidRDefault="00135D92" w:rsidP="00135D92">
      <w:pPr>
        <w:pStyle w:val="NoSpacing"/>
        <w:sectPr w:rsidR="00135D92" w:rsidSect="004D0E05">
          <w:pgSz w:w="11906" w:h="16838"/>
          <w:pgMar w:top="1191" w:right="1247" w:bottom="1191" w:left="1247" w:header="709" w:footer="709" w:gutter="0"/>
          <w:cols w:space="708"/>
          <w:titlePg/>
          <w:docGrid w:linePitch="360"/>
        </w:sectPr>
      </w:pPr>
      <w:r>
        <w:rPr>
          <w:b/>
          <w:bCs/>
        </w:rPr>
        <w:t>(A)</w:t>
      </w:r>
      <w:r>
        <w:t xml:space="preserve"> Chemical structure of penicillin, methicillin and oxacillin, showing the shared </w:t>
      </w:r>
      <w:r>
        <w:rPr>
          <w:lang w:val="el-GR"/>
        </w:rPr>
        <w:t>β</w:t>
      </w:r>
      <w:r>
        <w:t xml:space="preserve">-lactam ring (blue). </w:t>
      </w:r>
      <w:r>
        <w:rPr>
          <w:b/>
          <w:bCs/>
        </w:rPr>
        <w:t>(B)</w:t>
      </w:r>
      <w:r>
        <w:t xml:space="preserve"> Similarity between penicillin and the D-Ala-D-Ala of the PG tetrapeptide. </w:t>
      </w:r>
      <w:r>
        <w:rPr>
          <w:b/>
          <w:bCs/>
        </w:rPr>
        <w:t>(C)</w:t>
      </w:r>
      <w:r>
        <w:t xml:space="preserve"> Chemical structure of vancomycin. </w:t>
      </w:r>
      <w:r>
        <w:rPr>
          <w:b/>
          <w:bCs/>
        </w:rPr>
        <w:t>(D)</w:t>
      </w:r>
      <w:r>
        <w:t xml:space="preserve"> Chemical structure of moenomycin. </w:t>
      </w:r>
      <w:r>
        <w:rPr>
          <w:b/>
          <w:bCs/>
        </w:rPr>
        <w:t>(E)</w:t>
      </w:r>
      <w:r>
        <w:t xml:space="preserve"> Last extracellular steps of PG biosynthesis and target site for vancomycin, penicillin and moenomycin (MmA). Figure modified from </w:t>
      </w:r>
      <w:r>
        <w:fldChar w:fldCharType="begin" w:fldLock="1"/>
      </w:r>
      <w:r>
        <w:instrText>ADDIN CSL_CITATION {"citationItems":[{"id":"ITEM-1","itemData":{"ISBN":"1-292-23510-1","author":[{"dropping-particle":"","family":"Madigan","given":"Michael T","non-dropping-particle":"","parse-names":false,"suffix":""},{"dropping-particle":"","family":"Bender","given":"Kelly S.","non-dropping-particle":"","parse-names":false,"suffix":""},{"dropping-particle":"","family":"Buckley","given":"Daniel H.","non-dropping-particle":"","parse-names":false,"suffix":""},{"dropping-particle":"","family":"Stahl","given":"David A.","non-dropping-particle":"","parse-names":false,"suffix":""}],"edition":"15","id":"ITEM-1","issued":{"date-parts":[["2019"]]},"publisher":"Pearson Education","publisher-place":"New York","title":"Brock Biology of Microorganisms","type":"book"},"uris":["http://www.mendeley.com/documents/?uuid=6ca63403-2ce5-47fd-bca0-5d6d3f6c22d0"]},{"id":"ITEM-2","itemData":{"DOI":"10.1021/acs.chemrev.0c01010","ISSN":"15206890","PMID":"33373523","abstract":"The biological diversity of the unicellular bacteria-whether assessed by shape, food, metabolism, or ecological niche-surely rivals (if not exceeds) that of the multicellular eukaryotes. The relationship between bacteria whose ecological niche is the eukaryote, and the eukaryote, is often symbiosis or stasis. Some bacteria, however, seek advantage in this relationship. One of the most successful-to the disadvantage of the eukaryote-is the small (less than 1 μm diameter) and nearly spherical Staphylococcus aureus bacterium. For decades, successful clinical control of its infection has been accomplished using β-lactam antibiotics such as the penicillins and the cephalosporins. Over these same decades S. aureus has perfected resistance mechanisms against these antibiotics, which are then countered by new generations of β-lactam structure. This review addresses the current breadth of biochemical and microbiological efforts to preserve the future of the β-lactam antibiotics through a better understanding of how S. aureus protects the enzyme targets of the β-lactams, the penicillin-binding proteins. The penicillin-binding proteins are essential enzyme catalysts for the biosynthesis of the cell wall, and understanding how this cell wall is integrated into the protective cell envelope of the bacterium may identify new antibacterials and new adjuvants that preserve the efficacy of the β-lactams.","author":[{"dropping-particle":"","family":"Fisher","given":"Jed F.","non-dropping-particle":"","parse-names":false,"suffix":""},{"dropping-particle":"","family":"Mobashery","given":"Shahriar","non-dropping-particle":"","parse-names":false,"suffix":""}],"container-title":"Chemical Reviews","id":"ITEM-2","issued":{"date-parts":[["2021"]]},"title":"β-Lactams against the Fortress of the Gram-Positive Staphylococcus aureus Bacterium","type":"article-journal"},"uris":["http://www.mendeley.com/documents/?uuid=f02a342d-c1e3-4b07-a3b8-465656eb3bc5"]},{"id":"ITEM-3","itemData":{"DOI":"10.1039/c001461n","author":[{"dropping-particle":"","family":"Ostash","given":"Bohdan","non-dropping-particle":"","parse-names":false,"suffix":""},{"dropping-particle":"","family":"Walker","given":"Suzanne","non-dropping-particle":"","parse-names":false,"suffix":""}],"container-title":"Natural Products Reports","id":"ITEM-3","issue":"11","issued":{"date-parts":[["2010"]]},"page":"1594-1617","title":"Moenomycin family antibiotics: chemical synthesis, biosynthesis, and biological activity","type":"article-journal","volume":"27"},"uris":["http://www.mendeley.com/documents/?uuid=c82ff310-6115-34cb-92b4-3f34ba8f0cde"]}],"mendeley":{"formattedCitation":"&lt;sup&gt;[15,176,179]&lt;/sup&gt;","manualFormatting":"Fisher and Mobashery (2021), Madigan et al., (2019), Ostash and Walker (2010","plainTextFormattedCitation":"[15,176,179]","previouslyFormattedCitation":"&lt;sup&gt;[15,176,179]&lt;/sup&gt;"},"properties":{"noteIndex":0},"schema":"https://github.com/citation-style-language/schema/raw/master/csl-citation.json"}</w:instrText>
      </w:r>
      <w:r>
        <w:fldChar w:fldCharType="separate"/>
      </w:r>
      <w:r w:rsidRPr="0077106C">
        <w:rPr>
          <w:noProof/>
        </w:rPr>
        <w:t>Fisher and Mobashery</w:t>
      </w:r>
      <w:r>
        <w:rPr>
          <w:noProof/>
        </w:rPr>
        <w:t xml:space="preserve"> (</w:t>
      </w:r>
      <w:r w:rsidRPr="0077106C">
        <w:rPr>
          <w:noProof/>
        </w:rPr>
        <w:t>2021</w:t>
      </w:r>
      <w:r>
        <w:rPr>
          <w:noProof/>
        </w:rPr>
        <w:t>),</w:t>
      </w:r>
      <w:r w:rsidRPr="0077106C">
        <w:rPr>
          <w:noProof/>
        </w:rPr>
        <w:t xml:space="preserve"> Madigan </w:t>
      </w:r>
      <w:r w:rsidRPr="000A3B17">
        <w:rPr>
          <w:i/>
          <w:iCs/>
          <w:noProof/>
        </w:rPr>
        <w:t>et al</w:t>
      </w:r>
      <w:r w:rsidRPr="0077106C">
        <w:rPr>
          <w:noProof/>
        </w:rPr>
        <w:t>.</w:t>
      </w:r>
      <w:r>
        <w:rPr>
          <w:noProof/>
        </w:rPr>
        <w:t>,</w:t>
      </w:r>
      <w:r w:rsidRPr="0077106C">
        <w:rPr>
          <w:noProof/>
        </w:rPr>
        <w:t xml:space="preserve"> </w:t>
      </w:r>
      <w:r>
        <w:rPr>
          <w:noProof/>
        </w:rPr>
        <w:t>(</w:t>
      </w:r>
      <w:r w:rsidRPr="0077106C">
        <w:rPr>
          <w:noProof/>
        </w:rPr>
        <w:t>2019</w:t>
      </w:r>
      <w:r>
        <w:rPr>
          <w:noProof/>
        </w:rPr>
        <w:t>),</w:t>
      </w:r>
      <w:r w:rsidRPr="0077106C">
        <w:rPr>
          <w:noProof/>
        </w:rPr>
        <w:t xml:space="preserve"> Ostash and Walker</w:t>
      </w:r>
      <w:r>
        <w:rPr>
          <w:noProof/>
        </w:rPr>
        <w:t xml:space="preserve"> (</w:t>
      </w:r>
      <w:r w:rsidRPr="0077106C">
        <w:rPr>
          <w:noProof/>
        </w:rPr>
        <w:t>2010</w:t>
      </w:r>
      <w:r>
        <w:fldChar w:fldCharType="end"/>
      </w:r>
      <w:r>
        <w:t>).</w:t>
      </w:r>
    </w:p>
    <w:p w14:paraId="42400F87" w14:textId="4533CE54" w:rsidR="003100FA" w:rsidRPr="00044002" w:rsidRDefault="003100FA" w:rsidP="003100FA">
      <w:pPr>
        <w:pStyle w:val="Heading3"/>
      </w:pPr>
      <w:bookmarkStart w:id="101" w:name="_Toc64276282"/>
      <w:bookmarkStart w:id="102" w:name="_Toc64276586"/>
      <w:bookmarkStart w:id="103" w:name="_Toc64276798"/>
      <w:bookmarkStart w:id="104" w:name="_Toc90216737"/>
      <w:r>
        <w:rPr>
          <w:lang w:val="el-GR"/>
        </w:rPr>
        <w:lastRenderedPageBreak/>
        <w:t>β</w:t>
      </w:r>
      <w:r w:rsidRPr="00044002">
        <w:t>-</w:t>
      </w:r>
      <w:r w:rsidRPr="005B0F81">
        <w:t>lactam</w:t>
      </w:r>
      <w:r w:rsidRPr="00044002">
        <w:t xml:space="preserve"> </w:t>
      </w:r>
      <w:r w:rsidRPr="005B0F81">
        <w:t>antibiotics</w:t>
      </w:r>
      <w:bookmarkEnd w:id="101"/>
      <w:bookmarkEnd w:id="102"/>
      <w:bookmarkEnd w:id="103"/>
      <w:r>
        <w:t>.</w:t>
      </w:r>
      <w:bookmarkEnd w:id="104"/>
    </w:p>
    <w:p w14:paraId="2EA08F9A" w14:textId="31EF4243" w:rsidR="003100FA" w:rsidRDefault="003100FA" w:rsidP="003100FA">
      <w:r w:rsidRPr="00D85190">
        <w:rPr>
          <w:lang w:val="el-GR"/>
        </w:rPr>
        <w:t>β</w:t>
      </w:r>
      <w:r w:rsidRPr="00D85190">
        <w:t>-lactams</w:t>
      </w:r>
      <w:r w:rsidRPr="00044002">
        <w:t xml:space="preserve"> </w:t>
      </w:r>
      <w:r>
        <w:t>are</w:t>
      </w:r>
      <w:r w:rsidRPr="00044002">
        <w:t xml:space="preserve"> </w:t>
      </w:r>
      <w:r>
        <w:t>bactericidal</w:t>
      </w:r>
      <w:r w:rsidRPr="00044002">
        <w:t xml:space="preserve"> </w:t>
      </w:r>
      <w:r>
        <w:t>antibiotics</w:t>
      </w:r>
      <w:r w:rsidRPr="00044002">
        <w:t xml:space="preserve"> </w:t>
      </w:r>
      <w:r>
        <w:t>characterised</w:t>
      </w:r>
      <w:r w:rsidRPr="00044002">
        <w:t xml:space="preserve"> </w:t>
      </w:r>
      <w:r>
        <w:t>by</w:t>
      </w:r>
      <w:r w:rsidRPr="00044002">
        <w:t xml:space="preserve"> </w:t>
      </w:r>
      <w:r>
        <w:t>a</w:t>
      </w:r>
      <w:r w:rsidRPr="00044002">
        <w:t xml:space="preserve"> </w:t>
      </w:r>
      <w:r>
        <w:rPr>
          <w:lang w:val="el-GR"/>
        </w:rPr>
        <w:t>β</w:t>
      </w:r>
      <w:r w:rsidRPr="00044002">
        <w:t>-</w:t>
      </w:r>
      <w:r>
        <w:t>lactam</w:t>
      </w:r>
      <w:r w:rsidRPr="00044002">
        <w:t xml:space="preserve"> </w:t>
      </w:r>
      <w:r>
        <w:t>ring</w:t>
      </w:r>
      <w:r w:rsidRPr="00044002">
        <w:t xml:space="preserve"> (</w:t>
      </w:r>
      <w:r>
        <w:fldChar w:fldCharType="begin"/>
      </w:r>
      <w:r w:rsidRPr="00044002">
        <w:instrText xml:space="preserve"> </w:instrText>
      </w:r>
      <w:r>
        <w:instrText>REF</w:instrText>
      </w:r>
      <w:r w:rsidRPr="00044002">
        <w:instrText xml:space="preserve"> _</w:instrText>
      </w:r>
      <w:r>
        <w:instrText>Ref</w:instrText>
      </w:r>
      <w:r w:rsidRPr="00044002">
        <w:instrText>71464537 \</w:instrText>
      </w:r>
      <w:r>
        <w:instrText>h</w:instrText>
      </w:r>
      <w:r w:rsidRPr="00044002">
        <w:instrText xml:space="preserve"> </w:instrText>
      </w:r>
      <w:r>
        <w:fldChar w:fldCharType="separate"/>
      </w:r>
      <w:r w:rsidR="00183CC8">
        <w:t xml:space="preserve">Figure </w:t>
      </w:r>
      <w:r w:rsidR="00183CC8">
        <w:rPr>
          <w:noProof/>
        </w:rPr>
        <w:t>1</w:t>
      </w:r>
      <w:r w:rsidR="00183CC8">
        <w:t>.</w:t>
      </w:r>
      <w:r w:rsidR="00183CC8">
        <w:rPr>
          <w:noProof/>
        </w:rPr>
        <w:t>9</w:t>
      </w:r>
      <w:r>
        <w:fldChar w:fldCharType="end"/>
      </w:r>
      <w:r>
        <w:t>a</w:t>
      </w:r>
      <w:r w:rsidRPr="00044002">
        <w:t>).</w:t>
      </w:r>
      <w:r>
        <w:t>This</w:t>
      </w:r>
      <w:r w:rsidRPr="00044002">
        <w:t xml:space="preserve"> </w:t>
      </w:r>
      <w:r>
        <w:t>group</w:t>
      </w:r>
      <w:r w:rsidRPr="00044002">
        <w:t xml:space="preserve"> </w:t>
      </w:r>
      <w:r>
        <w:t>of</w:t>
      </w:r>
      <w:r w:rsidRPr="00044002">
        <w:t xml:space="preserve"> </w:t>
      </w:r>
      <w:r>
        <w:t>antibiotics</w:t>
      </w:r>
      <w:r w:rsidRPr="00044002">
        <w:t xml:space="preserve"> </w:t>
      </w:r>
      <w:r>
        <w:t>originates</w:t>
      </w:r>
      <w:r w:rsidRPr="00044002">
        <w:t xml:space="preserve"> </w:t>
      </w:r>
      <w:r>
        <w:t>from</w:t>
      </w:r>
      <w:r w:rsidRPr="00044002">
        <w:t xml:space="preserve"> </w:t>
      </w:r>
      <w:r>
        <w:t>the</w:t>
      </w:r>
      <w:r w:rsidRPr="00044002">
        <w:t xml:space="preserve"> </w:t>
      </w:r>
      <w:r>
        <w:t>discovery</w:t>
      </w:r>
      <w:r w:rsidRPr="00044002">
        <w:t xml:space="preserve"> </w:t>
      </w:r>
      <w:r>
        <w:t>of</w:t>
      </w:r>
      <w:r w:rsidRPr="00044002">
        <w:t xml:space="preserve"> </w:t>
      </w:r>
      <w:r>
        <w:t>penicillin</w:t>
      </w:r>
      <w:r w:rsidRPr="00044002">
        <w:t xml:space="preserve"> </w:t>
      </w:r>
      <w:r>
        <w:t>by</w:t>
      </w:r>
      <w:r w:rsidRPr="00044002">
        <w:t xml:space="preserve"> </w:t>
      </w:r>
      <w:r>
        <w:t>Alexander</w:t>
      </w:r>
      <w:r w:rsidRPr="00044002">
        <w:t xml:space="preserve"> </w:t>
      </w:r>
      <w:r>
        <w:t>Fleming</w:t>
      </w:r>
      <w:r w:rsidRPr="00044002">
        <w:t xml:space="preserve"> </w:t>
      </w:r>
      <w:r>
        <w:t>in</w:t>
      </w:r>
      <w:r w:rsidRPr="00044002">
        <w:t xml:space="preserve"> 1928, </w:t>
      </w:r>
      <w:r>
        <w:t>however</w:t>
      </w:r>
      <w:r w:rsidRPr="00044002">
        <w:t xml:space="preserve">, </w:t>
      </w:r>
      <w:r>
        <w:t>it</w:t>
      </w:r>
      <w:r w:rsidRPr="00044002">
        <w:t xml:space="preserve"> </w:t>
      </w:r>
      <w:r>
        <w:t>was</w:t>
      </w:r>
      <w:r w:rsidR="000E4342">
        <w:t xml:space="preserve"> not</w:t>
      </w:r>
      <w:r w:rsidRPr="00044002">
        <w:t xml:space="preserve"> </w:t>
      </w:r>
      <w:r>
        <w:t>until</w:t>
      </w:r>
      <w:r w:rsidRPr="00044002">
        <w:t xml:space="preserve"> 1965 </w:t>
      </w:r>
      <w:r>
        <w:t>that</w:t>
      </w:r>
      <w:r w:rsidRPr="00044002">
        <w:t xml:space="preserve"> </w:t>
      </w:r>
      <w:r>
        <w:t>penicillin</w:t>
      </w:r>
      <w:r w:rsidRPr="00044002">
        <w:t>’</w:t>
      </w:r>
      <w:r>
        <w:t>s</w:t>
      </w:r>
      <w:r w:rsidRPr="00044002">
        <w:t xml:space="preserve"> </w:t>
      </w:r>
      <w:r>
        <w:t>target</w:t>
      </w:r>
      <w:r w:rsidRPr="00044002">
        <w:t xml:space="preserve"> </w:t>
      </w:r>
      <w:r>
        <w:t>was</w:t>
      </w:r>
      <w:r w:rsidRPr="00044002">
        <w:t xml:space="preserve"> </w:t>
      </w:r>
      <w:r>
        <w:t>first</w:t>
      </w:r>
      <w:r w:rsidRPr="00044002">
        <w:t xml:space="preserve"> </w:t>
      </w:r>
      <w:r>
        <w:t>identified</w:t>
      </w:r>
      <w:r w:rsidRPr="00044002">
        <w:t xml:space="preserve"> </w:t>
      </w:r>
      <w:r>
        <w:fldChar w:fldCharType="begin" w:fldLock="1"/>
      </w:r>
      <w:r>
        <w:instrText>ADDIN CSL_CITATION {"citationItems":[{"id":"ITEM-1","itemData":{"ISSN":"14315254","author":[{"dropping-particle":"","family":"Fleming","given":"Alexander","non-dropping-particle":"","parse-names":false,"suffix":""}],"container-title":"British journal of experimental pathology","id":"ITEM-1","issue":"3","issued":{"date-parts":[["1929"]]},"page":"226-236","title":"On the antibacterial action of cultures of a penicillium, with special reference to their use in the isolation of B. influenzae.","type":"article-journal","volume":"10"},"uris":["http://www.mendeley.com/documents/?uuid=0da3530e-1f67-4278-939d-6d99285f2591"]},{"id":"ITEM-2","itemData":{"DOI":"10.1073/pnas.54.4.1133","ISSN":"00278424","PMID":"5219821","author":[{"dropping-particle":"","family":"Tipper","given":"D. J.","non-dropping-particle":"","parse-names":false,"suffix":""},{"dropping-particle":"","family":"Strominger","given":"J. L.","non-dropping-particle":"","parse-names":false,"suffix":""}],"container-title":"Proceedings of the National Academy of Sciences of the United States of America","id":"ITEM-2","issue":"4","issued":{"date-parts":[["1965"]]},"page":"1133-1141","title":"Mechanism of action of penicillins: a proposal based on their structural similarity to acyl-D-alanyl-D-alanine.","type":"article-journal","volume":"54"},"uris":["http://www.mendeley.com/documents/?uuid=eebdd0e8-0144-333e-b884-d4033816f4f1"]},{"id":"ITEM-3","itemData":{"DOI":"10.1073/pnas.54.1.75","ISSN":"00278424","PMID":"5216369","author":[{"dropping-particle":"","family":"Wise","given":"E. M.","non-dropping-particle":"","parse-names":false,"suffix":""},{"dropping-particle":"","family":"Park","given":"J. T.","non-dropping-particle":"","parse-names":false,"suffix":""}],"container-title":"Proceedings of the National Academy of Sciences of the United States of America","id":"ITEM-3","issue":"1","issued":{"date-parts":[["1965"]]},"page":"75-81","title":"Penicillin: its basic site of action as an inhibitor of a peptide cross-linking reaction in cell wall mucopeptide synthesis.","type":"article-journal","volume":"54"},"uris":["http://www.mendeley.com/documents/?uuid=dccea220-d722-37b6-8659-b7af33e2e112"]}],"mendeley":{"formattedCitation":"&lt;sup&gt;[180–182]&lt;/sup&gt;","plainTextFormattedCitation":"[180–182]","previouslyFormattedCitation":"&lt;sup&gt;[180–182]&lt;/sup&gt;"},"properties":{"noteIndex":0},"schema":"https://github.com/citation-style-language/schema/raw/master/csl-citation.json"}</w:instrText>
      </w:r>
      <w:r>
        <w:fldChar w:fldCharType="separate"/>
      </w:r>
      <w:r w:rsidRPr="002659E5">
        <w:rPr>
          <w:noProof/>
          <w:vertAlign w:val="superscript"/>
        </w:rPr>
        <w:t>[180–182]</w:t>
      </w:r>
      <w:r>
        <w:fldChar w:fldCharType="end"/>
      </w:r>
      <w:r>
        <w:t>.</w:t>
      </w:r>
      <w:r w:rsidRPr="00A85DDB">
        <w:t xml:space="preserve"> </w:t>
      </w:r>
      <w:r>
        <w:t>With penicillin structurally resembling the D-ala-D-ala terminal group of the PG pentapeptide (</w:t>
      </w:r>
      <w:r>
        <w:fldChar w:fldCharType="begin"/>
      </w:r>
      <w:r>
        <w:instrText xml:space="preserve"> REF _Ref71464537 \h </w:instrText>
      </w:r>
      <w:r>
        <w:fldChar w:fldCharType="separate"/>
      </w:r>
      <w:r w:rsidR="00183CC8">
        <w:t xml:space="preserve">Figure </w:t>
      </w:r>
      <w:r w:rsidR="00183CC8">
        <w:rPr>
          <w:noProof/>
        </w:rPr>
        <w:t>1</w:t>
      </w:r>
      <w:r w:rsidR="00183CC8">
        <w:t>.</w:t>
      </w:r>
      <w:r w:rsidR="00183CC8">
        <w:rPr>
          <w:noProof/>
        </w:rPr>
        <w:t>9</w:t>
      </w:r>
      <w:r>
        <w:fldChar w:fldCharType="end"/>
      </w:r>
      <w:r>
        <w:t>b), it was suggested to act as an alternative target for the transpeptidase responsible for PG cross-linking (penicillin binding protein – PBP) (</w:t>
      </w:r>
      <w:r>
        <w:fldChar w:fldCharType="begin"/>
      </w:r>
      <w:r>
        <w:instrText xml:space="preserve"> REF _Ref71464537 \h </w:instrText>
      </w:r>
      <w:r>
        <w:fldChar w:fldCharType="separate"/>
      </w:r>
      <w:r w:rsidR="00183CC8">
        <w:t xml:space="preserve">Figure </w:t>
      </w:r>
      <w:r w:rsidR="00183CC8">
        <w:rPr>
          <w:noProof/>
        </w:rPr>
        <w:t>1</w:t>
      </w:r>
      <w:r w:rsidR="00183CC8">
        <w:t>.</w:t>
      </w:r>
      <w:r w:rsidR="00183CC8">
        <w:rPr>
          <w:noProof/>
        </w:rPr>
        <w:t>9</w:t>
      </w:r>
      <w:r>
        <w:fldChar w:fldCharType="end"/>
      </w:r>
      <w:r>
        <w:t xml:space="preserve">e). Penicillin was therefore found to inhibit PG cross-linking </w:t>
      </w:r>
      <w:r>
        <w:fldChar w:fldCharType="begin" w:fldLock="1"/>
      </w:r>
      <w:r>
        <w:instrText>ADDIN CSL_CITATION {"citationItems":[{"id":"ITEM-1","itemData":{"DOI":"10.1073/pnas.54.1.75","ISSN":"00278424","PMID":"5216369","author":[{"dropping-particle":"","family":"Wise","given":"E. M.","non-dropping-particle":"","parse-names":false,"suffix":""},{"dropping-particle":"","family":"Park","given":"J. T.","non-dropping-particle":"","parse-names":false,"suffix":""}],"container-title":"Proceedings of the National Academy of Sciences of the United States of America","id":"ITEM-1","issue":"1","issued":{"date-parts":[["1965"]]},"page":"75-81","title":"Penicillin: its basic site of action as an inhibitor of a peptide cross-linking reaction in cell wall mucopeptide synthesis.","type":"article-journal","volume":"54"},"uris":["http://www.mendeley.com/documents/?uuid=dccea220-d722-37b6-8659-b7af33e2e112"]},{"id":"ITEM-2","itemData":{"DOI":"10.1073/pnas.54.4.1133","ISSN":"00278424","PMID":"5219821","author":[{"dropping-particle":"","family":"Tipper","given":"D. J.","non-dropping-particle":"","parse-names":false,"suffix":""},{"dropping-particle":"","family":"Strominger","given":"J. L.","non-dropping-particle":"","parse-names":false,"suffix":""}],"container-title":"Proceedings of the National Academy of Sciences of the United States of America","id":"ITEM-2","issue":"4","issued":{"date-parts":[["1965"]]},"page":"1133-1141","title":"Mechanism of action of penicillins: a proposal based on their structural similarity to acyl-D-alanyl-D-alanine.","type":"article-journal","volume":"54"},"uris":["http://www.mendeley.com/documents/?uuid=eebdd0e8-0144-333e-b884-d4033816f4f1"]}],"mendeley":{"formattedCitation":"&lt;sup&gt;[181,182]&lt;/sup&gt;","plainTextFormattedCitation":"[181,182]","previouslyFormattedCitation":"&lt;sup&gt;[181,182]&lt;/sup&gt;"},"properties":{"noteIndex":0},"schema":"https://github.com/citation-style-language/schema/raw/master/csl-citation.json"}</w:instrText>
      </w:r>
      <w:r>
        <w:fldChar w:fldCharType="separate"/>
      </w:r>
      <w:r w:rsidRPr="002659E5">
        <w:rPr>
          <w:noProof/>
          <w:vertAlign w:val="superscript"/>
        </w:rPr>
        <w:t>[181,182]</w:t>
      </w:r>
      <w:r>
        <w:fldChar w:fldCharType="end"/>
      </w:r>
      <w:r>
        <w:t>.</w:t>
      </w:r>
    </w:p>
    <w:p w14:paraId="1C995EBC" w14:textId="6EF5CD97" w:rsidR="003100FA" w:rsidRDefault="003100FA" w:rsidP="003100FA">
      <w:r>
        <w:t xml:space="preserve">Penicillin-resistant strains were reported in the 1940s shortly after its introduction </w:t>
      </w:r>
      <w:r>
        <w:fldChar w:fldCharType="begin" w:fldLock="1"/>
      </w:r>
      <w:r>
        <w:instrText>ADDIN CSL_CITATION {"citationItems":[{"id":"ITEM-1","itemData":{"DOI":"10.1172/JCI200318535.In","ISBN":"0021-9738 (Print)","ISSN":"0021-9738","PMID":"12727914","abstract":"There is increasing concern about the impact on public health of methicillin-resistant Staphylococcus aureus (MRSA) associated with animal food products. MRSA remains a serious problem because of the high incidence and multidrug resistance of the strains, even for strains isolated from foods, food environments and food handlers. The objectives of this study are: (i) to evaluate the susceptibility of S. aureus strains isolated from food, food handlers and food-processing environments to 14 antibiotics currently used in veterinary and human therapy; (ii) to assess the presence of the mecA gene. A total of 1007 samples were collected from food, food handlers, and environments and were analyzed for the presence of S. aureus. S. aureus was present in 165 of the 1007 samples. A total of 157 isolates were methicillin-susceptible S. aureus (MSSA) and 8 isolates were MRSA. In particular, out of 8 MRSA strains detected, 4 strains harboured the mecA gene. All MRSA strains were resistant to at least one of the tested antibiotics and 6 strains demonstrated multi-resistance. Considering the high level of resistances in S. aureus and the isolation of MRSA strains, the surveillance of antimicrobial resistance and the spreading of this pathogen is of crucial importance in the food production chain. These data are useful in improving background data on antimicrobial resistance of S. aureus isolated from food, processing environments and food handlers, supporting the prudent use of antibiotics and the development of international control programs.","author":[{"dropping-particle":"","family":"Lowy","given":"Fd","non-dropping-particle":"","parse-names":false,"suffix":""}],"container-title":"Journal of Clinical Investigation","id":"ITEM-1","issue":"9","issued":{"date-parts":[["2003"]]},"page":"1265-1273","title":"Antimicrobial resistance: the example of Staphylococcus aureus","type":"article-journal","volume":"111"},"uris":["http://www.mendeley.com/documents/?uuid=51406f4a-88be-4be4-a08b-cd72606dd7b3"]},{"id":"ITEM-2","itemData":{"DOI":"10.1126/science.99.2579.452","ISBN":"154.59.124.32","ISSN":"00368075","abstract":"A highly potent penicillin inactivator has been extracted from 7 strains of Staph. aureus (coagulase positive), all of which were naturally penicillin resistant. No such inhibitor was present in extracts of 7 penicillin sensitive strains of Staph. aureus.","author":[{"dropping-particle":"","family":"Kirby","given":"William M.M.","non-dropping-particle":"","parse-names":false,"suffix":""}],"container-title":"Science","id":"ITEM-2","issue":"2579","issued":{"date-parts":[["1944"]]},"page":"452-453","title":"Extraction of a highly potent penicillin inactivator from penicillin resistant staphylococci","type":"article-journal","volume":"99"},"uris":["http://www.mendeley.com/documents/?uuid=f53a3d78-67a5-3d42-b47c-254975cde7b0"]}],"mendeley":{"formattedCitation":"&lt;sup&gt;[9,10]&lt;/sup&gt;","plainTextFormattedCitation":"[9,10]","previouslyFormattedCitation":"&lt;sup&gt;[9,10]&lt;/sup&gt;"},"properties":{"noteIndex":0},"schema":"https://github.com/citation-style-language/schema/raw/master/csl-citation.json"}</w:instrText>
      </w:r>
      <w:r>
        <w:fldChar w:fldCharType="separate"/>
      </w:r>
      <w:r w:rsidRPr="00DA0A83">
        <w:rPr>
          <w:noProof/>
          <w:vertAlign w:val="superscript"/>
        </w:rPr>
        <w:t>[9,10]</w:t>
      </w:r>
      <w:r>
        <w:fldChar w:fldCharType="end"/>
      </w:r>
      <w:r>
        <w:t xml:space="preserve">. The mechanisms of resistance involved the enzyme </w:t>
      </w:r>
      <w:r>
        <w:rPr>
          <w:lang w:val="el-GR"/>
        </w:rPr>
        <w:t>β</w:t>
      </w:r>
      <w:r>
        <w:t xml:space="preserve">-lactamase, encoded by the gene </w:t>
      </w:r>
      <w:r>
        <w:rPr>
          <w:i/>
          <w:iCs/>
        </w:rPr>
        <w:t>blaZ,</w:t>
      </w:r>
      <w:r>
        <w:t xml:space="preserve"> able to degrade the antibiotic by cleaving the </w:t>
      </w:r>
      <w:r>
        <w:rPr>
          <w:lang w:val="el-GR"/>
        </w:rPr>
        <w:t>β</w:t>
      </w:r>
      <w:r>
        <w:t xml:space="preserve">-lactam ring of penicillin </w:t>
      </w:r>
      <w:r>
        <w:fldChar w:fldCharType="begin" w:fldLock="1"/>
      </w:r>
      <w:r w:rsidR="00260ACA">
        <w:instrText>ADDIN CSL_CITATION {"citationItems":[{"id":"ITEM-1","itemData":{"DOI":"10.1093/femsre/fux007","ISSN":"15746976","PMID":"28419231","abstract":"The major targets for antibiotics in staphylococci are (i) the cell envelope, (ii) the ribosome and (iii) nucleic acids. Several novel targets emerged from recent targeted drug discovery programmes including the ClpP protease and FtsZ from the cell division machinery. Resistance can either develop by horizontal transfer of resistance determinants encoded by mobile genetic elements viz plasmids, transposons and the staphylococcal cassette chromosome or by mutations in chromosomal genes. Horizontally acquired resistance can occur by one of the following mechanisms: (i) enzymatic drug modification and inactivation, (ii) enzymatic modification of the drug binding site, (iii) drug efflux, (iv) bypass mechanisms involving acquisition of a novel drug-resistant target, (v) displacement of the drug to protect the target. Acquisition of resistance by mutation can result from (i) alteration of the drug target that prevents the inhibitor from binding, (ii) derepression of chromosomally encoded multidrug resistance efflux pumps and (iii) multiple stepwise mutations that alter the structure and composition of the cell wall and/or membrane to reduce drug access to its target. This review focuses on development of resistance to currently used antibiotics and examines future prospects for new antibiotics and informed use of drug combinations.","author":[{"dropping-particle":"","family":"Foster","given":"Timothy J.","non-dropping-particle":"","parse-names":false,"suffix":""}],"container-title":"FEMS Microbiology Reviews","id":"ITEM-1","issue":"3","issued":{"date-parts":[["2017"]]},"page":"430-449","title":"Antibiotic resistance in Staphylococcus aureus. Current status and future prospects","type":"article-journal","volume":"41"},"uris":["http://www.mendeley.com/documents/?uuid=3d8279f2-7733-48bc-9a2a-a0a10a9572d8"]},{"id":"ITEM-2","itemData":{"DOI":"10.1111/j.1574-6976.2007.00095.x","ISSN":"01686445","PMID":"18248419","abstract":"A number of ways and means have evolved to provide resistance to eubacteria challenged by β-lactams. This review is focused on pathogens that resist by expressing low-affinity targets for these antibiotics, the penicillin-binding proteins (PBPs). Even within this narrow focus, a great variety of strategies have been uncovered such as the acquisition of an additional low-affinity PBP, the overexpression of an endogenous low-affinity PBP, the alteration of endogenous PBPs by point mutations or homologous recombination or a combination of the above. © 2008 Federation of European Microbiological Societies.","author":[{"dropping-particle":"","family":"Zapun","given":"André","non-dropping-particle":"","parse-names":false,"suffix":""},{"dropping-particle":"","family":"Contreras-Martel","given":"Carlos","non-dropping-particle":"","parse-names":false,"suffix":""},{"dropping-particle":"","family":"Vernet","given":"Thierry","non-dropping-particle":"","parse-names":false,"suffix":""}],"container-title":"FEMS Microbiology Reviews","id":"ITEM-2","issue":"2","issued":{"date-parts":[["2008","3"]]},"page":"361-385","title":"Penicillin-binding proteins and β-lactam resistance","type":"article","volume":"32"},"uris":["http://www.mendeley.com/documents/?uuid=1ba7cb5c-ff79-3b96-831d-27ce8e431c4d"]},{"id":"ITEM-3","itemData":{"DOI":"10.3181/00379727-51-13986","ISSN":"15353699","abstract":"ConclusionStrains of Staphylococcus aureus vary only slightly in their susceptibility to the antibacterial action of penicillin. By growing the organism in increasing concentrations of penicillin o...","author":[{"dropping-particle":"","family":"Rammelkamp","given":"Charles H.","non-dropping-particle":"","parse-names":false,"suffix":""},{"dropping-particle":"","family":"Maxon","given":"Thelma","non-dropping-particle":"","parse-names":false,"suffix":""}],"container-title":"Proceedings of the Society for Experimental Biology and Medicine","id":"ITEM-3","issue":"3","issued":{"date-parts":[["1942","11","9"]]},"page":"386-389","publisher":"SAGE PublicationsSage UK: London, England","title":"Resistance of Staphylococcus aureus&gt; to the Action of Penicillin","type":"article-journal","volume":"51"},"uris":["http://www.mendeley.com/documents/?uuid=9fc95fb5-cf56-334b-b858-63ff7e088824"]},{"id":"ITEM-4","itemData":{"DOI":"10.7326/0003-4819-97-3-339","ISSN":"1539-3704","PMID":"6981367","abstract":"There are three major mechanisms of resistance of Staphylococcus aureus to beta-lactam antibiotics: enzyme mediated (penicillinase or beta-lactamase) by which the antibiotic is inactivated; intrinsic, which is not due to drug inactivation, and accounts for methicillin-resistance; and tolerance, in which there is a dissociation of the inhibitory and killing actions of beta-lactam antibiotics. In enzyme- mediated resistance, there are at least three different staphylococcal beta-lactamases, which probably account for differences in the inoculum effect with different cephalosporins. The intrinsic resistance is associated with differences in the affinity of beta-lactams for penicillin- binding proteins, but intrinsic resistance is probably more complex, because the pH of the medium, chelating agents, visible light, and temperature also effect its expression. Tolerance is clearly due to decreased autolytic enzyme activity (reflecting persistance of an enzyme inhibitor) of those tolerant organisms that need 32 (or more) times as much antibiotic for a bactericidal effect as for simple inhibition.","author":[{"dropping-particle":"","family":"Sabath","given":"L. D.","non-dropping-particle":"","parse-names":false,"suffix":""}],"container-title":"Annals of Internal Medicine","id":"ITEM-4","issue":"3","issued":{"date-parts":[["1982"]]},"page":"339-344","title":"Mechanisms of resistance to beta-lactam antibiotics in strains of Staphylococcus aureus","type":"article-journal","volume":"97"},"uris":["http://www.mendeley.com/documents/?uuid=e769aaa2-c136-3150-a800-638ea757888c"]}],"mendeley":{"formattedCitation":"&lt;sup&gt;[11,39,183,184]&lt;/sup&gt;","plainTextFormattedCitation":"[11,39,183,184]","previouslyFormattedCitation":"&lt;sup&gt;[11,39,183,184]&lt;/sup&gt;"},"properties":{"noteIndex":0},"schema":"https://github.com/citation-style-language/schema/raw/master/csl-citation.json"}</w:instrText>
      </w:r>
      <w:r>
        <w:fldChar w:fldCharType="separate"/>
      </w:r>
      <w:r w:rsidR="00C825F9" w:rsidRPr="00C825F9">
        <w:rPr>
          <w:noProof/>
          <w:vertAlign w:val="superscript"/>
        </w:rPr>
        <w:t>[11,39,183,184]</w:t>
      </w:r>
      <w:r>
        <w:fldChar w:fldCharType="end"/>
      </w:r>
      <w:r>
        <w:t xml:space="preserve">. To tackle this problem, penicillin derivatives were synthesised and in 1959 methicillin was introduced. </w:t>
      </w:r>
    </w:p>
    <w:p w14:paraId="68277917" w14:textId="21784BCB" w:rsidR="003100FA" w:rsidRDefault="003100FA" w:rsidP="00AA052B">
      <w:bookmarkStart w:id="105" w:name="_Toc64276281"/>
      <w:bookmarkStart w:id="106" w:name="_Toc64276585"/>
      <w:bookmarkStart w:id="107" w:name="_Toc64276797"/>
      <w:r>
        <w:t>Methicillin has the phenol group of penicillin disubstituted with methoxy groups (</w:t>
      </w:r>
      <w:r>
        <w:fldChar w:fldCharType="begin"/>
      </w:r>
      <w:r>
        <w:instrText xml:space="preserve"> REF _Ref71464537 \h </w:instrText>
      </w:r>
      <w:r>
        <w:fldChar w:fldCharType="separate"/>
      </w:r>
      <w:r w:rsidR="00183CC8">
        <w:t xml:space="preserve">Figure </w:t>
      </w:r>
      <w:r w:rsidR="00183CC8">
        <w:rPr>
          <w:noProof/>
        </w:rPr>
        <w:t>1</w:t>
      </w:r>
      <w:r w:rsidR="00183CC8">
        <w:t>.</w:t>
      </w:r>
      <w:r w:rsidR="00183CC8">
        <w:rPr>
          <w:noProof/>
        </w:rPr>
        <w:t>9</w:t>
      </w:r>
      <w:r>
        <w:fldChar w:fldCharType="end"/>
      </w:r>
      <w:r>
        <w:t>a)</w:t>
      </w:r>
      <w:r w:rsidRPr="00073913">
        <w:t>.</w:t>
      </w:r>
      <w:r>
        <w:t xml:space="preserve"> This seemingly small difference between these two antibiotics meant that methicillin had a lower affinity for </w:t>
      </w:r>
      <w:r>
        <w:rPr>
          <w:lang w:val="el-GR"/>
        </w:rPr>
        <w:t>β</w:t>
      </w:r>
      <w:r>
        <w:t xml:space="preserve">-lactamase </w:t>
      </w:r>
      <w:r>
        <w:fldChar w:fldCharType="begin" w:fldLock="1"/>
      </w:r>
      <w:r>
        <w:instrText>ADDIN CSL_CITATION {"citationItems":[{"id":"ITEM-1","itemData":{"DOI":"10.3184/003685002783238870.","PMID":"11969119","abstract":"Staphylococcus aureus is a major pathogen both within hospitals and in the community . Methicillin , a ß-lactam antibiotic , acts by inhibiting penicillin- binding proteins (PBPs) that are involved in the synthesis of peptidogly can an essential mesh-like polymer that surrounds the cell. S. aureus can become resistant to methicillin and other ß-lactam antibiotics through the expression of a foreign PBP , PBP2a , that is resistant to the action of methi- cillin but which can perform the functions of the host PBPs. Methicillin- resistant S. aureus isolates are often resistant to other classes of antibiotic (through different mechanisms) making treatment options limited , and th has led to the search for new compounds active against these strains. An understanding of the mechanism of methicillin resistance has led to the dis covery of accessory factors that influence the level and nature ofmethicllin resistance. Accessory factors, such as Fem factors, provide possible new targets, while compounds that modulate methicillin resistance such as epi- catechin gallate, derived from green tea, and corilagin, provide possible lead compounds for development of inhibitors.","author":[{"dropping-particle":"","family":"Stapleton","given":"Paul D.","non-dropping-particle":"","parse-names":false,"suffix":""},{"dropping-particle":"","family":"Taylor","given":"Peter W.","non-dropping-particle":"","parse-names":false,"suffix":""}],"container-title":"Science Progress (1916)","id":"ITEM-1","issue":"1","issued":{"date-parts":[["2002"]]},"page":"57-72","title":"Methicillin Resistance in Staphylococcus aureus: mechanisms and modulation","type":"article-journal","volume":"85"},"uris":["http://www.mendeley.com/documents/?uuid=596299e6-46e0-373b-bc8f-50cc583e1380"]}],"mendeley":{"formattedCitation":"&lt;sup&gt;[7]&lt;/sup&gt;","plainTextFormattedCitation":"[7]","previouslyFormattedCitation":"&lt;sup&gt;[7]&lt;/sup&gt;"},"properties":{"noteIndex":0},"schema":"https://github.com/citation-style-language/schema/raw/master/csl-citation.json"}</w:instrText>
      </w:r>
      <w:r>
        <w:fldChar w:fldCharType="separate"/>
      </w:r>
      <w:r w:rsidRPr="00DA0A83">
        <w:rPr>
          <w:noProof/>
          <w:vertAlign w:val="superscript"/>
        </w:rPr>
        <w:t>[7]</w:t>
      </w:r>
      <w:r>
        <w:fldChar w:fldCharType="end"/>
      </w:r>
      <w:r>
        <w:t xml:space="preserve">. Unfortunately, in a similar fashion to penicillin, methicillin-resistant </w:t>
      </w:r>
      <w:r>
        <w:rPr>
          <w:i/>
          <w:iCs/>
        </w:rPr>
        <w:t>S. aureus</w:t>
      </w:r>
      <w:r>
        <w:t xml:space="preserve"> (MRSA) were soon after reported in 1961 </w:t>
      </w:r>
      <w:r>
        <w:fldChar w:fldCharType="begin" w:fldLock="1"/>
      </w:r>
      <w:r>
        <w:instrText>ADDIN CSL_CITATION {"citationItems":[{"id":"ITEM-1","itemData":{"DOI":"10.1136/jcp.14.4.385","ISSN":"00219746","PMID":"13686776","author":[{"dropping-particle":"","family":"Barber","given":"M.","non-dropping-particle":"","parse-names":false,"suffix":""}],"container-title":"Journal of clinical pathology","id":"ITEM-1","issued":{"date-parts":[["1961"]]},"page":"385-393","publisher":"J Clin Pathol","title":"Methicillin-resistant staphylococci.","type":"article-journal","volume":"14"},"uris":["http://www.mendeley.com/documents/?uuid=bb92f323-ff9f-37aa-94c4-a3f48561b5e6"]},{"id":"ITEM-2","itemData":{"author":[{"dropping-particle":"","family":"Jevons","given":"M. Patricia","non-dropping-particle":"","parse-names":false,"suffix":""}],"container-title":"British Medical Journal","id":"ITEM-2","issued":{"date-parts":[["1961"]]},"page":"124-125","publisher":"BMJ Publishing Group","title":"“Celbenin” - resistant Staphylococci","type":"article-journal","volume":"1"},"uris":["http://www.mendeley.com/documents/?uuid=a3b9ab06-a99a-38ba-8632-498f0613c86d"]},{"id":"ITEM-3","itemData":{"abstract":"CORRESPONDENCE MEDICAL JOURNAL today. Resistant strains of the type described in this letter are remarkable more for their infrequency than for their existence.-I am, etc.,","author":[{"dropping-particle":"","family":"Rolinson","given":"G. N.","non-dropping-particle":"","parse-names":false,"suffix":""}],"container-title":"British Medical Journal","id":"ITEM-3","issued":{"date-parts":[["1961"]]},"page":"125","publisher":"BMJ Publishing Group","title":"“Celbenin” - resistant Staphylococci","type":"article-journal","volume":"1"},"uris":["http://www.mendeley.com/documents/?uuid=fcff41f3-17a0-32c2-9692-3922dcefe116"]}],"mendeley":{"formattedCitation":"&lt;sup&gt;[185–187]&lt;/sup&gt;","plainTextFormattedCitation":"[185–187]","previouslyFormattedCitation":"&lt;sup&gt;[185–187]&lt;/sup&gt;"},"properties":{"noteIndex":0},"schema":"https://github.com/citation-style-language/schema/raw/master/csl-citation.json"}</w:instrText>
      </w:r>
      <w:r>
        <w:fldChar w:fldCharType="separate"/>
      </w:r>
      <w:r w:rsidRPr="002659E5">
        <w:rPr>
          <w:noProof/>
          <w:vertAlign w:val="superscript"/>
        </w:rPr>
        <w:t>[185–187]</w:t>
      </w:r>
      <w:r>
        <w:fldChar w:fldCharType="end"/>
      </w:r>
      <w:r>
        <w:t xml:space="preserve">. MRSA are not only resistant to methicillin, but to all </w:t>
      </w:r>
      <w:r>
        <w:rPr>
          <w:lang w:val="el-GR"/>
        </w:rPr>
        <w:t>β</w:t>
      </w:r>
      <w:r>
        <w:t xml:space="preserve">-lactam antibiotics due to an acquired gene: </w:t>
      </w:r>
      <w:r>
        <w:rPr>
          <w:i/>
          <w:iCs/>
        </w:rPr>
        <w:t xml:space="preserve">mecA </w:t>
      </w:r>
      <w:r>
        <w:rPr>
          <w:i/>
          <w:iCs/>
        </w:rPr>
        <w:fldChar w:fldCharType="begin" w:fldLock="1"/>
      </w:r>
      <w:r>
        <w:rPr>
          <w:i/>
          <w:iCs/>
        </w:rPr>
        <w:instrText>ADDIN CSL_CITATION {"citationItems":[{"id":"ITEM-1","itemData":{"DOI":"10.1128/AAC.44.6.1549-1555.2000","ISSN":"00664804","PMID":"10817707","abstract":"We have previously shown that the methicillin-resistance gene mecA of Staphylococcus aureus strain N315 is localized within a large (52-kb) DNA cassette (designated the staphylococcal cassette chromosome mec [SCCmec]) inserted in the chromosome. By sequence determination of the entire DNA, we identified two novel genes (designated cassette chromosome recombinase genes [ccrA and ccrB]) encoding polypeptides having a partial homology to recombinases of the invertase/resolvase family. The open reading frames were found to catalyze precise excision of the SCCmec from the methicillin- resistant S. aureus chromosome and site-specific as well as orientation- specific integration of the SCCmec into the S. aureus chromosome when introduced into the cells as a recombinant multicopy plasmid. We propose that SCCmec driven by a novel set of recombinases represents a new family of staphylococcal genomic elements.","author":[{"dropping-particle":"","family":"Katayama","given":"Y.","non-dropping-particle":"","parse-names":false,"suffix":""},{"dropping-particle":"","family":"Ito","given":"T.","non-dropping-particle":"","parse-names":false,"suffix":""},{"dropping-particle":"","family":"Hiramatsu","given":"K.","non-dropping-particle":"","parse-names":false,"suffix":""}],"container-title":"Antimicrobial Agents and Chemotherapy","id":"ITEM-1","issue":"6","issued":{"date-parts":[["2000"]]},"page":"1549-1555","publisher":"Antimicrob Agents Chemother","title":"A new class of genetic element, staphylococcus cassette chromosome mec, encodes methicillin resistance in Staphylococcus aureus","type":"article-journal","volume":"44"},"uris":["http://www.mendeley.com/documents/?uuid=41f894e7-b1c4-30a9-a369-583d2b761d19"]},{"id":"ITEM-2","itemData":{"DOI":"10.1007/BF02351563","ISSN":"1341321X","abstract":"The use of genotyping in the epidemiology of methicillin-resistant Staphylococcus aureus (MRSA) is reviewed, with special emphasis on a new method that enables us to track the evolutionary path of each MRSA isolate. The MRSA genome is made up of 2 components: one, mec DNA; and the other, the methicillin-sensitive Staphylococcus aureus (MSSA) chromosome to which the mec DNA has integrated. Therefore, the MRSA clonotype can be defined if we know the mec DNA and the type of MSSA chromosome that served as a recipient of the mec DNA. There are 3 types of mec DNA, and various types exist in the MSSA chromosome, which can be detected by ribotyping. Thus, by combined use of mec DNA typing and ribotyping we can describe the MRSA genotype, which should reflect the ancestral MRSA clonotype. We cannot identify the clonotype by analyzing ribotypes of recent MRSA isolates, because the clonotype is defined only by the ribotype of the first MRSA clone from which the recent MRSA strains have derived. After the first MRSA clone emerged, its ribotype would have changed and diversified with time. Through careful analysis of the MRSA genotypes of recent strains, we can infer MRSA clonotypes. Each MRSA genotype can be further divided into subtypes by determining mecl gene polymorphism. The description of the MRSA genotype and subtype of an MRSA strain confers a biologic and genetic basis to the epidemiology of MRSA, since it reflects the evolutionary makeup of the strain. © JSC/CLJ 1996.","author":[{"dropping-particle":"","family":"Hiramatsu","given":"Keiichi","non-dropping-particle":"","parse-names":false,"suffix":""},{"dropping-particle":"","family":"Kondo","given":"Noriko","non-dropping-particle":"","parse-names":false,"suffix":""},{"dropping-particle":"","family":"Ito","given":"Teruyo","non-dropping-particle":"","parse-names":false,"suffix":""}],"container-title":"Journal of Infection and Chemotherapy","id":"ITEM-2","issue":"3","issued":{"date-parts":[["1996","1","1"]]},"page":"117-129","publisher":"Elsevier","title":"Genetic basis for molecular epidemiology of MRSA","type":"article","volume":"2"},"uris":["http://www.mendeley.com/documents/?uuid=24df9ba8-9f0b-326d-8e71-7e465085a96f"]},{"id":"ITEM-3","itemData":{"DOI":"10.1007/s00203-002-0436-0","ISSN":"03028933","PMID":"12189417","abstract":"Methicillin resistance in staphylococci is due to an acquired penicillin-binding protein, PBP2′ (PBP2a). This additional PBP, encoded by mecA, confers an intrinsic resistance to all β-lactams and their derivatives. Resistance levels in methicillin-resistant Staphylococcus aureus (MRSA) depend on efficient PBP2′ production and are modulated by chromosomal factors. Depending on the genetic background of the strain that acquired mecA, resistance levels range from phenotypically susceptible to highly resistant. Characteristic for most MRSA is the heterogeneous expression of resistance, which is due to the segregation of a more highly resistant subpopulation upon challenge with methicillin. Maximal expression of resistance by PBP2′ requires the efficient and correct synthesis of the peptidoglycan precursor. Genes involved in cell-wall precursor formation and turnover, regulation, transport, and signal transduction may determine the level of resistance that is expressed. At this stage, however, there is no information available on the functionality or efficacy of such factors in clinical isolates in relation to methicillin resistance levels.","author":[{"dropping-particle":"","family":"Berger-Bächi","given":"Brigitte","non-dropping-particle":"","parse-names":false,"suffix":""},{"dropping-particle":"","family":"Rohrer","given":"Susanne","non-dropping-particle":"","parse-names":false,"suffix":""}],"container-title":"Archives of Microbiology","id":"ITEM-3","issue":"3","issued":{"date-parts":[["2002"]]},"page":"165-171","publisher":"Arch Microbiol","title":"Factors influencing methicillin resistance in staphylococci","type":"article","volume":"178"},"uris":["http://www.mendeley.com/documents/?uuid=49a491bf-9505-3960-87a0-c89ca45dd377"]},{"id":"ITEM-4","itemData":{"DOI":"10.1093/cid/cit613","ISSN":"10584838","PMID":"24343827","abstract":"The horizontal transmission of methicillin resistance to Staphylococcus aureus (MRSA) in hospital and community settings, and growing prevalence of these strains, presents a significant clinical challenge to the management of serious infections worldwide. While infection control initiatives have stemmed the rising prevalence, MRSA remains a significant pathogen. More recently, evidence that MRSA is becoming resistant to glycopeptides and newer therapies raises concern about the use of these therapies in clinical practice. Vancomycin resistance has become evident in select clinical settings through rising MICs, growing awareness of heteroresistance, and emergence of intermediate-resistant and fully resistant strains. While resistance to linezolid and daptomycin remains low overall, point mutations leading to resistance have been described for linezolid, and horizontal transmission of cfr-mediated resistance to linezolid has been reported in clinical isolates. These resistance trends for newer therapies highlight the ongoing need for new and more potent antimicrobial therapies. © The Author 2013.","author":[{"dropping-particle":"","family":"Stryjewski","given":"Martin E.","non-dropping-particle":"","parse-names":false,"suffix":""},{"dropping-particle":"","family":"Corey","given":"G. Ralph","non-dropping-particle":"","parse-names":false,"suffix":""}],"container-title":"Clinical Infectious Diseases","id":"ITEM-4","issue":"SUPPL. 1","issued":{"date-parts":[["2014","1","1"]]},"page":"S10-S19","publisher":"Oxford Academic","title":"Methicillin-resistant staphylococcus aureus: An evolving pathogen","type":"article-journal","volume":"58"},"uris":["http://www.mendeley.com/documents/?uuid=de634bf7-4155-3482-8dcd-32c7c450bfa6"]}],"mendeley":{"formattedCitation":"&lt;sup&gt;[188–191]&lt;/sup&gt;","plainTextFormattedCitation":"[188–191]","previouslyFormattedCitation":"&lt;sup&gt;[188–191]&lt;/sup&gt;"},"properties":{"noteIndex":0},"schema":"https://github.com/citation-style-language/schema/raw/master/csl-citation.json"}</w:instrText>
      </w:r>
      <w:r>
        <w:rPr>
          <w:i/>
          <w:iCs/>
        </w:rPr>
        <w:fldChar w:fldCharType="separate"/>
      </w:r>
      <w:r w:rsidRPr="002659E5">
        <w:rPr>
          <w:iCs/>
          <w:noProof/>
          <w:vertAlign w:val="superscript"/>
        </w:rPr>
        <w:t>[188–191]</w:t>
      </w:r>
      <w:r>
        <w:rPr>
          <w:i/>
          <w:iCs/>
        </w:rPr>
        <w:fldChar w:fldCharType="end"/>
      </w:r>
      <w:r>
        <w:t>.</w:t>
      </w:r>
    </w:p>
    <w:p w14:paraId="1CB97E96" w14:textId="7047930B" w:rsidR="00AA052B" w:rsidRDefault="00AA052B" w:rsidP="00AA052B">
      <w:r>
        <w:t xml:space="preserve">The acquisition of the </w:t>
      </w:r>
      <w:r>
        <w:rPr>
          <w:i/>
          <w:iCs/>
        </w:rPr>
        <w:t xml:space="preserve">mecA </w:t>
      </w:r>
      <w:r>
        <w:t xml:space="preserve">gene, through a DNA cassette that inserts into the chromosome (staphylococcal cassette chromosome </w:t>
      </w:r>
      <w:r>
        <w:rPr>
          <w:i/>
          <w:iCs/>
        </w:rPr>
        <w:t xml:space="preserve">mec </w:t>
      </w:r>
      <w:r>
        <w:t xml:space="preserve">– SCCmec), leads to resistance to </w:t>
      </w:r>
      <w:r>
        <w:rPr>
          <w:lang w:val="el-GR"/>
        </w:rPr>
        <w:t>β</w:t>
      </w:r>
      <w:r>
        <w:t xml:space="preserve">-lactam antibiotics </w:t>
      </w:r>
      <w:r>
        <w:fldChar w:fldCharType="begin" w:fldLock="1"/>
      </w:r>
      <w:r w:rsidR="0058736C">
        <w:instrText>ADDIN CSL_CITATION {"citationItems":[{"id":"ITEM-1","itemData":{"DOI":"10.1128/AAC.44.6.1549-1555.2000","ISSN":"00664804","PMID":"10817707","abstract":"We have previously shown that the methicillin-resistance gene mecA of Staphylococcus aureus strain N315 is localized within a large (52-kb) DNA cassette (designated the staphylococcal cassette chromosome mec [SCCmec]) inserted in the chromosome. By sequence determination of the entire DNA, we identified two novel genes (designated cassette chromosome recombinase genes [ccrA and ccrB]) encoding polypeptides having a partial homology to recombinases of the invertase/resolvase family. The open reading frames were found to catalyze precise excision of the SCCmec from the methicillin- resistant S. aureus chromosome and site-specific as well as orientation- specific integration of the SCCmec into the S. aureus chromosome when introduced into the cells as a recombinant multicopy plasmid. We propose that SCCmec driven by a novel set of recombinases represents a new family of staphylococcal genomic elements.","author":[{"dropping-particle":"","family":"Katayama","given":"Y.","non-dropping-particle":"","parse-names":false,"suffix":""},{"dropping-particle":"","family":"Ito","given":"T.","non-dropping-particle":"","parse-names":false,"suffix":""},{"dropping-particle":"","family":"Hiramatsu","given":"K.","non-dropping-particle":"","parse-names":false,"suffix":""}],"container-title":"Antimicrobial Agents and Chemotherapy","id":"ITEM-1","issue":"6","issued":{"date-parts":[["2000"]]},"page":"1549-1555","publisher":"Antimicrob Agents Chemother","title":"A new class of genetic element, staphylococcus cassette chromosome mec, encodes methicillin resistance in Staphylococcus aureus","type":"article-journal","volume":"44"},"uris":["http://www.mendeley.com/documents/?uuid=41f894e7-b1c4-30a9-a369-583d2b761d19"]},{"id":"ITEM-2","itemData":{"DOI":"10.1128/jb.167.3.975-980.1986","ISSN":"00219193","PMID":"3638304","author":[{"dropping-particle":"","family":"Matsuhashi","given":"M.","non-dropping-particle":"","parse-names":false,"suffix":""},{"dropping-particle":"","family":"Song","given":"M. D.","non-dropping-particle":"","parse-names":false,"suffix":""},{"dropping-particle":"","family":"Ishino","given":"F.","non-dropping-particle":"","parse-names":false,"suffix":""},{"dropping-particle":"","family":"Wachi","given":"M.","non-dropping-particle":"","parse-names":false,"suffix":""},{"dropping-particle":"","family":"Doi","given":"M.","non-dropping-particle":"","parse-names":false,"suffix":""},{"dropping-particle":"","family":"Inoue","given":"M.","non-dropping-particle":"","parse-names":false,"suffix":""},{"dropping-particle":"","family":"Ubukata","given":"K.","non-dropping-particle":"","parse-names":false,"suffix":""},{"dropping-particle":"","family":"Yamashita","given":"N.","non-dropping-particle":"","parse-names":false,"suffix":""},{"dropping-particle":"","family":"Konno","given":"M.","non-dropping-particle":"","parse-names":false,"suffix":""}],"container-title":"Journal of Bacteriology","id":"ITEM-2","issue":"3","issued":{"date-parts":[["1986"]]},"page":"975-980","publisher":"J Bacteriol","title":"Molecular cloning of the gene of a penicillin-binding protein supposed to cause high resistance to β-lactam antibiotics in Staphylococcus aureus","type":"article-journal","volume":"167"},"uris":["http://www.mendeley.com/documents/?uuid=ab881f2b-96c0-3671-9f66-edfdddd4beb1"]}],"mendeley":{"formattedCitation":"&lt;sup&gt;[188,192]&lt;/sup&gt;","plainTextFormattedCitation":"[188,192]","previouslyFormattedCitation":"&lt;sup&gt;[188,192]&lt;/sup&gt;"},"properties":{"noteIndex":0},"schema":"https://github.com/citation-style-language/schema/raw/master/csl-citation.json"}</w:instrText>
      </w:r>
      <w:r>
        <w:fldChar w:fldCharType="separate"/>
      </w:r>
      <w:r w:rsidR="002659E5" w:rsidRPr="002659E5">
        <w:rPr>
          <w:noProof/>
          <w:vertAlign w:val="superscript"/>
        </w:rPr>
        <w:t>[188,192]</w:t>
      </w:r>
      <w:r>
        <w:fldChar w:fldCharType="end"/>
      </w:r>
      <w:r>
        <w:t xml:space="preserve">. This gene encodes for PBP2a (described in section </w:t>
      </w:r>
      <w:r>
        <w:fldChar w:fldCharType="begin"/>
      </w:r>
      <w:r>
        <w:instrText xml:space="preserve"> REF _Ref77198013 \r \h </w:instrText>
      </w:r>
      <w:r>
        <w:fldChar w:fldCharType="separate"/>
      </w:r>
      <w:r w:rsidR="00183CC8">
        <w:t>1.4.2</w:t>
      </w:r>
      <w:r>
        <w:fldChar w:fldCharType="end"/>
      </w:r>
      <w:r>
        <w:t xml:space="preserve">) which has low affinity to </w:t>
      </w:r>
      <w:r>
        <w:rPr>
          <w:lang w:val="el-GR"/>
        </w:rPr>
        <w:t>β</w:t>
      </w:r>
      <w:r>
        <w:t xml:space="preserve">-lactam </w:t>
      </w:r>
      <w:r w:rsidRPr="00D405FC">
        <w:t xml:space="preserve">antibiotics </w:t>
      </w:r>
      <w:r w:rsidRPr="00D405FC">
        <w:fldChar w:fldCharType="begin" w:fldLock="1"/>
      </w:r>
      <w:r w:rsidR="00260ACA">
        <w:instrText>ADDIN CSL_CITATION {"citationItems":[{"id":"ITEM-1","itemData":{"DOI":"10.1111/j.1574-6976.2007.00095.x","ISSN":"01686445","PMID":"18248419","abstract":"A number of ways and means have evolved to provide resistance to eubacteria challenged by β-lactams. This review is focused on pathogens that resist by expressing low-affinity targets for these antibiotics, the penicillin-binding proteins (PBPs). Even within this narrow focus, a great variety of strategies have been uncovered such as the acquisition of an additional low-affinity PBP, the overexpression of an endogenous low-affinity PBP, the alteration of endogenous PBPs by point mutations or homologous recombination or a combination of the above. © 2008 Federation of European Microbiological Societies.","author":[{"dropping-particle":"","family":"Zapun","given":"André","non-dropping-particle":"","parse-names":false,"suffix":""},{"dropping-particle":"","family":"Contreras-Martel","given":"Carlos","non-dropping-particle":"","parse-names":false,"suffix":""},{"dropping-particle":"","family":"Vernet","given":"Thierry","non-dropping-particle":"","parse-names":false,"suffix":""}],"container-title":"FEMS Microbiology Reviews","id":"ITEM-1","issue":"2","issued":{"date-parts":[["2008","3"]]},"page":"361-385","title":"Penicillin-binding proteins and β-lactam resistance","type":"article","volume":"32"},"uris":["http://www.mendeley.com/documents/?uuid=1ba7cb5c-ff79-3b96-831d-27ce8e431c4d"]},{"id":"ITEM-2","itemData":{"DOI":"10.1128/jb.167.3.975-980.1986","ISSN":"00219193","PMID":"3638304","author":[{"dropping-particle":"","family":"Matsuhashi","given":"M.","non-dropping-particle":"","parse-names":false,"suffix":""},{"dropping-particle":"","family":"Song","given":"M. D.","non-dropping-particle":"","parse-names":false,"suffix":""},{"dropping-particle":"","family":"Ishino","given":"F.","non-dropping-particle":"","parse-names":false,"suffix":""},{"dropping-particle":"","family":"Wachi","given":"M.","non-dropping-particle":"","parse-names":false,"suffix":""},{"dropping-particle":"","family":"Doi","given":"M.","non-dropping-particle":"","parse-names":false,"suffix":""},{"dropping-particle":"","family":"Inoue","given":"M.","non-dropping-particle":"","parse-names":false,"suffix":""},{"dropping-particle":"","family":"Ubukata","given":"K.","non-dropping-particle":"","parse-names":false,"suffix":""},{"dropping-particle":"","family":"Yamashita","given":"N.","non-dropping-particle":"","parse-names":false,"suffix":""},{"dropping-particle":"","family":"Konno","given":"M.","non-dropping-particle":"","parse-names":false,"suffix":""}],"container-title":"Journal of Bacteriology","id":"ITEM-2","issue":"3","issued":{"date-parts":[["1986"]]},"page":"975-980","publisher":"J Bacteriol","title":"Molecular cloning of the gene of a penicillin-binding protein supposed to cause high resistance to β-lactam antibiotics in Staphylococcus aureus","type":"article-journal","volume":"167"},"uris":["http://www.mendeley.com/documents/?uuid=ab881f2b-96c0-3671-9f66-edfdddd4beb1"]}],"mendeley":{"formattedCitation":"&lt;sup&gt;[39,192]&lt;/sup&gt;","plainTextFormattedCitation":"[39,192]","previouslyFormattedCitation":"&lt;sup&gt;[39,192]&lt;/sup&gt;"},"properties":{"noteIndex":0},"schema":"https://github.com/citation-style-language/schema/raw/master/csl-citation.json"}</w:instrText>
      </w:r>
      <w:r w:rsidRPr="00D405FC">
        <w:fldChar w:fldCharType="separate"/>
      </w:r>
      <w:r w:rsidR="00C825F9" w:rsidRPr="00C825F9">
        <w:rPr>
          <w:noProof/>
          <w:vertAlign w:val="superscript"/>
        </w:rPr>
        <w:t>[39,192]</w:t>
      </w:r>
      <w:r w:rsidRPr="00D405FC">
        <w:fldChar w:fldCharType="end"/>
      </w:r>
      <w:r>
        <w:t>. PBP2a, initially described as PBP2’, is a monofunctional transpeptidase (TP) able to bypass these antibiotics and continue the cross-linking of PG while all other native PBPs can</w:t>
      </w:r>
      <w:r w:rsidR="003F3F93">
        <w:t>no</w:t>
      </w:r>
      <w:r>
        <w:t xml:space="preserve">t. However, as it lacks a transglycosylase (TG) domain, it still requires the TG activity of PBP2 </w:t>
      </w:r>
      <w:r w:rsidRPr="00F0299A">
        <w:fldChar w:fldCharType="begin" w:fldLock="1"/>
      </w:r>
      <w:r w:rsidR="00260ACA">
        <w:instrText>ADDIN CSL_CITATION {"citationItems":[{"id":"ITEM-1","itemData":{"DOI":"10.1128/JB.183.22.6525-6531.2001","ISSN":"00219193","PMID":"11673420","abstract":"The essential function of penicillin-binding protein 2 (PBP2) in methicillin-susceptible Staphylococcus aureus RN4220 was clearly established by placing the pbp2 gene under control of the inducible Pspac promoter; the resulting bacteria were unable to grow in the absence of inducer. In contrast, the deficit in PBP2 caused by inhibition of transcription of the pbp2 gene did not block growth of a methicillin-resistant S. aureus strain expressing the extra penicillin-binding protein PBP2A, a protein of extraspecies origin that is central to the mechanism of methicillin resistance. Several lines of evidence indicate that the essential function of PBP2 that can be compensated for by PBP2A is the transpeptidase activity. This provides direct genetic evidence that PBP2A has transpeptidase activity.","author":[{"dropping-particle":"","family":"Pinho","given":"M. G.","non-dropping-particle":"","parse-names":false,"suffix":""},{"dropping-particle":"","family":"Filipe","given":"S. R.","non-dropping-particle":"","parse-names":false,"suffix":""},{"dropping-particle":"","family":"Lencastre","given":"H.","non-dropping-particle":"De","parse-names":false,"suffix":""},{"dropping-particle":"","family":"Tomasz","given":"A.","non-dropping-particle":"","parse-names":false,"suffix":""}],"container-title":"Journal of Bacteriology","id":"ITEM-1","issue":"22","issued":{"date-parts":[["2001"]]},"page":"6525-6531","publisher":"American Society for Microbiology (ASM)","title":"Complementation of the essential peptidoglycan transpeptidase function of penicillin-binding protein 2 (PBP2) by the drug resistance protein PBP2A in Staphylococcus aureus","type":"article-journal","volume":"183"},"uris":["http://www.mendeley.com/documents/?uuid=08e787ea-f301-345f-ab15-08ef152d34f0"]},{"id":"ITEM-2","itemData":{"DOI":"10.1073/pnas.191260798","ISSN":"00278424","PMID":"11517340","abstract":"The blanket resistance of methicillin-resistant Staphylococcus aureus to all β-lactam antibiotics - which had such a devastating impact on chemotherapy of staphylococcal infections - is related to the properties of the key component of this resistance mechanism: the \"acquired\" penicillin-binding protein (PBP)-2A, which has unusual low affinity for all β-lactam antibiotics. Until now, the accepted model of resistance implied that in the presence of β-lactam antibiotics in the surrounding medium, PBP2A must take over the biosynthesis of staphylococcal cell wall from the four native staphylococcal PBPs because the latter become rapidly acylated and inactivated at even low concentrations of the antibiotic. However, recent observations indicate that this model requires revision. Inactivation of the transglycosylase domain, but not the transpeptidase domain, of PBP2 of S. aureus prevents expression of β-lactam resistance, despite the presence of the low-affinity PBP2A. The observations suggest that cell-wall synthesis in the presence of β-lactam antibiotics requires the cooperative functioning of the transglycosylase domain of the native staphylococcal PBP2 and the transpeptidase domain of the PBP2A, a protein imported by S. aureus from an extra species source.","author":[{"dropping-particle":"","family":"Pinho","given":"Mariana G","non-dropping-particle":"","parse-names":false,"suffix":""},{"dropping-particle":"","family":"Lencastre","given":"Hermínia","non-dropping-particle":"De","parse-names":false,"suffix":""},{"dropping-particle":"","family":"Tomasz","given":"Alexander","non-dropping-particle":"","parse-names":false,"suffix":""}],"container-title":"Proceedings of the National Academy of Sciences of the United States of America","id":"ITEM-2","issue":"19","issued":{"date-parts":[["2001"]]},"page":"10886-10891","title":"An acquired and a native penicillin-binding protein cooperate in building the cell wall of drug-resistant staphylococci","type":"article-journal","volume":"98"},"uris":["http://www.mendeley.com/documents/?uuid=bf60aaaa-0f0b-354e-ad4b-5e4e12ff883a"]},{"id":"ITEM-3","itemData":{"DOI":"10.1111/j.1574-6976.2007.00095.x","ISSN":"01686445","PMID":"18248419","abstract":"A number of ways and means have evolved to provide resistance to eubacteria challenged by β-lactams. This review is focused on pathogens that resist by expressing low-affinity targets for these antibiotics, the penicillin-binding proteins (PBPs). Even within this narrow focus, a great variety of strategies have been uncovered such as the acquisition of an additional low-affinity PBP, the overexpression of an endogenous low-affinity PBP, the alteration of endogenous PBPs by point mutations or homologous recombination or a combination of the above. © 2008 Federation of European Microbiological Societies.","author":[{"dropping-particle":"","family":"Zapun","given":"André","non-dropping-particle":"","parse-names":false,"suffix":""},{"dropping-particle":"","family":"Contreras-Martel","given":"Carlos","non-dropping-particle":"","parse-names":false,"suffix":""},{"dropping-particle":"","family":"Vernet","given":"Thierry","non-dropping-particle":"","parse-names":false,"suffix":""}],"container-title":"FEMS Microbiology Reviews","id":"ITEM-3","issue":"2","issued":{"date-parts":[["2008","3"]]},"page":"361-385","title":"Penicillin-binding proteins and β-lactam resistance","type":"article","volume":"32"},"uris":["http://www.mendeley.com/documents/?uuid=1ba7cb5c-ff79-3b96-831d-27ce8e431c4d"]}],"mendeley":{"formattedCitation":"&lt;sup&gt;[33,39,40]&lt;/sup&gt;","plainTextFormattedCitation":"[33,39,40]","previouslyFormattedCitation":"&lt;sup&gt;[33,39,40]&lt;/sup&gt;"},"properties":{"noteIndex":0},"schema":"https://github.com/citation-style-language/schema/raw/master/csl-citation.json"}</w:instrText>
      </w:r>
      <w:r w:rsidRPr="00F0299A">
        <w:fldChar w:fldCharType="separate"/>
      </w:r>
      <w:r w:rsidR="00C825F9" w:rsidRPr="00C825F9">
        <w:rPr>
          <w:noProof/>
          <w:vertAlign w:val="superscript"/>
        </w:rPr>
        <w:t>[33,39,40]</w:t>
      </w:r>
      <w:r w:rsidRPr="00F0299A">
        <w:fldChar w:fldCharType="end"/>
      </w:r>
      <w:r>
        <w:t xml:space="preserve">. The action of PBP2a results in viable bacteria with a less cross-linked PG </w:t>
      </w:r>
      <w:r>
        <w:fldChar w:fldCharType="begin" w:fldLock="1"/>
      </w:r>
      <w:r w:rsidR="0058736C">
        <w:instrText>ADDIN CSL_CITATION {"citationItems":[{"id":"ITEM-1","itemData":{"DOI":"10.1016/j.chom.2015.10.011","ISSN":"19346069","PMID":"26567511","abstract":"Methicillin-resistant S. aureus (MRSA) is a leading health problem. Compared to methicillin-sensitive S. aureus, MRSA infections are associated with greater morbidity and mortality, but the mechanisms underlying MRSA pathogenicity are unclear. Here we show that the protein conferring β-lactam antibiotic resistance, penicillin-binding protein 2A (encoded by the mecA gene), directly contributes to pathogenicity during MRSA infection. MecA induction leads to a reduction in peptidoglycan cross-linking that allows for enhanced degradation and detection by phagocytes, resulting in robust IL-1β production. Peptidoglycan isolated from β-lactam-challenged MRSA strongly induces the NLRP3 inflammasome in macrophages, but these effects are lost upon peptidoglycan solubilization. Mutant MRSA bacteria with naturally occurring reduced peptidoglycan cross-links induce high IL-1β levels in vitro and cause increased pathology in vivo. β-lactam treatment of MRSA skin infection exacerbates immunopathology, which is IL-1 dependent. Thus, antibiotic-induced expression of mecA during MRSA skin infection contributes to immunopathology by altering peptidoglycan structure.","author":[{"dropping-particle":"","family":"Müller","given":"Sabrina","non-dropping-particle":"","parse-names":false,"suffix":""},{"dropping-particle":"","family":"Wolf","given":"Andrea J.","non-dropping-particle":"","parse-names":false,"suffix":""},{"dropping-particle":"","family":"Iliev","given":"Iliyan D.","non-dropping-particle":"","parse-names":false,"suffix":""},{"dropping-particle":"","family":"Berg","given":"Bethany L.","non-dropping-particle":"","parse-names":false,"suffix":""},{"dropping-particle":"","family":"Underhill","given":"David M.","non-dropping-particle":"","parse-names":false,"suffix":""},{"dropping-particle":"","family":"Liu","given":"George Y.","non-dropping-particle":"","parse-names":false,"suffix":""}],"container-title":"Cell Host and Microbe","id":"ITEM-1","issue":"5","issued":{"date-parts":[["2015","11","11"]]},"page":"604-612","publisher":"NIH Public Access","title":"Poorly cross-linked peptidoglycan in MRSA due to mecA induction activates the inflammasome and exacerbates immunopathology","type":"article-journal","volume":"18"},"uris":["http://www.mendeley.com/documents/?uuid=762f15bc-8f1d-360c-a42b-77f05701319c"]}],"mendeley":{"formattedCitation":"&lt;sup&gt;[193]&lt;/sup&gt;","plainTextFormattedCitation":"[193]","previouslyFormattedCitation":"&lt;sup&gt;[193]&lt;/sup&gt;"},"properties":{"noteIndex":0},"schema":"https://github.com/citation-style-language/schema/raw/master/csl-citation.json"}</w:instrText>
      </w:r>
      <w:r>
        <w:fldChar w:fldCharType="separate"/>
      </w:r>
      <w:r w:rsidR="002659E5" w:rsidRPr="002659E5">
        <w:rPr>
          <w:noProof/>
          <w:vertAlign w:val="superscript"/>
        </w:rPr>
        <w:t>[193]</w:t>
      </w:r>
      <w:r>
        <w:fldChar w:fldCharType="end"/>
      </w:r>
      <w:r>
        <w:t>.</w:t>
      </w:r>
    </w:p>
    <w:p w14:paraId="5FF0C1A0" w14:textId="0EF69916" w:rsidR="00382196" w:rsidRDefault="00382196" w:rsidP="00382196">
      <w:pPr>
        <w:pStyle w:val="Heading3"/>
      </w:pPr>
      <w:bookmarkStart w:id="108" w:name="_Toc90216738"/>
      <w:r>
        <w:t xml:space="preserve">Glycopeptide </w:t>
      </w:r>
      <w:r w:rsidRPr="005B0F81">
        <w:t>antibiotics</w:t>
      </w:r>
      <w:bookmarkEnd w:id="105"/>
      <w:bookmarkEnd w:id="106"/>
      <w:bookmarkEnd w:id="107"/>
      <w:r w:rsidR="007006CC">
        <w:t>.</w:t>
      </w:r>
      <w:bookmarkEnd w:id="108"/>
    </w:p>
    <w:p w14:paraId="3240EE7E" w14:textId="4370D9DF" w:rsidR="00382196" w:rsidRDefault="00382196" w:rsidP="00382196">
      <w:r w:rsidRPr="00D85190">
        <w:t>Vancomycin</w:t>
      </w:r>
      <w:r>
        <w:t xml:space="preserve"> was the first identified glycopeptide CW antibiotic (</w:t>
      </w:r>
      <w:r>
        <w:fldChar w:fldCharType="begin"/>
      </w:r>
      <w:r>
        <w:instrText xml:space="preserve"> REF _Ref71464537 \h </w:instrText>
      </w:r>
      <w:r>
        <w:fldChar w:fldCharType="separate"/>
      </w:r>
      <w:r w:rsidR="00183CC8">
        <w:t xml:space="preserve">Figure </w:t>
      </w:r>
      <w:r w:rsidR="00183CC8">
        <w:rPr>
          <w:noProof/>
        </w:rPr>
        <w:t>1</w:t>
      </w:r>
      <w:r w:rsidR="00183CC8">
        <w:t>.</w:t>
      </w:r>
      <w:r w:rsidR="00183CC8">
        <w:rPr>
          <w:noProof/>
        </w:rPr>
        <w:t>9</w:t>
      </w:r>
      <w:r>
        <w:fldChar w:fldCharType="end"/>
      </w:r>
      <w:r>
        <w:t xml:space="preserve">c), discovered by Eli Lilly and Company in 1956. However, this bactericidal antibiotic did not gain its popularity until </w:t>
      </w:r>
      <w:r>
        <w:lastRenderedPageBreak/>
        <w:t>after 1970, upon beginning to be use</w:t>
      </w:r>
      <w:r w:rsidR="00100C6D">
        <w:t>d</w:t>
      </w:r>
      <w:r>
        <w:t xml:space="preserve"> clinically to treat MRSA </w:t>
      </w:r>
      <w:r>
        <w:fldChar w:fldCharType="begin" w:fldLock="1"/>
      </w:r>
      <w:r w:rsidR="0058736C">
        <w:instrText>ADDIN CSL_CITATION {"citationItems":[{"id":"ITEM-1","itemData":{"abstract":"Vancomycin became available for clinical use 150 years ago but was soon discarded in favor of other antibiotics that were deemed to be more efficacious and less toxic. The advent of pseudomembranous enterocolitis, coupled with the spread of methicillin-resistant Staphylococcus aureus, led to a resurgence in the use of vancomycin. Almost immediately, concerns arose with regard to its therapeutic utility. In addition, resistance to vancomycin developed, first in enterococci and later in staphylococci. Several types of resistance have now been identified, each with a unique effect on infections treated with vancomycin. Recent studies have rekindled interest in the best way to administer the antibiotic. The findings of future studies may result in a return to measuring levels of vancomycin in serum, to assure a successful therapeutic outcome.","author":[{"dropping-particle":"","family":"Levine","given":"Donald P","non-dropping-particle":"","parse-names":false,"suffix":""}],"container-title":"Clinical Infectious Diseases","id":"ITEM-1","issue":"Suppl 1","issued":{"date-parts":[["2006"]]},"page":"5-12","title":"Vancomycin: A History","type":"article-journal","volume":"42"},"uris":["http://www.mendeley.com/documents/?uuid=e46bc6d6-713a-3dc0-98ce-2392bbb28ae8"]}],"mendeley":{"formattedCitation":"&lt;sup&gt;[194]&lt;/sup&gt;","plainTextFormattedCitation":"[194]","previouslyFormattedCitation":"&lt;sup&gt;[194]&lt;/sup&gt;"},"properties":{"noteIndex":0},"schema":"https://github.com/citation-style-language/schema/raw/master/csl-citation.json"}</w:instrText>
      </w:r>
      <w:r>
        <w:fldChar w:fldCharType="separate"/>
      </w:r>
      <w:r w:rsidR="002659E5" w:rsidRPr="002659E5">
        <w:rPr>
          <w:noProof/>
          <w:vertAlign w:val="superscript"/>
        </w:rPr>
        <w:t>[194]</w:t>
      </w:r>
      <w:r>
        <w:fldChar w:fldCharType="end"/>
      </w:r>
      <w:r>
        <w:t xml:space="preserve">. It binds to the D-Ala-D-Ala terminus of the PG </w:t>
      </w:r>
      <w:r w:rsidR="005F0EF0">
        <w:t>penta</w:t>
      </w:r>
      <w:r>
        <w:t>peptide of lipid II and of nascent PG (</w:t>
      </w:r>
      <w:r>
        <w:fldChar w:fldCharType="begin"/>
      </w:r>
      <w:r>
        <w:instrText xml:space="preserve"> REF _Ref71464537 \h </w:instrText>
      </w:r>
      <w:r>
        <w:fldChar w:fldCharType="separate"/>
      </w:r>
      <w:r w:rsidR="00183CC8">
        <w:t xml:space="preserve">Figure </w:t>
      </w:r>
      <w:r w:rsidR="00183CC8">
        <w:rPr>
          <w:noProof/>
        </w:rPr>
        <w:t>1</w:t>
      </w:r>
      <w:r w:rsidR="00183CC8">
        <w:t>.</w:t>
      </w:r>
      <w:r w:rsidR="00183CC8">
        <w:rPr>
          <w:noProof/>
        </w:rPr>
        <w:t>9</w:t>
      </w:r>
      <w:r>
        <w:fldChar w:fldCharType="end"/>
      </w:r>
      <w:r>
        <w:t>e), inhibiting the incorporation of Glc</w:t>
      </w:r>
      <w:r>
        <w:rPr>
          <w:i/>
          <w:iCs/>
        </w:rPr>
        <w:t>N</w:t>
      </w:r>
      <w:r>
        <w:t>Ac–Mur</w:t>
      </w:r>
      <w:r>
        <w:rPr>
          <w:i/>
          <w:iCs/>
        </w:rPr>
        <w:t>N</w:t>
      </w:r>
      <w:r>
        <w:t xml:space="preserve">ac into the CW, thus disrupting PG synthesis </w:t>
      </w:r>
      <w:r>
        <w:fldChar w:fldCharType="begin" w:fldLock="1"/>
      </w:r>
      <w:r w:rsidR="0058736C">
        <w:instrText>ADDIN CSL_CITATION {"citationItems":[{"id":"ITEM-1","itemData":{"DOI":"10.1042/bj1110195","ISSN":"02646021","PMID":"5763787","abstract":"Vancomycin and ristocetin formed complexes on being mixed with mucopeptide precursors from various bacteria, as shown by chromatography, electrophoresis and differential ultraviolet spectra. Equimolar proportions of antibiotic and peptide were present. The specificity of the reaction was studied and the smallest molecule found to react was acetyl-D-alanyl-D-alanine. This C-terminal dipeptide sequence must be present for complex-formation; change of configuration or esterification prevented it. Modified vancomycins that retained antibiotic activity also combined with appropriate peptides. The dissociation constants of the more stable complexes were estimated from the differential-absorption results. The relationship of complex-formation to antibiotic action is discussed. Penicillin, supposed to be an analogue of acyl-D-alanyl-D-alanine, also modified the spectrum of vancomycin; so, too, did sodium benzylpenicilloate.","author":[{"dropping-particle":"","family":"Perkins","given":"H. R.","non-dropping-particle":"","parse-names":false,"suffix":""}],"container-title":"The Biochemical journal","id":"ITEM-1","issue":"2","issued":{"date-parts":[["1969","1","1"]]},"page":"195-205","publisher":"Portland Press","title":"Specificity of combination between mucopeptide precursors and vancomycin or ristocetin.","type":"article-journal","volume":"111"},"uris":["http://www.mendeley.com/documents/?uuid=7a771946-7759-3b5f-ba32-ae7f63c6cbbd"]},{"id":"ITEM-2","itemData":{"DOI":"10.1093/jac/14.suppl_d.7","ISSN":"03057453","PMID":"6440886","abstract":"Vancomycin is a unique glycopeptide structurally unrelated to any currently available antibiotic. It also has a unique mode of action inhibiting the second stage of cell wall synthesis of susceptible bacteria. There is also evidence that vancomycin alters the permeability of the cell membrane and selectively inhibits ribonucleic acid synthesis. Induction of bacterial L-phase variants from susceptible organisms with vancomycin is extremely difficult, and such variants are unstable. Stable L-phase variants induced by other agents are susceptible to vancomycin. Vancomycin is active against a large number of species of Gram-positive bacteria, such as Staphylococcus aureus (including methicillin-resistant strains), Staph. epidermidis (including multiple-resistant strains), Streptococcus pneumoniae (including multiple-resistant strains), Str. pyogenes, Str. agalactiae, Str. bovis, Str. mutans, viridans streptococci, enterococci, Clostridium species, diphtheroids, Listeria monocytogenes, Actinomyces species and Lactobacillus species. There has been no increase in resistance to vancomycin during the past three decades. Enhancement of antimicrobial activity has been demonstrated with the combination of vancomycin and an aminoglycoside against Staph. aureus, Str. bovis, enterococci and viridans streptococci. The combination of vancomycin and rifampicin are antagonistic to most strains of Staph. aureus, though indifference and occasionally synergism have been shown, but is synergistic against strains of Staph. epidermidis. It shows indifference against enterococci. Vancomycin and fusidic acid are indifferent against Staph. aureus.","author":[{"dropping-particle":"","family":"Watanakunakorn","given":"C.","non-dropping-particle":"","parse-names":false,"suffix":""}],"container-title":"Journal of Antimicrobial Chemotherapy","id":"ITEM-2","issue":"SUPPL. D","issued":{"date-parts":[["1984","1","1"]]},"page":"7-18","publisher":"Oxford Academic","title":"Mode of action and in-vitro activity of vancomycin","type":"article","volume":"14"},"uris":["http://www.mendeley.com/documents/?uuid=d1e0d431-9774-3bae-ba43-bf4e87388bae"]},{"id":"ITEM-3","itemData":{"DOI":"10.1016/j.ijmm.2009.10.005","ISSN":"14384221","PMID":"20005776","abstract":"Bacterial cell wall biosynthesis represents the target pathway for penicillin, the first antibiotic that was clinically applied on a large scale. Penicillin, by means of its beta-lactam ring, inhibits a number of enzymes which participate in inserting monomeric cell wall building blocks into the cell wall polymer and which have been termed penicillin-binding proteins (PBPs). Ever since the introduction of penicillin, hundreds of beta-lactam antibiotics have been developed and details of their molecular activities elaborated. Meanwhile, various additional classes of antibiotics have been described, which inhibit the same pathway, yet use target molecules others than the PBPs. Such classes include the glycopeptide antibiotics, lipopeptide and lipodepsipeptide antibiotics, the lantibiotics and various other natural product antibiotics with comparatively complex structures. They usually target the membrane-bound steps of the biosynthesis pathway and the highly conserved lipid-bound intermediates of the building block such as lipid II, which represents a particular \"Achilles' heel\" for antibiotic attack. With in-depth analysis of the activity of more recently identified inhibitors and with the availability of novel techniques for studying prokaryotic cell biology, new insights were obtained into the molecular organisation of the cell wall biosynthesis machinery and its interconnections with other vital cellular processes such as cell division. This, in turn, provides hints for new targets to be exploited and for the development of novel cell wall biosynthesis inhibitors. © 2009 Elsevier GmbH. All rights reserved.","author":[{"dropping-particle":"","family":"Schneider","given":"Tanja","non-dropping-particle":"","parse-names":false,"suffix":""},{"dropping-particle":"","family":"Sahl","given":"Hans Georg","non-dropping-particle":"","parse-names":false,"suffix":""}],"container-title":"International Journal of Medical Microbiology","id":"ITEM-3","issue":"2-3","issued":{"date-parts":[["2010"]]},"page":"161-169","publisher":"Elsevier","title":"An oldie but a goodie - cell wall biosynthesis as antibiotic target pathway","type":"article-journal","volume":"300"},"uris":["http://www.mendeley.com/documents/?uuid=a01acd86-0b25-4882-bf39-919c1fc39a7f"]},{"id":"ITEM-4","itemData":{"DOI":"10.1073/pnas.53.4.881","ISSN":"00278424","PMID":"14324547","abstract":"BIOCHEMISTRY: ANDERSON ET AL. 881 13 5-HydroxymethyldUMP could be a hydrolytic side product of the hypothetical intermediate having a methylene bridge between the 5 position of dUMP and the no. 5 atom of tetrahydro-folate.7 In all solvents examined by R. E. Cline, R. M. Fink, and K. Fink [J. Am. Chem. Soc., 81, 2521 (1959)], 5-hydroxymethyldeoxyuridine migrated to the same position as 5-hydroxy-methyluracil or was slightly slower, and thymidine and thymine always migrated far ahead of both. We could not detect radioactivity on our chromatograms in the region between the starting line and the position of thymidine and thymine (RF, 0.64). 5-Hydroxymethyluracil showed an RF of 0.49. From the background level radioactivity on the chromatogram, 5-hydroxy-methyldUMP could not account for more than 5% of the synthesis. 5-HydroxymethyldUMP does not appear to be an intermediate in the E. coli dTMP synthetase reaction. The uridine nucleotides, uridine diphospho-acetylmuramyl I-ala-D-glu I.lys. D-ala D-ala (UDP-M~urNAc-pentapeptide) and uridine diphospho-acetylglucos-amine (UDP-GlcNAc), are substrates for a reaction catalyzed by a particulate enzyme prepared from Staphylococcus aureus in which a linear glycopeptide com","author":[{"dropping-particle":"","family":"Anderson","given":"J. S.","non-dropping-particle":"","parse-names":false,"suffix":""},{"dropping-particle":"","family":"Matsuhashi","given":"M.","non-dropping-particle":"","parse-names":false,"suffix":""},{"dropping-particle":"","family":"Haskin","given":"M. A.","non-dropping-particle":"","parse-names":false,"suffix":""},{"dropping-particle":"","family":"Strominger","given":"J. L.","non-dropping-particle":"","parse-names":false,"suffix":""}],"container-title":"Proceedings of the National Academy of Sciences of the United States of","id":"ITEM-4","issue":"4","issued":{"date-parts":[["1965"]]},"page":"881-889","publisher":"Academic Press","title":"Lipid-Phosphoacetylmuramyl- Pentapeptide and Lipid-Phosphodisaccharide-Pentapeptide: Presumed Membrane Transport Intermediates in Cell Wall Synthesis.","type":"article-journal","volume":"53"},"uris":["http://www.mendeley.com/documents/?uuid=e08738e2-4437-34b7-8c7c-64092d34f684"]},{"id":"ITEM-5","itemData":{"DOI":"10.1016/0006-3002(61)90698-9","ISSN":"00063002","PMID":"14491721","author":[{"dropping-particle":"","family":"Reynolds","given":"P. E.","non-dropping-particle":"","parse-names":false,"suffix":""}],"container-title":"Biochimica et Biophysica Acta","id":"ITEM-5","issue":"2","issued":{"date-parts":[["1961","9","16"]]},"page":"403-405","publisher":"Elsevier","title":"Studies on the mode of action of vancomycin","type":"article-journal","volume":"52"},"uris":["http://www.mendeley.com/documents/?uuid=fd5cf690-70af-377c-85b1-45ec405a95cc"]}],"mendeley":{"formattedCitation":"&lt;sup&gt;[178,195–198]&lt;/sup&gt;","plainTextFormattedCitation":"[178,195–198]","previouslyFormattedCitation":"&lt;sup&gt;[178,195–198]&lt;/sup&gt;"},"properties":{"noteIndex":0},"schema":"https://github.com/citation-style-language/schema/raw/master/csl-citation.json"}</w:instrText>
      </w:r>
      <w:r>
        <w:fldChar w:fldCharType="separate"/>
      </w:r>
      <w:r w:rsidR="002659E5" w:rsidRPr="002659E5">
        <w:rPr>
          <w:noProof/>
          <w:vertAlign w:val="superscript"/>
        </w:rPr>
        <w:t>[178,195–198]</w:t>
      </w:r>
      <w:r>
        <w:fldChar w:fldCharType="end"/>
      </w:r>
      <w:r>
        <w:t xml:space="preserve">. More recently, additional target interactions have been uncovered; these include binding to the autolysin Atl and the bifunctional PBP2 </w:t>
      </w:r>
      <w:r>
        <w:fldChar w:fldCharType="begin" w:fldLock="1"/>
      </w:r>
      <w:r w:rsidR="0058736C">
        <w:instrText>ADDIN CSL_CITATION {"citationItems":[{"id":"ITEM-1","itemData":{"DOI":"10.1021/ja2039979","ISSN":"00027863","abstract":"Vancomycin is a potent glycopeptide antibiotic that has evolved to specifically bind to the D-Ala-D-Ala dipeptide termini of nascent peptidoglycans. Although this mode of action is well established, several studies indicate that vancomycin and analogues exploit noncanonical target sites. In order to address all vancomycin targets in clinically relevant Staphylococcus aureus and Enterococcus faecalis strains we developed a series of small-molecule photoaffinity probes based on vancomycin. Proteomic profiling revealed the specific labeling of two previously unknown vancomycin targets that are likely to contribute to its antibiotic activity. The specific inhibition of the major staphylococcal autolysin Atl confirms previous observations that vancomycin alters S. aureus cell morphology by interaction with the autolytic machinery. Moreover, in E. faecalis the vancomycin photoprobe specifically binds to an ABC transporter protein, which likely impedes the uptake of essential nutrients such as sugars and peptides. The labeling of these two prominent membrane targets in living cells reveals a thus far unexplored mode of vancomycin binding and inhibition that could allow a rational design of variants with improved activity.","author":[{"dropping-particle":"","family":"Eirich","given":"Jürgen","non-dropping-particle":"","parse-names":false,"suffix":""},{"dropping-particle":"","family":"Orth","given":"Ronald","non-dropping-particle":"","parse-names":false,"suffix":""},{"dropping-particle":"","family":"Sieber","given":"Stephan A.","non-dropping-particle":"","parse-names":false,"suffix":""}],"container-title":"Journal of the American Chemical Society","id":"ITEM-1","issue":"31","issued":{"date-parts":[["2011"]]},"page":"12144-12153","title":"Unraveling the protein targets of vancomycin in living S. aureus and E. faecalis cells","type":"article-journal","volume":"133"},"uris":["http://www.mendeley.com/documents/?uuid=b5a1c03f-3b64-47f4-92eb-579d1863b51f"]},{"id":"ITEM-2","itemData":{"DOI":"10.1021/ja043849e","ISSN":"00027863","PMID":"15755121","abstract":"The glycopeptide antibiotics prevent maturation of the bacterial cell wall by binding to the terminal d-alanyl-d-alanine moiety of peptidoglycan precursors, thereby inhibiting the enzymes involved in the final stages of peptidoglycan synthesis. However, there are significant differences in the biological activity of particular glycopeptide derivatives that are not related to their affinity for d-Ala-d-Ala. We compare the ability of vancomycin and a set of clinically relevant glycopeptides to inhibit Staphylococcus aureus PBP2 (penicillin binding protein), the major transglycosylase in a clinically relevant pathogen, S. aureus. We report experiments suggesting that activity differences between glycopeptides against this organism reflect a combination of substrate binding and secondary interactions with key enzymes involved in peptidoglycan synthesis. Copyright © 2005 American Chemical Society.","author":[{"dropping-particle":"","family":"Leimkuhler","given":"Catherine","non-dropping-particle":"","parse-names":false,"suffix":""},{"dropping-particle":"","family":"Chen","given":"Lan","non-dropping-particle":"","parse-names":false,"suffix":""},{"dropping-particle":"","family":"Barrett","given":"Dianah","non-dropping-particle":"","parse-names":false,"suffix":""},{"dropping-particle":"","family":"Panzone","given":"Gianbattista","non-dropping-particle":"","parse-names":false,"suffix":""},{"dropping-particle":"","family":"Sun","given":"Binyuan","non-dropping-particle":"","parse-names":false,"suffix":""},{"dropping-particle":"","family":"Falcone","given":"Brian","non-dropping-particle":"","parse-names":false,"suffix":""},{"dropping-particle":"","family":"Oberthür","given":"Markus","non-dropping-particle":"","parse-names":false,"suffix":""},{"dropping-particle":"","family":"Donadio","given":"Stefano","non-dropping-particle":"","parse-names":false,"suffix":""},{"dropping-particle":"","family":"Walker","given":"Suzanne","non-dropping-particle":"","parse-names":false,"suffix":""},{"dropping-particle":"","family":"Kahne","given":"Daniel","non-dropping-particle":"","parse-names":false,"suffix":""}],"container-title":"Journal of the American Chemical Society","id":"ITEM-2","issue":"10","issued":{"date-parts":[["2005","3","16"]]},"page":"3250-3251","publisher":"American Chemical Society","title":"Differential inhibition of Staphylococcus aureus PBP2 by glycopeptide antibiotics","type":"article-journal","volume":"127"},"uris":["http://www.mendeley.com/documents/?uuid=56f8d889-6129-3635-b008-034395b4f5fe"]}],"mendeley":{"formattedCitation":"&lt;sup&gt;[199,200]&lt;/sup&gt;","plainTextFormattedCitation":"[199,200]","previouslyFormattedCitation":"&lt;sup&gt;[199,200]&lt;/sup&gt;"},"properties":{"noteIndex":0},"schema":"https://github.com/citation-style-language/schema/raw/master/csl-citation.json"}</w:instrText>
      </w:r>
      <w:r>
        <w:fldChar w:fldCharType="separate"/>
      </w:r>
      <w:r w:rsidR="002659E5" w:rsidRPr="002659E5">
        <w:rPr>
          <w:noProof/>
          <w:vertAlign w:val="superscript"/>
        </w:rPr>
        <w:t>[199,200]</w:t>
      </w:r>
      <w:r>
        <w:fldChar w:fldCharType="end"/>
      </w:r>
      <w:r>
        <w:t>. With PG and WTA biosynthesis both sharing the lipid transporter bactoprenol and both requiring D-Ala</w:t>
      </w:r>
      <w:r w:rsidR="005029B8">
        <w:t xml:space="preserve"> </w:t>
      </w:r>
      <w:r w:rsidR="005029B8">
        <w:fldChar w:fldCharType="begin" w:fldLock="1"/>
      </w:r>
      <w:r w:rsidR="00567695">
        <w:instrText>ADDIN CSL_CITATION {"citationItems":[{"id":"ITEM-1","itemData":{"DOI":"10.1038/newbio229057a0","ISSN":"00900028","PMID":"4250444","abstract":"THE pathways for the formation of several bacterial wall polymers have been thoroughly investigated. In some cases it has been shown that the biosynthesis involves the participation of lipid intermediates that are concerned with the transfer, and transport through the membrane, of sugar residues and related components from intracellular nucleotide precursors to polymer chains in the wall. All these membrane lipids so far isolated and identified have been shown to be the C55 polyisöprenol, undecaprenol, although it has not yet been demonstrated that they are the same isomer. Thus poly-isoprenols have been demonstrated to participate in the synthesis of O-antigen1, peptidoglycan2, 3 and mannan4.","author":[{"dropping-particle":"","family":"Watkinson","given":"R. J.","non-dropping-particle":"","parse-names":false,"suffix":""},{"dropping-particle":"","family":"Hussey","given":"Helen","non-dropping-particle":"","parse-names":false,"suffix":""},{"dropping-particle":"","family":"Baddiley","given":"J.","non-dropping-particle":"","parse-names":false,"suffix":""}],"container-title":"Nature New Biology","id":"ITEM-1","issue":"2","issued":{"date-parts":[["1971","1","13"]]},"page":"57-59","publisher":"Nature Publishing Group","title":"Shared lipid phosphate carrier in the biosynthesis of teichoic acid and peptidoglycan","type":"article-journal","volume":"229"},"uris":["http://www.mendeley.com/documents/?uuid=853a1dbb-5eda-3a04-b711-878161fecd7b"]}],"mendeley":{"formattedCitation":"&lt;sup&gt;[133]&lt;/sup&gt;","plainTextFormattedCitation":"[133]","previouslyFormattedCitation":"&lt;sup&gt;[133]&lt;/sup&gt;"},"properties":{"noteIndex":0},"schema":"https://github.com/citation-style-language/schema/raw/master/csl-citation.json"}</w:instrText>
      </w:r>
      <w:r w:rsidR="005029B8">
        <w:fldChar w:fldCharType="separate"/>
      </w:r>
      <w:r w:rsidR="00047733" w:rsidRPr="00047733">
        <w:rPr>
          <w:noProof/>
          <w:vertAlign w:val="superscript"/>
        </w:rPr>
        <w:t>[133]</w:t>
      </w:r>
      <w:r w:rsidR="005029B8">
        <w:fldChar w:fldCharType="end"/>
      </w:r>
      <w:r>
        <w:t xml:space="preserve">, Singh </w:t>
      </w:r>
      <w:r>
        <w:rPr>
          <w:i/>
          <w:iCs/>
        </w:rPr>
        <w:t>et al</w:t>
      </w:r>
      <w:r w:rsidRPr="001212F6">
        <w:t>.</w:t>
      </w:r>
      <w:r w:rsidR="00741D5C">
        <w:t>,</w:t>
      </w:r>
      <w:r w:rsidRPr="001212F6">
        <w:t xml:space="preserve"> (2017)</w:t>
      </w:r>
      <w:r>
        <w:t xml:space="preserve"> </w:t>
      </w:r>
      <w:r>
        <w:fldChar w:fldCharType="begin" w:fldLock="1"/>
      </w:r>
      <w:r w:rsidR="0058736C">
        <w:instrText>ADDIN CSL_CITATION {"citationItems":[{"id":"ITEM-1","itemData":{"DOI":"10.1021/acs.jpcb.7b00324","ISSN":"15205207","PMID":"28368603","abstract":"Glycopeptide antibiotics inhibit the peptidoglycan biosynthesis in Gram-positive bacteria by targeting lipid II. This prevents the recycling of bactoprenol phosphate, the lipid transporter that is shared by peptidoglycan and wall teichoic acid biosyntheses. In this study, we investigate the effects of glycopeptide antibiotics on peptidoglycan and wall teichoic acid biosynthesis. The incorporation of d-[1-13C]alanine, d-[15N]alanine, and l-[1-13C]lysine into peptidoglycan and wall teichoic acid in intact whole cells of Staphylococcus aureus was measured using 13C{15N} and 15N{13C} rotational-echo double resonance NMR. S. aureus treated with oritavancin and vancomycin at subminimal inhibitory concentrations exhibit a large reduction in d-Ala incorporation into wall teichoic acid, but without changes to the peptidoglycan cross-links or the stem-links. Thus, sequestration of bactoprenol phosphate by glycopeptide antibiotics resulted in inhibition of d-Ala incorporation into the wall teichoic acid prior to the inhibition of peptidoglycan biosynthesis. Our finding shows that S. aureus responds to glycopeptide-induced cell wall stress by routing all available d-Ala to the peptidoglycan biosynthesis, at the cost of reducing the wall teichoic acid biosynthesis.","author":[{"dropping-particle":"","family":"Singh","given":"Manmilan","non-dropping-particle":"","parse-names":false,"suffix":""},{"dropping-particle":"","family":"Chang","given":"James","non-dropping-particle":"","parse-names":false,"suffix":""},{"dropping-particle":"","family":"Coffman","given":"Lauryn","non-dropping-particle":"","parse-names":false,"suffix":""},{"dropping-particle":"","family":"Kim","given":"Sung Joon","non-dropping-particle":"","parse-names":false,"suffix":""}],"container-title":"Journal of Physical Chemistry B","id":"ITEM-1","issue":"16","issued":{"date-parts":[["2017","4","27"]]},"page":"3925-3932","publisher":"American Chemical Society","title":"Hidden Mode of Action of Glycopeptide Antibiotics: Inhibition of Wall Teichoic Acid Biosynthesis","type":"article-journal","volume":"121"},"uris":["http://www.mendeley.com/documents/?uuid=e289dea8-fdc2-3102-9071-2d23f63cef14"]}],"mendeley":{"formattedCitation":"&lt;sup&gt;[201]&lt;/sup&gt;","plainTextFormattedCitation":"[201]","previouslyFormattedCitation":"&lt;sup&gt;[201]&lt;/sup&gt;"},"properties":{"noteIndex":0},"schema":"https://github.com/citation-style-language/schema/raw/master/csl-citation.json"}</w:instrText>
      </w:r>
      <w:r>
        <w:fldChar w:fldCharType="separate"/>
      </w:r>
      <w:r w:rsidR="002659E5" w:rsidRPr="002659E5">
        <w:rPr>
          <w:noProof/>
          <w:vertAlign w:val="superscript"/>
        </w:rPr>
        <w:t>[201]</w:t>
      </w:r>
      <w:r>
        <w:fldChar w:fldCharType="end"/>
      </w:r>
      <w:r>
        <w:t xml:space="preserve"> studied the relationship between glycopeptide antibiotics and WTA. They have shown that the binding of vancomycin to lipid II, leads to bactoprenol being unavailable for recycling</w:t>
      </w:r>
      <w:r w:rsidR="00FE66EC">
        <w:t xml:space="preserve"> into both the PG and WTA biosynthetic pathways</w:t>
      </w:r>
      <w:r>
        <w:t xml:space="preserve">. Their study also suggests that </w:t>
      </w:r>
      <w:r>
        <w:rPr>
          <w:i/>
          <w:iCs/>
        </w:rPr>
        <w:t>S. aureus</w:t>
      </w:r>
      <w:r>
        <w:t xml:space="preserve"> subsequently reroutes remaining D-Ala and prioritises their use for PG synthesis, </w:t>
      </w:r>
      <w:r w:rsidR="006E322D">
        <w:t>thereafter,</w:t>
      </w:r>
      <w:r>
        <w:t xml:space="preserve"> decreasing WTA production. Finally, this study implies that despite WTA’s inessentiality for viability, the inhibition of both WTA and PG synthesis might be involved in vancomycin’s bactericidal action </w:t>
      </w:r>
      <w:r>
        <w:fldChar w:fldCharType="begin" w:fldLock="1"/>
      </w:r>
      <w:r w:rsidR="0058736C">
        <w:instrText>ADDIN CSL_CITATION {"citationItems":[{"id":"ITEM-1","itemData":{"DOI":"10.1021/acs.jpcb.7b00324","ISSN":"15205207","PMID":"28368603","abstract":"Glycopeptide antibiotics inhibit the peptidoglycan biosynthesis in Gram-positive bacteria by targeting lipid II. This prevents the recycling of bactoprenol phosphate, the lipid transporter that is shared by peptidoglycan and wall teichoic acid biosyntheses. In this study, we investigate the effects of glycopeptide antibiotics on peptidoglycan and wall teichoic acid biosynthesis. The incorporation of d-[1-13C]alanine, d-[15N]alanine, and l-[1-13C]lysine into peptidoglycan and wall teichoic acid in intact whole cells of Staphylococcus aureus was measured using 13C{15N} and 15N{13C} rotational-echo double resonance NMR. S. aureus treated with oritavancin and vancomycin at subminimal inhibitory concentrations exhibit a large reduction in d-Ala incorporation into wall teichoic acid, but without changes to the peptidoglycan cross-links or the stem-links. Thus, sequestration of bactoprenol phosphate by glycopeptide antibiotics resulted in inhibition of d-Ala incorporation into the wall teichoic acid prior to the inhibition of peptidoglycan biosynthesis. Our finding shows that S. aureus responds to glycopeptide-induced cell wall stress by routing all available d-Ala to the peptidoglycan biosynthesis, at the cost of reducing the wall teichoic acid biosynthesis.","author":[{"dropping-particle":"","family":"Singh","given":"Manmilan","non-dropping-particle":"","parse-names":false,"suffix":""},{"dropping-particle":"","family":"Chang","given":"James","non-dropping-particle":"","parse-names":false,"suffix":""},{"dropping-particle":"","family":"Coffman","given":"Lauryn","non-dropping-particle":"","parse-names":false,"suffix":""},{"dropping-particle":"","family":"Kim","given":"Sung Joon","non-dropping-particle":"","parse-names":false,"suffix":""}],"container-title":"Journal of Physical Chemistry B","id":"ITEM-1","issue":"16","issued":{"date-parts":[["2017","4","27"]]},"page":"3925-3932","publisher":"American Chemical Society","title":"Hidden Mode of Action of Glycopeptide Antibiotics: Inhibition of Wall Teichoic Acid Biosynthesis","type":"article-journal","volume":"121"},"uris":["http://www.mendeley.com/documents/?uuid=e289dea8-fdc2-3102-9071-2d23f63cef14"]}],"mendeley":{"formattedCitation":"&lt;sup&gt;[201]&lt;/sup&gt;","plainTextFormattedCitation":"[201]","previouslyFormattedCitation":"&lt;sup&gt;[201]&lt;/sup&gt;"},"properties":{"noteIndex":0},"schema":"https://github.com/citation-style-language/schema/raw/master/csl-citation.json"}</w:instrText>
      </w:r>
      <w:r>
        <w:fldChar w:fldCharType="separate"/>
      </w:r>
      <w:r w:rsidR="002659E5" w:rsidRPr="002659E5">
        <w:rPr>
          <w:noProof/>
          <w:vertAlign w:val="superscript"/>
        </w:rPr>
        <w:t>[201]</w:t>
      </w:r>
      <w:r>
        <w:fldChar w:fldCharType="end"/>
      </w:r>
      <w:r>
        <w:t>.</w:t>
      </w:r>
    </w:p>
    <w:p w14:paraId="6C9E62BB" w14:textId="34CB74DC" w:rsidR="006A0C2C" w:rsidRDefault="006A0C2C" w:rsidP="00382196">
      <w:r>
        <w:t>Vancomycin resistant</w:t>
      </w:r>
      <w:r>
        <w:rPr>
          <w:i/>
          <w:iCs/>
        </w:rPr>
        <w:t xml:space="preserve"> S. aureus</w:t>
      </w:r>
      <w:r>
        <w:t xml:space="preserve"> (VRSA) have acquired </w:t>
      </w:r>
      <w:r w:rsidR="00395A1E">
        <w:t xml:space="preserve">the </w:t>
      </w:r>
      <w:r w:rsidR="00395A1E">
        <w:rPr>
          <w:i/>
          <w:iCs/>
        </w:rPr>
        <w:t xml:space="preserve">vanA </w:t>
      </w:r>
      <w:r w:rsidR="00395A1E">
        <w:t xml:space="preserve">gene from </w:t>
      </w:r>
      <w:r w:rsidR="00395A1E">
        <w:rPr>
          <w:i/>
          <w:iCs/>
        </w:rPr>
        <w:t>Enterococci</w:t>
      </w:r>
      <w:r w:rsidR="00395A1E">
        <w:t xml:space="preserve">. The </w:t>
      </w:r>
      <w:r w:rsidR="00395A1E">
        <w:rPr>
          <w:i/>
          <w:iCs/>
        </w:rPr>
        <w:t>van</w:t>
      </w:r>
      <w:r w:rsidR="00395A1E">
        <w:t xml:space="preserve"> genes</w:t>
      </w:r>
      <w:r w:rsidR="00E03366">
        <w:t xml:space="preserve"> encode inducible enzyme</w:t>
      </w:r>
      <w:r w:rsidR="007365F8">
        <w:t>s</w:t>
      </w:r>
      <w:r w:rsidR="00E03366">
        <w:t xml:space="preserve"> that interfere in PG synthesis</w:t>
      </w:r>
      <w:r w:rsidR="00796CB8">
        <w:t xml:space="preserve"> leading to a modified Lipid II with a D-lactate instead of a D-ala.</w:t>
      </w:r>
      <w:r w:rsidR="007365F8">
        <w:t xml:space="preserve"> </w:t>
      </w:r>
      <w:r w:rsidR="00D63E3B">
        <w:t>While this</w:t>
      </w:r>
      <w:r w:rsidR="007365F8">
        <w:t xml:space="preserve"> modification</w:t>
      </w:r>
      <w:r w:rsidR="00D63E3B">
        <w:t xml:space="preserve"> does not impact the subsequent action of PBPs, it</w:t>
      </w:r>
      <w:r w:rsidR="007365F8">
        <w:t xml:space="preserve"> results in a reduction of its affinity for vancomycin.</w:t>
      </w:r>
      <w:r w:rsidR="00814BB0">
        <w:t xml:space="preserve"> </w:t>
      </w:r>
      <w:r w:rsidR="00814BB0">
        <w:fldChar w:fldCharType="begin" w:fldLock="1"/>
      </w:r>
      <w:r w:rsidR="0058736C">
        <w:instrText>ADDIN CSL_CITATION {"citationItems":[{"id":"ITEM-1","itemData":{"DOI":"10.1086/491711","ISSN":"10584838","PMID":"16323116","abstract":"The first vancomycin-resistant clinical isolates of Enterococcus species were reported in Europe in 1988. Similar strains were later detected in hospitals on the East Coast of the United States. Since then, vancomycin-resistant enterococci have spread with unexpected rapidity and are now encountered in hospitals in most countries. This article reviews the mode of action and the mechanism of bacterial resistance to glycopeptides, as exemplified by the VanA type, which is mediated by transposon Tn1546 and is widely spread in enterococci. The diversity, regulation, evolution, and recent dissemination of methicillin-resistant Staphylococcus aureus are then discussed. © 2005 by the Infectious Diseases Society of America. All rights reserved.","author":[{"dropping-particle":"","family":"Courvalin","given":"Patrice","non-dropping-particle":"","parse-names":false,"suffix":""}],"container-title":"Clinical Infectious Diseases","id":"ITEM-1","issue":"SUPPL. 1","issued":{"date-parts":[["2006"]]},"page":"25-34","title":"Vancomycin resistance in gram-positive cocci","type":"article","volume":"42"},"uris":["http://www.mendeley.com/documents/?uuid=94939cbf-7c6c-3a90-ab06-0575f8b96887"]},{"id":"ITEM-2","itemData":{"DOI":"10.1101/cshperspect.a026989","ISSN":"21571422","PMID":"27663982","abstract":"The glycopeptide antimicrobials are a group of natural product and semisynthetic glycosylated peptides that show antibacterial activity against Gram-positive organisms through inhibition of cell-wall synthesis. This is achieved primarily through binding to the Dalanyl- D-alanine terminus of the lipid II bacterial cell-wall precursor, preventing crosslinking of the peptidoglycan layer. Vancomycin is the foundational member of the class, showing both clinical longevity and a still preferential role in the therapy of methicillinresistant Staphylococcus aureus and of susceptible Enterococcus spp. Newer lipoglycopeptide derivatives (telavancin, dalbavancin, and oritavancin) were designed in a targeted fashion to increase antibacterial activity, in some cases through secondary mechanisms of action. Resistance to the glycopeptides emerged in delayed fashion and occurs via a spectrum of chromosome- and plasmid-associated elements that lead to structural alteration of the bacterial cell-wall precursor substrates.","author":[{"dropping-particle":"","family":"Zeng","given":"Daina","non-dropping-particle":"","parse-names":false,"suffix":""},{"dropping-particle":"","family":"Debabov","given":"Dmitri","non-dropping-particle":"","parse-names":false,"suffix":""},{"dropping-particle":"","family":"Hartsell","given":"Theresa L.","non-dropping-particle":"","parse-names":false,"suffix":""},{"dropping-particle":"","family":"Cano","given":"Raul J.","non-dropping-particle":"","parse-names":false,"suffix":""},{"dropping-particle":"","family":"Adams","given":"Stacy","non-dropping-particle":"","parse-names":false,"suffix":""},{"dropping-particle":"","family":"Schuyler","given":"Jessica A.","non-dropping-particle":"","parse-names":false,"suffix":""},{"dropping-particle":"","family":"McMillan","given":"Ronald","non-dropping-particle":"","parse-names":false,"suffix":""},{"dropping-particle":"","family":"Pace","given":"John L.","non-dropping-particle":"","parse-names":false,"suffix":""}],"container-title":"Cold Spring Harbor Perspectives in Medicine","id":"ITEM-2","issue":"12","issued":{"date-parts":[["2016"]]},"page":"1-16","publisher":"Cold Spring Harb Perspect Med","title":"Approved glycopeptide antibacterial drugs: Mechanism of action and resistance","type":"article-journal","volume":"6"},"uris":["http://www.mendeley.com/documents/?uuid=409f3b01-0b40-31c9-9144-96b2da8c0ded"]},{"id":"ITEM-3","itemData":{"DOI":"10.1093/femsre/fux007","ISSN":"15746976","PMID":"28419231","abstract":"The major targets for antibiotics in staphylococci are (i) the cell envelope, (ii) the ribosome and (iii) nucleic acids. Several novel targets emerged from recent targeted drug discovery programmes including the ClpP protease and FtsZ from the cell division machinery. Resistance can either develop by horizontal transfer of resistance determinants encoded by mobile genetic elements viz plasmids, transposons and the staphylococcal cassette chromosome or by mutations in chromosomal genes. Horizontally acquired resistance can occur by one of the following mechanisms: (i) enzymatic drug modification and inactivation, (ii) enzymatic modification of the drug binding site, (iii) drug efflux, (iv) bypass mechanisms involving acquisition of a novel drug-resistant target, (v) displacement of the drug to protect the target. Acquisition of resistance by mutation can result from (i) alteration of the drug target that prevents the inhibitor from binding, (ii) derepression of chromosomally encoded multidrug resistance efflux pumps and (iii) multiple stepwise mutations that alter the structure and composition of the cell wall and/or membrane to reduce drug access to its target. This review focuses on development of resistance to currently used antibiotics and examines future prospects for new antibiotics and informed use of drug combinations.","author":[{"dropping-particle":"","family":"Foster","given":"Timothy J.","non-dropping-particle":"","parse-names":false,"suffix":""}],"container-title":"FEMS Microbiology Reviews","id":"ITEM-3","issue":"3","issued":{"date-parts":[["2017"]]},"page":"430-449","title":"Antibiotic resistance in Staphylococcus aureus. Current status and future prospects","type":"article-journal","volume":"41"},"uris":["http://www.mendeley.com/documents/?uuid=3d8279f2-7733-48bc-9a2a-a0a10a9572d8"]}],"mendeley":{"formattedCitation":"&lt;sup&gt;[11,202,203]&lt;/sup&gt;","plainTextFormattedCitation":"[11,202,203]","previouslyFormattedCitation":"&lt;sup&gt;[11,202,203]&lt;/sup&gt;"},"properties":{"noteIndex":0},"schema":"https://github.com/citation-style-language/schema/raw/master/csl-citation.json"}</w:instrText>
      </w:r>
      <w:r w:rsidR="00814BB0">
        <w:fldChar w:fldCharType="separate"/>
      </w:r>
      <w:r w:rsidR="002659E5" w:rsidRPr="002659E5">
        <w:rPr>
          <w:noProof/>
          <w:vertAlign w:val="superscript"/>
        </w:rPr>
        <w:t>[11,202,203]</w:t>
      </w:r>
      <w:r w:rsidR="00814BB0">
        <w:fldChar w:fldCharType="end"/>
      </w:r>
    </w:p>
    <w:p w14:paraId="76044485" w14:textId="327DF34F" w:rsidR="00814BB0" w:rsidRDefault="00814BB0" w:rsidP="00382196">
      <w:r>
        <w:t xml:space="preserve">Vancomycin intermediate </w:t>
      </w:r>
      <w:r>
        <w:rPr>
          <w:i/>
          <w:iCs/>
        </w:rPr>
        <w:t>S. aureus</w:t>
      </w:r>
      <w:r>
        <w:t xml:space="preserve"> (VISA) are not resistant to this antibiotic but require a higher minimum inhibitory concentration (MIC)</w:t>
      </w:r>
      <w:r w:rsidR="00E65A9D">
        <w:t xml:space="preserve"> than sensitive strains</w:t>
      </w:r>
      <w:r w:rsidR="002B0580">
        <w:t>.</w:t>
      </w:r>
      <w:r w:rsidR="006B3A03">
        <w:t xml:space="preserve"> </w:t>
      </w:r>
      <w:r w:rsidR="00E65A9D">
        <w:t xml:space="preserve">The increasing insensitivity is attributed to a </w:t>
      </w:r>
      <w:r w:rsidR="006B3A03">
        <w:t xml:space="preserve">thickened CW </w:t>
      </w:r>
      <w:r w:rsidR="0089472B">
        <w:t xml:space="preserve">and </w:t>
      </w:r>
      <w:r w:rsidR="00D7638E">
        <w:t>reduced PG cross-linking</w:t>
      </w:r>
      <w:r w:rsidR="0089472B">
        <w:t>.</w:t>
      </w:r>
      <w:r w:rsidR="00D7638E">
        <w:t xml:space="preserve"> The former culminates in a</w:t>
      </w:r>
      <w:r w:rsidR="002B2221">
        <w:t xml:space="preserve">n additional obstacle </w:t>
      </w:r>
      <w:r w:rsidR="00D7638E">
        <w:t>for vancomycin to reach its target, while the latter results in vancomycin molecules being sequestered by false D-Ala-D-Ala targets and diminishing its diffusion to the PM.</w:t>
      </w:r>
      <w:r w:rsidR="00515680">
        <w:t xml:space="preserve"> </w:t>
      </w:r>
      <w:r w:rsidR="00515680">
        <w:fldChar w:fldCharType="begin" w:fldLock="1"/>
      </w:r>
      <w:r w:rsidR="0058736C">
        <w:instrText>ADDIN CSL_CITATION {"citationItems":[{"id":"ITEM-1","itemData":{"DOI":"10.1093/femsre/fux007","ISSN":"15746976","PMID":"28419231","abstract":"The major targets for antibiotics in staphylococci are (i) the cell envelope, (ii) the ribosome and (iii) nucleic acids. Several novel targets emerged from recent targeted drug discovery programmes including the ClpP protease and FtsZ from the cell division machinery. Resistance can either develop by horizontal transfer of resistance determinants encoded by mobile genetic elements viz plasmids, transposons and the staphylococcal cassette chromosome or by mutations in chromosomal genes. Horizontally acquired resistance can occur by one of the following mechanisms: (i) enzymatic drug modification and inactivation, (ii) enzymatic modification of the drug binding site, (iii) drug efflux, (iv) bypass mechanisms involving acquisition of a novel drug-resistant target, (v) displacement of the drug to protect the target. Acquisition of resistance by mutation can result from (i) alteration of the drug target that prevents the inhibitor from binding, (ii) derepression of chromosomally encoded multidrug resistance efflux pumps and (iii) multiple stepwise mutations that alter the structure and composition of the cell wall and/or membrane to reduce drug access to its target. This review focuses on development of resistance to currently used antibiotics and examines future prospects for new antibiotics and informed use of drug combinations.","author":[{"dropping-particle":"","family":"Foster","given":"Timothy J.","non-dropping-particle":"","parse-names":false,"suffix":""}],"container-title":"FEMS Microbiology Reviews","id":"ITEM-1","issue":"3","issued":{"date-parts":[["2017"]]},"page":"430-449","title":"Antibiotic resistance in Staphylococcus aureus. Current status and future prospects","type":"article-journal","volume":"41"},"uris":["http://www.mendeley.com/documents/?uuid=3d8279f2-7733-48bc-9a2a-a0a10a9572d8"]},{"id":"ITEM-2","itemData":{"DOI":"10.1172/JCI68834","ISSN":"15588238","PMID":"24983424","abstract":"Vancomycin is a glycopeptide antibiotic used for the treatment of Gram-positive bacterial infections. Traditionally, it has been used as a drug of last resort; however, clinical isolates of methicillin-resistant Staphylococcus aureus (MRSA) strains with decreased susceptibility to vancomycin (vancomycin intermediate-resistant S. aureus [VISA]) and more recently with high-level vancomycin resistance (vancomycin-resistant S. aureus [VRSA]) have been described in the clinical literature. The rare VRSA strains carry transposon Tn1546, acquired from vancomycin-resistant Enterococcus faecalis, which is known to alter cell wall structure and metabolism, but the resistance mechanisms in VISA isolates are less well defined. Herein, we review selected mechanistic aspects of resistance in VISA and summarize biochemical studies on cell wall synthesis in a VRSA strain. Finally, we recapitulate a model that integrates common mechanistic features of VRSA and VISA strains and is consistent with the mode of action of vancomycin.","author":[{"dropping-particle":"","family":"Gardete","given":"Susana","non-dropping-particle":"","parse-names":false,"suffix":""},{"dropping-particle":"","family":"Tomasz","given":"Alexander","non-dropping-particle":"","parse-names":false,"suffix":""}],"container-title":"Journal of Clinical Investigation","id":"ITEM-2","issue":"7","issued":{"date-parts":[["2014","7","1"]]},"page":"2836-2840","publisher":"American Society for Clinical Investigation","title":"Mechanisms of vancomycin resistance in Staphylococcus aureus","type":"article","volume":"124"},"uris":["http://www.mendeley.com/documents/?uuid=3b8de1ae-248d-3d4e-a033-449e31afe524"]},{"id":"ITEM-3","itemData":{"DOI":"10.1128/CMR.00042-09","ISSN":"08938512","PMID":"20065327","author":[{"dropping-particle":"","family":"Howden","given":"Benjamin P.","non-dropping-particle":"","parse-names":false,"suffix":""},{"dropping-particle":"","family":"Davies","given":"John K.","non-dropping-particle":"","parse-names":false,"suffix":""},{"dropping-particle":"","family":"Johnson","given":"Paul D.R.","non-dropping-particle":"","parse-names":false,"suffix":""},{"dropping-particle":"","family":"Stinear","given":"Timothy P.","non-dropping-particle":"","parse-names":false,"suffix":""},{"dropping-particle":"","family":"Grayson","given":"M. Lindsay","non-dropping-particle":"","parse-names":false,"suffix":""}],"container-title":"Clinical Microbiology Reviews","id":"ITEM-3","issue":"1","issued":{"date-parts":[["2010","1"]]},"page":"99-139","title":"Reduced vancomycin susceptibility in Staphylococcus aureus, including vancomycin-intermediate and heterogeneous vancomycin-intermediate strains: Resistance mechanisms, laboratory detection, and clinical implications","type":"article","volume":"23"},"uris":["http://www.mendeley.com/documents/?uuid=f48d1fa1-8716-39c2-b117-a6afd8ac0300"]}],"mendeley":{"formattedCitation":"&lt;sup&gt;[11,204,205]&lt;/sup&gt;","plainTextFormattedCitation":"[11,204,205]","previouslyFormattedCitation":"&lt;sup&gt;[11,204,205]&lt;/sup&gt;"},"properties":{"noteIndex":0},"schema":"https://github.com/citation-style-language/schema/raw/master/csl-citation.json"}</w:instrText>
      </w:r>
      <w:r w:rsidR="00515680">
        <w:fldChar w:fldCharType="separate"/>
      </w:r>
      <w:r w:rsidR="002659E5" w:rsidRPr="002659E5">
        <w:rPr>
          <w:noProof/>
          <w:vertAlign w:val="superscript"/>
        </w:rPr>
        <w:t>[11,204,205]</w:t>
      </w:r>
      <w:r w:rsidR="00515680">
        <w:fldChar w:fldCharType="end"/>
      </w:r>
    </w:p>
    <w:p w14:paraId="2F9D10B4" w14:textId="385EE1A2" w:rsidR="00577900" w:rsidRDefault="005262B1" w:rsidP="001B2441">
      <w:pPr>
        <w:pStyle w:val="Heading2"/>
      </w:pPr>
      <w:bookmarkStart w:id="109" w:name="_Toc90216739"/>
      <w:bookmarkStart w:id="110" w:name="_Toc64276283"/>
      <w:bookmarkStart w:id="111" w:name="_Toc64276587"/>
      <w:bookmarkStart w:id="112" w:name="_Toc64276799"/>
      <w:r>
        <w:t xml:space="preserve">Light </w:t>
      </w:r>
      <w:r w:rsidR="005D72D0">
        <w:t xml:space="preserve">and fluorescence </w:t>
      </w:r>
      <w:r>
        <w:t>microscopy</w:t>
      </w:r>
      <w:r w:rsidR="00577900">
        <w:t xml:space="preserve"> for </w:t>
      </w:r>
      <w:r w:rsidR="003F7A87">
        <w:t>studying</w:t>
      </w:r>
      <w:r w:rsidR="00577900">
        <w:t xml:space="preserve"> bacteria</w:t>
      </w:r>
      <w:r w:rsidR="007006CC">
        <w:t>.</w:t>
      </w:r>
      <w:bookmarkEnd w:id="109"/>
    </w:p>
    <w:p w14:paraId="74EA88B8" w14:textId="14107BB2" w:rsidR="00070F8B" w:rsidRDefault="008103CA" w:rsidP="008103CA">
      <w:r>
        <w:t>Light microscopy</w:t>
      </w:r>
      <w:r w:rsidR="007409E8">
        <w:t xml:space="preserve"> </w:t>
      </w:r>
      <w:r w:rsidR="0042015E">
        <w:t xml:space="preserve">utilised visible light </w:t>
      </w:r>
      <w:r w:rsidR="00E86C77">
        <w:t>to</w:t>
      </w:r>
      <w:r>
        <w:t xml:space="preserve"> </w:t>
      </w:r>
      <w:r w:rsidR="00DE03A7">
        <w:t>image bacteria</w:t>
      </w:r>
      <w:r w:rsidR="00193C07">
        <w:t xml:space="preserve"> </w:t>
      </w:r>
      <w:r w:rsidR="007409E8">
        <w:t>with</w:t>
      </w:r>
      <w:r>
        <w:t xml:space="preserve"> a limited resolution </w:t>
      </w:r>
      <w:r w:rsidR="003F7A87">
        <w:t>of</w:t>
      </w:r>
      <w:r>
        <w:t xml:space="preserve"> ~ 250 nm </w:t>
      </w:r>
      <w:r w:rsidR="00070F8B">
        <w:t xml:space="preserve">in the lateral dimension (x, y) and ~ 500 nm in the axial dimension (z) </w:t>
      </w:r>
      <w:r w:rsidR="003F7A87">
        <w:t>due to the wavelength</w:t>
      </w:r>
      <w:r>
        <w:t xml:space="preserve"> </w:t>
      </w:r>
      <w:r w:rsidR="00CE30F6">
        <w:t xml:space="preserve">and diffraction </w:t>
      </w:r>
      <w:r>
        <w:t>of light</w:t>
      </w:r>
      <w:r w:rsidR="003F7A87">
        <w:t xml:space="preserve"> </w:t>
      </w:r>
      <w:r w:rsidR="003F7A87">
        <w:fldChar w:fldCharType="begin" w:fldLock="1"/>
      </w:r>
      <w:r w:rsidR="0058736C">
        <w:instrText>ADDIN CSL_CITATION {"citationItems":[{"id":"ITEM-1","itemData":{"DOI":"10.1016/j.cell.2010.12.002","ISSN":"00928674","PMID":"21168201","abstract":"Anyone who has used a light microscope has wished that its resolution could be a little better. Now, after centuries of gradual improvements, fluorescence microscopy has made a quantum leap in its resolving power due, in large part, to advancements over the past several years in a new area of research called super-resolution fluorescence microscopy. In this Primer, we explain the principles of various super-resolution approaches, such as STED, (S)SIM, and STORM/(F)PALM. Then, we describe recent applications of super-resolution microscopy in cells, which demonstrate how these approaches are beginning to provide new insights into cell biology, microbiology, and neurobiology. © 2010 Elsevier Inc.","author":[{"dropping-particle":"","family":"Huang","given":"Bo","non-dropping-particle":"","parse-names":false,"suffix":""},{"dropping-particle":"","family":"Babcock","given":"Hazen","non-dropping-particle":"","parse-names":false,"suffix":""},{"dropping-particle":"","family":"Zhuang","given":"Xiaowei","non-dropping-particle":"","parse-names":false,"suffix":""}],"container-title":"Cell","id":"ITEM-1","issue":"7","issued":{"date-parts":[["2010","12","23"]]},"page":"1047-1058","publisher":"Elsevier B.V.","title":"Breaking the diffraction barrier: Super-resolution imaging of cells","type":"article","volume":"143"},"uris":["http://www.mendeley.com/documents/?uuid=72fa3338-4bc9-3804-96f3-28659f0c3b23"]}],"mendeley":{"formattedCitation":"&lt;sup&gt;[206]&lt;/sup&gt;","plainTextFormattedCitation":"[206]","previouslyFormattedCitation":"&lt;sup&gt;[206]&lt;/sup&gt;"},"properties":{"noteIndex":0},"schema":"https://github.com/citation-style-language/schema/raw/master/csl-citation.json"}</w:instrText>
      </w:r>
      <w:r w:rsidR="003F7A87">
        <w:fldChar w:fldCharType="separate"/>
      </w:r>
      <w:r w:rsidR="002659E5" w:rsidRPr="002659E5">
        <w:rPr>
          <w:noProof/>
          <w:vertAlign w:val="superscript"/>
        </w:rPr>
        <w:t>[206]</w:t>
      </w:r>
      <w:r w:rsidR="003F7A87">
        <w:fldChar w:fldCharType="end"/>
      </w:r>
      <w:r w:rsidR="004038EA">
        <w:t xml:space="preserve">. </w:t>
      </w:r>
      <w:r w:rsidR="0042015E">
        <w:t xml:space="preserve">Fluorescence microscopy, a subcategory of light microscopy, utilises a higher intensity light source which provides the opportunity to </w:t>
      </w:r>
      <w:r w:rsidR="00951F9B">
        <w:t>localise</w:t>
      </w:r>
      <w:r w:rsidR="0042015E">
        <w:t xml:space="preserve"> cellular components attached to a fluorescent label.</w:t>
      </w:r>
      <w:r w:rsidR="00D5282A">
        <w:t xml:space="preserve"> As m</w:t>
      </w:r>
      <w:r w:rsidR="004038EA">
        <w:t xml:space="preserve">any </w:t>
      </w:r>
      <w:r w:rsidR="00FB571D">
        <w:t>subcellular</w:t>
      </w:r>
      <w:r w:rsidR="004038EA">
        <w:t xml:space="preserve"> components </w:t>
      </w:r>
      <w:r w:rsidR="00CF3115">
        <w:t>are</w:t>
      </w:r>
      <w:r w:rsidR="004038EA">
        <w:t xml:space="preserve"> smaller </w:t>
      </w:r>
      <w:r w:rsidR="007F2AAD">
        <w:t>than the diffraction limit</w:t>
      </w:r>
      <w:r w:rsidR="004038EA">
        <w:t xml:space="preserve">, </w:t>
      </w:r>
      <w:r w:rsidR="00CF3115">
        <w:t>their</w:t>
      </w:r>
      <w:r w:rsidR="004A486D">
        <w:t xml:space="preserve"> fluorescen</w:t>
      </w:r>
      <w:r w:rsidR="00D34272">
        <w:t>ce</w:t>
      </w:r>
      <w:r w:rsidR="004A486D">
        <w:t xml:space="preserve"> appear</w:t>
      </w:r>
      <w:r w:rsidR="00CF3115">
        <w:t>s</w:t>
      </w:r>
      <w:r w:rsidR="004A486D">
        <w:t xml:space="preserve"> blurred and it </w:t>
      </w:r>
      <w:r w:rsidR="00CF3115">
        <w:t>is</w:t>
      </w:r>
      <w:r w:rsidR="004A486D">
        <w:t xml:space="preserve"> impossible to </w:t>
      </w:r>
      <w:r w:rsidR="00CF3115">
        <w:t xml:space="preserve">identify their </w:t>
      </w:r>
      <w:r w:rsidR="004A486D">
        <w:t>precise</w:t>
      </w:r>
      <w:r w:rsidR="00CF3115">
        <w:t xml:space="preserve"> </w:t>
      </w:r>
      <w:r w:rsidR="00CF3115">
        <w:lastRenderedPageBreak/>
        <w:t>localisation</w:t>
      </w:r>
      <w:r w:rsidR="00AF4413">
        <w:t> </w:t>
      </w:r>
      <w:r w:rsidR="009022C3">
        <w:fldChar w:fldCharType="begin" w:fldLock="1"/>
      </w:r>
      <w:r w:rsidR="0058736C">
        <w:instrText>ADDIN CSL_CITATION {"citationItems":[{"id":"ITEM-1","itemData":{"DOI":"10.1016/j.cell.2010.12.002","ISSN":"00928674","PMID":"21168201","abstract":"Anyone who has used a light microscope has wished that its resolution could be a little better. Now, after centuries of gradual improvements, fluorescence microscopy has made a quantum leap in its resolving power due, in large part, to advancements over the past several years in a new area of research called super-resolution fluorescence microscopy. In this Primer, we explain the principles of various super-resolution approaches, such as STED, (S)SIM, and STORM/(F)PALM. Then, we describe recent applications of super-resolution microscopy in cells, which demonstrate how these approaches are beginning to provide new insights into cell biology, microbiology, and neurobiology. © 2010 Elsevier Inc.","author":[{"dropping-particle":"","family":"Huang","given":"Bo","non-dropping-particle":"","parse-names":false,"suffix":""},{"dropping-particle":"","family":"Babcock","given":"Hazen","non-dropping-particle":"","parse-names":false,"suffix":""},{"dropping-particle":"","family":"Zhuang","given":"Xiaowei","non-dropping-particle":"","parse-names":false,"suffix":""}],"container-title":"Cell","id":"ITEM-1","issue":"7","issued":{"date-parts":[["2010","12","23"]]},"page":"1047-1058","publisher":"Elsevier B.V.","title":"Breaking the diffraction barrier: Super-resolution imaging of cells","type":"article","volume":"143"},"uris":["http://www.mendeley.com/documents/?uuid=72fa3338-4bc9-3804-96f3-28659f0c3b23"]}],"mendeley":{"formattedCitation":"&lt;sup&gt;[206]&lt;/sup&gt;","plainTextFormattedCitation":"[206]","previouslyFormattedCitation":"&lt;sup&gt;[206]&lt;/sup&gt;"},"properties":{"noteIndex":0},"schema":"https://github.com/citation-style-language/schema/raw/master/csl-citation.json"}</w:instrText>
      </w:r>
      <w:r w:rsidR="009022C3">
        <w:fldChar w:fldCharType="separate"/>
      </w:r>
      <w:r w:rsidR="002659E5" w:rsidRPr="002659E5">
        <w:rPr>
          <w:noProof/>
          <w:vertAlign w:val="superscript"/>
        </w:rPr>
        <w:t>[206]</w:t>
      </w:r>
      <w:r w:rsidR="009022C3">
        <w:fldChar w:fldCharType="end"/>
      </w:r>
      <w:r w:rsidR="004A486D">
        <w:t>.</w:t>
      </w:r>
      <w:r w:rsidR="005262B1">
        <w:t xml:space="preserve"> </w:t>
      </w:r>
      <w:r w:rsidR="004A486D">
        <w:t>A</w:t>
      </w:r>
      <w:r w:rsidR="004038EA">
        <w:t>lternative light microscopy techniques</w:t>
      </w:r>
      <w:r w:rsidR="001113B6">
        <w:t>, such as super resolution microscopy,</w:t>
      </w:r>
      <w:r w:rsidR="004038EA">
        <w:t xml:space="preserve"> have been developed to increase</w:t>
      </w:r>
      <w:r w:rsidR="00A461AB">
        <w:t xml:space="preserve"> said</w:t>
      </w:r>
      <w:r w:rsidR="004038EA">
        <w:t xml:space="preserve"> resolution</w:t>
      </w:r>
      <w:r w:rsidR="004A486D">
        <w:t xml:space="preserve"> </w:t>
      </w:r>
      <w:r w:rsidR="001113B6">
        <w:t>and provide</w:t>
      </w:r>
      <w:r w:rsidR="005262B1">
        <w:t xml:space="preserve"> the means to visualise fluorescent probes that reveal a more precise localisation within cell</w:t>
      </w:r>
      <w:r w:rsidR="000F3D03">
        <w:t xml:space="preserve"> </w:t>
      </w:r>
      <w:r w:rsidR="000F3D03">
        <w:fldChar w:fldCharType="begin" w:fldLock="1"/>
      </w:r>
      <w:r w:rsidR="0058736C">
        <w:instrText xml:space="preserve">ADDIN CSL_CITATION {"citationItems":[{"id":"ITEM-1","itemData":{"DOI":"10.1021/nl901398t","ISSN":"15306984","PMID":"19459703","abstract":"Because of the diffraction resolution barrier, optical microscopes have so far failed in visualizing the mitochondrial cristae, that is, the folds of the inner membrane of this 200 to 400 nm diameter sized tubular organelle. Realizing a </w:instrText>
      </w:r>
      <w:r w:rsidR="0058736C">
        <w:rPr>
          <w:rFonts w:ascii="Cambria Math" w:hAnsi="Cambria Math" w:cs="Cambria Math"/>
        </w:rPr>
        <w:instrText>∼</w:instrText>
      </w:r>
      <w:r w:rsidR="0058736C">
        <w:instrText>30 nm isotropic subdiffraction resolution in isoSTED fluorescence nanoscopy, we have visualized these essential structures in the mitochondria of intact cells. We find a pronounced heterogeneity in the cristae arrangements even within individual mitochondrial tubules. © 2009 American Chemical Society.","author":[{"dropping-particle":"","family":"Schmidt","given":"Roman","non-dropping-particle":"","parse-names":false,"suffix":""},{"dropping-particle":"","family":"Wurm","given":"Christian A.","non-dropping-particle":"","parse-names":false,"suffix":""},{"dropping-particle":"","family":"Punge","given":"Annedore","non-dropping-particle":"","parse-names":false,"suffix":""},{"dropping-particle":"","family":"Egner","given":"Alexander","non-dropping-particle":"","parse-names":false,"suffix":""},{"dropping-particle":"","family":"Jakobs","given":"Stefan","non-dropping-particle":"","parse-names":false,"suffix":""},{"dropping-particle":"","family":"Hell","given":"Stefan W.","non-dropping-particle":"","parse-names":false,"suffix":""}],"container-title":"Nano Letters","id":"ITEM-1","issue":"6","issued":{"date-parts":[["2009"]]},"page":"2508-2510","title":"Mitochondrial cristae revealed with focused light","type":"article-journal","volume":"9"},"uris":["http://www.mendeley.com/documents/?uuid=bf372c07-7fd3-382a-96b2-166d8a8d5bef"]},{"id":"ITEM-2","itemData":{"DOI":"10.1016/j.cell.2010.12.002","ISSN":"00928674","PMID":"21168201","abstract":"Anyone who has used a light microscope has wished that its resolution could be a little better. Now, after centuries of gradual improvements, fluorescence microscopy has made a quantum leap in its resolving power due, in large part, to advancements over the past several years in a new area of research called super-resolution fluorescence microscopy. In this Primer, we explain the principles of various super-resolution approaches, such as STED, (S)SIM, and STORM/(F)PALM. Then, we describe recent applications of super-resolution microscopy in cells, which demonstrate how these approaches are beginning to provide new insights into cell biology, microbiology, and neurobiology. © 2010 Elsevier Inc.","author":[{"dropping-particle":"","family":"Huang","given":"Bo","non-dropping-particle":"","parse-names":false,"suffix":""},{"dropping-particle":"","family":"Babcock","given":"Hazen","non-dropping-particle":"","parse-names":false,"suffix":""},{"dropping-particle":"","family":"Zhuang","given":"Xiaowei","non-dropping-particle":"","parse-names":false,"suffix":""}],"container-title":"Cell","id":"ITEM-2","issue":"7","issued":{"date-parts":[["2010","12","23"]]},"page":"1047-1058","publisher":"Elsevier B.V.","title":"Breaking the diffraction barrier: Super-resolution imaging of cells","type":"article","volume":"143"},"uris":["http://www.mendeley.com/documents/?uuid=72fa3338-4bc9-3804-96f3-28659f0c3b23"]},{"id":"ITEM-3","itemData":{"DOI":"10.1038/s41592-018-0211-z","ISSN":"15487105","PMID":"30478322","abstract":"Structured illumination microscopy (SIM) allows rapid, super-resolution (SR) imaging in live specimens. We review recent technical advances in SR-SIM, with emphasis on imaging speed, resolution, and depth. Since its introduction decades ago, the technique has grown to offer myriad implementations, each with its own strengths and weaknesses. We discuss these, aiming to provide a practical guide for biologists and to highlight which approach is best suited to a given application.","author":[{"dropping-particle":"","family":"Wu","given":"Yicong","non-dropping-particle":"","parse-names":false,"suffix":""},{"dropping-particle":"","family":"Shroff","given":"Hari","non-dropping-particle":"","parse-names":false,"suffix":""}],"container-title":"Nature Methods","id":"ITEM-3","issue":"12","issued":{"date-parts":[["2018"]]},"page":"1011-1019","title":"Faster, sharper, and deeper: structured illumination microscopy for biological imaging","type":"article","volume":"15"},"uris":["http://www.mendeley.com/documents/?uuid=9a36212c-a3bd-3f19-ae91-fcbc6d34941c"]}],"mendeley":{"formattedCitation":"&lt;sup&gt;[206–208]&lt;/sup&gt;","plainTextFormattedCitation":"[206–208]","previouslyFormattedCitation":"&lt;sup&gt;[206–208]&lt;/sup&gt;"},"properties":{"noteIndex":0},"schema":"https://github.com/citation-style-language/schema/raw/master/csl-citation.json"}</w:instrText>
      </w:r>
      <w:r w:rsidR="000F3D03">
        <w:fldChar w:fldCharType="separate"/>
      </w:r>
      <w:r w:rsidR="002659E5" w:rsidRPr="002659E5">
        <w:rPr>
          <w:noProof/>
          <w:vertAlign w:val="superscript"/>
        </w:rPr>
        <w:t>[206–208]</w:t>
      </w:r>
      <w:r w:rsidR="000F3D03">
        <w:fldChar w:fldCharType="end"/>
      </w:r>
      <w:r w:rsidR="001113B6">
        <w:t>.</w:t>
      </w:r>
      <w:r w:rsidR="00BD0139">
        <w:t xml:space="preserve"> </w:t>
      </w:r>
      <w:r w:rsidR="00C705EA">
        <w:t>An example of this improved microscopy technique is s</w:t>
      </w:r>
      <w:r w:rsidR="00BD0139">
        <w:t>tructured illumination microscopy (SIM)</w:t>
      </w:r>
      <w:r w:rsidR="00F80ADC">
        <w:t>,</w:t>
      </w:r>
      <w:r w:rsidR="000F3D03">
        <w:t xml:space="preserve"> which can achieve </w:t>
      </w:r>
      <w:r w:rsidR="00513DAF">
        <w:t xml:space="preserve">sub-diffraction limit </w:t>
      </w:r>
      <w:r w:rsidR="000F3D03">
        <w:t>resolution of ~ 100</w:t>
      </w:r>
      <w:r w:rsidR="00CD4799">
        <w:t xml:space="preserve">  and 300 </w:t>
      </w:r>
      <w:r w:rsidR="000F3D03">
        <w:t>nm</w:t>
      </w:r>
      <w:r w:rsidR="00CD4799">
        <w:t xml:space="preserve"> in the lateral and axial dimensions, respectively</w:t>
      </w:r>
      <w:r w:rsidR="00971AE7">
        <w:t xml:space="preserve"> </w:t>
      </w:r>
      <w:r w:rsidR="00971AE7">
        <w:fldChar w:fldCharType="begin" w:fldLock="1"/>
      </w:r>
      <w:r w:rsidR="0058736C">
        <w:instrText xml:space="preserve">ADDIN CSL_CITATION {"citationItems":[{"id":"ITEM-1","itemData":{"DOI":"10.1021/nl901398t","ISSN":"15306984","PMID":"19459703","abstract":"Because of the diffraction resolution barrier, optical microscopes have so far failed in visualizing the mitochondrial cristae, that is, the folds of the inner membrane of this 200 to 400 nm diameter sized tubular organelle. Realizing a </w:instrText>
      </w:r>
      <w:r w:rsidR="0058736C">
        <w:rPr>
          <w:rFonts w:ascii="Cambria Math" w:hAnsi="Cambria Math" w:cs="Cambria Math"/>
        </w:rPr>
        <w:instrText>∼</w:instrText>
      </w:r>
      <w:r w:rsidR="0058736C">
        <w:instrText>30 nm isotropic subdiffraction resolution in isoSTED fluorescence nanoscopy, we have visualized these essential structures in the mitochondria of intact cells. We find a pronounced heterogeneity in the cristae arrangements even within individual mitochondrial tubules. © 2009 American Chemical Society.","author":[{"dropping-particle":"","family":"Schmidt","given":"Roman","non-dropping-particle":"","parse-names":false,"suffix":""},{"dropping-particle":"","family":"Wurm","given":"Christian A.","non-dropping-particle":"","parse-names":false,"suffix":""},{"dropping-particle":"","family":"Punge","given":"Annedore","non-dropping-particle":"","parse-names":false,"suffix":""},{"dropping-particle":"","family":"Egner","given":"Alexander","non-dropping-particle":"","parse-names":false,"suffix":""},{"dropping-particle":"","family":"Jakobs","given":"Stefan","non-dropping-particle":"","parse-names":false,"suffix":""},{"dropping-particle":"","family":"Hell","given":"Stefan W.","non-dropping-particle":"","parse-names":false,"suffix":""}],"container-title":"Nano Letters","id":"ITEM-1","issue":"6","issued":{"date-parts":[["2009"]]},"page":"2508-2510","title":"Mitochondrial cristae revealed with focused light","type":"article-journal","volume":"9"},"uris":["http://www.mendeley.com/documents/?uuid=bf372c07-7fd3-382a-96b2-166d8a8d5bef"]},{"id":"ITEM-2","itemData":{"DOI":"10.1016/j.cell.2010.12.002","ISSN":"00928674","PMID":"21168201","abstract":"Anyone who has used a light microscope has wished that its resolution could be a little better. Now, after centuries of gradual improvements, fluorescence microscopy has made a quantum leap in its resolving power due, in large part, to advancements over the past several years in a new area of research called super-resolution fluorescence microscopy. In this Primer, we explain the principles of various super-resolution approaches, such as STED, (S)SIM, and STORM/(F)PALM. Then, we describe recent applications of super-resolution microscopy in cells, which demonstrate how these approaches are beginning to provide new insights into cell biology, microbiology, and neurobiology. © 2010 Elsevier Inc.","author":[{"dropping-particle":"","family":"Huang","given":"Bo","non-dropping-particle":"","parse-names":false,"suffix":""},{"dropping-particle":"","family":"Babcock","given":"Hazen","non-dropping-particle":"","parse-names":false,"suffix":""},{"dropping-particle":"","family":"Zhuang","given":"Xiaowei","non-dropping-particle":"","parse-names":false,"suffix":""}],"container-title":"Cell","id":"ITEM-2","issue":"7","issued":{"date-parts":[["2010","12","23"]]},"page":"1047-1058","publisher":"Elsevier B.V.","title":"Breaking the diffraction barrier: Super-resolution imaging of cells","type":"article","volume":"143"},"uris":["http://www.mendeley.com/documents/?uuid=72fa3338-4bc9-3804-96f3-28659f0c3b23"]},{"id":"ITEM-3","itemData":{"DOI":"10.1038/s41592-018-0211-z","ISSN":"15487105","PMID":"30478322","abstract":"Structured illumination microscopy (SIM) allows rapid, super-resolution (SR) imaging in live specimens. We review recent technical advances in SR-SIM, with emphasis on imaging speed, resolution, and depth. Since its introduction decades ago, the technique has grown to offer myriad implementations, each with its own strengths and weaknesses. We discuss these, aiming to provide a practical guide for biologists and to highlight which approach is best suited to a given application.","author":[{"dropping-particle":"","family":"Wu","given":"Yicong","non-dropping-particle":"","parse-names":false,"suffix":""},{"dropping-particle":"","family":"Shroff","given":"Hari","non-dropping-particle":"","parse-names":false,"suffix":""}],"container-title":"Nature Methods","id":"ITEM-3","issue":"12","issued":{"date-parts":[["2018"]]},"page":"1011-1019","title":"Faster, sharper, and deeper: structured illumination microscopy for biological imaging","type":"article","volume":"15"},"uris":["http://www.mendeley.com/documents/?uuid=9a36212c-a3bd-3f19-ae91-fcbc6d34941c"]}],"mendeley":{"formattedCitation":"&lt;sup&gt;[206–208]&lt;/sup&gt;","plainTextFormattedCitation":"[206–208]","previouslyFormattedCitation":"&lt;sup&gt;[206–208]&lt;/sup&gt;"},"properties":{"noteIndex":0},"schema":"https://github.com/citation-style-language/schema/raw/master/csl-citation.json"}</w:instrText>
      </w:r>
      <w:r w:rsidR="00971AE7">
        <w:fldChar w:fldCharType="separate"/>
      </w:r>
      <w:r w:rsidR="002659E5" w:rsidRPr="002659E5">
        <w:rPr>
          <w:noProof/>
          <w:vertAlign w:val="superscript"/>
        </w:rPr>
        <w:t>[206–208]</w:t>
      </w:r>
      <w:r w:rsidR="00971AE7">
        <w:fldChar w:fldCharType="end"/>
      </w:r>
      <w:r w:rsidR="000F3D03">
        <w:t>.</w:t>
      </w:r>
      <w:r w:rsidR="00F358F5">
        <w:t xml:space="preserve"> SIM utilises a positive patterned illumination </w:t>
      </w:r>
      <w:r w:rsidR="005166A7">
        <w:t>that results from the diffraction of a laser beam into 2-3 beams. The diffracted beams are combined to produce an interference pattern on the sample, which is then shifted and rotated while multiple images are captured. The</w:t>
      </w:r>
      <w:r w:rsidR="00804389">
        <w:t>se images are finally</w:t>
      </w:r>
      <w:r w:rsidR="005166A7">
        <w:t xml:space="preserve"> reconstructed </w:t>
      </w:r>
      <w:r w:rsidR="00804389">
        <w:t>to obtain</w:t>
      </w:r>
      <w:r w:rsidR="005166A7">
        <w:t xml:space="preserve"> a super-resolution image</w:t>
      </w:r>
      <w:r w:rsidR="004931E7">
        <w:t>.</w:t>
      </w:r>
    </w:p>
    <w:p w14:paraId="0C00420D" w14:textId="007A18D9" w:rsidR="005262B1" w:rsidRDefault="005262B1" w:rsidP="005262B1">
      <w:pPr>
        <w:pStyle w:val="Heading2"/>
      </w:pPr>
      <w:bookmarkStart w:id="113" w:name="_Toc90216740"/>
      <w:r>
        <w:t>Atomic force microscopy for studying bacteria</w:t>
      </w:r>
      <w:r w:rsidR="007006CC">
        <w:t>.</w:t>
      </w:r>
      <w:bookmarkEnd w:id="113"/>
    </w:p>
    <w:p w14:paraId="658D99A8" w14:textId="162C54C1" w:rsidR="00E87363" w:rsidRPr="00E87363" w:rsidRDefault="00394F53" w:rsidP="00E87363">
      <w:r>
        <w:t>Atomic force microscopy (AFM)</w:t>
      </w:r>
      <w:r w:rsidR="00FD7BA1">
        <w:t xml:space="preserve"> is a type of scanning probe microscopy</w:t>
      </w:r>
      <w:r w:rsidR="00C65502">
        <w:t>, whereby a sharp tip attached to a flexible cantilever (probe) physically interacts with the surface of the sample</w:t>
      </w:r>
      <w:r w:rsidR="00171D2B">
        <w:t>.</w:t>
      </w:r>
      <w:r w:rsidR="00C65502">
        <w:t xml:space="preserve"> </w:t>
      </w:r>
      <w:r w:rsidR="00171D2B">
        <w:t>T</w:t>
      </w:r>
      <w:r w:rsidR="00C65502">
        <w:t>he movement of the probe is detected with the help of a laser beam that bounces of</w:t>
      </w:r>
      <w:r w:rsidR="00171D2B">
        <w:t xml:space="preserve">f </w:t>
      </w:r>
      <w:r w:rsidR="00C65502">
        <w:t>the back of the cantilever and into a photodetector</w:t>
      </w:r>
      <w:r w:rsidR="00171D2B">
        <w:t xml:space="preserve"> </w:t>
      </w:r>
      <w:r w:rsidR="00171D2B">
        <w:fldChar w:fldCharType="begin" w:fldLock="1"/>
      </w:r>
      <w:r w:rsidR="0058736C">
        <w:instrText>ADDIN CSL_CITATION {"citationItems":[{"id":"ITEM-1","itemData":{"ISSN":"17353688","PMID":"23825885","abstract":"Atomic force microscopy (AFM) is a three-dimensional topographic technique with a high atomic resolution to measure surface roughness. AFM is a kind of scanning probe microscope, and its near-field technique is based on the interaction between a sharp tip and the atoms of the sample surface. There are several methods and many ways to modify the tip of the AFM to investigate surface properties, including measuring friction, adhesion forces and viscoelastic properties as well as determining the Young modulus and imaging magnetic or electrostatic properties. The AFM technique can analyze any kind of samples such as polymers, adsorbed molecules, films or fibers, and powders in the air whether in a controlled atmosphere or in a liquid medium. In the past decade, the AFM has emerged as a powerful tool to obtain the nanostructural details and biomechanical properties of biological samples, including biomolecules and cells. The AFM applications, techniques, and -in particular-its ability to measure forces, are not still familiar to most clinicians. This paper reviews the literature on the main principles of the AFM modality and highlights the advantages of this technique in biology, medicine, and-especially-dentistry. This literature review was performed through E-resources, including Science Direct, PubMed, Blackwell Synergy, Embase, Elsevier, and Scholar Google for the references published between 1985 and 2010.","author":[{"dropping-particle":"","family":"Vahabi","given":"Surena","non-dropping-particle":"","parse-names":false,"suffix":""},{"dropping-particle":"","family":"Nazemi Salman","given":"Bahareh","non-dropping-particle":"","parse-names":false,"suffix":""},{"dropping-particle":"","family":"Javanmard","given":"Anahita","non-dropping-particle":"","parse-names":false,"suffix":""}],"container-title":"Iranian Journal of Medical Sciences","id":"ITEM-1","issue":"2","issued":{"date-parts":[["2013","6"]]},"page":"76-83","publisher":"Shiraz University of Medical Sciences","title":"Atomic force microscopy application in biological research: A review study","type":"article-journal","volume":"38"},"uris":["http://www.mendeley.com/documents/?uuid=d33628c9-79db-3df7-b918-22080940422a"]}],"mendeley":{"formattedCitation":"&lt;sup&gt;[209]&lt;/sup&gt;","plainTextFormattedCitation":"[209]","previouslyFormattedCitation":"&lt;sup&gt;[209]&lt;/sup&gt;"},"properties":{"noteIndex":0},"schema":"https://github.com/citation-style-language/schema/raw/master/csl-citation.json"}</w:instrText>
      </w:r>
      <w:r w:rsidR="00171D2B">
        <w:fldChar w:fldCharType="separate"/>
      </w:r>
      <w:r w:rsidR="002659E5" w:rsidRPr="002659E5">
        <w:rPr>
          <w:noProof/>
          <w:vertAlign w:val="superscript"/>
        </w:rPr>
        <w:t>[209]</w:t>
      </w:r>
      <w:r w:rsidR="00171D2B">
        <w:fldChar w:fldCharType="end"/>
      </w:r>
      <w:r w:rsidR="00C65502">
        <w:t>.</w:t>
      </w:r>
      <w:r w:rsidR="00417BF9">
        <w:t xml:space="preserve"> </w:t>
      </w:r>
      <w:r w:rsidR="00FB2E47">
        <w:t xml:space="preserve">AFM can achieve </w:t>
      </w:r>
      <w:r w:rsidR="00FA033D">
        <w:t xml:space="preserve">molecular and atomic resolution in the order of </w:t>
      </w:r>
      <w:r w:rsidR="00D4187F">
        <w:t>a few</w:t>
      </w:r>
      <w:r w:rsidR="00FA033D">
        <w:t xml:space="preserve"> nanometres, and it can be used for the analysis of bacterial samples </w:t>
      </w:r>
      <w:r w:rsidR="00FA033D">
        <w:fldChar w:fldCharType="begin" w:fldLock="1"/>
      </w:r>
      <w:r w:rsidR="0058736C">
        <w:instrText>ADDIN CSL_CITATION {"citationItems":[{"id":"ITEM-1","itemData":{"DOI":"10.1002/jmr.857","ISSN":"09523499","PMID":"18080995","abstract":"To introduce this special issue of the Journal of Molecular Recognition dedicated to the applications of atomic force microscopy (AFM) in life sciences, this paper presents a short summary of the history of AFM in biology. Based on contributions from the first international conference of AFM in biological sciences and medicine (AFM BioMed Barcelona, 19-21 April 2007), we present and discuss recent progress made using AFM for studying cells and cellular interactions, probing single molecules, imaging biosurfaces at high resolution and investigating model membranes and their interactions. Future prospects in these different fields are also highlighted. Copyright © 2007 John Wiley &amp; Sons, Ltd.","author":[{"dropping-particle":"","family":"Parot","given":"Pierre","non-dropping-particle":"","parse-names":false,"suffix":""},{"dropping-particle":"","family":"Dufrêne","given":"Yves F","non-dropping-particle":"","parse-names":false,"suffix":""},{"dropping-particle":"","family":"Hinterdorfer","given":"Peter","non-dropping-particle":"","parse-names":false,"suffix":""},{"dropping-particle":"","family":"Grimellec","given":"Christian","non-dropping-particle":"Le","parse-names":false,"suffix":""},{"dropping-particle":"","family":"Navajas","given":"Daniel","non-dropping-particle":"","parse-names":false,"suffix":""},{"dropping-particle":"","family":"Pellequer","given":"Jean Luc","non-dropping-particle":"","parse-names":false,"suffix":""},{"dropping-particle":"","family":"Scheuring","given":"Simon","non-dropping-particle":"","parse-names":false,"suffix":""}],"container-title":"Journal of Molecular Recognition","id":"ITEM-1","issue":"6","issued":{"date-parts":[["2007"]]},"page":"418-431","title":"Past, present and future of atomic force microscopy in life sciences and medicine","type":"paper-conference","volume":"20"},"uris":["http://www.mendeley.com/documents/?uuid=4d6842d8-0b7f-3509-91f6-78ae89b6e530"]}],"mendeley":{"formattedCitation":"&lt;sup&gt;[210]&lt;/sup&gt;","plainTextFormattedCitation":"[210]","previouslyFormattedCitation":"&lt;sup&gt;[210]&lt;/sup&gt;"},"properties":{"noteIndex":0},"schema":"https://github.com/citation-style-language/schema/raw/master/csl-citation.json"}</w:instrText>
      </w:r>
      <w:r w:rsidR="00FA033D">
        <w:fldChar w:fldCharType="separate"/>
      </w:r>
      <w:r w:rsidR="002659E5" w:rsidRPr="002659E5">
        <w:rPr>
          <w:noProof/>
          <w:vertAlign w:val="superscript"/>
        </w:rPr>
        <w:t>[210]</w:t>
      </w:r>
      <w:r w:rsidR="00FA033D">
        <w:fldChar w:fldCharType="end"/>
      </w:r>
      <w:r w:rsidR="00FA033D">
        <w:t xml:space="preserve">. </w:t>
      </w:r>
      <w:r w:rsidR="00876060">
        <w:t>The obtained images provide a 3-dimensional topographic landscape of the bacterial surface</w:t>
      </w:r>
      <w:r w:rsidR="007312E2">
        <w:t>.</w:t>
      </w:r>
      <w:r w:rsidR="00876060">
        <w:t xml:space="preserve"> </w:t>
      </w:r>
      <w:r w:rsidR="007312E2">
        <w:t>H</w:t>
      </w:r>
      <w:r w:rsidR="00FA033D">
        <w:t xml:space="preserve">igh resolution AFM </w:t>
      </w:r>
      <w:r w:rsidR="007312E2">
        <w:t xml:space="preserve">has </w:t>
      </w:r>
      <w:r w:rsidR="00876060">
        <w:t xml:space="preserve">pushed the boundaries </w:t>
      </w:r>
      <w:r w:rsidR="007312E2">
        <w:t xml:space="preserve">further, </w:t>
      </w:r>
      <w:r w:rsidR="00876060">
        <w:t>delivering ~ 1 nm</w:t>
      </w:r>
      <w:r w:rsidR="00FA033D">
        <w:t xml:space="preserve"> resolution </w:t>
      </w:r>
      <w:r w:rsidR="00876060">
        <w:t>capable of identifying</w:t>
      </w:r>
      <w:r w:rsidR="00FA033D">
        <w:t xml:space="preserve"> the architecture of peptidoglycan </w:t>
      </w:r>
      <w:r w:rsidR="00155B8E">
        <w:fldChar w:fldCharType="begin" w:fldLock="1"/>
      </w:r>
      <w:r w:rsidR="00B3106D">
        <w:instrText>ADDIN CSL_CITATION {"citationItems":[{"id":"ITEM-1","itemData":{"DOI":"10.1038/s41586-020-2236-6","ISSN":"14764687","PMID":"32523118","abstract":"The primary structural component of the bacterial cell wall is peptidoglycan, which is essential for viability and the synthesis of which is the target for crucial antibiotics1,2. Peptidoglycan is a single macromolecule made of glycan chains crosslinked by peptide side branches that surrounds the cell, acting as a constraint to internal turgor1,3. In Gram-positive bacteria, peptidoglycan is tens of nanometres thick, generally portrayed as a homogeneous structure that provides mechanical strength4–6. Here we applied atomic force microscopy7–12 to interrogate the morphologically distinct Staphylococcus aureus and Bacillus subtilis species, using live cells and purified peptidoglycan. The mature surface of live cells is characterized by a landscape of large (up to 60 nm in diameter), deep (up to 23 nm) pores constituting a disordered gel of peptidoglycan. The inner peptidoglycan surface, consisting of more nascent material, is much denser, with glycan strand spacing typically less than 7 nm. The inner surface architecture is location dependent; the cylinder of B. subtilis has dense circumferential orientation, while in S. aureus and division septa for both species, peptidoglycan is dense but randomly oriented. Revealing the molecular architecture of the cell envelope frames our understanding of its mechanical properties and role as the environmental interface13,14, providing information complementary to traditional structural biology approaches.","author":[{"dropping-particle":"","family":"Pasquina-Lemonche","given":"L.","non-dropping-particle":"","parse-names":false,"suffix":""},{"dropping-particle":"","family":"Burns","given":"J.","non-dropping-particle":"","parse-names":false,"suffix":""},{"dropping-particle":"","family":"Turner","given":"R. D.","non-dropping-particle":"","parse-names":false,"suffix":""},{"dropping-particle":"","family":"Kumar","given":"S.","non-dropping-particle":"","parse-names":false,"suffix":""},{"dropping-particle":"","family":"Tank","given":"R.","non-dropping-particle":"","parse-names":false,"suffix":""},{"dropping-particle":"","family":"Mullin","given":"N.","non-dropping-particle":"","parse-names":false,"suffix":""},{"dropping-particle":"","family":"Wilson","given":"J. S.","non-dropping-particle":"","parse-names":false,"suffix":""},{"dropping-particle":"","family":"Chakrabarti","given":"B.","non-dropping-particle":"","parse-names":false,"suffix":""},{"dropping-particle":"","family":"Bullough","given":"P. A.","non-dropping-particle":"","parse-names":false,"suffix":""},{"dropping-particle":"","family":"Foster","given":"S. J.","non-dropping-particle":"","parse-names":false,"suffix":""},{"dropping-particle":"","family":"Hobbs","given":"J. K.","non-dropping-particle":"","parse-names":false,"suffix":""}],"container-title":"Nature","id":"ITEM-1","issue":"7811","issued":{"date-parts":[["2020"]]},"page":"294-297","publisher":"Springer US","title":"The architecture of the Gram-positive bacterial cell wall","type":"article-journal","volume":"582"},"uris":["http://www.mendeley.com/documents/?uuid=59449879-cfbc-4ac6-815a-4c720a2f8b47"]}],"mendeley":{"formattedCitation":"&lt;sup&gt;[211]&lt;/sup&gt;","plainTextFormattedCitation":"[211]","previouslyFormattedCitation":"&lt;sup&gt;[211]&lt;/sup&gt;"},"properties":{"noteIndex":0},"schema":"https://github.com/citation-style-language/schema/raw/master/csl-citation.json"}</w:instrText>
      </w:r>
      <w:r w:rsidR="00155B8E">
        <w:fldChar w:fldCharType="separate"/>
      </w:r>
      <w:r w:rsidR="002659E5" w:rsidRPr="002659E5">
        <w:rPr>
          <w:noProof/>
          <w:vertAlign w:val="superscript"/>
        </w:rPr>
        <w:t>[211]</w:t>
      </w:r>
      <w:r w:rsidR="00155B8E">
        <w:fldChar w:fldCharType="end"/>
      </w:r>
      <w:r w:rsidR="00FA033D">
        <w:t>.</w:t>
      </w:r>
    </w:p>
    <w:p w14:paraId="481AB1DA" w14:textId="6717DEB3" w:rsidR="001B2441" w:rsidRDefault="001B2441" w:rsidP="005262B1">
      <w:pPr>
        <w:pStyle w:val="Heading2"/>
      </w:pPr>
      <w:bookmarkStart w:id="114" w:name="_Toc90216741"/>
      <w:r w:rsidRPr="005B0F81">
        <w:t>Electron microscopy</w:t>
      </w:r>
      <w:bookmarkEnd w:id="110"/>
      <w:bookmarkEnd w:id="111"/>
      <w:bookmarkEnd w:id="112"/>
      <w:r w:rsidR="007006CC">
        <w:t>.</w:t>
      </w:r>
      <w:bookmarkEnd w:id="114"/>
    </w:p>
    <w:p w14:paraId="63A61D63" w14:textId="7F619F61" w:rsidR="00F859B7" w:rsidRDefault="008C2820" w:rsidP="008C2820">
      <w:r>
        <w:t xml:space="preserve">In the late 1920s and early 1930s, electron microscope (EM) technology was being developed simultaneously in the United States of America and in Germany </w:t>
      </w:r>
      <w:r>
        <w:fldChar w:fldCharType="begin" w:fldLock="1"/>
      </w:r>
      <w:r w:rsidR="0058736C">
        <w:instrText>ADDIN CSL_CITATION {"citationItems":[{"id":"ITEM-1","itemData":{"author":[{"dropping-particle":"","family":"Marton","given":"L.","non-dropping-particle":"","parse-names":false,"suffix":""}],"id":"ITEM-1","issued":{"date-parts":[["1968"]]},"publisher":"San Francisco Press, Inc.","publisher-place":"San Francisco","title":"Early history of the electron microscope","type":"book"},"uris":["http://www.mendeley.com/documents/?uuid=56351da0-4a23-4948-9398-6db909cbef50"]},{"id":"ITEM-2","itemData":{"ISBN":"9781483284651","author":[{"dropping-particle":"","family":"Hawkes","given":"Peter W","non-dropping-particle":"","parse-names":false,"suffix":""}],"edition":"1st","id":"ITEM-2","issued":{"date-parts":[["1985"]]},"number-of-pages":"654","publisher":"Academic Press","publisher-place":"Orlando, FL","title":"The beginnings of electron microscopy","type":"book"},"uris":["http://www.mendeley.com/documents/?uuid=22d2496b-7dfd-40dd-9866-19f7bd5002d1"]}],"mendeley":{"formattedCitation":"&lt;sup&gt;[212,213]&lt;/sup&gt;","plainTextFormattedCitation":"[212,213]","previouslyFormattedCitation":"&lt;sup&gt;[212,213]&lt;/sup&gt;"},"properties":{"noteIndex":0},"schema":"https://github.com/citation-style-language/schema/raw/master/csl-citation.json"}</w:instrText>
      </w:r>
      <w:r>
        <w:fldChar w:fldCharType="separate"/>
      </w:r>
      <w:r w:rsidR="002659E5" w:rsidRPr="002659E5">
        <w:rPr>
          <w:noProof/>
          <w:vertAlign w:val="superscript"/>
        </w:rPr>
        <w:t>[212,213]</w:t>
      </w:r>
      <w:r>
        <w:fldChar w:fldCharType="end"/>
      </w:r>
      <w:r w:rsidR="00F859B7">
        <w:t>.</w:t>
      </w:r>
      <w:r w:rsidR="00044002">
        <w:t xml:space="preserve"> The EM provided a new world of </w:t>
      </w:r>
      <w:r w:rsidR="00420C71">
        <w:t xml:space="preserve">imaging </w:t>
      </w:r>
      <w:r w:rsidR="00044002">
        <w:t xml:space="preserve">possibilities by undertaking the biggest limitation of conventional light microscopy: long wavelengths of ~ 400 nm </w:t>
      </w:r>
      <w:r w:rsidR="00044002">
        <w:fldChar w:fldCharType="begin" w:fldLock="1"/>
      </w:r>
      <w:r w:rsidR="0058736C">
        <w:instrText>ADDIN CSL_CITATION {"citationItems":[{"id":"ITEM-1","itemData":{"ISBN":"978-0-387-76502-0","author":[{"dropping-particle":"","family":"Williams","given":"David B","non-dropping-particle":"","parse-names":false,"suffix":""},{"dropping-particle":"","family":"Carter","given":"C Barry","non-dropping-particle":"","parse-names":false,"suffix":""}],"edition":"2nd","id":"ITEM-1","issued":{"date-parts":[["2009"]]},"publisher":"Springer","publisher-place":"New York","title":"Transmission Electron Microscopy a Textbook for Material Science","type":"book"},"uris":["http://www.mendeley.com/documents/?uuid=a25888c0-ddc9-4a96-bf1f-7783f04c2dac"]}],"mendeley":{"formattedCitation":"&lt;sup&gt;[214]&lt;/sup&gt;","plainTextFormattedCitation":"[214]","previouslyFormattedCitation":"&lt;sup&gt;[214]&lt;/sup&gt;"},"properties":{"noteIndex":0},"schema":"https://github.com/citation-style-language/schema/raw/master/csl-citation.json"}</w:instrText>
      </w:r>
      <w:r w:rsidR="00044002">
        <w:fldChar w:fldCharType="separate"/>
      </w:r>
      <w:r w:rsidR="002659E5" w:rsidRPr="002659E5">
        <w:rPr>
          <w:noProof/>
          <w:vertAlign w:val="superscript"/>
        </w:rPr>
        <w:t>[214]</w:t>
      </w:r>
      <w:r w:rsidR="00044002">
        <w:fldChar w:fldCharType="end"/>
      </w:r>
      <w:r w:rsidR="00044002">
        <w:t>.</w:t>
      </w:r>
      <w:r w:rsidR="00B6713B">
        <w:t xml:space="preserve"> </w:t>
      </w:r>
      <w:r w:rsidR="00925A35">
        <w:t>Electrons have a</w:t>
      </w:r>
      <w:r w:rsidR="00D0094C">
        <w:t xml:space="preserve"> much</w:t>
      </w:r>
      <w:r w:rsidR="00925A35">
        <w:t xml:space="preserve"> short</w:t>
      </w:r>
      <w:r w:rsidR="00D0094C">
        <w:t>er</w:t>
      </w:r>
      <w:r w:rsidR="00925A35">
        <w:t xml:space="preserve"> wavelength (~ pm) and therefore deliver the highest resolving power available yet </w:t>
      </w:r>
      <w:r w:rsidR="00925A35">
        <w:fldChar w:fldCharType="begin" w:fldLock="1"/>
      </w:r>
      <w:r w:rsidR="0058736C">
        <w:instrText>ADDIN CSL_CITATION {"citationItems":[{"id":"ITEM-1","itemData":{"ISBN":"9780849372278","container-title":"Cellular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-1","issued":{"date-parts":[["2008"]]},"publisher":"CRC Publisher","publisher-place":"Boca Raton","title":"Handbook of Cryopreparation Methods for Electron Microscopy","type":"book","volume":"79"},"uris":["http://www.mendeley.com/documents/?uuid=d0314adf-0335-4087-adfc-77f2002bf131"]}],"mendeley":{"formattedCitation":"&lt;sup&gt;[215]&lt;/sup&gt;","plainTextFormattedCitation":"[215]","previouslyFormattedCitation":"&lt;sup&gt;[215]&lt;/sup&gt;"},"properties":{"noteIndex":0},"schema":"https://github.com/citation-style-language/schema/raw/master/csl-citation.json"}</w:instrText>
      </w:r>
      <w:r w:rsidR="00925A35">
        <w:fldChar w:fldCharType="separate"/>
      </w:r>
      <w:r w:rsidR="002659E5" w:rsidRPr="002659E5">
        <w:rPr>
          <w:noProof/>
          <w:vertAlign w:val="superscript"/>
        </w:rPr>
        <w:t>[215]</w:t>
      </w:r>
      <w:r w:rsidR="00925A35">
        <w:fldChar w:fldCharType="end"/>
      </w:r>
      <w:r w:rsidR="00925A35">
        <w:t>.</w:t>
      </w:r>
    </w:p>
    <w:p w14:paraId="24C8C171" w14:textId="3EE1D585" w:rsidR="00C71F83" w:rsidRDefault="00C71F83" w:rsidP="008C2820">
      <w:r>
        <w:t xml:space="preserve">The workings of an </w:t>
      </w:r>
      <w:r w:rsidRPr="00C71F83">
        <w:t>EM</w:t>
      </w:r>
      <w:r>
        <w:t xml:space="preserve"> </w:t>
      </w:r>
      <w:r w:rsidR="006E322D">
        <w:t>consist</w:t>
      </w:r>
      <w:r>
        <w:t xml:space="preserve"> of an accelerated electron beam that travels through a vacuumed column. The electron beam is transmitted under vacuum to obtain a controlled and coherent beam and avoid unnecessary electron scattering. This beam of electrons is controlled by a series of electromagnetic lenses. Modifying the magnetic fields, results in changes to the strength of </w:t>
      </w:r>
      <w:r>
        <w:lastRenderedPageBreak/>
        <w:t xml:space="preserve">these lenses; and this in turn controls the focus, intensity of illumination, and magnification </w:t>
      </w:r>
      <w:r>
        <w:fldChar w:fldCharType="begin" w:fldLock="1"/>
      </w:r>
      <w:r w:rsidR="0058736C">
        <w:instrText>ADDIN CSL_CITATION {"citationItems":[{"id":"ITEM-1","itemData":{"ISBN":"978-0-387-76502-0","author":[{"dropping-particle":"","family":"Williams","given":"David B","non-dropping-particle":"","parse-names":false,"suffix":""},{"dropping-particle":"","family":"Carter","given":"C Barry","non-dropping-particle":"","parse-names":false,"suffix":""}],"edition":"2nd","id":"ITEM-1","issued":{"date-parts":[["2009"]]},"publisher":"Springer","publisher-place":"New York","title":"Transmission Electron Microscopy a Textbook for Material Science","type":"book"},"uris":["http://www.mendeley.com/documents/?uuid=a25888c0-ddc9-4a96-bf1f-7783f04c2dac"]},{"id":"ITEM-2","itemData":{"abstract":"In the present study, definition of scanning electron microscopy (SEM) was presented in terms of the main component of the instrument and step-by-step the process of SEM system. Schematic drawings with SEM components pictures were provided for understanding the procedure of work in easy and true way. Also, types of SEM were presented and discussed. The capability of energy-dispersive spectrometer (EDS) was also presented; this included historical background of EDS and how it works in accordance with SEM. The existence of EDS capability with SEM instrument is very essential for qualitative and quantitative analysis for any specimen. In the absence of EDS only information on surface topography of the specimen can be produced through SEM. The two most powerful features of SEM image are introduced and discussed namely secondary electron imaging and backscattered electron imaging. Understanding principle of work of both features is very important to have a complete knowledge on how SEM instrument works. SEM is characterized by its easy operation. Having that knowledge one can manage to perform the analysis and imaging very smoothly.","author":[{"dropping-particle":"","family":"Mohammed","given":"Azad","non-dropping-particle":"","parse-names":false,"suffix":""},{"dropping-particle":"","family":"Abdullah","given":"Avin","non-dropping-particle":"","parse-names":false,"suffix":""}],"container-title":"International Conference on Hydraulics and Pneumatics","id":"ITEM-2","issue":"January","issued":{"date-parts":[["2018"]]},"page":"1-9","title":"Scanning Electron Microscopy (SEM): A Review","type":"article-journal","volume":"7"},"uris":["http://www.mendeley.com/documents/?uuid=8d4cfbc9-fdc1-3b77-85ff-e188cf1e385c"]}],"mendeley":{"formattedCitation":"&lt;sup&gt;[214,216]&lt;/sup&gt;","plainTextFormattedCitation":"[214,216]","previouslyFormattedCitation":"&lt;sup&gt;[214,216]&lt;/sup&gt;"},"properties":{"noteIndex":0},"schema":"https://github.com/citation-style-language/schema/raw/master/csl-citation.json"}</w:instrText>
      </w:r>
      <w:r>
        <w:fldChar w:fldCharType="separate"/>
      </w:r>
      <w:r w:rsidR="002659E5" w:rsidRPr="002659E5">
        <w:rPr>
          <w:noProof/>
          <w:vertAlign w:val="superscript"/>
        </w:rPr>
        <w:t>[214,216]</w:t>
      </w:r>
      <w:r>
        <w:fldChar w:fldCharType="end"/>
      </w:r>
      <w:r w:rsidR="00B87ADF">
        <w:t>.</w:t>
      </w:r>
    </w:p>
    <w:p w14:paraId="63928047" w14:textId="492D83B7" w:rsidR="00CA1A86" w:rsidRDefault="00F92A68" w:rsidP="008C2820">
      <w:r>
        <w:t xml:space="preserve">EM can be divided into two main categories: </w:t>
      </w:r>
      <w:r w:rsidRPr="00D85190">
        <w:t>scanning electron microscop</w:t>
      </w:r>
      <w:r w:rsidR="00F102B2">
        <w:t>y</w:t>
      </w:r>
      <w:r w:rsidRPr="00D85190">
        <w:t xml:space="preserve"> (SEM) and transmission electron microscop</w:t>
      </w:r>
      <w:r w:rsidR="00F102B2">
        <w:t>y</w:t>
      </w:r>
      <w:r w:rsidRPr="00D85190">
        <w:t xml:space="preserve"> (TEM).</w:t>
      </w:r>
      <w:r w:rsidR="004E0E8F">
        <w:t xml:space="preserve"> The former provides images of the external morphology of bacteria</w:t>
      </w:r>
      <w:r w:rsidR="00366D2C">
        <w:t xml:space="preserve"> with a resolution limited to ~ 0.5 nm </w:t>
      </w:r>
      <w:r w:rsidR="004E0E8F">
        <w:t>, while the latter captures the internal structure from cross-sections with micro or ultrastructural detail</w:t>
      </w:r>
      <w:r w:rsidR="00366D2C">
        <w:t xml:space="preserve"> with a resolution &lt; 50 pm (</w:t>
      </w:r>
      <w:r w:rsidR="00366D2C">
        <w:fldChar w:fldCharType="begin"/>
      </w:r>
      <w:r w:rsidR="00366D2C">
        <w:instrText xml:space="preserve"> REF _Ref77272035 \h </w:instrText>
      </w:r>
      <w:r w:rsidR="00366D2C">
        <w:fldChar w:fldCharType="separate"/>
      </w:r>
      <w:r w:rsidR="00183CC8">
        <w:t xml:space="preserve">Table </w:t>
      </w:r>
      <w:r w:rsidR="00183CC8">
        <w:rPr>
          <w:noProof/>
        </w:rPr>
        <w:t>1</w:t>
      </w:r>
      <w:r w:rsidR="00183CC8">
        <w:t>.</w:t>
      </w:r>
      <w:r w:rsidR="00183CC8">
        <w:rPr>
          <w:noProof/>
        </w:rPr>
        <w:t>4</w:t>
      </w:r>
      <w:r w:rsidR="00366D2C">
        <w:fldChar w:fldCharType="end"/>
      </w:r>
      <w:r w:rsidR="00366D2C">
        <w:t>)</w:t>
      </w:r>
      <w:r w:rsidR="00B35D1A">
        <w:t xml:space="preserve"> </w:t>
      </w:r>
      <w:r w:rsidR="00B35D1A">
        <w:fldChar w:fldCharType="begin" w:fldLock="1"/>
      </w:r>
      <w:r w:rsidR="0058736C">
        <w:instrText>ADDIN CSL_CITATION {"citationItems":[{"id":"ITEM-1","itemData":{"ISBN":"9781482289343","author":[{"dropping-particle":"","family":"Goodhew","given":"Peter J.","non-dropping-particle":"","parse-names":false,"suffix":""},{"dropping-particle":"","family":"Humphreys","given":"John","non-dropping-particle":"","parse-names":false,"suffix":""},{"dropping-particle":"","family":"Beanland","given":"Richard","non-dropping-particle":"","parse-names":false,"suffix":""}],"id":"ITEM-1","issued":{"date-parts":[["2000"]]},"number-of-pages":"254","publisher":"CRC Press","title":"Electron Microscopy and Analysis","type":"book"},"uris":["http://www.mendeley.com/documents/?uuid=7ecb5a38-a987-3c17-a0cd-9021403446e2"]}],"mendeley":{"formattedCitation":"&lt;sup&gt;[217]&lt;/sup&gt;","plainTextFormattedCitation":"[217]","previouslyFormattedCitation":"&lt;sup&gt;[217]&lt;/sup&gt;"},"properties":{"noteIndex":0},"schema":"https://github.com/citation-style-language/schema/raw/master/csl-citation.json"}</w:instrText>
      </w:r>
      <w:r w:rsidR="00B35D1A">
        <w:fldChar w:fldCharType="separate"/>
      </w:r>
      <w:r w:rsidR="002659E5" w:rsidRPr="002659E5">
        <w:rPr>
          <w:noProof/>
          <w:vertAlign w:val="superscript"/>
        </w:rPr>
        <w:t>[217]</w:t>
      </w:r>
      <w:r w:rsidR="00B35D1A">
        <w:fldChar w:fldCharType="end"/>
      </w:r>
      <w:r w:rsidR="004E0E8F">
        <w:t>.</w:t>
      </w:r>
      <w:r w:rsidR="00B35D1A">
        <w:t xml:space="preserve"> The way that the electrons provide information differs according to these two types of EM. </w:t>
      </w:r>
      <w:r w:rsidR="003F5CA0">
        <w:t xml:space="preserve">In </w:t>
      </w:r>
      <w:r w:rsidR="003F5CA0" w:rsidRPr="00826ED6">
        <w:t>SEM</w:t>
      </w:r>
      <w:r w:rsidR="003F5CA0">
        <w:t xml:space="preserve"> the electrons cannot traverse the thick sample</w:t>
      </w:r>
      <w:r w:rsidR="00C0373F">
        <w:t xml:space="preserve"> unabsorbed</w:t>
      </w:r>
      <w:r w:rsidR="003F5CA0">
        <w:t>, thus</w:t>
      </w:r>
      <w:r w:rsidR="00C0373F">
        <w:t xml:space="preserve"> they lose energy into heat, light, secondary electrons and backscattered electrons</w:t>
      </w:r>
      <w:r w:rsidR="008414E1">
        <w:t xml:space="preserve"> depending on the level of penetration </w:t>
      </w:r>
      <w:r w:rsidR="008414E1">
        <w:fldChar w:fldCharType="begin" w:fldLock="1"/>
      </w:r>
      <w:r w:rsidR="0058736C">
        <w:instrText>ADDIN CSL_CITATION {"citationItems":[{"id":"ITEM-1","itemData":{"DOI":"10.1016/S0961-1290(00)80006-X","ISSN":"0961-1290","abstract":"Scanning electron microscopy (SEM) can provide a variety of imaging techniques with resolutions in the range of 1 μm to 1 nm, depending on the microscope and the signal used to form the image. Information about electrically active defects can be obtained using techniques such as electron beam induced current (EBIC) and cathodoluminescence (CL). These data can be correlated with the microstructure obtained in secondary electron images.","author":[{"dropping-particle":"","family":"Vernon-Parry","given":"K. D.","non-dropping-particle":"","parse-names":false,"suffix":""}],"container-title":"III-Vs Review","id":"ITEM-1","issue":"4","issued":{"date-parts":[["2000","7","1"]]},"page":"40-44","publisher":"Elsevier Advanced Technology","title":"Scanning electron microscopy: an introduction","type":"article-journal","volume":"13"},"uris":["http://www.mendeley.com/documents/?uuid=7913855a-d675-3b62-b828-cee2d316c5ee"]},{"id":"ITEM-2","itemData":{"abstract":"In the present study, definition of scanning electron microscopy (SEM) was presented in terms of the main component of the instrument and step-by-step the process of SEM system. Schematic drawings with SEM components pictures were provided for understanding the procedure of work in easy and true way. Also, types of SEM were presented and discussed. The capability of energy-dispersive spectrometer (EDS) was also presented; this included historical background of EDS and how it works in accordance with SEM. The existence of EDS capability with SEM instrument is very essential for qualitative and quantitative analysis for any specimen. In the absence of EDS only information on surface topography of the specimen can be produced through SEM. The two most powerful features of SEM image are introduced and discussed namely secondary electron imaging and backscattered electron imaging. Understanding principle of work of both features is very important to have a complete knowledge on how SEM instrument works. SEM is characterized by its easy operation. Having that knowledge one can manage to perform the analysis and imaging very smoothly.","author":[{"dropping-particle":"","family":"Mohammed","given":"Azad","non-dropping-particle":"","parse-names":false,"suffix":""},{"dropping-particle":"","family":"Abdullah","given":"Avin","non-dropping-particle":"","parse-names":false,"suffix":""}],"container-title":"International Conference on Hydraulics and Pneumatics","id":"ITEM-2","issue":"January","issued":{"date-parts":[["2018"]]},"page":"1-9","title":"Scanning Electron Microscopy (SEM): A Review","type":"article-journal","volume":"7"},"uris":["http://www.mendeley.com/documents/?uuid=8d4cfbc9-fdc1-3b77-85ff-e188cf1e385c"]},{"id":"ITEM-3","itemData":{"ISBN":"9781139844345","abstract":"Includes index. Recent developments in scanning electron microscopy (SEM) have resulted in a wealth of new applications for cell and molecular biology, as well as related biological disciplines. It is now possible to analyze macromolecular complexes within their three-dimensional cellular microenvironment in near native states at high resolution and to identify specific molecules and their structural and molecular interactions. New approaches include cryo-SEM applications and environmental SEM (ESEM), staining techniques and processing applications combining embedding and resin-extraction for imaging with high resolution SEM, and advances in immuno-labeling. New developments include helium ion microscopy, automated block-face imaging combined with serial sectioning inside an SEM chamber, and Focused Ion Beam Milling (FIB) combined with block-face SEM. With chapters written by experts, this guide gives an overview of SEM and sample processing for SEM and highlights several advances in cell and molecular biology that greatly benefited from using conventional, cryo, immuno and high-resolution SEM. 1. The role of scanning electron microscopy in cell and molecular biology: SEM basics, past accomplishments, and new frontiers -- 2. Corrosion casting technique -- 3. Revealing the internal structure of cells in three dimensions with scanning electron microscopy -- 4. Mitochondrial continuous intracellular network-structures visualized with high-resolution field-emission scanning electron microscopy -- 5. Is the scanning mode the future of electron microscopy in cell biology? -- 6. High-resolution labeling for correlative microscopy -- 7. The use of SEM to explore viral structure and trafficking -- 8. High-resolution scanning electron microscopy of the nuclear surface in Herpes Simplex Virus 1 infected cells -- 9. Scanning electron microscopy of chromosomes: structural and analytical investigations -- 10. A method to visualize the microarchitecture of glycoprotein matrices with scanning electron microscopy -- 11. Scanning electron microscopy of cerebellar intrinsic circuits -- 12. Application of in vivo cryotechnique to living animal organs examined by scanning electron microscopy -- 13. SEM in dental research -- 14. SEM, teeth, and palaeoanthropology: the secret of ancient human diets.","editor":[{"dropping-particle":"","family":"Schatten","given":"Heide","non-dropping-particle":"","parse-names":false,"suffix":""}],"id":"ITEM-3","issued":{"date-parts":[["2012"]]},"publisher":"Cambridge University Press","title":"Scanning electron microscopy for the life sciences","type":"book"},"uris":["http://www.mendeley.com/documents/?uuid=f2e75e49-9565-37b5-93a5-587229b080d1"]}],"mendeley":{"formattedCitation":"&lt;sup&gt;[216,218,219]&lt;/sup&gt;","plainTextFormattedCitation":"[216,218,219]","previouslyFormattedCitation":"&lt;sup&gt;[216,218,219]&lt;/sup&gt;"},"properties":{"noteIndex":0},"schema":"https://github.com/citation-style-language/schema/raw/master/csl-citation.json"}</w:instrText>
      </w:r>
      <w:r w:rsidR="008414E1">
        <w:fldChar w:fldCharType="separate"/>
      </w:r>
      <w:r w:rsidR="002659E5" w:rsidRPr="002659E5">
        <w:rPr>
          <w:noProof/>
          <w:vertAlign w:val="superscript"/>
        </w:rPr>
        <w:t>[216,218,219]</w:t>
      </w:r>
      <w:r w:rsidR="008414E1">
        <w:fldChar w:fldCharType="end"/>
      </w:r>
      <w:r w:rsidR="00C0373F">
        <w:t>.</w:t>
      </w:r>
      <w:r w:rsidR="003F5CA0">
        <w:t xml:space="preserve"> </w:t>
      </w:r>
      <w:r w:rsidR="00C0373F">
        <w:t>T</w:t>
      </w:r>
      <w:r w:rsidR="003F5CA0">
        <w:t>h</w:t>
      </w:r>
      <w:r w:rsidR="00C0373F">
        <w:t>ese</w:t>
      </w:r>
      <w:r w:rsidR="003F5CA0">
        <w:t xml:space="preserve"> particles that emerge from the surface of the sample provide the information</w:t>
      </w:r>
      <w:r w:rsidR="00C0373F">
        <w:t xml:space="preserve"> of the topography and surface composition of the</w:t>
      </w:r>
      <w:r w:rsidR="00A01E7B">
        <w:t xml:space="preserve"> specimen</w:t>
      </w:r>
      <w:r w:rsidR="00C0373F">
        <w:t xml:space="preserve"> </w:t>
      </w:r>
      <w:r w:rsidR="005371ED">
        <w:fldChar w:fldCharType="begin" w:fldLock="1"/>
      </w:r>
      <w:r w:rsidR="0058736C">
        <w:instrText>ADDIN CSL_CITATION {"citationItems":[{"id":"ITEM-1","itemData":{"DOI":"10.1016/S0961-1290(00)80006-X","ISSN":"0961-1290","abstract":"Scanning electron microscopy (SEM) can provide a variety of imaging techniques with resolutions in the range of 1 μm to 1 nm, depending on the microscope and the signal used to form the image. Information about electrically active defects can be obtained using techniques such as electron beam induced current (EBIC) and cathodoluminescence (CL). These data can be correlated with the microstructure obtained in secondary electron images.","author":[{"dropping-particle":"","family":"Vernon-Parry","given":"K. D.","non-dropping-particle":"","parse-names":false,"suffix":""}],"container-title":"III-Vs Review","id":"ITEM-1","issue":"4","issued":{"date-parts":[["2000","7","1"]]},"page":"40-44","publisher":"Elsevier Advanced Technology","title":"Scanning electron microscopy: an introduction","type":"article-journal","volume":"13"},"uris":["http://www.mendeley.com/documents/?uuid=7913855a-d675-3b62-b828-cee2d316c5ee"]},{"id":"ITEM-2","itemData":{"abstract":"In the present study, definition of scanning electron microscopy (SEM) was presented in terms of the main component of the instrument and step-by-step the process of SEM system. Schematic drawings with SEM components pictures were provided for understanding the procedure of work in easy and true way. Also, types of SEM were presented and discussed. The capability of energy-dispersive spectrometer (EDS) was also presented; this included historical background of EDS and how it works in accordance with SEM. The existence of EDS capability with SEM instrument is very essential for qualitative and quantitative analysis for any specimen. In the absence of EDS only information on surface topography of the specimen can be produced through SEM. The two most powerful features of SEM image are introduced and discussed namely secondary electron imaging and backscattered electron imaging. Understanding principle of work of both features is very important to have a complete knowledge on how SEM instrument works. SEM is characterized by its easy operation. Having that knowledge one can manage to perform the analysis and imaging very smoothly.","author":[{"dropping-particle":"","family":"Mohammed","given":"Azad","non-dropping-particle":"","parse-names":false,"suffix":""},{"dropping-particle":"","family":"Abdullah","given":"Avin","non-dropping-particle":"","parse-names":false,"suffix":""}],"container-title":"International Conference on Hydraulics and Pneumatics","id":"ITEM-2","issue":"January","issued":{"date-parts":[["2018"]]},"page":"1-9","title":"Scanning Electron Microscopy (SEM): A Review","type":"article-journal","volume":"7"},"uris":["http://www.mendeley.com/documents/?uuid=8d4cfbc9-fdc1-3b77-85ff-e188cf1e385c"]},{"id":"ITEM-3","itemData":{"ISBN":"9781139844345","abstract":"Includes index. Recent developments in scanning electron microscopy (SEM) have resulted in a wealth of new applications for cell and molecular biology, as well as related biological disciplines. It is now possible to analyze macromolecular complexes within their three-dimensional cellular microenvironment in near native states at high resolution and to identify specific molecules and their structural and molecular interactions. New approaches include cryo-SEM applications and environmental SEM (ESEM), staining techniques and processing applications combining embedding and resin-extraction for imaging with high resolution SEM, and advances in immuno-labeling. New developments include helium ion microscopy, automated block-face imaging combined with serial sectioning inside an SEM chamber, and Focused Ion Beam Milling (FIB) combined with block-face SEM. With chapters written by experts, this guide gives an overview of SEM and sample processing for SEM and highlights several advances in cell and molecular biology that greatly benefited from using conventional, cryo, immuno and high-resolution SEM. 1. The role of scanning electron microscopy in cell and molecular biology: SEM basics, past accomplishments, and new frontiers -- 2. Corrosion casting technique -- 3. Revealing the internal structure of cells in three dimensions with scanning electron microscopy -- 4. Mitochondrial continuous intracellular network-structures visualized with high-resolution field-emission scanning electron microscopy -- 5. Is the scanning mode the future of electron microscopy in cell biology? -- 6. High-resolution labeling for correlative microscopy -- 7. The use of SEM to explore viral structure and trafficking -- 8. High-resolution scanning electron microscopy of the nuclear surface in Herpes Simplex Virus 1 infected cells -- 9. Scanning electron microscopy of chromosomes: structural and analytical investigations -- 10. A method to visualize the microarchitecture of glycoprotein matrices with scanning electron microscopy -- 11. Scanning electron microscopy of cerebellar intrinsic circuits -- 12. Application of in vivo cryotechnique to living animal organs examined by scanning electron microscopy -- 13. SEM in dental research -- 14. SEM, teeth, and palaeoanthropology: the secret of ancient human diets.","editor":[{"dropping-particle":"","family":"Schatten","given":"Heide","non-dropping-particle":"","parse-names":false,"suffix":""}],"id":"ITEM-3","issued":{"date-parts":[["2012"]]},"publisher":"Cambridge University Press","title":"Scanning electron microscopy for the life sciences","type":"book"},"uris":["http://www.mendeley.com/documents/?uuid=f2e75e49-9565-37b5-93a5-587229b080d1"]}],"mendeley":{"formattedCitation":"&lt;sup&gt;[216,218,219]&lt;/sup&gt;","plainTextFormattedCitation":"[216,218,219]","previouslyFormattedCitation":"&lt;sup&gt;[216,218,219]&lt;/sup&gt;"},"properties":{"noteIndex":0},"schema":"https://github.com/citation-style-language/schema/raw/master/csl-citation.json"}</w:instrText>
      </w:r>
      <w:r w:rsidR="005371ED">
        <w:fldChar w:fldCharType="separate"/>
      </w:r>
      <w:r w:rsidR="002659E5" w:rsidRPr="002659E5">
        <w:rPr>
          <w:noProof/>
          <w:vertAlign w:val="superscript"/>
        </w:rPr>
        <w:t>[216,218,219]</w:t>
      </w:r>
      <w:r w:rsidR="005371ED">
        <w:fldChar w:fldCharType="end"/>
      </w:r>
      <w:r w:rsidR="003F5CA0">
        <w:t xml:space="preserve">. </w:t>
      </w:r>
      <w:r w:rsidR="003F5CA0" w:rsidRPr="00826ED6">
        <w:t>TEM</w:t>
      </w:r>
      <w:r w:rsidR="003F5CA0">
        <w:t>, however, requires electron-transparent samples for these to be transmitted through it unabsorbed and used to form the image.</w:t>
      </w:r>
    </w:p>
    <w:p w14:paraId="2F91F807" w14:textId="09869A17" w:rsidR="00A824C0" w:rsidRDefault="00A824C0" w:rsidP="00A824C0">
      <w:r>
        <w:t xml:space="preserve">Both SEM and TEM provide important information on the exterior and interior of the bacterial cell, however, the latter is the best choice for higher resolving power and detailed analysis of the infrastructure of the cell. </w:t>
      </w:r>
    </w:p>
    <w:p w14:paraId="15A13B49" w14:textId="402BDC12" w:rsidR="00A824C0" w:rsidRDefault="00A824C0" w:rsidP="00A824C0">
      <w:pPr>
        <w:pStyle w:val="Heading3"/>
      </w:pPr>
      <w:bookmarkStart w:id="115" w:name="_Toc64276286"/>
      <w:bookmarkStart w:id="116" w:name="_Toc64276590"/>
      <w:bookmarkStart w:id="117" w:name="_Toc64276802"/>
      <w:bookmarkStart w:id="118" w:name="_Toc90216742"/>
      <w:r>
        <w:t>Transmission e</w:t>
      </w:r>
      <w:r w:rsidRPr="005B0F81">
        <w:t>lectron microscop</w:t>
      </w:r>
      <w:r>
        <w:t>y</w:t>
      </w:r>
      <w:r w:rsidRPr="005B0F81">
        <w:t xml:space="preserve"> methods for imaging bacteria</w:t>
      </w:r>
      <w:bookmarkEnd w:id="115"/>
      <w:bookmarkEnd w:id="116"/>
      <w:bookmarkEnd w:id="117"/>
      <w:r>
        <w:t>.</w:t>
      </w:r>
      <w:bookmarkEnd w:id="118"/>
    </w:p>
    <w:p w14:paraId="656C2CD8" w14:textId="7587623E" w:rsidR="00A824C0" w:rsidRDefault="00A824C0" w:rsidP="00A824C0">
      <w:r>
        <w:t xml:space="preserve">Sample preparation for TEM is of upmost importance. Traditional techniques involve negative staining and chemical fixation. </w:t>
      </w:r>
      <w:r w:rsidRPr="00D85190">
        <w:t>Negative stain</w:t>
      </w:r>
      <w:r>
        <w:t xml:space="preserve"> is usually used for particles, macromolecules, organelles or small whole cells that are loaded onto a prepared TEM grid and stained with heavy atom compounds such as uranyl acetate, uranyl formate or phosphotungstic acid </w:t>
      </w:r>
      <w:r>
        <w:fldChar w:fldCharType="begin" w:fldLock="1"/>
      </w:r>
      <w:r w:rsidR="00B3106D">
        <w:instrText>ADDIN CSL_CITATION {"citationItems":[{"id":"ITEM-1","itemData":{"DOI":"10.1016/0079-6107(83)90017-2","ISSN":"00796107","PMID":"6289376","author":[{"dropping-particle":"","family":"Amos","given":"L. A.","non-dropping-particle":"","parse-names":false,"suffix":""},{"dropping-particle":"","family":"Henderson","given":"Richard","non-dropping-particle":"","parse-names":false,"suffix":""},{"dropping-particle":"","family":"Unwin","given":"P. N.T.","non-dropping-particle":"","parse-names":false,"suffix":""}],"container-title":"Progress in Biophysics and Molecular Biology","id":"ITEM-1","issue":"C","issued":{"date-parts":[["1982"]]},"page":"183-231","title":"Three-dimensional structure determination by electron microscopy of two-dimensional crystals","type":"article-journal","volume":"39"},"uris":["http://www.mendeley.com/documents/?uuid=4cd34559-675e-3a7f-bba9-fc3575573268"]},{"id":"ITEM-2","itemData":{"DOI":"10.1016/S0091-679X(10)96002-0","ISBN":"9780123810076","ISSN":"0091679X","PMID":"20869517","abstract":"Some bacteria are amongst the most important model organisms for biology and medicine. Here we review how electron microscopes have been used to image bacterial cells, summarizing the technical details of the various methods, the advantages and disadvantages of each, and the major biological insights that have been obtained. Three specific example structures, \"mesosomes,\" \"cytoskeletal filaments,\" and \"nucleoid,\" are used to illustrate how methodological advances have shaped our understanding of bacterial ultrastructure. Methods that involve dehydration and metal stains are widely practiced and have revealed many ultrastructural features, but they can generate misleading artifacts and have failed to preserve important structures such as the bacterial cytoskeleton. The invention of cryo-electron microscopy, which allows bacterial cells to be imaged in a frozen-hydrated, near-native state without the need for dehydration and stains, has now led to important new insights. Efforts to identify structures and localize specific proteins in cryo-EM images are summarized. © 2010 Elsevier Inc.","author":[{"dropping-particle":"","family":"Pilhofer","given":"Martin","non-dropping-particle":"","parse-names":false,"suffix":""},{"dropping-particle":"","family":"Ladinsky","given":"Mark S.","non-dropping-particle":"","parse-names":false,"suffix":""},{"dropping-particle":"","family":"McDowall","given":"Alasdair W.","non-dropping-particle":"","parse-names":false,"suffix":""},{"dropping-particle":"","family":"Jensen","given":"Grant J.","non-dropping-particle":"","parse-names":false,"suffix":""}],"chapter-number":"2","container-title":"Methods in Cell Biology","id":"ITEM-2","issued":{"date-parts":[["2010"]]},"page":"21-45","publisher":"Academic Press","title":"Bacterial TEM. New insights from cryo-microscopy","type":"chapter","volume":"96"},"uris":["http://www.mendeley.com/documents/?uuid=900934d7-4fa8-434e-9e90-c6cc15f13444"]}],"mendeley":{"formattedCitation":"&lt;sup&gt;[220,221]&lt;/sup&gt;","plainTextFormattedCitation":"[220,221]","previouslyFormattedCitation":"&lt;sup&gt;[220,221]&lt;/sup&gt;"},"properties":{"noteIndex":0},"schema":"https://github.com/citation-style-language/schema/raw/master/csl-citation.json"}</w:instrText>
      </w:r>
      <w:r>
        <w:fldChar w:fldCharType="separate"/>
      </w:r>
      <w:r w:rsidR="00C825F9" w:rsidRPr="00C825F9">
        <w:rPr>
          <w:noProof/>
          <w:vertAlign w:val="superscript"/>
        </w:rPr>
        <w:t>[220,221]</w:t>
      </w:r>
      <w:r>
        <w:fldChar w:fldCharType="end"/>
      </w:r>
      <w:r>
        <w:t xml:space="preserve">. The staining process dehydrates the sample. This is a widely used technique for visualising small structures such as flagella, pili, fimbriae or particles such as DNA and proteins </w:t>
      </w:r>
      <w:r>
        <w:fldChar w:fldCharType="begin" w:fldLock="1"/>
      </w:r>
      <w:r w:rsidR="00260ACA">
        <w:instrText>ADDIN CSL_CITATION {"citationItems":[{"id":"ITEM-1","itemData":{"DOI":"10.1016/S0091-679X(10)96002-0","ISBN":"9780123810076","ISSN":"0091679X","PMID":"20869517","abstract":"Some bacteria are amongst the most important model organisms for biology and medicine. Here we review how electron microscopes have been used to image bacterial cells, summarizing the technical details of the various methods, the advantages and disadvantages of each, and the major biological insights that have been obtained. Three specific example structures, \"mesosomes,\" \"cytoskeletal filaments,\" and \"nucleoid,\" are used to illustrate how methodological advances have shaped our understanding of bacterial ultrastructure. Methods that involve dehydration and metal stains are widely practiced and have revealed many ultrastructural features, but they can generate misleading artifacts and have failed to preserve important structures such as the bacterial cytoskeleton. The invention of cryo-electron microscopy, which allows bacterial cells to be imaged in a frozen-hydrated, near-native state without the need for dehydration and stains, has now led to important new insights. Efforts to identify structures and localize specific proteins in cryo-EM images are summarized. © 2010 Elsevier Inc.","author":[{"dropping-particle":"","family":"Pilhofer","given":"Martin","non-dropping-particle":"","parse-names":false,"suffix":""},{"dropping-particle":"","family":"Ladinsky","given":"Mark S.","non-dropping-particle":"","parse-names":false,"suffix":""},{"dropping-particle":"","family":"McDowall","given":"Alasdair W.","non-dropping-particle":"","parse-names":false,"suffix":""},{"dropping-particle":"","family":"Jensen","given":"Grant J.","non-dropping-particle":"","parse-names":false,"suffix":""}],"chapter-number":"2","container-title":"Methods in Cell Biology","id":"ITEM-1","issued":{"date-parts":[["2010"]]},"page":"21-45","publisher":"Academic Press","title":"Bacterial TEM. New insights from cryo-microscopy","type":"chapter","volume":"96"},"uris":["http://www.mendeley.com/documents/?uuid=900934d7-4fa8-434e-9e90-c6cc15f13444"]}],"mendeley":{"formattedCitation":"&lt;sup&gt;[221]&lt;/sup&gt;","plainTextFormattedCitation":"[221]","previouslyFormattedCitation":"&lt;sup&gt;[221]&lt;/sup&gt;"},"properties":{"noteIndex":0},"schema":"https://github.com/citation-style-language/schema/raw/master/csl-citation.json"}</w:instrText>
      </w:r>
      <w:r>
        <w:fldChar w:fldCharType="separate"/>
      </w:r>
      <w:r w:rsidR="00C825F9" w:rsidRPr="00C825F9">
        <w:rPr>
          <w:noProof/>
          <w:vertAlign w:val="superscript"/>
        </w:rPr>
        <w:t>[221]</w:t>
      </w:r>
      <w:r>
        <w:fldChar w:fldCharType="end"/>
      </w:r>
      <w:r>
        <w:t xml:space="preserve">. However, the biggest limitation is the size, as samples thicker than 500 nm, such as the majority of whole cell bacteria, are not electron-transparent and would not provide discernible detail </w:t>
      </w:r>
      <w:r>
        <w:fldChar w:fldCharType="begin" w:fldLock="1"/>
      </w:r>
      <w:r>
        <w:instrText>ADDIN CSL_CITATION {"citationItems":[{"id":"ITEM-1","itemData":{"ISBN":"9780849372278","container-title":"Cellular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-1","issued":{"date-parts":[["2008"]]},"publisher":"CRC Publisher","publisher-place":"Boca Raton","title":"Handbook of Cryopreparation Methods for Electron Microscopy","type":"book","volume":"79"},"uris":["http://www.mendeley.com/documents/?uuid=d0314adf-0335-4087-adfc-77f2002bf131"]}],"mendeley":{"formattedCitation":"&lt;sup&gt;[215]&lt;/sup&gt;","plainTextFormattedCitation":"[215]","previouslyFormattedCitation":"&lt;sup&gt;[215]&lt;/sup&gt;"},"properties":{"noteIndex":0},"schema":"https://github.com/citation-style-language/schema/raw/master/csl-citation.json"}</w:instrText>
      </w:r>
      <w:r>
        <w:fldChar w:fldCharType="separate"/>
      </w:r>
      <w:r w:rsidRPr="002659E5">
        <w:rPr>
          <w:noProof/>
          <w:vertAlign w:val="superscript"/>
        </w:rPr>
        <w:t>[215]</w:t>
      </w:r>
      <w:r>
        <w:fldChar w:fldCharType="end"/>
      </w:r>
      <w:r>
        <w:t>. The way around this is the analysis of thin-sections.</w:t>
      </w:r>
    </w:p>
    <w:p w14:paraId="0BD215F6" w14:textId="77777777" w:rsidR="00A824C0" w:rsidRDefault="00A824C0" w:rsidP="00A824C0"/>
    <w:p w14:paraId="60DE7118" w14:textId="1B994FAE" w:rsidR="00A824C0" w:rsidRDefault="00A824C0" w:rsidP="008C2820">
      <w:pPr>
        <w:sectPr w:rsidR="00A824C0" w:rsidSect="004D0E05">
          <w:pgSz w:w="11906" w:h="16838"/>
          <w:pgMar w:top="1191" w:right="1247" w:bottom="1191" w:left="1247" w:header="709" w:footer="709" w:gutter="0"/>
          <w:cols w:space="708"/>
          <w:titlePg/>
          <w:docGrid w:linePitch="360"/>
        </w:sectPr>
      </w:pPr>
    </w:p>
    <w:tbl>
      <w:tblPr>
        <w:tblStyle w:val="GridTable1Light"/>
        <w:tblW w:w="0" w:type="auto"/>
        <w:jc w:val="center"/>
        <w:tblLook w:val="04A0" w:firstRow="1" w:lastRow="0" w:firstColumn="1" w:lastColumn="0" w:noHBand="0" w:noVBand="1"/>
      </w:tblPr>
      <w:tblGrid>
        <w:gridCol w:w="1834"/>
        <w:gridCol w:w="3946"/>
        <w:gridCol w:w="3622"/>
      </w:tblGrid>
      <w:tr w:rsidR="00CA1A86" w14:paraId="4BB0D8F7" w14:textId="77777777" w:rsidTr="00F12A2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bottom w:val="double" w:sz="4" w:space="0" w:color="auto"/>
            </w:tcBorders>
          </w:tcPr>
          <w:p w14:paraId="2132DF2E" w14:textId="77777777" w:rsidR="00CA1A86" w:rsidRDefault="00CA1A86" w:rsidP="00F12A23">
            <w:pPr>
              <w:pStyle w:val="Tabletextnormal"/>
            </w:pPr>
          </w:p>
        </w:tc>
        <w:tc>
          <w:tcPr>
            <w:tcW w:w="0" w:type="auto"/>
            <w:tcBorders>
              <w:bottom w:val="double" w:sz="4" w:space="0" w:color="auto"/>
            </w:tcBorders>
          </w:tcPr>
          <w:p w14:paraId="37A8B5A3" w14:textId="77777777" w:rsidR="00CA1A86" w:rsidRDefault="00CA1A86" w:rsidP="00F12A23">
            <w:pPr>
              <w:pStyle w:val="Tabletextnormal"/>
              <w:cnfStyle w:val="100000000000" w:firstRow="1" w:lastRow="0" w:firstColumn="0" w:lastColumn="0" w:oddVBand="0" w:evenVBand="0" w:oddHBand="0" w:evenHBand="0" w:firstRowFirstColumn="0" w:firstRowLastColumn="0" w:lastRowFirstColumn="0" w:lastRowLastColumn="0"/>
            </w:pPr>
            <w:r>
              <w:t>SEM</w:t>
            </w:r>
          </w:p>
        </w:tc>
        <w:tc>
          <w:tcPr>
            <w:tcW w:w="0" w:type="auto"/>
            <w:tcBorders>
              <w:bottom w:val="double" w:sz="4" w:space="0" w:color="auto"/>
            </w:tcBorders>
          </w:tcPr>
          <w:p w14:paraId="5E4D0475" w14:textId="77777777" w:rsidR="00CA1A86" w:rsidRDefault="00CA1A86" w:rsidP="00F12A23">
            <w:pPr>
              <w:pStyle w:val="Tabletextnormal"/>
              <w:cnfStyle w:val="100000000000" w:firstRow="1" w:lastRow="0" w:firstColumn="0" w:lastColumn="0" w:oddVBand="0" w:evenVBand="0" w:oddHBand="0" w:evenHBand="0" w:firstRowFirstColumn="0" w:firstRowLastColumn="0" w:lastRowFirstColumn="0" w:lastRowLastColumn="0"/>
            </w:pPr>
            <w:r>
              <w:t>TEM</w:t>
            </w:r>
          </w:p>
        </w:tc>
      </w:tr>
      <w:tr w:rsidR="00CA1A86" w:rsidRPr="001C296B" w14:paraId="30EE2675"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Borders>
              <w:top w:val="double" w:sz="4" w:space="0" w:color="auto"/>
            </w:tcBorders>
          </w:tcPr>
          <w:p w14:paraId="5A805B1D" w14:textId="77777777" w:rsidR="00CA1A86" w:rsidRPr="001E1436" w:rsidRDefault="00CA1A86" w:rsidP="00F12A23">
            <w:pPr>
              <w:pStyle w:val="Tabletextnormal"/>
              <w:rPr>
                <w:b/>
                <w:bCs w:val="0"/>
              </w:rPr>
            </w:pPr>
            <w:r w:rsidRPr="001E1436">
              <w:rPr>
                <w:b/>
                <w:bCs w:val="0"/>
              </w:rPr>
              <w:t>Type of electrons</w:t>
            </w:r>
          </w:p>
        </w:tc>
        <w:tc>
          <w:tcPr>
            <w:tcW w:w="0" w:type="auto"/>
            <w:tcBorders>
              <w:top w:val="double" w:sz="4" w:space="0" w:color="auto"/>
            </w:tcBorders>
          </w:tcPr>
          <w:p w14:paraId="09344A25" w14:textId="77777777" w:rsidR="00CA1A86" w:rsidRDefault="00CA1A86" w:rsidP="00F12A23">
            <w:pPr>
              <w:pStyle w:val="Tabletextnormal"/>
              <w:cnfStyle w:val="000000000000" w:firstRow="0" w:lastRow="0" w:firstColumn="0" w:lastColumn="0" w:oddVBand="0" w:evenVBand="0" w:oddHBand="0" w:evenHBand="0" w:firstRowFirstColumn="0" w:firstRowLastColumn="0" w:lastRowFirstColumn="0" w:lastRowLastColumn="0"/>
            </w:pPr>
            <w:r>
              <w:t>Scattered, scanning electrons</w:t>
            </w:r>
          </w:p>
        </w:tc>
        <w:tc>
          <w:tcPr>
            <w:tcW w:w="0" w:type="auto"/>
            <w:tcBorders>
              <w:top w:val="double" w:sz="4" w:space="0" w:color="auto"/>
            </w:tcBorders>
          </w:tcPr>
          <w:p w14:paraId="360D226B" w14:textId="77777777" w:rsidR="00CA1A86" w:rsidRPr="001C296B" w:rsidRDefault="00CA1A86" w:rsidP="00F12A23">
            <w:pPr>
              <w:pStyle w:val="Tabletextnormal"/>
              <w:cnfStyle w:val="000000000000" w:firstRow="0" w:lastRow="0" w:firstColumn="0" w:lastColumn="0" w:oddVBand="0" w:evenVBand="0" w:oddHBand="0" w:evenHBand="0" w:firstRowFirstColumn="0" w:firstRowLastColumn="0" w:lastRowFirstColumn="0" w:lastRowLastColumn="0"/>
            </w:pPr>
            <w:r>
              <w:t>Transmitted electrons</w:t>
            </w:r>
          </w:p>
        </w:tc>
      </w:tr>
      <w:tr w:rsidR="00CA1A86" w14:paraId="3E673CB1"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B462A33" w14:textId="77777777" w:rsidR="00CA1A86" w:rsidRDefault="00CA1A86" w:rsidP="00F12A23">
            <w:pPr>
              <w:pStyle w:val="Tabletextnormal"/>
              <w:rPr>
                <w:b/>
                <w:bCs w:val="0"/>
              </w:rPr>
            </w:pPr>
            <w:r>
              <w:rPr>
                <w:b/>
                <w:bCs w:val="0"/>
              </w:rPr>
              <w:t>Electron stream</w:t>
            </w:r>
          </w:p>
        </w:tc>
        <w:tc>
          <w:tcPr>
            <w:tcW w:w="0" w:type="auto"/>
          </w:tcPr>
          <w:p w14:paraId="0DCDBC40" w14:textId="77777777" w:rsidR="00CA1A86" w:rsidRDefault="00CA1A86" w:rsidP="00F12A23">
            <w:pPr>
              <w:pStyle w:val="Tabletextnormal"/>
              <w:cnfStyle w:val="000000000000" w:firstRow="0" w:lastRow="0" w:firstColumn="0" w:lastColumn="0" w:oddVBand="0" w:evenVBand="0" w:oddHBand="0" w:evenHBand="0" w:firstRowFirstColumn="0" w:firstRowLastColumn="0" w:lastRowFirstColumn="0" w:lastRowLastColumn="0"/>
            </w:pPr>
            <w:r>
              <w:t>Fine, focused beam</w:t>
            </w:r>
          </w:p>
        </w:tc>
        <w:tc>
          <w:tcPr>
            <w:tcW w:w="0" w:type="auto"/>
          </w:tcPr>
          <w:p w14:paraId="28BB8EEF" w14:textId="77777777" w:rsidR="00CA1A86" w:rsidRDefault="00CA1A86" w:rsidP="00F12A23">
            <w:pPr>
              <w:pStyle w:val="Tabletextnormal"/>
              <w:cnfStyle w:val="000000000000" w:firstRow="0" w:lastRow="0" w:firstColumn="0" w:lastColumn="0" w:oddVBand="0" w:evenVBand="0" w:oddHBand="0" w:evenHBand="0" w:firstRowFirstColumn="0" w:firstRowLastColumn="0" w:lastRowFirstColumn="0" w:lastRowLastColumn="0"/>
            </w:pPr>
            <w:r>
              <w:t>Broad beam</w:t>
            </w:r>
          </w:p>
        </w:tc>
      </w:tr>
      <w:tr w:rsidR="00CA1A86" w14:paraId="1897E8EF"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9903249" w14:textId="77777777" w:rsidR="00CA1A86" w:rsidRPr="001E1436" w:rsidRDefault="00CA1A86" w:rsidP="00F12A23">
            <w:pPr>
              <w:pStyle w:val="Tabletextnormal"/>
              <w:rPr>
                <w:b/>
                <w:bCs w:val="0"/>
              </w:rPr>
            </w:pPr>
            <w:r>
              <w:rPr>
                <w:b/>
                <w:bCs w:val="0"/>
              </w:rPr>
              <w:t>High tension</w:t>
            </w:r>
          </w:p>
        </w:tc>
        <w:tc>
          <w:tcPr>
            <w:tcW w:w="0" w:type="auto"/>
          </w:tcPr>
          <w:p w14:paraId="4BE5E825" w14:textId="77777777" w:rsidR="00CA1A86" w:rsidRDefault="00CA1A86" w:rsidP="00F12A23">
            <w:pPr>
              <w:pStyle w:val="Tabletextnormal"/>
              <w:cnfStyle w:val="000000000000" w:firstRow="0" w:lastRow="0" w:firstColumn="0" w:lastColumn="0" w:oddVBand="0" w:evenVBand="0" w:oddHBand="0" w:evenHBand="0" w:firstRowFirstColumn="0" w:firstRowLastColumn="0" w:lastRowFirstColumn="0" w:lastRowLastColumn="0"/>
            </w:pPr>
            <w:r>
              <w:t>~ 1 - 30 kV</w:t>
            </w:r>
          </w:p>
        </w:tc>
        <w:tc>
          <w:tcPr>
            <w:tcW w:w="0" w:type="auto"/>
          </w:tcPr>
          <w:p w14:paraId="4E07B42C" w14:textId="77777777" w:rsidR="00CA1A86" w:rsidRDefault="00CA1A86" w:rsidP="00F12A23">
            <w:pPr>
              <w:pStyle w:val="Tabletextnormal"/>
              <w:cnfStyle w:val="000000000000" w:firstRow="0" w:lastRow="0" w:firstColumn="0" w:lastColumn="0" w:oddVBand="0" w:evenVBand="0" w:oddHBand="0" w:evenHBand="0" w:firstRowFirstColumn="0" w:firstRowLastColumn="0" w:lastRowFirstColumn="0" w:lastRowLastColumn="0"/>
            </w:pPr>
            <w:r>
              <w:t>~ 60 - 300 kV</w:t>
            </w:r>
          </w:p>
        </w:tc>
      </w:tr>
      <w:tr w:rsidR="00CA1A86" w:rsidRPr="001C296B" w14:paraId="51684C0D"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6CFD059" w14:textId="77777777" w:rsidR="00CA1A86" w:rsidRPr="001E1436" w:rsidRDefault="00CA1A86" w:rsidP="00F12A23">
            <w:pPr>
              <w:pStyle w:val="Tabletextnormal"/>
              <w:rPr>
                <w:b/>
                <w:bCs w:val="0"/>
              </w:rPr>
            </w:pPr>
            <w:r>
              <w:rPr>
                <w:b/>
                <w:bCs w:val="0"/>
              </w:rPr>
              <w:t>Specimen thickness</w:t>
            </w:r>
          </w:p>
        </w:tc>
        <w:tc>
          <w:tcPr>
            <w:tcW w:w="0" w:type="auto"/>
          </w:tcPr>
          <w:p w14:paraId="3D78B0A9" w14:textId="77777777" w:rsidR="00CA1A86" w:rsidRDefault="00CA1A86" w:rsidP="00F12A23">
            <w:pPr>
              <w:pStyle w:val="Tabletextnormal"/>
              <w:cnfStyle w:val="000000000000" w:firstRow="0" w:lastRow="0" w:firstColumn="0" w:lastColumn="0" w:oddVBand="0" w:evenVBand="0" w:oddHBand="0" w:evenHBand="0" w:firstRowFirstColumn="0" w:firstRowLastColumn="0" w:lastRowFirstColumn="0" w:lastRowLastColumn="0"/>
            </w:pPr>
            <w:r>
              <w:t>Any</w:t>
            </w:r>
          </w:p>
        </w:tc>
        <w:tc>
          <w:tcPr>
            <w:tcW w:w="0" w:type="auto"/>
          </w:tcPr>
          <w:p w14:paraId="5A1E246D" w14:textId="77777777" w:rsidR="00CA1A86" w:rsidRPr="001C296B" w:rsidRDefault="00CA1A86" w:rsidP="00F12A23">
            <w:pPr>
              <w:pStyle w:val="Tabletextnormal"/>
              <w:cnfStyle w:val="000000000000" w:firstRow="0" w:lastRow="0" w:firstColumn="0" w:lastColumn="0" w:oddVBand="0" w:evenVBand="0" w:oddHBand="0" w:evenHBand="0" w:firstRowFirstColumn="0" w:firstRowLastColumn="0" w:lastRowFirstColumn="0" w:lastRowLastColumn="0"/>
            </w:pPr>
            <w:r>
              <w:t>Ideally &lt; 150 nm (500 nm max)</w:t>
            </w:r>
          </w:p>
        </w:tc>
      </w:tr>
      <w:tr w:rsidR="00CA1A86" w:rsidRPr="001C296B" w14:paraId="29D62C92"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93A827D" w14:textId="77777777" w:rsidR="00CA1A86" w:rsidRPr="001E1436" w:rsidRDefault="00CA1A86" w:rsidP="00F12A23">
            <w:pPr>
              <w:pStyle w:val="Tabletextnormal"/>
              <w:rPr>
                <w:b/>
                <w:bCs w:val="0"/>
              </w:rPr>
            </w:pPr>
            <w:r>
              <w:rPr>
                <w:b/>
                <w:bCs w:val="0"/>
              </w:rPr>
              <w:t>Field of view</w:t>
            </w:r>
          </w:p>
        </w:tc>
        <w:tc>
          <w:tcPr>
            <w:tcW w:w="0" w:type="auto"/>
          </w:tcPr>
          <w:p w14:paraId="44ACC13D" w14:textId="77777777" w:rsidR="00CA1A86" w:rsidRDefault="00CA1A86" w:rsidP="00F12A23">
            <w:pPr>
              <w:pStyle w:val="Tabletextnormal"/>
              <w:cnfStyle w:val="000000000000" w:firstRow="0" w:lastRow="0" w:firstColumn="0" w:lastColumn="0" w:oddVBand="0" w:evenVBand="0" w:oddHBand="0" w:evenHBand="0" w:firstRowFirstColumn="0" w:firstRowLastColumn="0" w:lastRowFirstColumn="0" w:lastRowLastColumn="0"/>
            </w:pPr>
            <w:r>
              <w:t>Large</w:t>
            </w:r>
          </w:p>
        </w:tc>
        <w:tc>
          <w:tcPr>
            <w:tcW w:w="0" w:type="auto"/>
          </w:tcPr>
          <w:p w14:paraId="327E141B" w14:textId="77777777" w:rsidR="00CA1A86" w:rsidRPr="00EB2986" w:rsidRDefault="00CA1A86" w:rsidP="00F12A23">
            <w:pPr>
              <w:pStyle w:val="Tabletextnormal"/>
              <w:ind w:left="720" w:hanging="720"/>
              <w:cnfStyle w:val="000000000000" w:firstRow="0" w:lastRow="0" w:firstColumn="0" w:lastColumn="0" w:oddVBand="0" w:evenVBand="0" w:oddHBand="0" w:evenHBand="0" w:firstRowFirstColumn="0" w:firstRowLastColumn="0" w:lastRowFirstColumn="0" w:lastRowLastColumn="0"/>
            </w:pPr>
            <w:r>
              <w:t>limited</w:t>
            </w:r>
          </w:p>
        </w:tc>
      </w:tr>
      <w:tr w:rsidR="00CA1A86" w:rsidRPr="001C296B" w14:paraId="0D2EE89E"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878B1F0" w14:textId="77777777" w:rsidR="00CA1A86" w:rsidRDefault="00CA1A86" w:rsidP="00F12A23">
            <w:pPr>
              <w:pStyle w:val="Tabletextnormal"/>
              <w:rPr>
                <w:b/>
                <w:bCs w:val="0"/>
              </w:rPr>
            </w:pPr>
            <w:r>
              <w:rPr>
                <w:b/>
                <w:bCs w:val="0"/>
              </w:rPr>
              <w:t>Optimal spatial resolution</w:t>
            </w:r>
          </w:p>
        </w:tc>
        <w:tc>
          <w:tcPr>
            <w:tcW w:w="0" w:type="auto"/>
          </w:tcPr>
          <w:p w14:paraId="694EEFF2" w14:textId="77777777" w:rsidR="00CA1A86" w:rsidRDefault="00CA1A86" w:rsidP="00F12A23">
            <w:pPr>
              <w:pStyle w:val="Tabletextnormal"/>
              <w:cnfStyle w:val="000000000000" w:firstRow="0" w:lastRow="0" w:firstColumn="0" w:lastColumn="0" w:oddVBand="0" w:evenVBand="0" w:oddHBand="0" w:evenHBand="0" w:firstRowFirstColumn="0" w:firstRowLastColumn="0" w:lastRowFirstColumn="0" w:lastRowLastColumn="0"/>
            </w:pPr>
            <w:r>
              <w:t>~ 0.5 nm (low resolution)</w:t>
            </w:r>
          </w:p>
        </w:tc>
        <w:tc>
          <w:tcPr>
            <w:tcW w:w="0" w:type="auto"/>
          </w:tcPr>
          <w:p w14:paraId="1457F3C1" w14:textId="77777777" w:rsidR="00CA1A86" w:rsidRDefault="00CA1A86" w:rsidP="00F12A23">
            <w:pPr>
              <w:pStyle w:val="Tabletextnormal"/>
              <w:ind w:left="720" w:hanging="720"/>
              <w:cnfStyle w:val="000000000000" w:firstRow="0" w:lastRow="0" w:firstColumn="0" w:lastColumn="0" w:oddVBand="0" w:evenVBand="0" w:oddHBand="0" w:evenHBand="0" w:firstRowFirstColumn="0" w:firstRowLastColumn="0" w:lastRowFirstColumn="0" w:lastRowLastColumn="0"/>
            </w:pPr>
            <w:r>
              <w:t>&lt; 50 pm (high resolution)</w:t>
            </w:r>
          </w:p>
        </w:tc>
      </w:tr>
      <w:tr w:rsidR="00CA1A86" w:rsidRPr="001C296B" w14:paraId="3BBC0803"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5B9E9D09" w14:textId="77777777" w:rsidR="00CA1A86" w:rsidRDefault="00CA1A86" w:rsidP="00F12A23">
            <w:pPr>
              <w:pStyle w:val="Tabletextnormal"/>
              <w:rPr>
                <w:b/>
                <w:bCs w:val="0"/>
              </w:rPr>
            </w:pPr>
            <w:r>
              <w:rPr>
                <w:b/>
                <w:bCs w:val="0"/>
              </w:rPr>
              <w:t>Type of image</w:t>
            </w:r>
          </w:p>
        </w:tc>
        <w:tc>
          <w:tcPr>
            <w:tcW w:w="0" w:type="auto"/>
          </w:tcPr>
          <w:p w14:paraId="6EFB3F7A" w14:textId="77777777" w:rsidR="00CA1A86" w:rsidRDefault="00CA1A86" w:rsidP="00F12A23">
            <w:pPr>
              <w:pStyle w:val="Tabletextnormal"/>
              <w:cnfStyle w:val="000000000000" w:firstRow="0" w:lastRow="0" w:firstColumn="0" w:lastColumn="0" w:oddVBand="0" w:evenVBand="0" w:oddHBand="0" w:evenHBand="0" w:firstRowFirstColumn="0" w:firstRowLastColumn="0" w:lastRowFirstColumn="0" w:lastRowLastColumn="0"/>
            </w:pPr>
            <w:r>
              <w:t>3D</w:t>
            </w:r>
          </w:p>
        </w:tc>
        <w:tc>
          <w:tcPr>
            <w:tcW w:w="0" w:type="auto"/>
          </w:tcPr>
          <w:p w14:paraId="37BF2A06" w14:textId="77777777" w:rsidR="00CA1A86" w:rsidRDefault="00CA1A86" w:rsidP="00F12A23">
            <w:pPr>
              <w:pStyle w:val="Tabletextnormal"/>
              <w:cnfStyle w:val="000000000000" w:firstRow="0" w:lastRow="0" w:firstColumn="0" w:lastColumn="0" w:oddVBand="0" w:evenVBand="0" w:oddHBand="0" w:evenHBand="0" w:firstRowFirstColumn="0" w:firstRowLastColumn="0" w:lastRowFirstColumn="0" w:lastRowLastColumn="0"/>
            </w:pPr>
            <w:r>
              <w:t>2D</w:t>
            </w:r>
          </w:p>
        </w:tc>
      </w:tr>
      <w:tr w:rsidR="00CA1A86" w:rsidRPr="001C296B" w14:paraId="5705454C"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78C4125" w14:textId="77777777" w:rsidR="00CA1A86" w:rsidRDefault="00CA1A86" w:rsidP="00F12A23">
            <w:pPr>
              <w:pStyle w:val="Tabletextnormal"/>
              <w:rPr>
                <w:b/>
                <w:bCs w:val="0"/>
              </w:rPr>
            </w:pPr>
            <w:r>
              <w:rPr>
                <w:b/>
                <w:bCs w:val="0"/>
              </w:rPr>
              <w:t>Image taken</w:t>
            </w:r>
          </w:p>
        </w:tc>
        <w:tc>
          <w:tcPr>
            <w:tcW w:w="0" w:type="auto"/>
          </w:tcPr>
          <w:p w14:paraId="1AABEB0E" w14:textId="77777777" w:rsidR="00CA1A86" w:rsidRDefault="00CA1A86" w:rsidP="00F12A23">
            <w:pPr>
              <w:pStyle w:val="Tabletextnormal"/>
              <w:cnfStyle w:val="000000000000" w:firstRow="0" w:lastRow="0" w:firstColumn="0" w:lastColumn="0" w:oddVBand="0" w:evenVBand="0" w:oddHBand="0" w:evenHBand="0" w:firstRowFirstColumn="0" w:firstRowLastColumn="0" w:lastRowFirstColumn="0" w:lastRowLastColumn="0"/>
            </w:pPr>
            <w:r>
              <w:t>Topographical/surface</w:t>
            </w:r>
          </w:p>
        </w:tc>
        <w:tc>
          <w:tcPr>
            <w:tcW w:w="0" w:type="auto"/>
          </w:tcPr>
          <w:p w14:paraId="50653DEB" w14:textId="77777777" w:rsidR="00CA1A86" w:rsidRDefault="00CA1A86" w:rsidP="00F12A23">
            <w:pPr>
              <w:pStyle w:val="Tabletextnormal"/>
              <w:cnfStyle w:val="000000000000" w:firstRow="0" w:lastRow="0" w:firstColumn="0" w:lastColumn="0" w:oddVBand="0" w:evenVBand="0" w:oddHBand="0" w:evenHBand="0" w:firstRowFirstColumn="0" w:firstRowLastColumn="0" w:lastRowFirstColumn="0" w:lastRowLastColumn="0"/>
            </w:pPr>
            <w:r>
              <w:t>Internal structure</w:t>
            </w:r>
          </w:p>
        </w:tc>
      </w:tr>
      <w:tr w:rsidR="00CA1A86" w:rsidRPr="001C296B" w14:paraId="67ED1651"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0406827" w14:textId="77777777" w:rsidR="00CA1A86" w:rsidRDefault="00CA1A86" w:rsidP="00F12A23">
            <w:pPr>
              <w:pStyle w:val="Tabletextnormal"/>
              <w:rPr>
                <w:b/>
                <w:bCs w:val="0"/>
              </w:rPr>
            </w:pPr>
            <w:r>
              <w:rPr>
                <w:b/>
                <w:bCs w:val="0"/>
              </w:rPr>
              <w:t>Image formation</w:t>
            </w:r>
          </w:p>
        </w:tc>
        <w:tc>
          <w:tcPr>
            <w:tcW w:w="0" w:type="auto"/>
          </w:tcPr>
          <w:p w14:paraId="41E85717" w14:textId="77777777" w:rsidR="00CA1A86" w:rsidRDefault="00CA1A86" w:rsidP="00F12A23">
            <w:pPr>
              <w:pStyle w:val="Tabletextnormal"/>
              <w:cnfStyle w:val="000000000000" w:firstRow="0" w:lastRow="0" w:firstColumn="0" w:lastColumn="0" w:oddVBand="0" w:evenVBand="0" w:oddHBand="0" w:evenHBand="0" w:firstRowFirstColumn="0" w:firstRowLastColumn="0" w:lastRowFirstColumn="0" w:lastRowLastColumn="0"/>
            </w:pPr>
            <w:r>
              <w:t>Detectors capture and count the electrons, image on PC screen</w:t>
            </w:r>
          </w:p>
        </w:tc>
        <w:tc>
          <w:tcPr>
            <w:tcW w:w="0" w:type="auto"/>
          </w:tcPr>
          <w:p w14:paraId="0961ECAB" w14:textId="77777777" w:rsidR="00CA1A86" w:rsidRDefault="00CA1A86" w:rsidP="00F12A23">
            <w:pPr>
              <w:pStyle w:val="Tabletextnormal"/>
              <w:cnfStyle w:val="000000000000" w:firstRow="0" w:lastRow="0" w:firstColumn="0" w:lastColumn="0" w:oddVBand="0" w:evenVBand="0" w:oddHBand="0" w:evenHBand="0" w:firstRowFirstColumn="0" w:firstRowLastColumn="0" w:lastRowFirstColumn="0" w:lastRowLastColumn="0"/>
            </w:pPr>
            <w:r>
              <w:t>Direct imaging on fluorescent screen or PC screen with CCD</w:t>
            </w:r>
          </w:p>
          <w:p w14:paraId="0CC11FC9" w14:textId="77777777" w:rsidR="00CA1A86" w:rsidRDefault="00CA1A86" w:rsidP="00F12A23">
            <w:pPr>
              <w:pStyle w:val="Tabletextnormal"/>
              <w:ind w:left="720" w:hanging="720"/>
              <w:cnfStyle w:val="000000000000" w:firstRow="0" w:lastRow="0" w:firstColumn="0" w:lastColumn="0" w:oddVBand="0" w:evenVBand="0" w:oddHBand="0" w:evenHBand="0" w:firstRowFirstColumn="0" w:firstRowLastColumn="0" w:lastRowFirstColumn="0" w:lastRowLastColumn="0"/>
            </w:pPr>
          </w:p>
        </w:tc>
      </w:tr>
      <w:tr w:rsidR="00CA1A86" w:rsidRPr="001C296B" w14:paraId="7CD23570" w14:textId="77777777" w:rsidTr="00F12A23">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D7E1964" w14:textId="77777777" w:rsidR="00CA1A86" w:rsidRDefault="00CA1A86" w:rsidP="00F12A23">
            <w:pPr>
              <w:pStyle w:val="Tabletextnormal"/>
              <w:rPr>
                <w:b/>
                <w:bCs w:val="0"/>
              </w:rPr>
            </w:pPr>
            <w:r>
              <w:rPr>
                <w:b/>
                <w:bCs w:val="0"/>
              </w:rPr>
              <w:t>Operation</w:t>
            </w:r>
          </w:p>
        </w:tc>
        <w:tc>
          <w:tcPr>
            <w:tcW w:w="0" w:type="auto"/>
          </w:tcPr>
          <w:p w14:paraId="39A0BD63" w14:textId="77777777" w:rsidR="00CA1A86" w:rsidRDefault="00CA1A86" w:rsidP="00F12A23">
            <w:pPr>
              <w:pStyle w:val="Tabletextnormal"/>
              <w:cnfStyle w:val="000000000000" w:firstRow="0" w:lastRow="0" w:firstColumn="0" w:lastColumn="0" w:oddVBand="0" w:evenVBand="0" w:oddHBand="0" w:evenHBand="0" w:firstRowFirstColumn="0" w:firstRowLastColumn="0" w:lastRowFirstColumn="0" w:lastRowLastColumn="0"/>
            </w:pPr>
            <w:r>
              <w:t>Little or no sample preparation, easy to use</w:t>
            </w:r>
          </w:p>
        </w:tc>
        <w:tc>
          <w:tcPr>
            <w:tcW w:w="0" w:type="auto"/>
          </w:tcPr>
          <w:p w14:paraId="668E514F" w14:textId="77777777" w:rsidR="00CA1A86" w:rsidRDefault="00CA1A86" w:rsidP="00F12A23">
            <w:pPr>
              <w:pStyle w:val="Tabletextnormal"/>
              <w:keepNext/>
              <w:cnfStyle w:val="000000000000" w:firstRow="0" w:lastRow="0" w:firstColumn="0" w:lastColumn="0" w:oddVBand="0" w:evenVBand="0" w:oddHBand="0" w:evenHBand="0" w:firstRowFirstColumn="0" w:firstRowLastColumn="0" w:lastRowFirstColumn="0" w:lastRowLastColumn="0"/>
            </w:pPr>
            <w:r>
              <w:t>Laborious sample preparation, training required to use</w:t>
            </w:r>
          </w:p>
        </w:tc>
      </w:tr>
    </w:tbl>
    <w:p w14:paraId="2758FF8D" w14:textId="1ABE3857" w:rsidR="00CA1A86" w:rsidRDefault="00CA1A86" w:rsidP="00CA1A86">
      <w:pPr>
        <w:pStyle w:val="Caption"/>
      </w:pPr>
      <w:bookmarkStart w:id="119" w:name="_Ref77272035"/>
      <w:bookmarkStart w:id="120" w:name="_Toc90217046"/>
      <w:r>
        <w:t xml:space="preserve">Table </w:t>
      </w:r>
      <w:fldSimple w:instr=" STYLEREF 1 \s ">
        <w:r w:rsidR="00183CC8">
          <w:rPr>
            <w:noProof/>
          </w:rPr>
          <w:t>1</w:t>
        </w:r>
      </w:fldSimple>
      <w:r>
        <w:t>.</w:t>
      </w:r>
      <w:fldSimple w:instr=" SEQ Table \* ARABIC \s 1 ">
        <w:r w:rsidR="00183CC8">
          <w:rPr>
            <w:noProof/>
          </w:rPr>
          <w:t>4</w:t>
        </w:r>
      </w:fldSimple>
      <w:bookmarkEnd w:id="119"/>
      <w:r>
        <w:t xml:space="preserve"> Comparison of the characteristics of SEM and TEM.</w:t>
      </w:r>
      <w:bookmarkEnd w:id="120"/>
    </w:p>
    <w:p w14:paraId="1C50936D" w14:textId="2721F92B" w:rsidR="00CA1A86" w:rsidRDefault="00CA1A86" w:rsidP="00CA1A86">
      <w:pPr>
        <w:pStyle w:val="NoSpacing"/>
        <w:sectPr w:rsidR="00CA1A86" w:rsidSect="004D0E05">
          <w:pgSz w:w="11906" w:h="16838"/>
          <w:pgMar w:top="1191" w:right="1247" w:bottom="1191" w:left="1247" w:header="709" w:footer="709" w:gutter="0"/>
          <w:cols w:space="708"/>
          <w:titlePg/>
          <w:docGrid w:linePitch="360"/>
        </w:sectPr>
      </w:pPr>
      <w:r>
        <w:t xml:space="preserve">Modified from Thermo Fischer Scientific </w:t>
      </w:r>
      <w:r>
        <w:fldChar w:fldCharType="begin" w:fldLock="1"/>
      </w:r>
      <w:r w:rsidR="00260ACA">
        <w:instrText>ADDIN CSL_CITATION {"citationItems":[{"id":"ITEM-1","itemData":{"URL":"https://www.thermofisher.com/uk/en/home/materials-science/learning-center/applications/sem-tem-difference.html","author":[{"dropping-particle":"","family":"ThermoFisher","given":"","non-dropping-particle":"","parse-names":false,"suffix":""}],"id":"ITEM-1","issued":{"date-parts":[["2019"]]},"title":"Electron Microscopy | TEM vs SEM | Thermo Fisher Scientific - EC","type":"webpage"},"uris":["http://www.mendeley.com/documents/?uuid=a11c03fc-f0c9-310a-a945-9b1c550b07aa"]}],"mendeley":{"formattedCitation":"&lt;sup&gt;[222]&lt;/sup&gt;","plainTextFormattedCitation":"[222]","previouslyFormattedCitation":"&lt;sup&gt;[222]&lt;/sup&gt;"},"properties":{"noteIndex":0},"schema":"https://github.com/citation-style-language/schema/raw/master/csl-citation.json"}</w:instrText>
      </w:r>
      <w:r>
        <w:fldChar w:fldCharType="separate"/>
      </w:r>
      <w:r w:rsidR="00C825F9" w:rsidRPr="00C825F9">
        <w:rPr>
          <w:noProof/>
          <w:vertAlign w:val="superscript"/>
        </w:rPr>
        <w:t>[222]</w:t>
      </w:r>
      <w:r>
        <w:fldChar w:fldCharType="end"/>
      </w:r>
      <w:r>
        <w:t>.</w:t>
      </w:r>
    </w:p>
    <w:p w14:paraId="47148AE2" w14:textId="6B1999A7" w:rsidR="00201FE8" w:rsidRDefault="00F22835" w:rsidP="00201FE8">
      <w:r w:rsidRPr="00D85190">
        <w:lastRenderedPageBreak/>
        <w:t>Chemical fixation</w:t>
      </w:r>
      <w:r>
        <w:t xml:space="preserve"> is the traditional technique used for the analysis of bacterial thin-sections.</w:t>
      </w:r>
      <w:r w:rsidR="004435F9">
        <w:t xml:space="preserve"> It involves fixation by chemicals such as glutaraldehyde and osmium tetroxide, followed by dehydration with increasing concentrations of solvents, infiltration with resin, embedding and curing of the resin block, thin-sectioning, mounting onto TEM grids and post-staining with heavy metal stai</w:t>
      </w:r>
      <w:r w:rsidR="00D41B2A">
        <w:t xml:space="preserve">ns </w:t>
      </w:r>
      <w:r w:rsidR="00D41B2A">
        <w:fldChar w:fldCharType="begin" w:fldLock="1"/>
      </w:r>
      <w:r w:rsidR="00260ACA">
        <w:instrText>ADDIN CSL_CITATION {"citationItems":[{"id":"ITEM-1","itemData":{"ISBN":"1555812236","author":[{"dropping-particle":"","family":"Reddy","given":"C A","non-dropping-particle":"","parse-names":false,"suffix":""},{"dropping-particle":"","family":"Beveridge","given":"Terry J","non-dropping-particle":"","parse-names":false,"suffix":""},{"dropping-particle":"","family":"Breznak","given":"John A","non-dropping-particle":"","parse-names":false,"suffix":""},{"dropping-particle":"","family":"Marzluf","given":"George","non-dropping-particle":"","parse-names":false,"suffix":""}],"id":"ITEM-1","issued":{"date-parts":[["2007"]]},"publisher":"American Society for Microbiology Press","title":"Methods for general and molecular microbiology","type":"book"},"uris":["http://www.mendeley.com/documents/?uuid=98899cd0-57bf-4c78-8d93-848b8c8d1146"]},{"id":"ITEM-2","itemData":{"DOI":"10.1016/S0091-679X(10)96002-0","ISBN":"9780123810076","ISSN":"0091679X","PMID":"20869517","abstract":"Some bacteria are amongst the most important model organisms for biology and medicine. Here we review how electron microscopes have been used to image bacterial cells, summarizing the technical details of the various methods, the advantages and disadvantages of each, and the major biological insights that have been obtained. Three specific example structures, \"mesosomes,\" \"cytoskeletal filaments,\" and \"nucleoid,\" are used to illustrate how methodological advances have shaped our understanding of bacterial ultrastructure. Methods that involve dehydration and metal stains are widely practiced and have revealed many ultrastructural features, but they can generate misleading artifacts and have failed to preserve important structures such as the bacterial cytoskeleton. The invention of cryo-electron microscopy, which allows bacterial cells to be imaged in a frozen-hydrated, near-native state without the need for dehydration and stains, has now led to important new insights. Efforts to identify structures and localize specific proteins in cryo-EM images are summarized. © 2010 Elsevier Inc.","author":[{"dropping-particle":"","family":"Pilhofer","given":"Martin","non-dropping-particle":"","parse-names":false,"suffix":""},{"dropping-particle":"","family":"Ladinsky","given":"Mark S.","non-dropping-particle":"","parse-names":false,"suffix":""},{"dropping-particle":"","family":"McDowall","given":"Alasdair W.","non-dropping-particle":"","parse-names":false,"suffix":""},{"dropping-particle":"","family":"Jensen","given":"Grant J.","non-dropping-particle":"","parse-names":false,"suffix":""}],"chapter-number":"2","container-title":"Methods in Cell Biology","id":"ITEM-2","issued":{"date-parts":[["2010"]]},"page":"21-45","publisher":"Academic Press","title":"Bacterial TEM. New insights from cryo-microscopy","type":"chapter","volume":"96"},"uris":["http://www.mendeley.com/documents/?uuid=900934d7-4fa8-434e-9e90-c6cc15f13444"]},{"id":"ITEM-3","itemData":{"DOI":"10.1086/417649","ISBN":"9780867201260","ISSN":"0033-5770","abstract":"2nd ed.","author":[{"dropping-particle":"","family":"Bozzola","given":"John J.","non-dropping-particle":"","parse-names":false,"suffix":""},{"dropping-particle":"","family":"Russell","given":"Lonnie Dee","non-dropping-particle":"","parse-names":false,"suffix":""}],"container-title":"The Quarterly Review of Biology","id":"ITEM-3","issued":{"date-parts":[["1992"]]},"publisher":"Jones and Bartlett Publishers","publisher-place":"Boston","title":"Electron Microscopy: Principles and Techniques for Biologists . John J. Bozzola , Lonnie D. Russell","type":"book"},"uris":["http://www.mendeley.com/documents/?uuid=3cafbee9-5a9d-3277-ac56-a93552fda6f2"]}],"mendeley":{"formattedCitation":"&lt;sup&gt;[221,223,224]&lt;/sup&gt;","plainTextFormattedCitation":"[221,223,224]","previouslyFormattedCitation":"&lt;sup&gt;[221,223,224]&lt;/sup&gt;"},"properties":{"noteIndex":0},"schema":"https://github.com/citation-style-language/schema/raw/master/csl-citation.json"}</w:instrText>
      </w:r>
      <w:r w:rsidR="00D41B2A">
        <w:fldChar w:fldCharType="separate"/>
      </w:r>
      <w:r w:rsidR="00C825F9" w:rsidRPr="00C825F9">
        <w:rPr>
          <w:noProof/>
          <w:vertAlign w:val="superscript"/>
        </w:rPr>
        <w:t>[221,223,224]</w:t>
      </w:r>
      <w:r w:rsidR="00D41B2A">
        <w:fldChar w:fldCharType="end"/>
      </w:r>
      <w:r w:rsidR="00D41B2A">
        <w:t>.</w:t>
      </w:r>
      <w:r w:rsidR="00327E4F">
        <w:t xml:space="preserve"> Best results are obtained with ultra-thin sections of &lt; 150 nm </w:t>
      </w:r>
      <w:r w:rsidR="00327E4F">
        <w:fldChar w:fldCharType="begin" w:fldLock="1"/>
      </w:r>
      <w:r w:rsidR="00260ACA">
        <w:instrText>ADDIN CSL_CITATION {"citationItems":[{"id":"ITEM-1","itemData":{"ISBN":"1555812236","author":[{"dropping-particle":"","family":"Reddy","given":"C A","non-dropping-particle":"","parse-names":false,"suffix":""},{"dropping-particle":"","family":"Beveridge","given":"Terry J","non-dropping-particle":"","parse-names":false,"suffix":""},{"dropping-particle":"","family":"Breznak","given":"John A","non-dropping-particle":"","parse-names":false,"suffix":""},{"dropping-particle":"","family":"Marzluf","given":"George","non-dropping-particle":"","parse-names":false,"suffix":""}],"id":"ITEM-1","issued":{"date-parts":[["2007"]]},"publisher":"American Society for Microbiology Press","title":"Methods for general and molecular microbiology","type":"book"},"uris":["http://www.mendeley.com/documents/?uuid=98899cd0-57bf-4c78-8d93-848b8c8d1146"]},{"id":"ITEM-2","itemData":{"DOI":"10.1016/S0091-679X(10)96002-0","ISBN":"9780123810076","ISSN":"0091679X","PMID":"20869517","abstract":"Some bacteria are amongst the most important model organisms for biology and medicine. Here we review how electron microscopes have been used to image bacterial cells, summarizing the technical details of the various methods, the advantages and disadvantages of each, and the major biological insights that have been obtained. Three specific example structures, \"mesosomes,\" \"cytoskeletal filaments,\" and \"nucleoid,\" are used to illustrate how methodological advances have shaped our understanding of bacterial ultrastructure. Methods that involve dehydration and metal stains are widely practiced and have revealed many ultrastructural features, but they can generate misleading artifacts and have failed to preserve important structures such as the bacterial cytoskeleton. The invention of cryo-electron microscopy, which allows bacterial cells to be imaged in a frozen-hydrated, near-native state without the need for dehydration and stains, has now led to important new insights. Efforts to identify structures and localize specific proteins in cryo-EM images are summarized. © 2010 Elsevier Inc.","author":[{"dropping-particle":"","family":"Pilhofer","given":"Martin","non-dropping-particle":"","parse-names":false,"suffix":""},{"dropping-particle":"","family":"Ladinsky","given":"Mark S.","non-dropping-particle":"","parse-names":false,"suffix":""},{"dropping-particle":"","family":"McDowall","given":"Alasdair W.","non-dropping-particle":"","parse-names":false,"suffix":""},{"dropping-particle":"","family":"Jensen","given":"Grant J.","non-dropping-particle":"","parse-names":false,"suffix":""}],"chapter-number":"2","container-title":"Methods in Cell Biology","id":"ITEM-2","issued":{"date-parts":[["2010"]]},"page":"21-45","publisher":"Academic Press","title":"Bacterial TEM. New insights from cryo-microscopy","type":"chapter","volume":"96"},"uris":["http://www.mendeley.com/documents/?uuid=900934d7-4fa8-434e-9e90-c6cc15f13444"]},{"id":"ITEM-3","itemData":{"DOI":"10.1086/417649","ISBN":"9780867201260","ISSN":"0033-5770","abstract":"2nd ed.","author":[{"dropping-particle":"","family":"Bozzola","given":"John J.","non-dropping-particle":"","parse-names":false,"suffix":""},{"dropping-particle":"","family":"Russell","given":"Lonnie Dee","non-dropping-particle":"","parse-names":false,"suffix":""}],"container-title":"The Quarterly Review of Biology","id":"ITEM-3","issued":{"date-parts":[["1992"]]},"publisher":"Jones and Bartlett Publishers","publisher-place":"Boston","title":"Electron Microscopy: Principles and Techniques for Biologists . John J. Bozzola , Lonnie D. Russell","type":"book"},"uris":["http://www.mendeley.com/documents/?uuid=3cafbee9-5a9d-3277-ac56-a93552fda6f2"]}],"mendeley":{"formattedCitation":"&lt;sup&gt;[221,223,224]&lt;/sup&gt;","plainTextFormattedCitation":"[221,223,224]","previouslyFormattedCitation":"&lt;sup&gt;[221,223,224]&lt;/sup&gt;"},"properties":{"noteIndex":0},"schema":"https://github.com/citation-style-language/schema/raw/master/csl-citation.json"}</w:instrText>
      </w:r>
      <w:r w:rsidR="00327E4F">
        <w:fldChar w:fldCharType="separate"/>
      </w:r>
      <w:r w:rsidR="00C825F9" w:rsidRPr="00C825F9">
        <w:rPr>
          <w:noProof/>
          <w:vertAlign w:val="superscript"/>
        </w:rPr>
        <w:t>[221,223,224]</w:t>
      </w:r>
      <w:r w:rsidR="00327E4F">
        <w:fldChar w:fldCharType="end"/>
      </w:r>
      <w:r w:rsidR="00327E4F">
        <w:t>.</w:t>
      </w:r>
      <w:r w:rsidR="00665807">
        <w:t xml:space="preserve"> The main disadvantages of this technique </w:t>
      </w:r>
      <w:r w:rsidR="00DE1038">
        <w:t>are</w:t>
      </w:r>
      <w:r w:rsidR="00665807">
        <w:t xml:space="preserve"> the</w:t>
      </w:r>
      <w:r w:rsidR="00D81218">
        <w:t xml:space="preserve"> irregular</w:t>
      </w:r>
      <w:r w:rsidR="00665807">
        <w:t xml:space="preserve"> chemical cross-linking, dehydration and heavy metal staining that damage</w:t>
      </w:r>
      <w:r w:rsidR="00D81218">
        <w:t>s</w:t>
      </w:r>
      <w:r w:rsidR="00665807">
        <w:t xml:space="preserve"> the specimen</w:t>
      </w:r>
      <w:r w:rsidR="00D81218">
        <w:t xml:space="preserve"> by</w:t>
      </w:r>
      <w:r w:rsidR="00665807">
        <w:t xml:space="preserve"> disturbing </w:t>
      </w:r>
      <w:r w:rsidR="00D81218">
        <w:t xml:space="preserve">the </w:t>
      </w:r>
      <w:r w:rsidR="00665807">
        <w:t xml:space="preserve">cellular ultrastructure and introducing misleading artefacts </w:t>
      </w:r>
      <w:r w:rsidR="00665807">
        <w:fldChar w:fldCharType="begin" w:fldLock="1"/>
      </w:r>
      <w:r w:rsidR="00260ACA">
        <w:instrText>ADDIN CSL_CITATION {"citationItems":[{"id":"ITEM-1","itemData":{"DOI":"10.1016/S0091-679X(10)96002-0","ISBN":"9780123810076","ISSN":"0091679X","PMID":"20869517","abstract":"Some bacteria are amongst the most important model organisms for biology and medicine. Here we review how electron microscopes have been used to image bacterial cells, summarizing the technical details of the various methods, the advantages and disadvantages of each, and the major biological insights that have been obtained. Three specific example structures, \"mesosomes,\" \"cytoskeletal filaments,\" and \"nucleoid,\" are used to illustrate how methodological advances have shaped our understanding of bacterial ultrastructure. Methods that involve dehydration and metal stains are widely practiced and have revealed many ultrastructural features, but they can generate misleading artifacts and have failed to preserve important structures such as the bacterial cytoskeleton. The invention of cryo-electron microscopy, which allows bacterial cells to be imaged in a frozen-hydrated, near-native state without the need for dehydration and stains, has now led to important new insights. Efforts to identify structures and localize specific proteins in cryo-EM images are summarized. © 2010 Elsevier Inc.","author":[{"dropping-particle":"","family":"Pilhofer","given":"Martin","non-dropping-particle":"","parse-names":false,"suffix":""},{"dropping-particle":"","family":"Ladinsky","given":"Mark S.","non-dropping-particle":"","parse-names":false,"suffix":""},{"dropping-particle":"","family":"McDowall","given":"Alasdair W.","non-dropping-particle":"","parse-names":false,"suffix":""},{"dropping-particle":"","family":"Jensen","given":"Grant J.","non-dropping-particle":"","parse-names":false,"suffix":""}],"chapter-number":"2","container-title":"Methods in Cell Biology","id":"ITEM-1","issued":{"date-parts":[["2010"]]},"page":"21-45","publisher":"Academic Press","title":"Bacterial TEM. New insights from cryo-microscopy","type":"chapter","volume":"96"},"uris":["http://www.mendeley.com/documents/?uuid=900934d7-4fa8-434e-9e90-c6cc15f13444"]},{"id":"ITEM-2","itemData":{"DOI":"10.1128/JB.188.3.1011-1021.2006","ISBN":"0021-9193","ISSN":"00219193","PMID":"16428405","abstract":"The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Bacteriology","id":"ITEM-2","issue":"3","issued":{"date-parts":[["2006"]]},"page":"1011-1021","title":"Native cell wall organization shown by cryo-electron microscopy confirms the existence of a periplasmic space in Staphylococcus aureus","type":"article-journal","volume":"188"},"uris":["http://www.mendeley.com/documents/?uuid=5570428f-abef-4c52-8423-1f18c58db060"]},{"id":"ITEM-3","itemData":{"ISBN":"1555812236","author":[{"dropping-particle":"","family":"Reddy","given":"C A","non-dropping-particle":"","parse-names":false,"suffix":""},{"dropping-particle":"","family":"Beveridge","given":"Terry J","non-dropping-particle":"","parse-names":false,"suffix":""},{"dropping-particle":"","family":"Breznak","given":"John A","non-dropping-particle":"","parse-names":false,"suffix":""},{"dropping-particle":"","family":"Marzluf","given":"George","non-dropping-particle":"","parse-names":false,"suffix":""}],"id":"ITEM-3","issued":{"date-parts":[["2007"]]},"publisher":"American Society for Microbiology Press","title":"Methods for general and molecular microbiology","type":"book"},"uris":["http://www.mendeley.com/documents/?uuid=98899cd0-57bf-4c78-8d93-848b8c8d1146"]}],"mendeley":{"formattedCitation":"&lt;sup&gt;[16,221,223]&lt;/sup&gt;","plainTextFormattedCitation":"[16,221,223]","previouslyFormattedCitation":"&lt;sup&gt;[16,221,223]&lt;/sup&gt;"},"properties":{"noteIndex":0},"schema":"https://github.com/citation-style-language/schema/raw/master/csl-citation.json"}</w:instrText>
      </w:r>
      <w:r w:rsidR="00665807">
        <w:fldChar w:fldCharType="separate"/>
      </w:r>
      <w:r w:rsidR="00C825F9" w:rsidRPr="00C825F9">
        <w:rPr>
          <w:noProof/>
          <w:vertAlign w:val="superscript"/>
        </w:rPr>
        <w:t>[16,221,223]</w:t>
      </w:r>
      <w:r w:rsidR="00665807">
        <w:fldChar w:fldCharType="end"/>
      </w:r>
      <w:r w:rsidR="00665807">
        <w:t>.</w:t>
      </w:r>
    </w:p>
    <w:p w14:paraId="52DE9ECC" w14:textId="134B9773" w:rsidR="00400723" w:rsidRPr="00540C9A" w:rsidRDefault="00465FB8" w:rsidP="00201FE8">
      <w:r w:rsidRPr="00D85190">
        <w:t>Cryo-fixation</w:t>
      </w:r>
      <w:r>
        <w:t xml:space="preserve"> methods</w:t>
      </w:r>
      <w:r w:rsidR="003D48AB">
        <w:t>, such as plunge-freezing and high-pressure freezing,</w:t>
      </w:r>
      <w:r>
        <w:t xml:space="preserve"> w</w:t>
      </w:r>
      <w:r w:rsidR="002644E0">
        <w:t>ere</w:t>
      </w:r>
      <w:r>
        <w:t xml:space="preserve"> introduced as a way to bypass the issues encountered with chemical fixation at room temperature. </w:t>
      </w:r>
      <w:r w:rsidR="00C411FF">
        <w:t>By</w:t>
      </w:r>
      <w:r>
        <w:t xml:space="preserve"> </w:t>
      </w:r>
      <w:r w:rsidR="00515F20">
        <w:t>instantly</w:t>
      </w:r>
      <w:r>
        <w:t xml:space="preserve"> cool</w:t>
      </w:r>
      <w:r w:rsidR="00C411FF">
        <w:t>ing</w:t>
      </w:r>
      <w:r>
        <w:t xml:space="preserve"> down</w:t>
      </w:r>
      <w:r w:rsidR="00C411FF">
        <w:t xml:space="preserve"> the sample,</w:t>
      </w:r>
      <w:r w:rsidR="00366276">
        <w:t xml:space="preserve"> </w:t>
      </w:r>
      <w:r w:rsidR="00C411FF">
        <w:t>macromolecules are</w:t>
      </w:r>
      <w:r w:rsidR="00366276">
        <w:t xml:space="preserve"> fix</w:t>
      </w:r>
      <w:r w:rsidR="00C411FF">
        <w:t xml:space="preserve">ed </w:t>
      </w:r>
      <w:r w:rsidR="00366276">
        <w:t xml:space="preserve">in place before forming crystalline ice. </w:t>
      </w:r>
      <w:r w:rsidR="007F38B8">
        <w:t>The</w:t>
      </w:r>
      <w:r w:rsidR="00366276">
        <w:t xml:space="preserve"> result</w:t>
      </w:r>
      <w:r w:rsidR="007F38B8">
        <w:t>ing</w:t>
      </w:r>
      <w:r w:rsidR="00366276">
        <w:t xml:space="preserve"> amorphous ice </w:t>
      </w:r>
      <w:r w:rsidR="007F38B8">
        <w:t xml:space="preserve">is </w:t>
      </w:r>
      <w:r w:rsidR="00366276">
        <w:t>called “vitreous ice”</w:t>
      </w:r>
      <w:r w:rsidR="007F38B8">
        <w:t>.</w:t>
      </w:r>
      <w:r w:rsidR="00EB5A7B">
        <w:t xml:space="preserve"> Unlike conventional fixation, all components of the cell are vitrified at the same time in its natural position</w:t>
      </w:r>
      <w:r w:rsidR="00452FE8">
        <w:t xml:space="preserve"> and artefacts and aggregations are </w:t>
      </w:r>
      <w:r w:rsidR="00131DD4">
        <w:t xml:space="preserve">mostly </w:t>
      </w:r>
      <w:r w:rsidR="00452FE8">
        <w:t>avoided</w:t>
      </w:r>
      <w:r w:rsidR="009A3C5A">
        <w:t xml:space="preserve"> </w:t>
      </w:r>
      <w:r w:rsidR="009A3C5A">
        <w:fldChar w:fldCharType="begin" w:fldLock="1"/>
      </w:r>
      <w:r w:rsidR="00260ACA">
        <w:instrText>ADDIN CSL_CITATION {"citationItems":[{"id":"ITEM-1","itemData":{"DOI":"10.1016/S0091-679X(10)96002-0","ISBN":"9780123810076","ISSN":"0091679X","PMID":"20869517","abstract":"Some bacteria are amongst the most important model organisms for biology and medicine. Here we review how electron microscopes have been used to image bacterial cells, summarizing the technical details of the various methods, the advantages and disadvantages of each, and the major biological insights that have been obtained. Three specific example structures, \"mesosomes,\" \"cytoskeletal filaments,\" and \"nucleoid,\" are used to illustrate how methodological advances have shaped our understanding of bacterial ultrastructure. Methods that involve dehydration and metal stains are widely practiced and have revealed many ultrastructural features, but they can generate misleading artifacts and have failed to preserve important structures such as the bacterial cytoskeleton. The invention of cryo-electron microscopy, which allows bacterial cells to be imaged in a frozen-hydrated, near-native state without the need for dehydration and stains, has now led to important new insights. Efforts to identify structures and localize specific proteins in cryo-EM images are summarized. © 2010 Elsevier Inc.","author":[{"dropping-particle":"","family":"Pilhofer","given":"Martin","non-dropping-particle":"","parse-names":false,"suffix":""},{"dropping-particle":"","family":"Ladinsky","given":"Mark S.","non-dropping-particle":"","parse-names":false,"suffix":""},{"dropping-particle":"","family":"McDowall","given":"Alasdair W.","non-dropping-particle":"","parse-names":false,"suffix":""},{"dropping-particle":"","family":"Jensen","given":"Grant J.","non-dropping-particle":"","parse-names":false,"suffix":""}],"chapter-number":"2","container-title":"Methods in Cell Biology","id":"ITEM-1","issued":{"date-parts":[["2010"]]},"page":"21-45","publisher":"Academic Press","title":"Bacterial TEM. New insights from cryo-microscopy","type":"chapter","volume":"96"},"uris":["http://www.mendeley.com/documents/?uuid=900934d7-4fa8-434e-9e90-c6cc15f13444"]},{"id":"ITEM-2","itemData":{"ISBN":"9780849372278","container-title":"Cellular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-2","issued":{"date-parts":[["2008"]]},"publisher":"CRC Publisher","publisher-place":"Boca Raton","title":"Handbook of Cryopreparation Methods for Electron Microscopy","type":"book","volume":"79"},"uris":["http://www.mendeley.com/documents/?uuid=d0314adf-0335-4087-adfc-77f2002bf131"]},{"id":"ITEM-3","itemData":{"DOI":"10.1016/j.ymeth.2016.02.017","ISBN":"1095-9130 (Electronic)\\r1046-2023 (Linking)","ISSN":"10959130","PMID":"26931652","abstract":"Transmission electron microscopy (EM) is a versatile technique that can be used to image biological specimens ranging from intact eukaryotic cells to individual proteins &gt;150 kDa. There are several strategies for preparing samples for imaging by EM, including negative staining and cryogenic freezing. In the last few years, cryo-EM has undergone a 'resolution revolution', owing to both advances in imaging hardware, image processing software, and improvements in sample preparation, leading to growing number of researchers using cryo-EM as a research tool. However, cryo-EM is still a rapidly growing field, with unique challenges. Here, we summarise considerations for imaging of a range of specimens from macromolecular complexes to cells using EM.","author":[{"dropping-particle":"","family":"Thompson","given":"Rebecca F.","non-dropping-particle":"","parse-names":false,"suffix":""},{"dropping-particle":"","family":"Walker","given":"Matt","non-dropping-particle":"","parse-names":false,"suffix":""},{"dropping-particle":"","family":"Siebert","given":"C. Alistair","non-dropping-particle":"","parse-names":false,"suffix":""},{"dropping-particle":"","family":"Muench","given":"Stephen P.","non-dropping-particle":"","parse-names":false,"suffix":""},{"dropping-particle":"","family":"Ranson","given":"Neil A.","non-dropping-particle":"","parse-names":false,"suffix":""}],"container-title":"Methods","id":"ITEM-3","issued":{"date-parts":[["2016"]]},"page":"3-15","title":"An introduction to sample preparation and imaging by cryo-electron microscopy for structural biology","type":"article-journal","volume":"100"},"uris":["http://www.mendeley.com/documents/?uuid=74d9b2aa-74d0-31c6-ac0d-b0308b5ae5d8"]}],"mendeley":{"formattedCitation":"&lt;sup&gt;[215,221,225]&lt;/sup&gt;","plainTextFormattedCitation":"[215,221,225]","previouslyFormattedCitation":"&lt;sup&gt;[215,221,225]&lt;/sup&gt;"},"properties":{"noteIndex":0},"schema":"https://github.com/citation-style-language/schema/raw/master/csl-citation.json"}</w:instrText>
      </w:r>
      <w:r w:rsidR="009A3C5A">
        <w:fldChar w:fldCharType="separate"/>
      </w:r>
      <w:r w:rsidR="00C825F9" w:rsidRPr="00C825F9">
        <w:rPr>
          <w:noProof/>
          <w:vertAlign w:val="superscript"/>
        </w:rPr>
        <w:t>[215,221,225]</w:t>
      </w:r>
      <w:r w:rsidR="009A3C5A">
        <w:fldChar w:fldCharType="end"/>
      </w:r>
      <w:r w:rsidR="00452FE8">
        <w:t>.</w:t>
      </w:r>
      <w:r w:rsidR="001A0F6B">
        <w:t xml:space="preserve"> </w:t>
      </w:r>
      <w:r w:rsidR="00B91EAD" w:rsidRPr="00D85190">
        <w:t>High-pressure freezing</w:t>
      </w:r>
      <w:r w:rsidR="00B91EAD">
        <w:t xml:space="preserve"> combine</w:t>
      </w:r>
      <w:r w:rsidR="003D48AB">
        <w:t>s</w:t>
      </w:r>
      <w:r w:rsidR="00B91EAD">
        <w:t xml:space="preserve"> a 21000 bar pressure to the specimen right before vitrifying the sample with </w:t>
      </w:r>
      <w:r w:rsidR="00400723">
        <w:t xml:space="preserve">a </w:t>
      </w:r>
      <w:r w:rsidR="00B91EAD">
        <w:t>jet of liquid nitrogen.</w:t>
      </w:r>
      <w:r w:rsidR="00F13192">
        <w:t xml:space="preserve"> The high pressure acts as a </w:t>
      </w:r>
      <w:r w:rsidR="00C23867">
        <w:t xml:space="preserve">physical </w:t>
      </w:r>
      <w:r w:rsidR="00F13192">
        <w:t>cryo-protectant and helps reduce crystallin</w:t>
      </w:r>
      <w:r w:rsidR="004A625C">
        <w:t>e</w:t>
      </w:r>
      <w:r w:rsidR="00F13192">
        <w:t xml:space="preserve"> ice formation</w:t>
      </w:r>
      <w:r w:rsidR="003814A7">
        <w:t xml:space="preserve"> </w:t>
      </w:r>
      <w:r w:rsidR="003814A7">
        <w:fldChar w:fldCharType="begin" w:fldLock="1"/>
      </w:r>
      <w:r w:rsidR="0058736C">
        <w:instrText>ADDIN CSL_CITATION {"citationItems":[{"id":"ITEM-1","itemData":{"ISBN":"9780849372278","container-title":"Cellular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-1","issued":{"date-parts":[["2008"]]},"publisher":"CRC Publisher","publisher-place":"Boca Raton","title":"Handbook of Cryopreparation Methods for Electron Microscopy","type":"book","volume":"79"},"uris":["http://www.mendeley.com/documents/?uuid=d0314adf-0335-4087-adfc-77f2002bf131"]}],"mendeley":{"formattedCitation":"&lt;sup&gt;[215]&lt;/sup&gt;","plainTextFormattedCitation":"[215]","previouslyFormattedCitation":"&lt;sup&gt;[215]&lt;/sup&gt;"},"properties":{"noteIndex":0},"schema":"https://github.com/citation-style-language/schema/raw/master/csl-citation.json"}</w:instrText>
      </w:r>
      <w:r w:rsidR="003814A7">
        <w:fldChar w:fldCharType="separate"/>
      </w:r>
      <w:r w:rsidR="002659E5" w:rsidRPr="002659E5">
        <w:rPr>
          <w:noProof/>
          <w:vertAlign w:val="superscript"/>
        </w:rPr>
        <w:t>[215]</w:t>
      </w:r>
      <w:r w:rsidR="003814A7">
        <w:fldChar w:fldCharType="end"/>
      </w:r>
      <w:r w:rsidR="00F13192">
        <w:t>.</w:t>
      </w:r>
      <w:r w:rsidR="00540C9A">
        <w:t xml:space="preserve"> Different types of specimens can be vitrified</w:t>
      </w:r>
      <w:r w:rsidR="000E3843">
        <w:t>, with a thickness</w:t>
      </w:r>
      <w:r w:rsidR="00540C9A">
        <w:t xml:space="preserve"> of up to 200 µm. This cryo-fixation method</w:t>
      </w:r>
      <w:r w:rsidR="00400723">
        <w:t xml:space="preserve"> is usually</w:t>
      </w:r>
      <w:r w:rsidR="00540C9A">
        <w:t xml:space="preserve"> paired with freeze-substitution as a better alternative to chemical fixation. </w:t>
      </w:r>
      <w:r w:rsidR="00540C9A" w:rsidRPr="00D85190">
        <w:t>Freeze-substitution</w:t>
      </w:r>
      <w:r w:rsidR="00540C9A">
        <w:t xml:space="preserve"> combines further fixation and dehydration steps at low temperatures,</w:t>
      </w:r>
      <w:r w:rsidR="00400723">
        <w:t xml:space="preserve"> </w:t>
      </w:r>
      <w:r w:rsidR="00F36DD2">
        <w:t>yielding</w:t>
      </w:r>
      <w:r w:rsidR="00540C9A">
        <w:t xml:space="preserve"> better structural preservation and more detailed results</w:t>
      </w:r>
      <w:r w:rsidR="00400723">
        <w:t xml:space="preserve"> </w:t>
      </w:r>
      <w:r w:rsidR="00400723">
        <w:fldChar w:fldCharType="begin" w:fldLock="1"/>
      </w:r>
      <w:r w:rsidR="00260ACA">
        <w:instrText>ADDIN CSL_CITATION {"citationItems":[{"id":"ITEM-1","itemData":{"ISBN":"9780849372278","container-title":"Cellular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-1","issued":{"date-parts":[["2008"]]},"publisher":"CRC Publisher","publisher-place":"Boca Raton","title":"Handbook of Cryopreparation Methods for Electron Microscopy","type":"book","volume":"79"},"uris":["http://www.mendeley.com/documents/?uuid=d0314adf-0335-4087-adfc-77f2002bf131"]},{"id":"ITEM-2","itemData":{"DOI":"10.1128/JB.188.3.1011-1021.2006","ISBN":"0021-9193","ISSN":"00219193","PMID":"16428405","abstract":"The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Bacteriology","id":"ITEM-2","issue":"3","issued":{"date-parts":[["2006"]]},"page":"1011-1021","title":"Native cell wall organization shown by cryo-electron microscopy confirms the existence of a periplasmic space in Staphylococcus aureus","type":"article-journal","volume":"188"},"uris":["http://www.mendeley.com/documents/?uuid=5570428f-abef-4c52-8423-1f18c58db060"]},{"id":"ITEM-3","itemData":{"DOI":"10.1016/S0091-679X(10)96002-0","ISBN":"9780123810076","ISSN":"0091679X","PMID":"20869517","abstract":"Some bacteria are amongst the most important model organisms for biology and medicine. Here we review how electron microscopes have been used to image bacterial cells, summarizing the technical details of the various methods, the advantages and disadvantages of each, and the major biological insights that have been obtained. Three specific example structures, \"mesosomes,\" \"cytoskeletal filaments,\" and \"nucleoid,\" are used to illustrate how methodological advances have shaped our understanding of bacterial ultrastructure. Methods that involve dehydration and metal stains are widely practiced and have revealed many ultrastructural features, but they can generate misleading artifacts and have failed to preserve important structures such as the bacterial cytoskeleton. The invention of cryo-electron microscopy, which allows bacterial cells to be imaged in a frozen-hydrated, near-native state without the need for dehydration and stains, has now led to important new insights. Efforts to identify structures and localize specific proteins in cryo-EM images are summarized. © 2010 Elsevier Inc.","author":[{"dropping-particle":"","family":"Pilhofer","given":"Martin","non-dropping-particle":"","parse-names":false,"suffix":""},{"dropping-particle":"","family":"Ladinsky","given":"Mark S.","non-dropping-particle":"","parse-names":false,"suffix":""},{"dropping-particle":"","family":"McDowall","given":"Alasdair W.","non-dropping-particle":"","parse-names":false,"suffix":""},{"dropping-particle":"","family":"Jensen","given":"Grant J.","non-dropping-particle":"","parse-names":false,"suffix":""}],"chapter-number":"2","container-title":"Methods in Cell Biology","id":"ITEM-3","issued":{"date-parts":[["2010"]]},"page":"21-45","publisher":"Academic Press","title":"Bacterial TEM. New insights from cryo-microscopy","type":"chapter","volume":"96"},"uris":["http://www.mendeley.com/documents/?uuid=900934d7-4fa8-434e-9e90-c6cc15f13444"]}],"mendeley":{"formattedCitation":"&lt;sup&gt;[16,215,221]&lt;/sup&gt;","plainTextFormattedCitation":"[16,215,221]","previouslyFormattedCitation":"&lt;sup&gt;[16,215,221]&lt;/sup&gt;"},"properties":{"noteIndex":0},"schema":"https://github.com/citation-style-language/schema/raw/master/csl-citation.json"}</w:instrText>
      </w:r>
      <w:r w:rsidR="00400723">
        <w:fldChar w:fldCharType="separate"/>
      </w:r>
      <w:r w:rsidR="00C825F9" w:rsidRPr="00C825F9">
        <w:rPr>
          <w:noProof/>
          <w:vertAlign w:val="superscript"/>
        </w:rPr>
        <w:t>[16,215,221]</w:t>
      </w:r>
      <w:r w:rsidR="00400723">
        <w:fldChar w:fldCharType="end"/>
      </w:r>
      <w:r w:rsidR="00540C9A">
        <w:t>.</w:t>
      </w:r>
      <w:r w:rsidR="00400723">
        <w:t xml:space="preserve"> The final steps </w:t>
      </w:r>
      <w:r w:rsidR="00B1694B">
        <w:t>require</w:t>
      </w:r>
      <w:r w:rsidR="00400723">
        <w:t xml:space="preserve"> resin infiltration, embedding, thin-sectioning and post staining i</w:t>
      </w:r>
      <w:r w:rsidR="00B1694B">
        <w:t>n</w:t>
      </w:r>
      <w:r w:rsidR="00400723">
        <w:t xml:space="preserve"> the same </w:t>
      </w:r>
      <w:r w:rsidR="00B1694B">
        <w:t xml:space="preserve">way </w:t>
      </w:r>
      <w:r w:rsidR="00400723">
        <w:t xml:space="preserve">as the standard protocol described above. Therefore, despite the improved sample preparation, there </w:t>
      </w:r>
      <w:r w:rsidR="00FA7749">
        <w:t>are</w:t>
      </w:r>
      <w:r w:rsidR="00400723">
        <w:t xml:space="preserve"> still </w:t>
      </w:r>
      <w:r w:rsidR="00FA7749">
        <w:t xml:space="preserve">damaging </w:t>
      </w:r>
      <w:r w:rsidR="00400723">
        <w:t>chemicals and dehydration involved.</w:t>
      </w:r>
    </w:p>
    <w:p w14:paraId="56E4CCDC" w14:textId="79CC72E2" w:rsidR="003D48AB" w:rsidRDefault="00327E4F" w:rsidP="003D48AB">
      <w:r>
        <w:t>Technological advances pushed the limits of EM even further, by permitting</w:t>
      </w:r>
      <w:r w:rsidR="0073284C">
        <w:t xml:space="preserve"> the</w:t>
      </w:r>
      <w:r>
        <w:t xml:space="preserve"> imaging of fully-hydrated samples at cryogenic temperatures by </w:t>
      </w:r>
      <w:r w:rsidRPr="00D85190">
        <w:t>cryo-EM.</w:t>
      </w:r>
      <w:r>
        <w:t xml:space="preserve"> </w:t>
      </w:r>
      <w:r w:rsidR="0073284C">
        <w:t>This</w:t>
      </w:r>
      <w:r>
        <w:t xml:space="preserve"> involves maintaining the sample below devitrification temperatures (&lt; - 137 </w:t>
      </w:r>
      <w:r>
        <w:rPr>
          <w:rFonts w:ascii="Calibri" w:hAnsi="Calibri"/>
        </w:rPr>
        <w:t>°</w:t>
      </w:r>
      <w:r>
        <w:t xml:space="preserve">C) to avoid ice formation </w:t>
      </w:r>
      <w:r>
        <w:fldChar w:fldCharType="begin" w:fldLock="1"/>
      </w:r>
      <w:r w:rsidR="0058736C">
        <w:instrText>ADDIN CSL_CITATION {"citationItems":[{"id":"ITEM-1","itemData":{"ISBN":"9780849372278","container-title":"Cellular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-1","issued":{"date-parts":[["2008"]]},"publisher":"CRC Publisher","publisher-place":"Boca Raton","title":"Handbook of Cryopreparation Methods for Electron Microscopy","type":"book","volume":"79"},"uris":["http://www.mendeley.com/documents/?uuid=d0314adf-0335-4087-adfc-77f2002bf131"]},{"id":"ITEM-2","itemData":{"DOI":"10.1016/j.bpj.2016.02.001","ISSN":"15420086","PMID":"26958874","abstract":"Structural biology is the study of the molecular architecture of proteins and nucleic acids, which are the basis for all life forms. Structural biology came into its own as a field during the 1950s when the atomic structures of DNA (1) and several globular proteins (2) were solved. Knowledge of these structures alone is not enough to understand their functions, but it has become clear that a detailed mecha-nistic picture of function is not possible without structural information. Studying structure can reveal how molecules have evolved, and this type of insight would otherwise be lost by looking at only the molecule's sequence.","author":[{"dropping-particle":"","family":"Egelman","given":"Edward H.","non-dropping-particle":"","parse-names":false,"suffix":""}],"container-title":"Biophysical Journal","id":"ITEM-2","issue":"5","issued":{"date-parts":[["2016","3","8"]]},"page":"1008-1012","publisher":"Biophysical Society","title":"The Current Revolution in Cryo-EM","type":"article","volume":"110"},"uris":["http://www.mendeley.com/documents/?uuid=9be2bded-34e6-38fd-b4d9-ce44ff987d3f"]}],"mendeley":{"formattedCitation":"&lt;sup&gt;[215,226]&lt;/sup&gt;","plainTextFormattedCitation":"[215,226]","previouslyFormattedCitation":"&lt;sup&gt;[215,226]&lt;/sup&gt;"},"properties":{"noteIndex":0},"schema":"https://github.com/citation-style-language/schema/raw/master/csl-citation.json"}</w:instrText>
      </w:r>
      <w:r>
        <w:fldChar w:fldCharType="separate"/>
      </w:r>
      <w:r w:rsidR="002659E5" w:rsidRPr="002659E5">
        <w:rPr>
          <w:noProof/>
          <w:vertAlign w:val="superscript"/>
        </w:rPr>
        <w:t>[215,226]</w:t>
      </w:r>
      <w:r>
        <w:fldChar w:fldCharType="end"/>
      </w:r>
      <w:r>
        <w:t>.</w:t>
      </w:r>
      <w:r w:rsidR="004D11CC">
        <w:t xml:space="preserve"> This allowed </w:t>
      </w:r>
      <w:r w:rsidR="00C42F4A">
        <w:t>for, not only cryo-fixing biological specimens, but also imaging and analysing directly with the cryo-EM and avoiding chemicals and dehydration artefacts. A popular technique includes</w:t>
      </w:r>
      <w:r w:rsidR="003D48AB">
        <w:t xml:space="preserve"> cryo-fixation </w:t>
      </w:r>
      <w:r w:rsidR="00C42F4A">
        <w:t xml:space="preserve">by </w:t>
      </w:r>
      <w:r w:rsidR="003D48AB">
        <w:t xml:space="preserve">plunge freezing </w:t>
      </w:r>
      <w:r w:rsidR="00C42F4A">
        <w:t>followed by cryo-EM</w:t>
      </w:r>
      <w:r w:rsidR="003D48AB" w:rsidRPr="00D85190">
        <w:t>.</w:t>
      </w:r>
      <w:r w:rsidR="003D48AB" w:rsidRPr="001A0F6B">
        <w:rPr>
          <w:b/>
          <w:bCs/>
        </w:rPr>
        <w:t xml:space="preserve"> </w:t>
      </w:r>
      <w:r w:rsidR="003D48AB" w:rsidRPr="00D85190">
        <w:t>Plunge-freezing</w:t>
      </w:r>
      <w:r w:rsidR="003D48AB">
        <w:t xml:space="preserve"> is commonly used for analysis of whole cells or particles</w:t>
      </w:r>
      <w:r w:rsidR="00C42F4A">
        <w:t xml:space="preserve">, whereby </w:t>
      </w:r>
      <w:r w:rsidR="003D48AB">
        <w:t xml:space="preserve">suspensions are thinly spread onto a TEM grid and plunge-frozen into a cryogen such as liquid ethane. The limiting factor of this technique is that samples </w:t>
      </w:r>
      <w:r w:rsidR="003D48AB">
        <w:lastRenderedPageBreak/>
        <w:t xml:space="preserve">should be &lt; 1 µm thick in order to be electron-transparent </w:t>
      </w:r>
      <w:r w:rsidR="003D48AB">
        <w:fldChar w:fldCharType="begin" w:fldLock="1"/>
      </w:r>
      <w:r w:rsidR="00260ACA">
        <w:instrText>ADDIN CSL_CITATION {"citationItems":[{"id":"ITEM-1","itemData":{"DOI":"10.1016/S0091-679X(10)96002-0","ISBN":"9780123810076","ISSN":"0091679X","PMID":"20869517","abstract":"Some bacteria are amongst the most important model organisms for biology and medicine. Here we review how electron microscopes have been used to image bacterial cells, summarizing the technical details of the various methods, the advantages and disadvantages of each, and the major biological insights that have been obtained. Three specific example structures, \"mesosomes,\" \"cytoskeletal filaments,\" and \"nucleoid,\" are used to illustrate how methodological advances have shaped our understanding of bacterial ultrastructure. Methods that involve dehydration and metal stains are widely practiced and have revealed many ultrastructural features, but they can generate misleading artifacts and have failed to preserve important structures such as the bacterial cytoskeleton. The invention of cryo-electron microscopy, which allows bacterial cells to be imaged in a frozen-hydrated, near-native state without the need for dehydration and stains, has now led to important new insights. Efforts to identify structures and localize specific proteins in cryo-EM images are summarized. © 2010 Elsevier Inc.","author":[{"dropping-particle":"","family":"Pilhofer","given":"Martin","non-dropping-particle":"","parse-names":false,"suffix":""},{"dropping-particle":"","family":"Ladinsky","given":"Mark S.","non-dropping-particle":"","parse-names":false,"suffix":""},{"dropping-particle":"","family":"McDowall","given":"Alasdair W.","non-dropping-particle":"","parse-names":false,"suffix":""},{"dropping-particle":"","family":"Jensen","given":"Grant J.","non-dropping-particle":"","parse-names":false,"suffix":""}],"chapter-number":"2","container-title":"Methods in Cell Biology","id":"ITEM-1","issued":{"date-parts":[["2010"]]},"page":"21-45","publisher":"Academic Press","title":"Bacterial TEM. New insights from cryo-microscopy","type":"chapter","volume":"96"},"uris":["http://www.mendeley.com/documents/?uuid=900934d7-4fa8-434e-9e90-c6cc15f13444"]},{"id":"ITEM-2","itemData":{"ISBN":"9780849372278","container-title":"Cellular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-2","issued":{"date-parts":[["2008"]]},"publisher":"CRC Publisher","publisher-place":"Boca Raton","title":"Handbook of Cryopreparation Methods for Electron Microscopy","type":"book","volume":"79"},"uris":["http://www.mendeley.com/documents/?uuid=d0314adf-0335-4087-adfc-77f2002bf131"]},{"id":"ITEM-3","itemData":{"DOI":"10.1016/j.ymeth.2016.02.017","ISBN":"1095-9130 (Electronic)\\r1046-2023 (Linking)","ISSN":"10959130","PMID":"26931652","abstract":"Transmission electron microscopy (EM) is a versatile technique that can be used to image biological specimens ranging from intact eukaryotic cells to individual proteins &gt;150 kDa. There are several strategies for preparing samples for imaging by EM, including negative staining and cryogenic freezing. In the last few years, cryo-EM has undergone a 'resolution revolution', owing to both advances in imaging hardware, image processing software, and improvements in sample preparation, leading to growing number of researchers using cryo-EM as a research tool. However, cryo-EM is still a rapidly growing field, with unique challenges. Here, we summarise considerations for imaging of a range of specimens from macromolecular complexes to cells using EM.","author":[{"dropping-particle":"","family":"Thompson","given":"Rebecca F.","non-dropping-particle":"","parse-names":false,"suffix":""},{"dropping-particle":"","family":"Walker","given":"Matt","non-dropping-particle":"","parse-names":false,"suffix":""},{"dropping-particle":"","family":"Siebert","given":"C. Alistair","non-dropping-particle":"","parse-names":false,"suffix":""},{"dropping-particle":"","family":"Muench","given":"Stephen P.","non-dropping-particle":"","parse-names":false,"suffix":""},{"dropping-particle":"","family":"Ranson","given":"Neil A.","non-dropping-particle":"","parse-names":false,"suffix":""}],"container-title":"Methods","id":"ITEM-3","issued":{"date-parts":[["2016"]]},"page":"3-15","title":"An introduction to sample preparation and imaging by cryo-electron microscopy for structural biology","type":"article-journal","volume":"100"},"uris":["http://www.mendeley.com/documents/?uuid=74d9b2aa-74d0-31c6-ac0d-b0308b5ae5d8"]}],"mendeley":{"formattedCitation":"&lt;sup&gt;[215,221,225]&lt;/sup&gt;","plainTextFormattedCitation":"[215,221,225]","previouslyFormattedCitation":"&lt;sup&gt;[215,221,225]&lt;/sup&gt;"},"properties":{"noteIndex":0},"schema":"https://github.com/citation-style-language/schema/raw/master/csl-citation.json"}</w:instrText>
      </w:r>
      <w:r w:rsidR="003D48AB">
        <w:fldChar w:fldCharType="separate"/>
      </w:r>
      <w:r w:rsidR="00C825F9" w:rsidRPr="00C825F9">
        <w:rPr>
          <w:noProof/>
          <w:vertAlign w:val="superscript"/>
        </w:rPr>
        <w:t>[215,221,225]</w:t>
      </w:r>
      <w:r w:rsidR="003D48AB">
        <w:fldChar w:fldCharType="end"/>
      </w:r>
      <w:r w:rsidR="003D48AB">
        <w:t xml:space="preserve">. Therefore, for the analysis of most bacterial samples such as </w:t>
      </w:r>
      <w:r w:rsidR="003D48AB">
        <w:rPr>
          <w:i/>
          <w:iCs/>
        </w:rPr>
        <w:t>S. aureus</w:t>
      </w:r>
      <w:r w:rsidR="004C4694">
        <w:rPr>
          <w:i/>
          <w:iCs/>
        </w:rPr>
        <w:t>,</w:t>
      </w:r>
      <w:r w:rsidR="003D48AB">
        <w:t xml:space="preserve"> </w:t>
      </w:r>
      <w:r w:rsidR="0003650B">
        <w:t>c</w:t>
      </w:r>
      <w:r w:rsidR="0003650B" w:rsidRPr="00D85190">
        <w:t>ryo-EM of vitreous sections (CEMOVIS)</w:t>
      </w:r>
      <w:r w:rsidR="0003650B">
        <w:t xml:space="preserve"> </w:t>
      </w:r>
      <w:r w:rsidR="003D48AB">
        <w:t>is preferred.</w:t>
      </w:r>
    </w:p>
    <w:p w14:paraId="5713FE37" w14:textId="22EAFA59" w:rsidR="00201FE8" w:rsidRDefault="00C42F4A" w:rsidP="00201FE8">
      <w:r w:rsidRPr="00D85190">
        <w:t>CEMOVIS</w:t>
      </w:r>
      <w:r>
        <w:t xml:space="preserve"> involves cryo-fixation by high-pressure-freezing and cryo-sectioning before analysis with cryo-EM. The cryo-sectioning step </w:t>
      </w:r>
      <w:r w:rsidR="008E3DA8">
        <w:t>occurs</w:t>
      </w:r>
      <w:r>
        <w:t xml:space="preserve"> below vitrification temperatures </w:t>
      </w:r>
      <w:r w:rsidR="008E3DA8">
        <w:t>with a cryo-ultramicrotome</w:t>
      </w:r>
      <w:r>
        <w:t>.</w:t>
      </w:r>
      <w:r w:rsidR="00CA134B">
        <w:t xml:space="preserve"> This method provides the best structural preservation and the accessibility to the inner-structure of </w:t>
      </w:r>
      <w:r w:rsidR="008E3DA8">
        <w:t xml:space="preserve">frozen-hydrated </w:t>
      </w:r>
      <w:r w:rsidR="00CA134B">
        <w:t>bacterial cells. Its major disadvantage are the cutting artefacts obtained from cryo-sectioning.</w:t>
      </w:r>
    </w:p>
    <w:p w14:paraId="278B4EBF" w14:textId="00F3F213" w:rsidR="00A14387" w:rsidRDefault="000A381F" w:rsidP="00201FE8">
      <w:r>
        <w:t xml:space="preserve">Recent technological advances in focused ion beam milling (FIB) </w:t>
      </w:r>
      <w:r w:rsidR="006E322D">
        <w:t>have</w:t>
      </w:r>
      <w:r>
        <w:t xml:space="preserve"> led to </w:t>
      </w:r>
      <w:r w:rsidRPr="00D85190">
        <w:t>cryo-FIB</w:t>
      </w:r>
      <w:r>
        <w:t xml:space="preserve">, a technique that produces thin sections with a gallium ion beam without any knife or mechanical imperfections, and that can be obtained at cryogenic temperatures and transferred to a cryo-EM for analysis. This technique has provided fantastic results with a higher level of detail. Unfortunately, it is technically </w:t>
      </w:r>
      <w:r w:rsidR="005F2EA4">
        <w:t xml:space="preserve">a </w:t>
      </w:r>
      <w:r>
        <w:t>difficult method, very time-consuming and of low-through</w:t>
      </w:r>
      <w:r w:rsidR="005F2EA4">
        <w:t>put</w:t>
      </w:r>
      <w:r>
        <w:t xml:space="preserve">. </w:t>
      </w:r>
      <w:r>
        <w:fldChar w:fldCharType="begin" w:fldLock="1"/>
      </w:r>
      <w:r w:rsidR="00B3106D">
        <w:instrText>ADDIN CSL_CITATION {"citationItems":[{"id":"ITEM-1","itemData":{"DOI":"10.1016/j.abb.2015.02.009","ISBN":"0003-9861","ISSN":"10960384","PMID":"25703192","abstract":"The ability to precisely control the preparation of biological samples for investigations by electron cryo-microscopy is becoming increasingly important for ultrastructural imaging in biology. Precision machining instruments such as the focused ion beam microscope (FIB) were originally developed for applications in materials science. However, today we witness a growing use of these tools in the life sciences mainly due to their versatility, since they can be used both as manipulation and as imaging devices, when complemented with a scanning electron microscope (SEM). The advent of cryo-preparation equipment and accessories made it possible to pursue work on frozen-hydrated biological specimens with these two beam (FIB/SEM) instruments. In structural biology, the cryo-FIB can be used to site-specifically thin vitrified specimens for transmission electron microscopy (TEM) and tomography. Having control over the specimen thickness is a decisive factor for TEM imaging, as the thickness of the object under scrutiny determines the attainable resolution. Besides its use for TEM preparation, the FIB/SEM microscope can be additionally used to obtain three-dimensional volumetric data from biological specimens. The unique combination of an imaging and precision manipulation tool allows sequentially removing material with the ion beam and imaging the milled block faces by scanning with the electron beam, an approach known as FIB/SEM tomography. This review covers both fields of cryo-FIB applications: specimen preparation for TEM cryo-tomography and volume imaging by cryo-FIB/SEM tomography.","author":[{"dropping-particle":"","family":"Rigort","given":"Alexander","non-dropping-particle":"","parse-names":false,"suffix":""},{"dropping-particle":"","family":"Plitzko","given":"Jürgen M.","non-dropping-particle":"","parse-names":false,"suffix":""}],"container-title":"Archives of Biochemistry and Biophysics","id":"ITEM-1","issued":{"date-parts":[["2015"]]},"page":"122-130","publisher":"Elsevier Inc.","title":"Cryo-focused-ion-beam applications in structural biology","type":"article-journal","volume":"581"},"uris":["http://www.mendeley.com/documents/?uuid=cdab58a8-74b6-4264-958d-f2bab4765948"]},{"id":"ITEM-2","itemData":{"DOI":"10.1016/j.sbi.2013.08.006","ISBN":"0959-440X","ISSN":"0959440X","PMID":"24090931","abstract":"Cryo-electron tomography (CET) is ideally suited for bridging the resolution gap between molecular and cellular structural studies. However, CET is limited to a sample thickness under 500. nm, which is thinner than most cells. Here, we review a method for preparing cells for CET using focused-ion-beam milling, a technique commonly used in materials science. Adapted to cryogenic conditions, FIB milling can be applied to various cell types to produce samples thin enough for CET that do not present the artefacts typical to other preparation techniques, for example, cryo-ultramicrotomy, effectively opening windows into intact cells. Samples can be produced routinely and reproducibly. The data obtained from CET can be used for structural studies in situ, or to do quantitative cell biology studies, in which cells can be observed at the molecular level under different physiological conditions. © 2013 Elsevier Ltd.","author":[{"dropping-particle":"","family":"Villa","given":"Elizabeth","non-dropping-particle":"","parse-names":false,"suffix":""},{"dropping-particle":"","family":"Schaffer","given":"Miroslava","non-dropping-particle":"","parse-names":false,"suffix":""},{"dropping-particle":"","family":"Plitzko","given":"Jürgen M.","non-dropping-particle":"","parse-names":false,"suffix":""},{"dropping-particle":"","family":"Baumeister","given":"Wolfgang","non-dropping-particle":"","parse-names":false,"suffix":""}],"container-title":"Current Opinion in Structural Biology","id":"ITEM-2","issue":"5","issued":{"date-parts":[["2013"]]},"page":"771-777","title":"Opening windows into the cell: Focused-ion-beam milling for cryo-electron tomography","type":"article","volume":"23"},"uris":["http://www.mendeley.com/documents/?uuid=f7789086-8178-35be-aa61-a88921904879"]},{"id":"ITEM-3","itemData":{"DOI":"10.1016/j.ymeth.2016.02.017","ISBN":"1095-9130 (Electronic)\\r1046-2023 (Linking)","ISSN":"10959130","PMID":"26931652","abstract":"Transmission electron microscopy (EM) is a versatile technique that can be used to image biological specimens ranging from intact eukaryotic cells to individual proteins &gt;150 kDa. There are several strategies for preparing samples for imaging by EM, including negative staining and cryogenic freezing. In the last few years, cryo-EM has undergone a 'resolution revolution', owing to both advances in imaging hardware, image processing software, and improvements in sample preparation, leading to growing number of researchers using cryo-EM as a research tool. However, cryo-EM is still a rapidly growing field, with unique challenges. Here, we summarise considerations for imaging of a range of specimens from macromolecular complexes to cells using EM.","author":[{"dropping-particle":"","family":"Thompson","given":"Rebecca F.","non-dropping-particle":"","parse-names":false,"suffix":""},{"dropping-particle":"","family":"Walker","given":"Matt","non-dropping-particle":"","parse-names":false,"suffix":""},{"dropping-particle":"","family":"Siebert","given":"C. Alistair","non-dropping-particle":"","parse-names":false,"suffix":""},{"dropping-particle":"","family":"Muench","given":"Stephen P.","non-dropping-particle":"","parse-names":false,"suffix":""},{"dropping-particle":"","family":"Ranson","given":"Neil A.","non-dropping-particle":"","parse-names":false,"suffix":""}],"container-title":"Methods","id":"ITEM-3","issued":{"date-parts":[["2016"]]},"page":"3-15","title":"An introduction to sample preparation and imaging by cryo-electron microscopy for structural biology","type":"article-journal","volume":"100"},"uris":["http://www.mendeley.com/documents/?uuid=74d9b2aa-74d0-31c6-ac0d-b0308b5ae5d8"]}],"mendeley":{"formattedCitation":"&lt;sup&gt;[225,227,228]&lt;/sup&gt;","plainTextFormattedCitation":"[225,227,228]","previouslyFormattedCitation":"&lt;sup&gt;[225,227,228]&lt;/sup&gt;"},"properties":{"noteIndex":0},"schema":"https://github.com/citation-style-language/schema/raw/master/csl-citation.json"}</w:instrText>
      </w:r>
      <w:r>
        <w:fldChar w:fldCharType="separate"/>
      </w:r>
      <w:r w:rsidR="002659E5" w:rsidRPr="002659E5">
        <w:rPr>
          <w:noProof/>
          <w:vertAlign w:val="superscript"/>
        </w:rPr>
        <w:t>[225,227,228]</w:t>
      </w:r>
      <w:r>
        <w:fldChar w:fldCharType="end"/>
      </w:r>
    </w:p>
    <w:p w14:paraId="5D4EFE28" w14:textId="0F586510" w:rsidR="00DE2E72" w:rsidRDefault="00DE2E72" w:rsidP="00DE2E72">
      <w:pPr>
        <w:pStyle w:val="Heading2"/>
      </w:pPr>
      <w:bookmarkStart w:id="121" w:name="_Toc90216743"/>
      <w:r>
        <w:t xml:space="preserve">Project </w:t>
      </w:r>
      <w:r w:rsidR="00CC235C">
        <w:t>a</w:t>
      </w:r>
      <w:r>
        <w:t>ims</w:t>
      </w:r>
      <w:r w:rsidR="007006CC">
        <w:t>.</w:t>
      </w:r>
      <w:bookmarkEnd w:id="121"/>
    </w:p>
    <w:p w14:paraId="0E720EA4" w14:textId="062B83EF" w:rsidR="006C3F45" w:rsidRDefault="0048666C" w:rsidP="0048666C">
      <w:r>
        <w:t xml:space="preserve">Countless research has been carried out on </w:t>
      </w:r>
      <w:r w:rsidR="009D543B">
        <w:t xml:space="preserve">the growth, pathogenesis and ways to kill </w:t>
      </w:r>
      <w:r w:rsidR="009D543B">
        <w:rPr>
          <w:i/>
          <w:iCs/>
        </w:rPr>
        <w:t>S. aureus.</w:t>
      </w:r>
      <w:r w:rsidR="006C3F45">
        <w:t xml:space="preserve"> </w:t>
      </w:r>
      <w:r>
        <w:t>The</w:t>
      </w:r>
      <w:r w:rsidR="00B92A9D">
        <w:t>refore, the</w:t>
      </w:r>
      <w:r>
        <w:t xml:space="preserve"> aim of this investigation </w:t>
      </w:r>
      <w:r w:rsidR="00F6014C">
        <w:t>was</w:t>
      </w:r>
      <w:r>
        <w:t xml:space="preserve"> to</w:t>
      </w:r>
      <w:r w:rsidR="006C3F45">
        <w:t xml:space="preserve"> put together the accumulated knowledge o</w:t>
      </w:r>
      <w:r w:rsidR="001054DF">
        <w:t>f</w:t>
      </w:r>
      <w:r w:rsidR="006C3F45">
        <w:t xml:space="preserve"> bacterial growth and the action of bactericidal </w:t>
      </w:r>
      <w:r w:rsidR="00B92A9D">
        <w:t xml:space="preserve">cell </w:t>
      </w:r>
      <w:r w:rsidR="006C3F45">
        <w:t>wall antibiotics</w:t>
      </w:r>
      <w:r w:rsidR="003073E5">
        <w:t xml:space="preserve"> </w:t>
      </w:r>
      <w:r w:rsidR="00B92A9D">
        <w:t>to</w:t>
      </w:r>
      <w:r>
        <w:t xml:space="preserve"> analyse in depth the viability of </w:t>
      </w:r>
      <w:r>
        <w:rPr>
          <w:i/>
          <w:iCs/>
        </w:rPr>
        <w:t>S. aureus</w:t>
      </w:r>
      <w:r w:rsidR="006C3F45">
        <w:t>.</w:t>
      </w:r>
    </w:p>
    <w:p w14:paraId="5E764EAE" w14:textId="4899B2A7" w:rsidR="0048666C" w:rsidRPr="0048666C" w:rsidRDefault="0048666C" w:rsidP="0048666C">
      <w:r>
        <w:t xml:space="preserve">To do </w:t>
      </w:r>
      <w:r w:rsidR="00F6014C">
        <w:t>this</w:t>
      </w:r>
      <w:r>
        <w:t xml:space="preserve">, </w:t>
      </w:r>
      <w:r w:rsidR="009E0A8B">
        <w:t>I</w:t>
      </w:r>
      <w:r>
        <w:t xml:space="preserve"> </w:t>
      </w:r>
      <w:r w:rsidR="006C3F45">
        <w:t>tested</w:t>
      </w:r>
      <w:r>
        <w:t xml:space="preserve"> and </w:t>
      </w:r>
      <w:r w:rsidR="006C3F45">
        <w:t>optimised</w:t>
      </w:r>
      <w:r>
        <w:t xml:space="preserve"> the best electron microscopy techniques for studying the bacterial envelope</w:t>
      </w:r>
      <w:r w:rsidR="006C3F45">
        <w:t>,</w:t>
      </w:r>
      <w:r w:rsidR="0038552F">
        <w:t xml:space="preserve"> and examined</w:t>
      </w:r>
      <w:r w:rsidR="006C3F45">
        <w:t xml:space="preserve"> the maintenance of the exoplasm and peptidoglycan cell wall homeostasis. Finally, </w:t>
      </w:r>
      <w:r w:rsidR="002F7D19">
        <w:t>I</w:t>
      </w:r>
      <w:r w:rsidR="006C3F45">
        <w:t xml:space="preserve"> tested </w:t>
      </w:r>
      <w:r w:rsidR="0038552F">
        <w:t>our</w:t>
      </w:r>
      <w:r w:rsidR="006C3F45">
        <w:t xml:space="preserve"> </w:t>
      </w:r>
      <w:r w:rsidR="002F7D19">
        <w:t>hypothesis</w:t>
      </w:r>
      <w:r w:rsidR="006C3F45">
        <w:t xml:space="preserve"> </w:t>
      </w:r>
      <w:r w:rsidR="00375610">
        <w:t>for</w:t>
      </w:r>
      <w:r w:rsidR="006C3F45">
        <w:t xml:space="preserve"> bacterial life and death</w:t>
      </w:r>
      <w:r w:rsidR="00C52B2C">
        <w:t xml:space="preserve"> as a facet </w:t>
      </w:r>
      <w:r w:rsidR="00A14387">
        <w:t>of</w:t>
      </w:r>
      <w:r w:rsidR="00C52B2C">
        <w:t xml:space="preserve"> cell wall </w:t>
      </w:r>
      <w:r w:rsidR="00A20224">
        <w:t>homeostasis</w:t>
      </w:r>
      <w:r w:rsidR="006C3F45">
        <w:t xml:space="preserve">, and developed a model for bactericidal antibiotic </w:t>
      </w:r>
      <w:r w:rsidR="002F7D19">
        <w:t>action</w:t>
      </w:r>
      <w:r w:rsidR="006C3F45">
        <w:t xml:space="preserve"> </w:t>
      </w:r>
      <w:r w:rsidR="0038552F">
        <w:t>that lead</w:t>
      </w:r>
      <w:r w:rsidR="002F7D19">
        <w:t>s</w:t>
      </w:r>
      <w:r w:rsidR="006C3F45">
        <w:t xml:space="preserve"> to cell death.</w:t>
      </w:r>
    </w:p>
    <w:p w14:paraId="5FA9FDEB" w14:textId="77777777" w:rsidR="007548D9" w:rsidRDefault="007548D9">
      <w:pPr>
        <w:spacing w:before="0" w:line="259" w:lineRule="auto"/>
      </w:pPr>
    </w:p>
    <w:p w14:paraId="640A5CE7" w14:textId="7C9AF4B0" w:rsidR="007548D9" w:rsidRDefault="007548D9">
      <w:pPr>
        <w:spacing w:before="0" w:line="259" w:lineRule="auto"/>
        <w:sectPr w:rsidR="007548D9" w:rsidSect="004D0E05">
          <w:pgSz w:w="11906" w:h="16838"/>
          <w:pgMar w:top="1191" w:right="1247" w:bottom="1191" w:left="1247" w:header="709" w:footer="709" w:gutter="0"/>
          <w:cols w:space="708"/>
          <w:titlePg/>
          <w:docGrid w:linePitch="360"/>
        </w:sectPr>
      </w:pPr>
    </w:p>
    <w:p w14:paraId="3951A723" w14:textId="07F12488" w:rsidR="00201FE8" w:rsidRPr="00992042" w:rsidRDefault="00E40F77" w:rsidP="00992042">
      <w:pPr>
        <w:pStyle w:val="Heading1"/>
      </w:pPr>
      <w:bookmarkStart w:id="122" w:name="_Toc64276293"/>
      <w:bookmarkStart w:id="123" w:name="_Toc64276597"/>
      <w:bookmarkStart w:id="124" w:name="_Toc64276809"/>
      <w:bookmarkStart w:id="125" w:name="_Toc90216744"/>
      <w:r w:rsidRPr="00992042">
        <w:lastRenderedPageBreak/>
        <w:t>Chapter 2</w:t>
      </w:r>
      <w:bookmarkEnd w:id="122"/>
      <w:bookmarkEnd w:id="123"/>
      <w:bookmarkEnd w:id="124"/>
      <w:bookmarkEnd w:id="125"/>
    </w:p>
    <w:p w14:paraId="5C149627" w14:textId="20B0EB8F" w:rsidR="00E40F77" w:rsidRDefault="00E40F77" w:rsidP="00FA48D6">
      <w:pPr>
        <w:pStyle w:val="ChaptertitleThesis"/>
      </w:pPr>
      <w:bookmarkStart w:id="126" w:name="_Toc64276294"/>
      <w:bookmarkStart w:id="127" w:name="_Toc64276598"/>
      <w:bookmarkStart w:id="128" w:name="_Toc64276810"/>
      <w:bookmarkStart w:id="129" w:name="_Toc90216745"/>
      <w:r w:rsidRPr="005B0F81">
        <w:t xml:space="preserve">Materials and </w:t>
      </w:r>
      <w:r w:rsidR="002859F5">
        <w:t>M</w:t>
      </w:r>
      <w:r w:rsidRPr="005B0F81">
        <w:t>ethods</w:t>
      </w:r>
      <w:bookmarkEnd w:id="126"/>
      <w:bookmarkEnd w:id="127"/>
      <w:bookmarkEnd w:id="128"/>
      <w:bookmarkEnd w:id="129"/>
    </w:p>
    <w:p w14:paraId="5BB09238" w14:textId="4D29D1B5" w:rsidR="00FB102F" w:rsidRDefault="00FB102F" w:rsidP="00FB102F">
      <w:pPr>
        <w:pStyle w:val="Heading2"/>
      </w:pPr>
      <w:bookmarkStart w:id="130" w:name="_Toc90216746"/>
      <w:r>
        <w:t xml:space="preserve">Chemicals and </w:t>
      </w:r>
      <w:r w:rsidR="00D63D02">
        <w:t>e</w:t>
      </w:r>
      <w:r>
        <w:t>nzymes</w:t>
      </w:r>
      <w:r w:rsidR="007006CC">
        <w:t>.</w:t>
      </w:r>
      <w:bookmarkEnd w:id="130"/>
    </w:p>
    <w:p w14:paraId="28FA919C" w14:textId="5BECA268" w:rsidR="007F68FC" w:rsidRPr="00FA5F41" w:rsidRDefault="00FB102F" w:rsidP="00FA5F41">
      <w:r>
        <w:t>All chemicals and enzymes used in this study were of analytical grade and were purchased from Merck (Sigma-Aldrich)</w:t>
      </w:r>
      <w:r w:rsidR="00614F1A">
        <w:t>, Fisher Scientific or MP Biomedicals</w:t>
      </w:r>
      <w:r w:rsidR="00150B45">
        <w:t>,</w:t>
      </w:r>
      <w:r w:rsidR="00614F1A">
        <w:t xml:space="preserve"> unless stated otherwise.</w:t>
      </w:r>
      <w:r w:rsidR="00DE5754">
        <w:t xml:space="preserve"> Stock solution concentrations, solvents </w:t>
      </w:r>
      <w:r w:rsidR="006E322D">
        <w:t>used,</w:t>
      </w:r>
      <w:r w:rsidR="00DE5754">
        <w:t xml:space="preserve"> and the storage conditions can be found in </w:t>
      </w:r>
      <w:r w:rsidR="00DE5754">
        <w:fldChar w:fldCharType="begin"/>
      </w:r>
      <w:r w:rsidR="00DE5754">
        <w:instrText xml:space="preserve"> REF _Ref79660554 \h </w:instrText>
      </w:r>
      <w:r w:rsidR="00DE5754">
        <w:fldChar w:fldCharType="separate"/>
      </w:r>
      <w:r w:rsidR="00183CC8">
        <w:t xml:space="preserve">Table </w:t>
      </w:r>
      <w:r w:rsidR="00183CC8">
        <w:rPr>
          <w:noProof/>
        </w:rPr>
        <w:t>2</w:t>
      </w:r>
      <w:r w:rsidR="00183CC8">
        <w:t>.</w:t>
      </w:r>
      <w:r w:rsidR="00183CC8">
        <w:rPr>
          <w:noProof/>
        </w:rPr>
        <w:t>1</w:t>
      </w:r>
      <w:r w:rsidR="00DE5754">
        <w:fldChar w:fldCharType="end"/>
      </w:r>
      <w:r w:rsidR="00DE5754">
        <w:t>.</w:t>
      </w:r>
    </w:p>
    <w:tbl>
      <w:tblPr>
        <w:tblStyle w:val="GridTable1Light"/>
        <w:tblW w:w="0" w:type="auto"/>
        <w:tblLook w:val="04A0" w:firstRow="1" w:lastRow="0" w:firstColumn="1" w:lastColumn="0" w:noHBand="0" w:noVBand="1"/>
      </w:tblPr>
      <w:tblGrid>
        <w:gridCol w:w="3487"/>
        <w:gridCol w:w="1822"/>
        <w:gridCol w:w="2015"/>
        <w:gridCol w:w="2078"/>
      </w:tblGrid>
      <w:tr w:rsidR="00944497" w:rsidRPr="00A0372E" w14:paraId="1E532185" w14:textId="77777777" w:rsidTr="00A037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double" w:sz="4" w:space="0" w:color="auto"/>
            </w:tcBorders>
            <w:vAlign w:val="center"/>
          </w:tcPr>
          <w:p w14:paraId="6C5548F0" w14:textId="1D69952C" w:rsidR="00944497" w:rsidRPr="00A0372E" w:rsidRDefault="00944497" w:rsidP="00297B1E">
            <w:pPr>
              <w:pStyle w:val="Tabletextnormal"/>
              <w:jc w:val="center"/>
              <w:rPr>
                <w:szCs w:val="22"/>
              </w:rPr>
            </w:pPr>
            <w:r w:rsidRPr="00A0372E">
              <w:rPr>
                <w:szCs w:val="22"/>
              </w:rPr>
              <w:t>Solution</w:t>
            </w:r>
          </w:p>
        </w:tc>
        <w:tc>
          <w:tcPr>
            <w:tcW w:w="0" w:type="auto"/>
            <w:tcBorders>
              <w:bottom w:val="double" w:sz="4" w:space="0" w:color="auto"/>
            </w:tcBorders>
            <w:vAlign w:val="center"/>
          </w:tcPr>
          <w:p w14:paraId="1EDC156D" w14:textId="0C6C2378" w:rsidR="00944497" w:rsidRPr="00A0372E" w:rsidRDefault="00944497" w:rsidP="00297B1E">
            <w:pPr>
              <w:pStyle w:val="Tabletextnormal"/>
              <w:jc w:val="center"/>
              <w:cnfStyle w:val="100000000000" w:firstRow="1" w:lastRow="0" w:firstColumn="0" w:lastColumn="0" w:oddVBand="0" w:evenVBand="0" w:oddHBand="0" w:evenHBand="0" w:firstRowFirstColumn="0" w:firstRowLastColumn="0" w:lastRowFirstColumn="0" w:lastRowLastColumn="0"/>
              <w:rPr>
                <w:szCs w:val="22"/>
              </w:rPr>
            </w:pPr>
            <w:r w:rsidRPr="00A0372E">
              <w:rPr>
                <w:szCs w:val="22"/>
              </w:rPr>
              <w:t>Stock Concentration</w:t>
            </w:r>
          </w:p>
        </w:tc>
        <w:tc>
          <w:tcPr>
            <w:tcW w:w="0" w:type="auto"/>
            <w:tcBorders>
              <w:bottom w:val="double" w:sz="4" w:space="0" w:color="auto"/>
            </w:tcBorders>
            <w:vAlign w:val="center"/>
          </w:tcPr>
          <w:p w14:paraId="7C2EC259" w14:textId="155D53EA" w:rsidR="00944497" w:rsidRPr="00A0372E" w:rsidRDefault="00997B3F" w:rsidP="00297B1E">
            <w:pPr>
              <w:pStyle w:val="Tabletextnormal"/>
              <w:jc w:val="center"/>
              <w:cnfStyle w:val="100000000000" w:firstRow="1" w:lastRow="0" w:firstColumn="0" w:lastColumn="0" w:oddVBand="0" w:evenVBand="0" w:oddHBand="0" w:evenHBand="0" w:firstRowFirstColumn="0" w:firstRowLastColumn="0" w:lastRowFirstColumn="0" w:lastRowLastColumn="0"/>
              <w:rPr>
                <w:szCs w:val="22"/>
              </w:rPr>
            </w:pPr>
            <w:r w:rsidRPr="00A0372E">
              <w:rPr>
                <w:szCs w:val="22"/>
              </w:rPr>
              <w:t>Solvent</w:t>
            </w:r>
          </w:p>
        </w:tc>
        <w:tc>
          <w:tcPr>
            <w:tcW w:w="0" w:type="auto"/>
            <w:tcBorders>
              <w:bottom w:val="double" w:sz="4" w:space="0" w:color="auto"/>
            </w:tcBorders>
            <w:vAlign w:val="center"/>
          </w:tcPr>
          <w:p w14:paraId="28E2C2AD" w14:textId="45AEC5FD" w:rsidR="00944497" w:rsidRPr="00A0372E" w:rsidRDefault="00944497" w:rsidP="00297B1E">
            <w:pPr>
              <w:pStyle w:val="Tabletextnormal"/>
              <w:jc w:val="center"/>
              <w:cnfStyle w:val="100000000000" w:firstRow="1" w:lastRow="0" w:firstColumn="0" w:lastColumn="0" w:oddVBand="0" w:evenVBand="0" w:oddHBand="0" w:evenHBand="0" w:firstRowFirstColumn="0" w:firstRowLastColumn="0" w:lastRowFirstColumn="0" w:lastRowLastColumn="0"/>
              <w:rPr>
                <w:szCs w:val="22"/>
              </w:rPr>
            </w:pPr>
            <w:r w:rsidRPr="00A0372E">
              <w:rPr>
                <w:szCs w:val="22"/>
              </w:rPr>
              <w:t>S</w:t>
            </w:r>
            <w:r w:rsidR="00997B3F" w:rsidRPr="00A0372E">
              <w:rPr>
                <w:szCs w:val="22"/>
              </w:rPr>
              <w:t>torage</w:t>
            </w:r>
          </w:p>
        </w:tc>
      </w:tr>
      <w:tr w:rsidR="00944497" w:rsidRPr="00A0372E" w14:paraId="03A9C8C2" w14:textId="77777777" w:rsidTr="00A0372E">
        <w:tc>
          <w:tcPr>
            <w:cnfStyle w:val="001000000000" w:firstRow="0" w:lastRow="0" w:firstColumn="1" w:lastColumn="0" w:oddVBand="0" w:evenVBand="0" w:oddHBand="0" w:evenHBand="0" w:firstRowFirstColumn="0" w:firstRowLastColumn="0" w:lastRowFirstColumn="0" w:lastRowLastColumn="0"/>
            <w:tcW w:w="0" w:type="auto"/>
            <w:tcBorders>
              <w:top w:val="double" w:sz="4" w:space="0" w:color="auto"/>
            </w:tcBorders>
          </w:tcPr>
          <w:p w14:paraId="7639A768" w14:textId="73E58EF9" w:rsidR="00944497" w:rsidRPr="00A0372E" w:rsidRDefault="00997B3F" w:rsidP="00297B1E">
            <w:pPr>
              <w:pStyle w:val="Tabletextnormal"/>
              <w:rPr>
                <w:szCs w:val="22"/>
              </w:rPr>
            </w:pPr>
            <w:r w:rsidRPr="00A0372E">
              <w:rPr>
                <w:szCs w:val="22"/>
              </w:rPr>
              <w:t>Lysostaphin</w:t>
            </w:r>
            <w:r w:rsidR="00944497" w:rsidRPr="00A0372E">
              <w:rPr>
                <w:szCs w:val="22"/>
              </w:rPr>
              <w:t xml:space="preserve"> (</w:t>
            </w:r>
            <w:r w:rsidRPr="00A0372E">
              <w:rPr>
                <w:szCs w:val="22"/>
              </w:rPr>
              <w:t>Sigma</w:t>
            </w:r>
            <w:r w:rsidR="00944497" w:rsidRPr="00A0372E">
              <w:rPr>
                <w:szCs w:val="22"/>
              </w:rPr>
              <w:t>)</w:t>
            </w:r>
          </w:p>
        </w:tc>
        <w:tc>
          <w:tcPr>
            <w:tcW w:w="0" w:type="auto"/>
            <w:tcBorders>
              <w:top w:val="double" w:sz="4" w:space="0" w:color="auto"/>
            </w:tcBorders>
          </w:tcPr>
          <w:p w14:paraId="1CD8348C" w14:textId="3A23AD39" w:rsidR="00944497" w:rsidRPr="00A0372E" w:rsidRDefault="00944497" w:rsidP="00297B1E">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A0372E">
              <w:rPr>
                <w:szCs w:val="22"/>
              </w:rPr>
              <w:t>5</w:t>
            </w:r>
            <w:r w:rsidR="00997B3F" w:rsidRPr="00A0372E">
              <w:rPr>
                <w:szCs w:val="22"/>
              </w:rPr>
              <w:t> mg/ml</w:t>
            </w:r>
          </w:p>
        </w:tc>
        <w:tc>
          <w:tcPr>
            <w:tcW w:w="0" w:type="auto"/>
            <w:tcBorders>
              <w:top w:val="double" w:sz="4" w:space="0" w:color="auto"/>
            </w:tcBorders>
          </w:tcPr>
          <w:p w14:paraId="2D64AAC3" w14:textId="53B4D78D" w:rsidR="00944497" w:rsidRPr="00A0372E" w:rsidRDefault="00997B3F" w:rsidP="00297B1E">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A0372E">
              <w:rPr>
                <w:szCs w:val="22"/>
              </w:rPr>
              <w:t>20 mM sodium acetate pH 5.2</w:t>
            </w:r>
          </w:p>
        </w:tc>
        <w:tc>
          <w:tcPr>
            <w:tcW w:w="0" w:type="auto"/>
            <w:tcBorders>
              <w:top w:val="double" w:sz="4" w:space="0" w:color="auto"/>
            </w:tcBorders>
          </w:tcPr>
          <w:p w14:paraId="09F7D4C2" w14:textId="47907BC6" w:rsidR="00944497" w:rsidRPr="00A0372E" w:rsidRDefault="00BF5BC1" w:rsidP="00297B1E">
            <w:pPr>
              <w:pStyle w:val="Tabletextnormal"/>
              <w:cnfStyle w:val="000000000000" w:firstRow="0" w:lastRow="0" w:firstColumn="0" w:lastColumn="0" w:oddVBand="0" w:evenVBand="0" w:oddHBand="0" w:evenHBand="0" w:firstRowFirstColumn="0" w:firstRowLastColumn="0" w:lastRowFirstColumn="0" w:lastRowLastColumn="0"/>
              <w:rPr>
                <w:szCs w:val="22"/>
              </w:rPr>
            </w:pPr>
            <w:r>
              <w:rPr>
                <w:szCs w:val="22"/>
              </w:rPr>
              <w:t>–</w:t>
            </w:r>
            <w:r w:rsidR="00997B3F" w:rsidRPr="00A0372E">
              <w:rPr>
                <w:szCs w:val="22"/>
              </w:rPr>
              <w:t> 20 </w:t>
            </w:r>
            <w:r w:rsidR="00997B3F" w:rsidRPr="00A0372E">
              <w:rPr>
                <w:rFonts w:cs="Calibri"/>
                <w:szCs w:val="22"/>
              </w:rPr>
              <w:t>°</w:t>
            </w:r>
            <w:r w:rsidR="00997B3F" w:rsidRPr="00A0372E">
              <w:rPr>
                <w:szCs w:val="22"/>
              </w:rPr>
              <w:t>C</w:t>
            </w:r>
          </w:p>
        </w:tc>
      </w:tr>
      <w:tr w:rsidR="00944497" w:rsidRPr="00A0372E" w14:paraId="234EED65" w14:textId="77777777" w:rsidTr="00A0372E">
        <w:tc>
          <w:tcPr>
            <w:cnfStyle w:val="001000000000" w:firstRow="0" w:lastRow="0" w:firstColumn="1" w:lastColumn="0" w:oddVBand="0" w:evenVBand="0" w:oddHBand="0" w:evenHBand="0" w:firstRowFirstColumn="0" w:firstRowLastColumn="0" w:lastRowFirstColumn="0" w:lastRowLastColumn="0"/>
            <w:tcW w:w="0" w:type="auto"/>
            <w:vAlign w:val="center"/>
          </w:tcPr>
          <w:p w14:paraId="23876962" w14:textId="79054C2C" w:rsidR="00944497" w:rsidRPr="00A0372E" w:rsidRDefault="00415F35" w:rsidP="008739CB">
            <w:pPr>
              <w:pStyle w:val="Tabletextnormal"/>
              <w:rPr>
                <w:szCs w:val="22"/>
              </w:rPr>
            </w:pPr>
            <w:r w:rsidRPr="00A0372E">
              <w:rPr>
                <w:szCs w:val="22"/>
              </w:rPr>
              <w:t>IPTG (Isopropyl-ᴅ-1- thiogalactopyranoside)</w:t>
            </w:r>
          </w:p>
        </w:tc>
        <w:tc>
          <w:tcPr>
            <w:tcW w:w="0" w:type="auto"/>
            <w:vAlign w:val="center"/>
          </w:tcPr>
          <w:p w14:paraId="1CE2A334" w14:textId="7DFD6537" w:rsidR="00944497" w:rsidRPr="00A0372E" w:rsidRDefault="00B90C6A" w:rsidP="008739CB">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A0372E">
              <w:rPr>
                <w:szCs w:val="22"/>
              </w:rPr>
              <w:t>1 M</w:t>
            </w:r>
            <w:r w:rsidR="006B38C4">
              <w:rPr>
                <w:szCs w:val="22"/>
              </w:rPr>
              <w:t xml:space="preserve"> and</w:t>
            </w:r>
            <w:r w:rsidR="00B90492">
              <w:rPr>
                <w:szCs w:val="22"/>
              </w:rPr>
              <w:t xml:space="preserve"> </w:t>
            </w:r>
            <w:r w:rsidR="00B90492" w:rsidRPr="00A0372E">
              <w:rPr>
                <w:szCs w:val="22"/>
              </w:rPr>
              <w:t>10 µM</w:t>
            </w:r>
          </w:p>
        </w:tc>
        <w:tc>
          <w:tcPr>
            <w:tcW w:w="0" w:type="auto"/>
            <w:vAlign w:val="center"/>
          </w:tcPr>
          <w:p w14:paraId="3D9BCA1F" w14:textId="2517FB9B" w:rsidR="00944497" w:rsidRPr="00A0372E" w:rsidRDefault="008739CB" w:rsidP="008739CB">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A0372E">
              <w:rPr>
                <w:szCs w:val="22"/>
              </w:rPr>
              <w:t>dH</w:t>
            </w:r>
            <w:r w:rsidRPr="00A0372E">
              <w:rPr>
                <w:szCs w:val="22"/>
                <w:vertAlign w:val="subscript"/>
              </w:rPr>
              <w:t>2</w:t>
            </w:r>
            <w:r w:rsidRPr="00A0372E">
              <w:rPr>
                <w:szCs w:val="22"/>
              </w:rPr>
              <w:t>O</w:t>
            </w:r>
          </w:p>
        </w:tc>
        <w:tc>
          <w:tcPr>
            <w:tcW w:w="0" w:type="auto"/>
            <w:vAlign w:val="center"/>
          </w:tcPr>
          <w:p w14:paraId="1CA5E500" w14:textId="6B7D2582" w:rsidR="00944497" w:rsidRPr="00A0372E" w:rsidRDefault="00BF5BC1" w:rsidP="008739CB">
            <w:pPr>
              <w:pStyle w:val="Tabletextnormal"/>
              <w:keepNext/>
              <w:cnfStyle w:val="000000000000" w:firstRow="0" w:lastRow="0" w:firstColumn="0" w:lastColumn="0" w:oddVBand="0" w:evenVBand="0" w:oddHBand="0" w:evenHBand="0" w:firstRowFirstColumn="0" w:firstRowLastColumn="0" w:lastRowFirstColumn="0" w:lastRowLastColumn="0"/>
              <w:rPr>
                <w:szCs w:val="22"/>
              </w:rPr>
            </w:pPr>
            <w:r>
              <w:rPr>
                <w:szCs w:val="22"/>
              </w:rPr>
              <w:t>–</w:t>
            </w:r>
            <w:r w:rsidR="00F92C1A" w:rsidRPr="00A0372E">
              <w:rPr>
                <w:szCs w:val="22"/>
              </w:rPr>
              <w:t> 20 </w:t>
            </w:r>
            <w:r w:rsidR="00F92C1A" w:rsidRPr="00A0372E">
              <w:rPr>
                <w:rFonts w:cs="Calibri"/>
                <w:szCs w:val="22"/>
              </w:rPr>
              <w:t>°</w:t>
            </w:r>
            <w:r w:rsidR="00F92C1A" w:rsidRPr="00A0372E">
              <w:rPr>
                <w:szCs w:val="22"/>
              </w:rPr>
              <w:t>C</w:t>
            </w:r>
          </w:p>
        </w:tc>
      </w:tr>
      <w:tr w:rsidR="00AA680B" w:rsidRPr="00A0372E" w14:paraId="39D9CB11" w14:textId="77777777" w:rsidTr="00A0372E">
        <w:tc>
          <w:tcPr>
            <w:cnfStyle w:val="001000000000" w:firstRow="0" w:lastRow="0" w:firstColumn="1" w:lastColumn="0" w:oddVBand="0" w:evenVBand="0" w:oddHBand="0" w:evenHBand="0" w:firstRowFirstColumn="0" w:firstRowLastColumn="0" w:lastRowFirstColumn="0" w:lastRowLastColumn="0"/>
            <w:tcW w:w="0" w:type="auto"/>
            <w:vAlign w:val="center"/>
          </w:tcPr>
          <w:p w14:paraId="055D8BE5" w14:textId="3914A2F6" w:rsidR="00AA680B" w:rsidRPr="001C35B1" w:rsidRDefault="00AA680B" w:rsidP="00AA680B">
            <w:pPr>
              <w:pStyle w:val="Tabletextnormal"/>
              <w:rPr>
                <w:szCs w:val="22"/>
              </w:rPr>
            </w:pPr>
            <w:r w:rsidRPr="001C35B1">
              <w:rPr>
                <w:szCs w:val="22"/>
              </w:rPr>
              <w:t>NHS-ester Alexa Fluor™ 555 (Molecular Probes)</w:t>
            </w:r>
          </w:p>
        </w:tc>
        <w:tc>
          <w:tcPr>
            <w:tcW w:w="0" w:type="auto"/>
            <w:vAlign w:val="center"/>
          </w:tcPr>
          <w:p w14:paraId="70CC9174" w14:textId="26C24F08" w:rsidR="00AA680B" w:rsidRPr="00A0372E" w:rsidRDefault="00AA680B" w:rsidP="00AA680B">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A0372E">
              <w:rPr>
                <w:szCs w:val="22"/>
              </w:rPr>
              <w:t>0.5 mg/ml</w:t>
            </w:r>
          </w:p>
        </w:tc>
        <w:tc>
          <w:tcPr>
            <w:tcW w:w="0" w:type="auto"/>
            <w:vAlign w:val="center"/>
          </w:tcPr>
          <w:p w14:paraId="72F4F0FF" w14:textId="4833AB1C" w:rsidR="00AA680B" w:rsidRPr="00A0372E" w:rsidRDefault="00AA680B" w:rsidP="00AA680B">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A0372E">
              <w:rPr>
                <w:szCs w:val="22"/>
              </w:rPr>
              <w:t>DMSO</w:t>
            </w:r>
          </w:p>
        </w:tc>
        <w:tc>
          <w:tcPr>
            <w:tcW w:w="0" w:type="auto"/>
            <w:vAlign w:val="center"/>
          </w:tcPr>
          <w:p w14:paraId="39CE492B" w14:textId="684ACD8E" w:rsidR="00AA680B" w:rsidRPr="00A0372E" w:rsidRDefault="00BF5BC1" w:rsidP="00AA680B">
            <w:pPr>
              <w:pStyle w:val="Tabletextnormal"/>
              <w:keepNext/>
              <w:cnfStyle w:val="000000000000" w:firstRow="0" w:lastRow="0" w:firstColumn="0" w:lastColumn="0" w:oddVBand="0" w:evenVBand="0" w:oddHBand="0" w:evenHBand="0" w:firstRowFirstColumn="0" w:firstRowLastColumn="0" w:lastRowFirstColumn="0" w:lastRowLastColumn="0"/>
              <w:rPr>
                <w:szCs w:val="22"/>
              </w:rPr>
            </w:pPr>
            <w:r>
              <w:rPr>
                <w:szCs w:val="22"/>
              </w:rPr>
              <w:t>–</w:t>
            </w:r>
            <w:r w:rsidR="00AA680B" w:rsidRPr="00A0372E">
              <w:rPr>
                <w:szCs w:val="22"/>
              </w:rPr>
              <w:t> 20 </w:t>
            </w:r>
            <w:r w:rsidR="00AA680B" w:rsidRPr="00A0372E">
              <w:rPr>
                <w:rFonts w:cs="Calibri"/>
                <w:szCs w:val="22"/>
              </w:rPr>
              <w:t>°</w:t>
            </w:r>
            <w:r w:rsidR="00AA680B" w:rsidRPr="00A0372E">
              <w:rPr>
                <w:szCs w:val="22"/>
              </w:rPr>
              <w:t>C, covered from the light.</w:t>
            </w:r>
          </w:p>
        </w:tc>
      </w:tr>
    </w:tbl>
    <w:p w14:paraId="7C7292A5" w14:textId="413646E5" w:rsidR="007F68FC" w:rsidRPr="00FB102F" w:rsidRDefault="00E216A1" w:rsidP="00E216A1">
      <w:pPr>
        <w:pStyle w:val="Caption"/>
      </w:pPr>
      <w:bookmarkStart w:id="131" w:name="_Ref79660554"/>
      <w:bookmarkStart w:id="132" w:name="_Toc90217047"/>
      <w:r>
        <w:t xml:space="preserve">Table </w:t>
      </w:r>
      <w:r w:rsidR="003373BF">
        <w:fldChar w:fldCharType="begin"/>
      </w:r>
      <w:r w:rsidR="003373BF">
        <w:instrText xml:space="preserve"> STYLEREF 1 \s </w:instrText>
      </w:r>
      <w:r w:rsidR="003373BF">
        <w:fldChar w:fldCharType="separate"/>
      </w:r>
      <w:r w:rsidR="00183CC8">
        <w:rPr>
          <w:noProof/>
        </w:rPr>
        <w:t>2</w:t>
      </w:r>
      <w:r w:rsidR="003373BF">
        <w:rPr>
          <w:noProof/>
        </w:rPr>
        <w:fldChar w:fldCharType="end"/>
      </w:r>
      <w:r w:rsidR="00F12B90">
        <w:t>.</w:t>
      </w:r>
      <w:r w:rsidR="003373BF">
        <w:fldChar w:fldCharType="begin"/>
      </w:r>
      <w:r w:rsidR="003373BF">
        <w:instrText xml:space="preserve"> SEQ Table \* ARABIC \s 1 </w:instrText>
      </w:r>
      <w:r w:rsidR="003373BF">
        <w:fldChar w:fldCharType="separate"/>
      </w:r>
      <w:r w:rsidR="00183CC8">
        <w:rPr>
          <w:noProof/>
        </w:rPr>
        <w:t>1</w:t>
      </w:r>
      <w:r w:rsidR="003373BF">
        <w:rPr>
          <w:noProof/>
        </w:rPr>
        <w:fldChar w:fldCharType="end"/>
      </w:r>
      <w:bookmarkEnd w:id="131"/>
      <w:r>
        <w:t xml:space="preserve"> List of chemical</w:t>
      </w:r>
      <w:r w:rsidR="00E16B9B">
        <w:t xml:space="preserve"> stock solutions used in this study.</w:t>
      </w:r>
      <w:bookmarkEnd w:id="132"/>
    </w:p>
    <w:p w14:paraId="253F2560" w14:textId="7789031E" w:rsidR="00E40F77" w:rsidRPr="005B4910" w:rsidRDefault="004B0C7E" w:rsidP="005B4910">
      <w:pPr>
        <w:pStyle w:val="Heading2"/>
      </w:pPr>
      <w:bookmarkStart w:id="133" w:name="_Toc64276295"/>
      <w:bookmarkStart w:id="134" w:name="_Toc64276599"/>
      <w:bookmarkStart w:id="135" w:name="_Toc64276811"/>
      <w:bookmarkStart w:id="136" w:name="_Toc90216747"/>
      <w:r w:rsidRPr="005B4910">
        <w:t xml:space="preserve">Growth </w:t>
      </w:r>
      <w:r w:rsidR="00D63D02">
        <w:t>m</w:t>
      </w:r>
      <w:r w:rsidRPr="005B4910">
        <w:t>edia</w:t>
      </w:r>
      <w:bookmarkEnd w:id="133"/>
      <w:bookmarkEnd w:id="134"/>
      <w:bookmarkEnd w:id="135"/>
      <w:r w:rsidR="007006CC">
        <w:t>.</w:t>
      </w:r>
      <w:bookmarkEnd w:id="136"/>
    </w:p>
    <w:p w14:paraId="6838981F" w14:textId="18C49F05" w:rsidR="00A06904" w:rsidRPr="005B0F81" w:rsidRDefault="00A06904" w:rsidP="00A06904">
      <w:r w:rsidRPr="005B0F81">
        <w:t>The following bacterial growth media was prepared with ultra-distilled water (dH</w:t>
      </w:r>
      <w:r w:rsidRPr="00150BDB">
        <w:rPr>
          <w:vertAlign w:val="subscript"/>
        </w:rPr>
        <w:t>2</w:t>
      </w:r>
      <w:r w:rsidRPr="005B0F81">
        <w:t>O), obtained from Millipore’s Milli-Q</w:t>
      </w:r>
      <w:r w:rsidRPr="005B0F81">
        <w:rPr>
          <w:vertAlign w:val="superscript"/>
        </w:rPr>
        <w:t>®</w:t>
      </w:r>
      <w:r w:rsidRPr="005B0F81">
        <w:t xml:space="preserve"> Integral Water Purification System. Once prepared, all media was sterilised by autoclaving at 121 °C and 15</w:t>
      </w:r>
      <w:r w:rsidR="00E80565">
        <w:t> </w:t>
      </w:r>
      <w:r w:rsidRPr="005B0F81">
        <w:t>psi for 20 minutes (min) with either a Prestige Medical© Classic 12L autoclave or a Rodwell Phoenix 60 autoclave.</w:t>
      </w:r>
    </w:p>
    <w:p w14:paraId="06FFA7F7" w14:textId="45727366" w:rsidR="009C11A2" w:rsidRPr="005B0F81" w:rsidRDefault="009C11A2" w:rsidP="009C11A2">
      <w:pPr>
        <w:pStyle w:val="Heading3"/>
      </w:pPr>
      <w:bookmarkStart w:id="137" w:name="_Toc64276296"/>
      <w:bookmarkStart w:id="138" w:name="_Toc64276600"/>
      <w:bookmarkStart w:id="139" w:name="_Toc64276812"/>
      <w:bookmarkStart w:id="140" w:name="_Toc90216748"/>
      <w:r w:rsidRPr="005B0F81">
        <w:t>Tryptic soy broth (TSB)</w:t>
      </w:r>
      <w:bookmarkEnd w:id="137"/>
      <w:bookmarkEnd w:id="138"/>
      <w:bookmarkEnd w:id="139"/>
      <w:r w:rsidR="007006CC">
        <w:t>.</w:t>
      </w:r>
      <w:bookmarkEnd w:id="14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2268"/>
      </w:tblGrid>
      <w:tr w:rsidR="009C11A2" w:rsidRPr="00A0372E" w14:paraId="467C2363" w14:textId="77777777" w:rsidTr="00154A0D">
        <w:tc>
          <w:tcPr>
            <w:tcW w:w="5670" w:type="dxa"/>
            <w:vAlign w:val="center"/>
          </w:tcPr>
          <w:p w14:paraId="3919B6AB" w14:textId="5CDDA125" w:rsidR="009C11A2" w:rsidRPr="00A0372E" w:rsidRDefault="009C11A2" w:rsidP="009C11A2">
            <w:pPr>
              <w:pStyle w:val="Tabletextnormal"/>
            </w:pPr>
            <w:r w:rsidRPr="00A0372E">
              <w:t>Tryptic soy broth (Oxoid)</w:t>
            </w:r>
          </w:p>
        </w:tc>
        <w:tc>
          <w:tcPr>
            <w:tcW w:w="2268" w:type="dxa"/>
            <w:vAlign w:val="center"/>
          </w:tcPr>
          <w:p w14:paraId="2A818947" w14:textId="361C25EC" w:rsidR="009C11A2" w:rsidRPr="00A0372E" w:rsidRDefault="009C11A2" w:rsidP="009C11A2">
            <w:pPr>
              <w:pStyle w:val="Tabletextnormal"/>
            </w:pPr>
            <w:r w:rsidRPr="00A0372E">
              <w:t>30 g/L</w:t>
            </w:r>
          </w:p>
        </w:tc>
      </w:tr>
    </w:tbl>
    <w:p w14:paraId="25401F53" w14:textId="52C1F881" w:rsidR="009C11A2" w:rsidRPr="005B0F81" w:rsidRDefault="009C11A2" w:rsidP="009C11A2">
      <w:pPr>
        <w:pStyle w:val="Heading3"/>
      </w:pPr>
      <w:bookmarkStart w:id="141" w:name="_Toc64276297"/>
      <w:bookmarkStart w:id="142" w:name="_Toc64276601"/>
      <w:bookmarkStart w:id="143" w:name="_Toc64276813"/>
      <w:bookmarkStart w:id="144" w:name="_Ref79701424"/>
      <w:bookmarkStart w:id="145" w:name="_Toc90216749"/>
      <w:r w:rsidRPr="005B0F81">
        <w:t>Tryptic soy broth – 10 %</w:t>
      </w:r>
      <w:r w:rsidR="00BA4FD8">
        <w:t xml:space="preserve"> (v/v)</w:t>
      </w:r>
      <w:r w:rsidRPr="005B0F81">
        <w:t xml:space="preserve"> glycerol</w:t>
      </w:r>
      <w:bookmarkEnd w:id="141"/>
      <w:bookmarkEnd w:id="142"/>
      <w:bookmarkEnd w:id="143"/>
      <w:bookmarkEnd w:id="144"/>
      <w:r w:rsidR="007006CC">
        <w:t>.</w:t>
      </w:r>
      <w:bookmarkEnd w:id="14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69"/>
        <w:gridCol w:w="2268"/>
      </w:tblGrid>
      <w:tr w:rsidR="009C11A2" w:rsidRPr="00A0372E" w14:paraId="15E6D807" w14:textId="77777777" w:rsidTr="00154A0D">
        <w:tc>
          <w:tcPr>
            <w:tcW w:w="5669" w:type="dxa"/>
          </w:tcPr>
          <w:p w14:paraId="2839E99F" w14:textId="658507EE" w:rsidR="009C11A2" w:rsidRPr="00A0372E" w:rsidRDefault="009C11A2" w:rsidP="00FE7C3F">
            <w:pPr>
              <w:pStyle w:val="Tabletextnormal"/>
            </w:pPr>
            <w:r w:rsidRPr="00A0372E">
              <w:t>Tryptic soy broth (Oxoid)</w:t>
            </w:r>
          </w:p>
        </w:tc>
        <w:tc>
          <w:tcPr>
            <w:tcW w:w="2268" w:type="dxa"/>
          </w:tcPr>
          <w:p w14:paraId="50C44DBB" w14:textId="01BE243D" w:rsidR="009C11A2" w:rsidRPr="00A0372E" w:rsidRDefault="009C11A2" w:rsidP="00FE7C3F">
            <w:pPr>
              <w:pStyle w:val="Tabletextnormal"/>
            </w:pPr>
            <w:r w:rsidRPr="00A0372E">
              <w:t>30 g/L</w:t>
            </w:r>
          </w:p>
        </w:tc>
      </w:tr>
      <w:tr w:rsidR="009C11A2" w:rsidRPr="00A0372E" w14:paraId="6F410570" w14:textId="77777777" w:rsidTr="00154A0D">
        <w:tc>
          <w:tcPr>
            <w:tcW w:w="5669" w:type="dxa"/>
          </w:tcPr>
          <w:p w14:paraId="53FA36E5" w14:textId="637FF6B5" w:rsidR="009C11A2" w:rsidRPr="00A0372E" w:rsidRDefault="009C11A2" w:rsidP="00FE7C3F">
            <w:pPr>
              <w:pStyle w:val="Tabletextnormal"/>
            </w:pPr>
            <w:r w:rsidRPr="00A0372E">
              <w:t>Glycerol (Fisher Scientific)</w:t>
            </w:r>
          </w:p>
        </w:tc>
        <w:tc>
          <w:tcPr>
            <w:tcW w:w="2268" w:type="dxa"/>
          </w:tcPr>
          <w:p w14:paraId="4118CB6E" w14:textId="25D8AB4F" w:rsidR="009C11A2" w:rsidRPr="00A0372E" w:rsidRDefault="009C11A2" w:rsidP="00FE7C3F">
            <w:pPr>
              <w:pStyle w:val="Tabletextnormal"/>
            </w:pPr>
            <w:r w:rsidRPr="00A0372E">
              <w:t>10 % (v/v)</w:t>
            </w:r>
          </w:p>
        </w:tc>
      </w:tr>
    </w:tbl>
    <w:p w14:paraId="6611FAC8" w14:textId="76674EA4" w:rsidR="009C11A2" w:rsidRPr="005B0F81" w:rsidRDefault="007565ED" w:rsidP="00FE7C3F">
      <w:pPr>
        <w:pStyle w:val="Heading3"/>
      </w:pPr>
      <w:bookmarkStart w:id="146" w:name="_Toc64276298"/>
      <w:bookmarkStart w:id="147" w:name="_Toc64276602"/>
      <w:bookmarkStart w:id="148" w:name="_Toc64276814"/>
      <w:bookmarkStart w:id="149" w:name="_Toc90216750"/>
      <w:r>
        <w:lastRenderedPageBreak/>
        <w:t>T</w:t>
      </w:r>
      <w:r w:rsidR="00FE7C3F" w:rsidRPr="005B0F81">
        <w:t xml:space="preserve">ryptic soy agar </w:t>
      </w:r>
      <w:r w:rsidR="00FE7C3F" w:rsidRPr="00173A82">
        <w:t>(TS</w:t>
      </w:r>
      <w:r w:rsidR="00173A82" w:rsidRPr="00173A82">
        <w:t>A</w:t>
      </w:r>
      <w:r w:rsidR="00FE7C3F" w:rsidRPr="005B0F81">
        <w:t>)</w:t>
      </w:r>
      <w:bookmarkEnd w:id="146"/>
      <w:bookmarkEnd w:id="147"/>
      <w:bookmarkEnd w:id="148"/>
      <w:r w:rsidR="007006CC">
        <w:t>.</w:t>
      </w:r>
      <w:bookmarkEnd w:id="149"/>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FE7C3F" w:rsidRPr="00A0372E" w14:paraId="76156979" w14:textId="77777777" w:rsidTr="00154A0D">
        <w:tc>
          <w:tcPr>
            <w:tcW w:w="5669" w:type="dxa"/>
          </w:tcPr>
          <w:p w14:paraId="44C73159" w14:textId="314FE171" w:rsidR="00FE7C3F" w:rsidRPr="00A0372E" w:rsidRDefault="00FE7C3F" w:rsidP="00FE7C3F">
            <w:pPr>
              <w:pStyle w:val="Tabletextnormal"/>
            </w:pPr>
            <w:r w:rsidRPr="00A0372E">
              <w:t>Tryptic soy broth (Oxoid)</w:t>
            </w:r>
          </w:p>
        </w:tc>
        <w:tc>
          <w:tcPr>
            <w:tcW w:w="2268" w:type="dxa"/>
          </w:tcPr>
          <w:p w14:paraId="28BD027E" w14:textId="578F3E2D" w:rsidR="00FE7C3F" w:rsidRPr="00A0372E" w:rsidRDefault="00FE7C3F" w:rsidP="00FE7C3F">
            <w:pPr>
              <w:pStyle w:val="Tabletextnormal"/>
            </w:pPr>
            <w:r w:rsidRPr="00A0372E">
              <w:t>30 g/L</w:t>
            </w:r>
          </w:p>
        </w:tc>
      </w:tr>
      <w:tr w:rsidR="00FE7C3F" w:rsidRPr="00A0372E" w14:paraId="1E976ED2" w14:textId="77777777" w:rsidTr="00154A0D">
        <w:tc>
          <w:tcPr>
            <w:tcW w:w="5669" w:type="dxa"/>
          </w:tcPr>
          <w:p w14:paraId="2E7C2EA9" w14:textId="68F86BD5" w:rsidR="00FE7C3F" w:rsidRPr="00A0372E" w:rsidRDefault="00FE7C3F" w:rsidP="00FE7C3F">
            <w:pPr>
              <w:pStyle w:val="Tabletextnormal"/>
            </w:pPr>
            <w:r w:rsidRPr="00A0372E">
              <w:t>Bacteriological agar (VWR Chemicals)</w:t>
            </w:r>
          </w:p>
        </w:tc>
        <w:tc>
          <w:tcPr>
            <w:tcW w:w="2268" w:type="dxa"/>
          </w:tcPr>
          <w:p w14:paraId="6D16CBDA" w14:textId="4272BE98" w:rsidR="00FE7C3F" w:rsidRPr="00A0372E" w:rsidRDefault="00FE7C3F" w:rsidP="00FE7C3F">
            <w:pPr>
              <w:pStyle w:val="Tabletextnormal"/>
            </w:pPr>
            <w:r w:rsidRPr="00A0372E">
              <w:t>1.5 % (w/v)</w:t>
            </w:r>
          </w:p>
        </w:tc>
      </w:tr>
    </w:tbl>
    <w:p w14:paraId="62DA4B00" w14:textId="39097A4A" w:rsidR="00FE7C3F" w:rsidRPr="005B0F81" w:rsidRDefault="00957E78" w:rsidP="00957E78">
      <w:pPr>
        <w:pStyle w:val="Heading3"/>
      </w:pPr>
      <w:bookmarkStart w:id="150" w:name="_Toc64276299"/>
      <w:bookmarkStart w:id="151" w:name="_Toc64276603"/>
      <w:bookmarkStart w:id="152" w:name="_Toc64276815"/>
      <w:bookmarkStart w:id="153" w:name="_Ref79587367"/>
      <w:bookmarkStart w:id="154" w:name="_Toc90216751"/>
      <w:r w:rsidRPr="005B0F81">
        <w:t>LK broth (LKB)</w:t>
      </w:r>
      <w:bookmarkEnd w:id="150"/>
      <w:bookmarkEnd w:id="151"/>
      <w:bookmarkEnd w:id="152"/>
      <w:bookmarkEnd w:id="153"/>
      <w:r w:rsidR="007006CC">
        <w:t>.</w:t>
      </w:r>
      <w:bookmarkEnd w:id="154"/>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957E78" w:rsidRPr="0098686E" w14:paraId="1107DF23" w14:textId="77777777" w:rsidTr="00154A0D">
        <w:tc>
          <w:tcPr>
            <w:tcW w:w="5669" w:type="dxa"/>
          </w:tcPr>
          <w:p w14:paraId="2AF54635" w14:textId="34121967" w:rsidR="00957E78" w:rsidRPr="0098686E" w:rsidRDefault="00957E78" w:rsidP="00957E78">
            <w:pPr>
              <w:pStyle w:val="Tabletextnormal"/>
            </w:pPr>
            <w:r w:rsidRPr="0098686E">
              <w:t>Tryptone (Oxoid)</w:t>
            </w:r>
          </w:p>
        </w:tc>
        <w:tc>
          <w:tcPr>
            <w:tcW w:w="2268" w:type="dxa"/>
          </w:tcPr>
          <w:p w14:paraId="1E93393F" w14:textId="359E2237" w:rsidR="00957E78" w:rsidRPr="0098686E" w:rsidRDefault="00957E78" w:rsidP="00957E78">
            <w:pPr>
              <w:pStyle w:val="Tabletextnormal"/>
            </w:pPr>
            <w:r w:rsidRPr="0098686E">
              <w:t>10 g/L</w:t>
            </w:r>
          </w:p>
        </w:tc>
      </w:tr>
      <w:tr w:rsidR="00957E78" w:rsidRPr="0098686E" w14:paraId="4EC0422E" w14:textId="77777777" w:rsidTr="00154A0D">
        <w:tc>
          <w:tcPr>
            <w:tcW w:w="5669" w:type="dxa"/>
          </w:tcPr>
          <w:p w14:paraId="7607EC7F" w14:textId="55F434D7" w:rsidR="00957E78" w:rsidRPr="0098686E" w:rsidRDefault="00957E78" w:rsidP="00957E78">
            <w:pPr>
              <w:pStyle w:val="Tabletextnormal"/>
            </w:pPr>
            <w:r w:rsidRPr="0098686E">
              <w:t>KCl</w:t>
            </w:r>
          </w:p>
        </w:tc>
        <w:tc>
          <w:tcPr>
            <w:tcW w:w="2268" w:type="dxa"/>
          </w:tcPr>
          <w:p w14:paraId="2908B97A" w14:textId="1003DFCB" w:rsidR="00957E78" w:rsidRPr="0098686E" w:rsidRDefault="00957E78" w:rsidP="00957E78">
            <w:pPr>
              <w:pStyle w:val="Tabletextnormal"/>
            </w:pPr>
            <w:r w:rsidRPr="0098686E">
              <w:t>7 g/L</w:t>
            </w:r>
          </w:p>
        </w:tc>
      </w:tr>
      <w:tr w:rsidR="00957E78" w:rsidRPr="0098686E" w14:paraId="4B5A3EA0" w14:textId="77777777" w:rsidTr="00154A0D">
        <w:tc>
          <w:tcPr>
            <w:tcW w:w="5669" w:type="dxa"/>
          </w:tcPr>
          <w:p w14:paraId="40B7B5C7" w14:textId="6C12A3A9" w:rsidR="00957E78" w:rsidRPr="0098686E" w:rsidRDefault="00957E78" w:rsidP="00957E78">
            <w:pPr>
              <w:pStyle w:val="Tabletextnormal"/>
            </w:pPr>
            <w:r w:rsidRPr="0098686E">
              <w:t>Yeast extract (Oxoid)</w:t>
            </w:r>
          </w:p>
        </w:tc>
        <w:tc>
          <w:tcPr>
            <w:tcW w:w="2268" w:type="dxa"/>
          </w:tcPr>
          <w:p w14:paraId="62C56FAE" w14:textId="08115AFE" w:rsidR="00957E78" w:rsidRPr="0098686E" w:rsidRDefault="00957E78" w:rsidP="00957E78">
            <w:pPr>
              <w:pStyle w:val="Tabletextnormal"/>
            </w:pPr>
            <w:r w:rsidRPr="0098686E">
              <w:t>5 g/L</w:t>
            </w:r>
          </w:p>
        </w:tc>
      </w:tr>
    </w:tbl>
    <w:p w14:paraId="68669226" w14:textId="7DDD977C" w:rsidR="00957E78" w:rsidRPr="005B0F81" w:rsidRDefault="00AF6F90" w:rsidP="00AF6F90">
      <w:pPr>
        <w:pStyle w:val="Heading3"/>
      </w:pPr>
      <w:bookmarkStart w:id="155" w:name="_Toc64276300"/>
      <w:bookmarkStart w:id="156" w:name="_Toc64276604"/>
      <w:bookmarkStart w:id="157" w:name="_Toc64276816"/>
      <w:bookmarkStart w:id="158" w:name="_Ref79590121"/>
      <w:bookmarkStart w:id="159" w:name="_Toc90216752"/>
      <w:r w:rsidRPr="005B0F81">
        <w:t>LK agar (</w:t>
      </w:r>
      <w:r w:rsidRPr="001F095E">
        <w:t>LKA</w:t>
      </w:r>
      <w:r w:rsidRPr="005B0F81">
        <w:t xml:space="preserve">) – 0.05 % </w:t>
      </w:r>
      <w:bookmarkEnd w:id="155"/>
      <w:bookmarkEnd w:id="156"/>
      <w:bookmarkEnd w:id="157"/>
      <w:r w:rsidR="00BA5247">
        <w:t xml:space="preserve">(w/v) </w:t>
      </w:r>
      <w:r w:rsidR="004513ED">
        <w:t>sodium citrat</w:t>
      </w:r>
      <w:bookmarkEnd w:id="158"/>
      <w:r w:rsidR="007006CC">
        <w:t>e.</w:t>
      </w:r>
      <w:bookmarkEnd w:id="159"/>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AF6F90" w:rsidRPr="0098686E" w14:paraId="6E118EDB" w14:textId="77777777" w:rsidTr="00154A0D">
        <w:tc>
          <w:tcPr>
            <w:tcW w:w="5669" w:type="dxa"/>
          </w:tcPr>
          <w:p w14:paraId="61265D47" w14:textId="5C335C07" w:rsidR="00AF6F90" w:rsidRPr="0098686E" w:rsidRDefault="00AF6F90" w:rsidP="00AF6F90">
            <w:pPr>
              <w:pStyle w:val="Tabletextnormal"/>
            </w:pPr>
            <w:r w:rsidRPr="0098686E">
              <w:t>Tryptone (Oxoid)</w:t>
            </w:r>
          </w:p>
        </w:tc>
        <w:tc>
          <w:tcPr>
            <w:tcW w:w="2268" w:type="dxa"/>
          </w:tcPr>
          <w:p w14:paraId="17D55459" w14:textId="608A9E83" w:rsidR="00AF6F90" w:rsidRPr="0098686E" w:rsidRDefault="00AF6F90" w:rsidP="00AF6F90">
            <w:pPr>
              <w:pStyle w:val="Tabletextnormal"/>
            </w:pPr>
            <w:r w:rsidRPr="0098686E">
              <w:t>10 g/L</w:t>
            </w:r>
          </w:p>
        </w:tc>
      </w:tr>
      <w:tr w:rsidR="00AF6F90" w:rsidRPr="0098686E" w14:paraId="77181B7B" w14:textId="77777777" w:rsidTr="00154A0D">
        <w:tc>
          <w:tcPr>
            <w:tcW w:w="5669" w:type="dxa"/>
          </w:tcPr>
          <w:p w14:paraId="32A24E10" w14:textId="27CD3A4D" w:rsidR="00AF6F90" w:rsidRPr="0098686E" w:rsidRDefault="00AF6F90" w:rsidP="00AF6F90">
            <w:pPr>
              <w:pStyle w:val="Tabletextnormal"/>
            </w:pPr>
            <w:r w:rsidRPr="0098686E">
              <w:t>KCl</w:t>
            </w:r>
          </w:p>
        </w:tc>
        <w:tc>
          <w:tcPr>
            <w:tcW w:w="2268" w:type="dxa"/>
          </w:tcPr>
          <w:p w14:paraId="179981E0" w14:textId="075DD067" w:rsidR="00AF6F90" w:rsidRPr="0098686E" w:rsidRDefault="00AF6F90" w:rsidP="00AF6F90">
            <w:pPr>
              <w:pStyle w:val="Tabletextnormal"/>
            </w:pPr>
            <w:r w:rsidRPr="0098686E">
              <w:t>7 g/L</w:t>
            </w:r>
          </w:p>
        </w:tc>
      </w:tr>
      <w:tr w:rsidR="00AF6F90" w:rsidRPr="0098686E" w14:paraId="0A727392" w14:textId="77777777" w:rsidTr="00154A0D">
        <w:tc>
          <w:tcPr>
            <w:tcW w:w="5669" w:type="dxa"/>
          </w:tcPr>
          <w:p w14:paraId="72E324DB" w14:textId="277E6691" w:rsidR="00AF6F90" w:rsidRPr="0098686E" w:rsidRDefault="00AF6F90" w:rsidP="00AF6F90">
            <w:pPr>
              <w:pStyle w:val="Tabletextnormal"/>
            </w:pPr>
            <w:r w:rsidRPr="0098686E">
              <w:t>Yeast extract (Oxoid)</w:t>
            </w:r>
          </w:p>
        </w:tc>
        <w:tc>
          <w:tcPr>
            <w:tcW w:w="2268" w:type="dxa"/>
          </w:tcPr>
          <w:p w14:paraId="0F09EA69" w14:textId="3A63B203" w:rsidR="00AF6F90" w:rsidRPr="0098686E" w:rsidRDefault="00AF6F90" w:rsidP="00AF6F90">
            <w:pPr>
              <w:pStyle w:val="Tabletextnormal"/>
            </w:pPr>
            <w:r w:rsidRPr="0098686E">
              <w:t>5 g/L</w:t>
            </w:r>
          </w:p>
        </w:tc>
      </w:tr>
      <w:tr w:rsidR="00AF6F90" w:rsidRPr="0098686E" w14:paraId="62FAD0FA" w14:textId="77777777" w:rsidTr="00154A0D">
        <w:tc>
          <w:tcPr>
            <w:tcW w:w="5669" w:type="dxa"/>
          </w:tcPr>
          <w:p w14:paraId="63C86F12" w14:textId="54FE91C8" w:rsidR="00AF6F90" w:rsidRPr="0098686E" w:rsidRDefault="004513ED" w:rsidP="00AF6F90">
            <w:pPr>
              <w:pStyle w:val="Tabletextnormal"/>
            </w:pPr>
            <w:r w:rsidRPr="0098686E">
              <w:t>Sodium citrate</w:t>
            </w:r>
          </w:p>
        </w:tc>
        <w:tc>
          <w:tcPr>
            <w:tcW w:w="2268" w:type="dxa"/>
          </w:tcPr>
          <w:p w14:paraId="1B59E6E0" w14:textId="544E0112" w:rsidR="00AF6F90" w:rsidRPr="0098686E" w:rsidRDefault="00AF6F90" w:rsidP="00AF6F90">
            <w:pPr>
              <w:pStyle w:val="Tabletextnormal"/>
            </w:pPr>
            <w:r w:rsidRPr="0098686E">
              <w:t>0.05 % (v/v)</w:t>
            </w:r>
          </w:p>
        </w:tc>
      </w:tr>
      <w:tr w:rsidR="00AF6F90" w:rsidRPr="0098686E" w14:paraId="6907D4C9" w14:textId="77777777" w:rsidTr="00154A0D">
        <w:tc>
          <w:tcPr>
            <w:tcW w:w="5669" w:type="dxa"/>
          </w:tcPr>
          <w:p w14:paraId="4B2FEA1A" w14:textId="1BA7F6B3" w:rsidR="00AF6F90" w:rsidRPr="0098686E" w:rsidRDefault="00AF6F90" w:rsidP="00AF6F90">
            <w:pPr>
              <w:pStyle w:val="Tabletextnormal"/>
            </w:pPr>
            <w:r w:rsidRPr="0098686E">
              <w:t>Bacteriological agar (VWR Chemicals)</w:t>
            </w:r>
          </w:p>
        </w:tc>
        <w:tc>
          <w:tcPr>
            <w:tcW w:w="2268" w:type="dxa"/>
          </w:tcPr>
          <w:p w14:paraId="0834B4C6" w14:textId="77110325" w:rsidR="00AF6F90" w:rsidRPr="0098686E" w:rsidRDefault="00AF6F90" w:rsidP="00AF6F90">
            <w:pPr>
              <w:pStyle w:val="Tabletextnormal"/>
            </w:pPr>
            <w:r w:rsidRPr="0098686E">
              <w:t>1.5 % (w/v)</w:t>
            </w:r>
          </w:p>
        </w:tc>
      </w:tr>
    </w:tbl>
    <w:p w14:paraId="3754ADF1" w14:textId="5E4984A4" w:rsidR="004B0C7E" w:rsidRPr="005B0F81" w:rsidRDefault="004B0C7E" w:rsidP="004B0C7E">
      <w:pPr>
        <w:pStyle w:val="Heading2"/>
      </w:pPr>
      <w:bookmarkStart w:id="160" w:name="_Toc64276301"/>
      <w:bookmarkStart w:id="161" w:name="_Toc64276605"/>
      <w:bookmarkStart w:id="162" w:name="_Toc64276817"/>
      <w:bookmarkStart w:id="163" w:name="_Toc90216753"/>
      <w:r w:rsidRPr="005B0F81">
        <w:t>Buffers and reagents</w:t>
      </w:r>
      <w:bookmarkEnd w:id="160"/>
      <w:bookmarkEnd w:id="161"/>
      <w:bookmarkEnd w:id="162"/>
      <w:r w:rsidR="007006CC">
        <w:t>.</w:t>
      </w:r>
      <w:bookmarkEnd w:id="163"/>
    </w:p>
    <w:p w14:paraId="136238F4" w14:textId="41955C9D" w:rsidR="00AF6F90" w:rsidRPr="005B0F81" w:rsidRDefault="00AF6F90" w:rsidP="00AF6F90">
      <w:r w:rsidRPr="005B0F81">
        <w:t>All buffers and solutions were prepared using dH</w:t>
      </w:r>
      <w:r w:rsidRPr="00150B45">
        <w:rPr>
          <w:vertAlign w:val="subscript"/>
        </w:rPr>
        <w:t>2</w:t>
      </w:r>
      <w:r w:rsidRPr="005B0F81">
        <w:t>O and sterilised by autoclaving at 121 °C for 20 min, unless otherwise stated. They were either stored at room temperature or at 4 °C as required.</w:t>
      </w:r>
    </w:p>
    <w:p w14:paraId="4D2F18B8" w14:textId="3BA547AB" w:rsidR="004B0C7E" w:rsidRPr="005B0F81" w:rsidRDefault="00AF6F90" w:rsidP="004B0C7E">
      <w:pPr>
        <w:pStyle w:val="Heading3"/>
      </w:pPr>
      <w:bookmarkStart w:id="164" w:name="_Toc64276302"/>
      <w:bookmarkStart w:id="165" w:name="_Toc64276606"/>
      <w:bookmarkStart w:id="166" w:name="_Toc64276818"/>
      <w:bookmarkStart w:id="167" w:name="_Ref79585611"/>
      <w:bookmarkStart w:id="168" w:name="_Toc90216754"/>
      <w:r w:rsidRPr="005B0F81">
        <w:t>Phage buffer</w:t>
      </w:r>
      <w:bookmarkEnd w:id="164"/>
      <w:bookmarkEnd w:id="165"/>
      <w:bookmarkEnd w:id="166"/>
      <w:bookmarkEnd w:id="167"/>
      <w:r w:rsidR="007006CC">
        <w:t>.</w:t>
      </w:r>
      <w:bookmarkEnd w:id="168"/>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AF6F90" w:rsidRPr="0098686E" w14:paraId="72C45FCB" w14:textId="77777777" w:rsidTr="00154A0D">
        <w:tc>
          <w:tcPr>
            <w:tcW w:w="5669" w:type="dxa"/>
          </w:tcPr>
          <w:p w14:paraId="31602B38" w14:textId="3576886B" w:rsidR="00AF6F90" w:rsidRPr="0098686E" w:rsidRDefault="00AF6F90" w:rsidP="00AF6F90">
            <w:pPr>
              <w:pStyle w:val="Tabletextnormal"/>
            </w:pPr>
            <w:r w:rsidRPr="0098686E">
              <w:t>MgSO</w:t>
            </w:r>
            <w:r w:rsidRPr="0098686E">
              <w:rPr>
                <w:vertAlign w:val="subscript"/>
              </w:rPr>
              <w:t>4</w:t>
            </w:r>
          </w:p>
        </w:tc>
        <w:tc>
          <w:tcPr>
            <w:tcW w:w="2268" w:type="dxa"/>
          </w:tcPr>
          <w:p w14:paraId="5166E0A1" w14:textId="5AB3B9FC" w:rsidR="00AF6F90" w:rsidRPr="0098686E" w:rsidRDefault="00AF6F90" w:rsidP="00AF6F90">
            <w:pPr>
              <w:pStyle w:val="Tabletextnormal"/>
            </w:pPr>
            <w:r w:rsidRPr="0098686E">
              <w:t>1 mM</w:t>
            </w:r>
          </w:p>
        </w:tc>
      </w:tr>
      <w:tr w:rsidR="00AF6F90" w:rsidRPr="0098686E" w14:paraId="4E965DFD" w14:textId="77777777" w:rsidTr="00154A0D">
        <w:tc>
          <w:tcPr>
            <w:tcW w:w="5669" w:type="dxa"/>
          </w:tcPr>
          <w:p w14:paraId="729BF0BE" w14:textId="2C02EA9C" w:rsidR="00AF6F90" w:rsidRPr="0098686E" w:rsidRDefault="00AF6F90" w:rsidP="00AF6F90">
            <w:pPr>
              <w:pStyle w:val="Tabletextnormal"/>
            </w:pPr>
            <w:r w:rsidRPr="0098686E">
              <w:t>CaCl</w:t>
            </w:r>
            <w:r w:rsidRPr="0098686E">
              <w:rPr>
                <w:vertAlign w:val="subscript"/>
              </w:rPr>
              <w:t>2</w:t>
            </w:r>
          </w:p>
        </w:tc>
        <w:tc>
          <w:tcPr>
            <w:tcW w:w="2268" w:type="dxa"/>
          </w:tcPr>
          <w:p w14:paraId="636FAEEB" w14:textId="6EA269F7" w:rsidR="00AF6F90" w:rsidRPr="0098686E" w:rsidRDefault="00AF6F90" w:rsidP="00AF6F90">
            <w:pPr>
              <w:pStyle w:val="Tabletextnormal"/>
            </w:pPr>
            <w:r w:rsidRPr="0098686E">
              <w:t>4 mM</w:t>
            </w:r>
          </w:p>
        </w:tc>
      </w:tr>
      <w:tr w:rsidR="00AF6F90" w:rsidRPr="0098686E" w14:paraId="6AE00D5E" w14:textId="77777777" w:rsidTr="00154A0D">
        <w:tc>
          <w:tcPr>
            <w:tcW w:w="5669" w:type="dxa"/>
          </w:tcPr>
          <w:p w14:paraId="79A08CF9" w14:textId="01769D8C" w:rsidR="00AF6F90" w:rsidRPr="0098686E" w:rsidRDefault="00AF6F90" w:rsidP="00AF6F90">
            <w:pPr>
              <w:pStyle w:val="Tabletextnormal"/>
            </w:pPr>
            <w:r w:rsidRPr="0098686E">
              <w:t>Tris-HCl pH 7.8</w:t>
            </w:r>
          </w:p>
        </w:tc>
        <w:tc>
          <w:tcPr>
            <w:tcW w:w="2268" w:type="dxa"/>
          </w:tcPr>
          <w:p w14:paraId="1F4D1309" w14:textId="52DB31B7" w:rsidR="00AF6F90" w:rsidRPr="0098686E" w:rsidRDefault="00AF6F90" w:rsidP="00AF6F90">
            <w:pPr>
              <w:pStyle w:val="Tabletextnormal"/>
            </w:pPr>
            <w:r w:rsidRPr="0098686E">
              <w:t>50 mM</w:t>
            </w:r>
          </w:p>
        </w:tc>
      </w:tr>
      <w:tr w:rsidR="00AF6F90" w:rsidRPr="0098686E" w14:paraId="255A5BAE" w14:textId="77777777" w:rsidTr="00154A0D">
        <w:tc>
          <w:tcPr>
            <w:tcW w:w="5669" w:type="dxa"/>
          </w:tcPr>
          <w:p w14:paraId="306DCBD5" w14:textId="6995F69A" w:rsidR="00AF6F90" w:rsidRPr="0098686E" w:rsidRDefault="00AF6F90" w:rsidP="00AF6F90">
            <w:pPr>
              <w:pStyle w:val="Tabletextnormal"/>
            </w:pPr>
            <w:r w:rsidRPr="0098686E">
              <w:t>NaCl</w:t>
            </w:r>
          </w:p>
        </w:tc>
        <w:tc>
          <w:tcPr>
            <w:tcW w:w="2268" w:type="dxa"/>
          </w:tcPr>
          <w:p w14:paraId="7F316771" w14:textId="5D4FFE4E" w:rsidR="00AF6F90" w:rsidRPr="0098686E" w:rsidRDefault="00AF6F90" w:rsidP="00AF6F90">
            <w:pPr>
              <w:pStyle w:val="Tabletextnormal"/>
            </w:pPr>
            <w:r w:rsidRPr="0098686E">
              <w:t>0.6 % (w/v)</w:t>
            </w:r>
          </w:p>
        </w:tc>
      </w:tr>
      <w:tr w:rsidR="00AF6F90" w:rsidRPr="0098686E" w14:paraId="323D8E81" w14:textId="77777777" w:rsidTr="00154A0D">
        <w:tc>
          <w:tcPr>
            <w:tcW w:w="5669" w:type="dxa"/>
          </w:tcPr>
          <w:p w14:paraId="167BDEFB" w14:textId="56CCBE15" w:rsidR="00AF6F90" w:rsidRPr="0098686E" w:rsidRDefault="00AF6F90" w:rsidP="00AF6F90">
            <w:pPr>
              <w:pStyle w:val="Tabletextnormal"/>
            </w:pPr>
            <w:r w:rsidRPr="0098686E">
              <w:t>Gelatin</w:t>
            </w:r>
          </w:p>
        </w:tc>
        <w:tc>
          <w:tcPr>
            <w:tcW w:w="2268" w:type="dxa"/>
          </w:tcPr>
          <w:p w14:paraId="29260293" w14:textId="7908D053" w:rsidR="00AF6F90" w:rsidRPr="0098686E" w:rsidRDefault="00AF6F90" w:rsidP="00AF6F90">
            <w:pPr>
              <w:pStyle w:val="Tabletextnormal"/>
            </w:pPr>
            <w:r w:rsidRPr="0098686E">
              <w:t>0.1 % (w/v)</w:t>
            </w:r>
          </w:p>
        </w:tc>
      </w:tr>
    </w:tbl>
    <w:p w14:paraId="4418C795" w14:textId="4EBB3C58" w:rsidR="00AF6F90" w:rsidRDefault="00AF6F90" w:rsidP="00AF6F90">
      <w:pPr>
        <w:pStyle w:val="Heading3"/>
      </w:pPr>
      <w:bookmarkStart w:id="169" w:name="_Toc64276303"/>
      <w:bookmarkStart w:id="170" w:name="_Toc64276607"/>
      <w:bookmarkStart w:id="171" w:name="_Toc64276819"/>
      <w:bookmarkStart w:id="172" w:name="_Ref79426060"/>
      <w:bookmarkStart w:id="173" w:name="_Toc90216755"/>
      <w:r w:rsidRPr="005B0F81">
        <w:t>Phosphate buffered saline (PBS)</w:t>
      </w:r>
      <w:bookmarkEnd w:id="169"/>
      <w:bookmarkEnd w:id="170"/>
      <w:bookmarkEnd w:id="171"/>
      <w:bookmarkEnd w:id="172"/>
      <w:r w:rsidR="007006CC">
        <w:t>.</w:t>
      </w:r>
      <w:bookmarkEnd w:id="173"/>
    </w:p>
    <w:tbl>
      <w:tblPr>
        <w:tblStyle w:val="TableGrid"/>
        <w:tblpPr w:leftFromText="180" w:rightFromText="180" w:vertAnchor="text" w:horzAnchor="margin" w:tblpY="181"/>
        <w:tblW w:w="79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21"/>
        <w:gridCol w:w="2205"/>
      </w:tblGrid>
      <w:tr w:rsidR="00B4514A" w:rsidRPr="0098686E" w14:paraId="19C78903" w14:textId="77777777" w:rsidTr="00B4514A">
        <w:tc>
          <w:tcPr>
            <w:tcW w:w="5721" w:type="dxa"/>
          </w:tcPr>
          <w:p w14:paraId="1F9E8B78" w14:textId="77777777" w:rsidR="00196036" w:rsidRPr="0098686E" w:rsidRDefault="00196036" w:rsidP="00196036">
            <w:pPr>
              <w:pStyle w:val="Tabletextnormal"/>
            </w:pPr>
            <w:r w:rsidRPr="0098686E">
              <w:t>Phosphate buffered saline tablets (Sigma)</w:t>
            </w:r>
          </w:p>
        </w:tc>
        <w:tc>
          <w:tcPr>
            <w:tcW w:w="2205" w:type="dxa"/>
          </w:tcPr>
          <w:p w14:paraId="2059380A" w14:textId="77777777" w:rsidR="00196036" w:rsidRPr="0098686E" w:rsidRDefault="00196036" w:rsidP="00196036">
            <w:pPr>
              <w:pStyle w:val="Tabletextnormal"/>
            </w:pPr>
            <w:r w:rsidRPr="0098686E">
              <w:t>2 tablets/L</w:t>
            </w:r>
          </w:p>
        </w:tc>
      </w:tr>
    </w:tbl>
    <w:p w14:paraId="0A69C0F6" w14:textId="77777777" w:rsidR="00B4514A" w:rsidRDefault="00B4514A" w:rsidP="00FF5585"/>
    <w:p w14:paraId="72205C49" w14:textId="451E9014" w:rsidR="00BE3AED" w:rsidRPr="00FC7307" w:rsidRDefault="00B967FC" w:rsidP="00BE3AED">
      <w:pPr>
        <w:pStyle w:val="Heading3"/>
        <w:tabs>
          <w:tab w:val="left" w:pos="5812"/>
        </w:tabs>
      </w:pPr>
      <w:bookmarkStart w:id="174" w:name="_Toc90216756"/>
      <w:r>
        <w:lastRenderedPageBreak/>
        <w:t>PBS</w:t>
      </w:r>
      <w:r w:rsidR="00BE3AED">
        <w:t xml:space="preserve"> – 10 % (w/v) </w:t>
      </w:r>
      <w:r w:rsidR="00AB6405">
        <w:t>glycerol</w:t>
      </w:r>
      <w:r w:rsidR="00BE3AED">
        <w:t>.</w:t>
      </w:r>
      <w:bookmarkEnd w:id="174"/>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BE3AED" w:rsidRPr="0098686E" w14:paraId="5BD7B567" w14:textId="77777777" w:rsidTr="00064D7A">
        <w:tc>
          <w:tcPr>
            <w:tcW w:w="5669" w:type="dxa"/>
          </w:tcPr>
          <w:p w14:paraId="5E815B12" w14:textId="77777777" w:rsidR="00BE3AED" w:rsidRPr="0098686E" w:rsidRDefault="00BE3AED" w:rsidP="00064D7A">
            <w:pPr>
              <w:pStyle w:val="Tabletextnormal"/>
            </w:pPr>
            <w:r w:rsidRPr="0098686E">
              <w:t>Phosphate buffered saline tablets (Sigma)</w:t>
            </w:r>
          </w:p>
        </w:tc>
        <w:tc>
          <w:tcPr>
            <w:tcW w:w="2268" w:type="dxa"/>
          </w:tcPr>
          <w:p w14:paraId="238FB9CD" w14:textId="77777777" w:rsidR="00BE3AED" w:rsidRPr="0098686E" w:rsidRDefault="00BE3AED" w:rsidP="00064D7A">
            <w:pPr>
              <w:pStyle w:val="Tabletextnormal"/>
            </w:pPr>
            <w:r w:rsidRPr="0098686E">
              <w:t>2 tablets/L</w:t>
            </w:r>
          </w:p>
        </w:tc>
      </w:tr>
      <w:tr w:rsidR="00BE3AED" w:rsidRPr="0098686E" w14:paraId="27CBBFDA" w14:textId="77777777" w:rsidTr="00064D7A">
        <w:tc>
          <w:tcPr>
            <w:tcW w:w="5669" w:type="dxa"/>
          </w:tcPr>
          <w:p w14:paraId="7D5718A4" w14:textId="54F107C9" w:rsidR="00BE3AED" w:rsidRPr="0098686E" w:rsidRDefault="00BE3AED" w:rsidP="00064D7A">
            <w:pPr>
              <w:pStyle w:val="Tabletextnormal"/>
            </w:pPr>
            <w:r>
              <w:t>Glycerol</w:t>
            </w:r>
            <w:r w:rsidRPr="0098686E">
              <w:t xml:space="preserve"> (</w:t>
            </w:r>
            <w:r>
              <w:t>Fisher Scientific</w:t>
            </w:r>
            <w:r w:rsidRPr="0098686E">
              <w:t>)</w:t>
            </w:r>
          </w:p>
        </w:tc>
        <w:tc>
          <w:tcPr>
            <w:tcW w:w="2268" w:type="dxa"/>
          </w:tcPr>
          <w:p w14:paraId="11593ED2" w14:textId="011E8DB4" w:rsidR="00BE3AED" w:rsidRPr="0098686E" w:rsidRDefault="00BE3AED" w:rsidP="00064D7A">
            <w:pPr>
              <w:pStyle w:val="Tabletextnormal"/>
            </w:pPr>
            <w:r>
              <w:t>1</w:t>
            </w:r>
            <w:r w:rsidRPr="0098686E">
              <w:t>0 % (</w:t>
            </w:r>
            <w:r>
              <w:t>v</w:t>
            </w:r>
            <w:r w:rsidRPr="0098686E">
              <w:t>/v)</w:t>
            </w:r>
          </w:p>
        </w:tc>
      </w:tr>
    </w:tbl>
    <w:p w14:paraId="6F9E419E" w14:textId="4E8BE590" w:rsidR="00FC7307" w:rsidRPr="00FC7307" w:rsidRDefault="00FC7307" w:rsidP="00BE3AED">
      <w:pPr>
        <w:pStyle w:val="Heading3"/>
      </w:pPr>
      <w:bookmarkStart w:id="175" w:name="_Toc90216757"/>
      <w:r>
        <w:t xml:space="preserve">PBS – 20 % </w:t>
      </w:r>
      <w:r w:rsidR="00D66AB8">
        <w:t xml:space="preserve">(w/v) </w:t>
      </w:r>
      <w:r>
        <w:t>BSA</w:t>
      </w:r>
      <w:r w:rsidR="007006CC">
        <w:t>.</w:t>
      </w:r>
      <w:bookmarkEnd w:id="175"/>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AF6F90" w:rsidRPr="0098686E" w14:paraId="37C05C07" w14:textId="77777777" w:rsidTr="00154A0D">
        <w:tc>
          <w:tcPr>
            <w:tcW w:w="5669" w:type="dxa"/>
          </w:tcPr>
          <w:p w14:paraId="367F8D90" w14:textId="792CF5BF" w:rsidR="00AF6F90" w:rsidRPr="0098686E" w:rsidRDefault="00AF6F90" w:rsidP="00AF6F90">
            <w:pPr>
              <w:pStyle w:val="Tabletextnormal"/>
            </w:pPr>
            <w:r w:rsidRPr="0098686E">
              <w:t>Phosphate buffered saline tablets (Sigma)</w:t>
            </w:r>
          </w:p>
        </w:tc>
        <w:tc>
          <w:tcPr>
            <w:tcW w:w="2268" w:type="dxa"/>
          </w:tcPr>
          <w:p w14:paraId="56669072" w14:textId="3FA4BBF1" w:rsidR="00AF6F90" w:rsidRPr="0098686E" w:rsidRDefault="00AF6F90" w:rsidP="00AF6F90">
            <w:pPr>
              <w:pStyle w:val="Tabletextnormal"/>
            </w:pPr>
            <w:r w:rsidRPr="0098686E">
              <w:t>2 tablets/L</w:t>
            </w:r>
          </w:p>
        </w:tc>
      </w:tr>
      <w:tr w:rsidR="00B967FC" w:rsidRPr="0098686E" w14:paraId="07194B58" w14:textId="77777777" w:rsidTr="00154A0D">
        <w:tc>
          <w:tcPr>
            <w:tcW w:w="5669" w:type="dxa"/>
          </w:tcPr>
          <w:p w14:paraId="211B547F" w14:textId="322BFA9C" w:rsidR="00B967FC" w:rsidRPr="0098686E" w:rsidRDefault="003E0647" w:rsidP="00AF6F90">
            <w:pPr>
              <w:pStyle w:val="Tabletextnormal"/>
            </w:pPr>
            <w:r w:rsidRPr="0098686E">
              <w:t>B</w:t>
            </w:r>
            <w:r w:rsidR="00800F38" w:rsidRPr="0098686E">
              <w:t>ovine serum albumin, B</w:t>
            </w:r>
            <w:r w:rsidRPr="0098686E">
              <w:t>SA</w:t>
            </w:r>
            <w:r w:rsidR="00B967FC" w:rsidRPr="0098686E">
              <w:t xml:space="preserve"> (</w:t>
            </w:r>
            <w:r w:rsidR="00800F38" w:rsidRPr="0098686E">
              <w:t>Sigma</w:t>
            </w:r>
            <w:r w:rsidR="00B967FC" w:rsidRPr="0098686E">
              <w:t>)</w:t>
            </w:r>
          </w:p>
        </w:tc>
        <w:tc>
          <w:tcPr>
            <w:tcW w:w="2268" w:type="dxa"/>
          </w:tcPr>
          <w:p w14:paraId="30855BA3" w14:textId="7F11EE93" w:rsidR="00B967FC" w:rsidRPr="0098686E" w:rsidRDefault="003E0647" w:rsidP="00AF6F90">
            <w:pPr>
              <w:pStyle w:val="Tabletextnormal"/>
            </w:pPr>
            <w:r w:rsidRPr="0098686E">
              <w:t>2</w:t>
            </w:r>
            <w:r w:rsidR="00B967FC" w:rsidRPr="0098686E">
              <w:t>0 % (</w:t>
            </w:r>
            <w:r w:rsidRPr="0098686E">
              <w:t>w</w:t>
            </w:r>
            <w:r w:rsidR="00B967FC" w:rsidRPr="0098686E">
              <w:t>/v)</w:t>
            </w:r>
          </w:p>
        </w:tc>
      </w:tr>
    </w:tbl>
    <w:p w14:paraId="35C5A6D4" w14:textId="112FBD17" w:rsidR="00AF6F90" w:rsidRPr="005B0F81" w:rsidRDefault="004C1DD1" w:rsidP="004C1DD1">
      <w:pPr>
        <w:pStyle w:val="Heading3"/>
      </w:pPr>
      <w:bookmarkStart w:id="176" w:name="_Toc64276304"/>
      <w:bookmarkStart w:id="177" w:name="_Toc64276608"/>
      <w:bookmarkStart w:id="178" w:name="_Toc64276820"/>
      <w:bookmarkStart w:id="179" w:name="_Toc90216758"/>
      <w:r w:rsidRPr="005B0F81">
        <w:t>HEPES</w:t>
      </w:r>
      <w:bookmarkEnd w:id="176"/>
      <w:bookmarkEnd w:id="177"/>
      <w:bookmarkEnd w:id="178"/>
      <w:r w:rsidR="007006CC">
        <w:t>.</w:t>
      </w:r>
      <w:bookmarkEnd w:id="179"/>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4C1DD1" w:rsidRPr="0098686E" w14:paraId="130C5396" w14:textId="77777777" w:rsidTr="00154A0D">
        <w:tc>
          <w:tcPr>
            <w:tcW w:w="5669" w:type="dxa"/>
          </w:tcPr>
          <w:p w14:paraId="39090624" w14:textId="6F45791E" w:rsidR="004C1DD1" w:rsidRPr="0098686E" w:rsidRDefault="004C1DD1" w:rsidP="004C1DD1">
            <w:pPr>
              <w:pStyle w:val="Tabletextnormal"/>
            </w:pPr>
            <w:r w:rsidRPr="0098686E">
              <w:t>HEPES (Bio Basic Inc.)</w:t>
            </w:r>
          </w:p>
        </w:tc>
        <w:tc>
          <w:tcPr>
            <w:tcW w:w="2268" w:type="dxa"/>
          </w:tcPr>
          <w:p w14:paraId="2A3D7709" w14:textId="734CBD76" w:rsidR="004C1DD1" w:rsidRPr="0098686E" w:rsidRDefault="004C1DD1" w:rsidP="004C1DD1">
            <w:pPr>
              <w:pStyle w:val="Tabletextnormal"/>
            </w:pPr>
            <w:r w:rsidRPr="0098686E">
              <w:t>10 mM</w:t>
            </w:r>
          </w:p>
        </w:tc>
      </w:tr>
    </w:tbl>
    <w:p w14:paraId="59905629" w14:textId="01012416" w:rsidR="004C1DD1" w:rsidRPr="005B0F81" w:rsidRDefault="004C1DD1" w:rsidP="004C1DD1">
      <w:r w:rsidRPr="005B0F81">
        <w:t>The pH was adjusted with NaOH to 7.0. Stored at 4 </w:t>
      </w:r>
      <w:r w:rsidRPr="005B0F81">
        <w:rPr>
          <w:rFonts w:ascii="Calibri" w:hAnsi="Calibri"/>
        </w:rPr>
        <w:t>°</w:t>
      </w:r>
      <w:r w:rsidRPr="005B0F81">
        <w:t>C.</w:t>
      </w:r>
    </w:p>
    <w:p w14:paraId="23D206E2" w14:textId="433D4E23" w:rsidR="00047061" w:rsidRDefault="00047061" w:rsidP="00047061">
      <w:pPr>
        <w:pStyle w:val="Heading3"/>
      </w:pPr>
      <w:bookmarkStart w:id="180" w:name="_Toc64276305"/>
      <w:bookmarkStart w:id="181" w:name="_Toc64276609"/>
      <w:bookmarkStart w:id="182" w:name="_Toc64276821"/>
      <w:bookmarkStart w:id="183" w:name="_Ref79701776"/>
      <w:bookmarkStart w:id="184" w:name="_Toc90216759"/>
      <w:r w:rsidRPr="005B0F81">
        <w:t xml:space="preserve">HEPES – 10 % </w:t>
      </w:r>
      <w:r w:rsidR="003237FB">
        <w:t xml:space="preserve">(v/v) </w:t>
      </w:r>
      <w:r w:rsidRPr="005B0F81">
        <w:t>glycerol</w:t>
      </w:r>
      <w:bookmarkEnd w:id="180"/>
      <w:bookmarkEnd w:id="181"/>
      <w:bookmarkEnd w:id="182"/>
      <w:bookmarkEnd w:id="183"/>
      <w:r w:rsidR="007006CC">
        <w:t>.</w:t>
      </w:r>
      <w:bookmarkEnd w:id="184"/>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3B2599" w:rsidRPr="0098686E" w14:paraId="6B600018" w14:textId="77777777" w:rsidTr="00064D7A">
        <w:tc>
          <w:tcPr>
            <w:tcW w:w="5669" w:type="dxa"/>
          </w:tcPr>
          <w:p w14:paraId="5EDD9C30" w14:textId="77777777" w:rsidR="003B2599" w:rsidRPr="0098686E" w:rsidRDefault="003B2599" w:rsidP="00064D7A">
            <w:pPr>
              <w:pStyle w:val="Tabletextnormal"/>
            </w:pPr>
            <w:r w:rsidRPr="0098686E">
              <w:t>HEPES (Bio Basic Inc.)</w:t>
            </w:r>
          </w:p>
        </w:tc>
        <w:tc>
          <w:tcPr>
            <w:tcW w:w="2268" w:type="dxa"/>
          </w:tcPr>
          <w:p w14:paraId="76BDD34C" w14:textId="77777777" w:rsidR="003B2599" w:rsidRPr="0098686E" w:rsidRDefault="003B2599" w:rsidP="00064D7A">
            <w:pPr>
              <w:pStyle w:val="Tabletextnormal"/>
            </w:pPr>
            <w:r w:rsidRPr="0098686E">
              <w:t>10 mM</w:t>
            </w:r>
          </w:p>
        </w:tc>
      </w:tr>
      <w:tr w:rsidR="003B2599" w:rsidRPr="0098686E" w14:paraId="08C3A827" w14:textId="77777777" w:rsidTr="00064D7A">
        <w:tc>
          <w:tcPr>
            <w:tcW w:w="5669" w:type="dxa"/>
          </w:tcPr>
          <w:p w14:paraId="4952048A" w14:textId="6141D0BA" w:rsidR="003B2599" w:rsidRPr="0098686E" w:rsidRDefault="003B2599" w:rsidP="003B2599">
            <w:pPr>
              <w:pStyle w:val="Tabletextnormal"/>
            </w:pPr>
            <w:r w:rsidRPr="0098686E">
              <w:t>Glycerol (Fisher Scientific)</w:t>
            </w:r>
          </w:p>
        </w:tc>
        <w:tc>
          <w:tcPr>
            <w:tcW w:w="2268" w:type="dxa"/>
          </w:tcPr>
          <w:p w14:paraId="6A84EEA2" w14:textId="4CDB102F" w:rsidR="003B2599" w:rsidRPr="0098686E" w:rsidRDefault="003B2599" w:rsidP="003B2599">
            <w:pPr>
              <w:pStyle w:val="Tabletextnormal"/>
            </w:pPr>
            <w:r w:rsidRPr="0098686E">
              <w:t>10 % (v/v)</w:t>
            </w:r>
          </w:p>
        </w:tc>
      </w:tr>
    </w:tbl>
    <w:p w14:paraId="14A439B1" w14:textId="63EF6E6E" w:rsidR="00540B2C" w:rsidRPr="00540B2C" w:rsidRDefault="00540B2C" w:rsidP="00540B2C">
      <w:r w:rsidRPr="005B0F81">
        <w:t>The pH was adjusted with NaOH to 7.0. Stored at 4 </w:t>
      </w:r>
      <w:r w:rsidRPr="005B0F81">
        <w:rPr>
          <w:rFonts w:ascii="Calibri" w:hAnsi="Calibri"/>
        </w:rPr>
        <w:t>°</w:t>
      </w:r>
      <w:r w:rsidRPr="005B0F81">
        <w:t>C.</w:t>
      </w:r>
    </w:p>
    <w:p w14:paraId="51C1CE38" w14:textId="3DB29472" w:rsidR="00540B2C" w:rsidRDefault="00540B2C" w:rsidP="00540B2C">
      <w:pPr>
        <w:pStyle w:val="Heading3"/>
      </w:pPr>
      <w:bookmarkStart w:id="185" w:name="_Ref79745440"/>
      <w:bookmarkStart w:id="186" w:name="_Toc90216760"/>
      <w:r w:rsidRPr="005B0F81">
        <w:t xml:space="preserve">HEPES – </w:t>
      </w:r>
      <w:r w:rsidR="00661F80">
        <w:t>2</w:t>
      </w:r>
      <w:r w:rsidRPr="005B0F81">
        <w:t xml:space="preserve">0 % </w:t>
      </w:r>
      <w:r w:rsidR="003237FB">
        <w:t xml:space="preserve">(w/v) </w:t>
      </w:r>
      <w:r w:rsidR="001C0B05">
        <w:t>BSA</w:t>
      </w:r>
      <w:bookmarkEnd w:id="185"/>
      <w:r w:rsidR="007006CC">
        <w:t>.</w:t>
      </w:r>
      <w:bookmarkEnd w:id="186"/>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9E50F4" w:rsidRPr="0098686E" w14:paraId="2FE9AC50" w14:textId="77777777" w:rsidTr="00064D7A">
        <w:tc>
          <w:tcPr>
            <w:tcW w:w="5669" w:type="dxa"/>
          </w:tcPr>
          <w:p w14:paraId="17D6F9B9" w14:textId="77777777" w:rsidR="009E50F4" w:rsidRPr="0098686E" w:rsidRDefault="009E50F4" w:rsidP="00064D7A">
            <w:pPr>
              <w:pStyle w:val="Tabletextnormal"/>
            </w:pPr>
            <w:r w:rsidRPr="0098686E">
              <w:t>HEPES (Bio Basic Inc.)</w:t>
            </w:r>
          </w:p>
        </w:tc>
        <w:tc>
          <w:tcPr>
            <w:tcW w:w="2268" w:type="dxa"/>
          </w:tcPr>
          <w:p w14:paraId="2D36F1DE" w14:textId="77777777" w:rsidR="009E50F4" w:rsidRPr="0098686E" w:rsidRDefault="009E50F4" w:rsidP="00064D7A">
            <w:pPr>
              <w:pStyle w:val="Tabletextnormal"/>
            </w:pPr>
            <w:r w:rsidRPr="0098686E">
              <w:t>10 mM</w:t>
            </w:r>
          </w:p>
        </w:tc>
      </w:tr>
      <w:tr w:rsidR="009E50F4" w:rsidRPr="0098686E" w14:paraId="2C05AF46" w14:textId="77777777" w:rsidTr="00064D7A">
        <w:tc>
          <w:tcPr>
            <w:tcW w:w="5669" w:type="dxa"/>
          </w:tcPr>
          <w:p w14:paraId="32844AA9" w14:textId="41018C37" w:rsidR="009E50F4" w:rsidRPr="0098686E" w:rsidRDefault="009E50F4" w:rsidP="009E50F4">
            <w:pPr>
              <w:pStyle w:val="Tabletextnormal"/>
            </w:pPr>
            <w:r w:rsidRPr="0098686E">
              <w:t>BSA (Sigma)</w:t>
            </w:r>
          </w:p>
        </w:tc>
        <w:tc>
          <w:tcPr>
            <w:tcW w:w="2268" w:type="dxa"/>
          </w:tcPr>
          <w:p w14:paraId="183107D2" w14:textId="7402B598" w:rsidR="009E50F4" w:rsidRPr="0098686E" w:rsidRDefault="009E50F4" w:rsidP="009E50F4">
            <w:pPr>
              <w:pStyle w:val="Tabletextnormal"/>
            </w:pPr>
            <w:r>
              <w:t>2</w:t>
            </w:r>
            <w:r w:rsidRPr="0098686E">
              <w:t>0 % (</w:t>
            </w:r>
            <w:r>
              <w:t>w</w:t>
            </w:r>
            <w:r w:rsidRPr="0098686E">
              <w:t>/v)</w:t>
            </w:r>
          </w:p>
        </w:tc>
      </w:tr>
    </w:tbl>
    <w:p w14:paraId="2002C9CB" w14:textId="79899BBA" w:rsidR="001C0B05" w:rsidRDefault="001C0B05" w:rsidP="001C0B05">
      <w:pPr>
        <w:pStyle w:val="Heading3"/>
      </w:pPr>
      <w:bookmarkStart w:id="187" w:name="_Toc90216761"/>
      <w:r w:rsidRPr="005B0F81">
        <w:t xml:space="preserve">HEPES – </w:t>
      </w:r>
      <w:r>
        <w:t>2</w:t>
      </w:r>
      <w:r w:rsidRPr="005B0F81">
        <w:t xml:space="preserve"> % </w:t>
      </w:r>
      <w:r w:rsidR="003237FB">
        <w:t xml:space="preserve">(w/v) </w:t>
      </w:r>
      <w:r>
        <w:t>low melting-point agarose</w:t>
      </w:r>
      <w:r w:rsidR="007006CC">
        <w:t>.</w:t>
      </w:r>
      <w:bookmarkEnd w:id="187"/>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C24448" w:rsidRPr="0098686E" w14:paraId="52179D5E" w14:textId="77777777" w:rsidTr="00064D7A">
        <w:tc>
          <w:tcPr>
            <w:tcW w:w="5669" w:type="dxa"/>
          </w:tcPr>
          <w:p w14:paraId="3540A08A" w14:textId="77777777" w:rsidR="00C24448" w:rsidRPr="0098686E" w:rsidRDefault="00C24448" w:rsidP="00064D7A">
            <w:pPr>
              <w:pStyle w:val="Tabletextnormal"/>
            </w:pPr>
            <w:r w:rsidRPr="0098686E">
              <w:t>HEPES (Bio Basic Inc.)</w:t>
            </w:r>
          </w:p>
        </w:tc>
        <w:tc>
          <w:tcPr>
            <w:tcW w:w="2268" w:type="dxa"/>
          </w:tcPr>
          <w:p w14:paraId="0B5B8C07" w14:textId="77777777" w:rsidR="00C24448" w:rsidRPr="0098686E" w:rsidRDefault="00C24448" w:rsidP="00064D7A">
            <w:pPr>
              <w:pStyle w:val="Tabletextnormal"/>
            </w:pPr>
            <w:r w:rsidRPr="0098686E">
              <w:t>10 mM</w:t>
            </w:r>
          </w:p>
        </w:tc>
      </w:tr>
      <w:tr w:rsidR="00C24448" w:rsidRPr="0098686E" w14:paraId="7203D36B" w14:textId="77777777" w:rsidTr="00064D7A">
        <w:tc>
          <w:tcPr>
            <w:tcW w:w="5669" w:type="dxa"/>
          </w:tcPr>
          <w:p w14:paraId="6EFCFB28" w14:textId="2DA67516" w:rsidR="00C24448" w:rsidRPr="0098686E" w:rsidRDefault="00C24448" w:rsidP="00C24448">
            <w:pPr>
              <w:pStyle w:val="Tabletextnormal"/>
            </w:pPr>
            <w:r w:rsidRPr="0098686E">
              <w:t>Agarose, low gelling temperature (Sigma)</w:t>
            </w:r>
          </w:p>
        </w:tc>
        <w:tc>
          <w:tcPr>
            <w:tcW w:w="2268" w:type="dxa"/>
          </w:tcPr>
          <w:p w14:paraId="7A3C2FD4" w14:textId="65E68CAE" w:rsidR="00C24448" w:rsidRPr="0098686E" w:rsidRDefault="00C24448" w:rsidP="00C24448">
            <w:pPr>
              <w:pStyle w:val="Tabletextnormal"/>
            </w:pPr>
            <w:r>
              <w:t>2</w:t>
            </w:r>
            <w:r w:rsidRPr="0098686E">
              <w:t> % (</w:t>
            </w:r>
            <w:r>
              <w:t>w</w:t>
            </w:r>
            <w:r w:rsidRPr="0098686E">
              <w:t>/v)</w:t>
            </w:r>
          </w:p>
        </w:tc>
      </w:tr>
    </w:tbl>
    <w:p w14:paraId="179F3991" w14:textId="584C36F1" w:rsidR="004F748E" w:rsidRDefault="004F748E" w:rsidP="004F748E">
      <w:pPr>
        <w:pStyle w:val="Heading3"/>
      </w:pPr>
      <w:bookmarkStart w:id="188" w:name="_Toc90216762"/>
      <w:r>
        <w:t>20</w:t>
      </w:r>
      <w:r w:rsidRPr="005B0F81">
        <w:t xml:space="preserve"> % </w:t>
      </w:r>
      <w:r w:rsidR="00A15A81">
        <w:t xml:space="preserve">(w/v) </w:t>
      </w:r>
      <w:r>
        <w:t>uranyl acetate (UA) in methanol</w:t>
      </w:r>
      <w:r w:rsidR="007006CC">
        <w:t>.</w:t>
      </w:r>
      <w:bookmarkEnd w:id="188"/>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98686E" w:rsidRPr="0098686E" w14:paraId="12993DCE" w14:textId="77777777" w:rsidTr="000811A4">
        <w:tc>
          <w:tcPr>
            <w:tcW w:w="5669" w:type="dxa"/>
          </w:tcPr>
          <w:p w14:paraId="3CE9C568" w14:textId="499678FC" w:rsidR="0098686E" w:rsidRPr="0098686E" w:rsidRDefault="0098686E" w:rsidP="000811A4">
            <w:pPr>
              <w:pStyle w:val="Tabletextnormal"/>
            </w:pPr>
            <w:r>
              <w:t>Uranyl acetate (Polysciences, Inc.)</w:t>
            </w:r>
          </w:p>
        </w:tc>
        <w:tc>
          <w:tcPr>
            <w:tcW w:w="2268" w:type="dxa"/>
          </w:tcPr>
          <w:p w14:paraId="6F47050A" w14:textId="79CC3472" w:rsidR="0098686E" w:rsidRPr="0098686E" w:rsidRDefault="0098686E" w:rsidP="000811A4">
            <w:pPr>
              <w:pStyle w:val="Tabletextnormal"/>
            </w:pPr>
            <w:r w:rsidRPr="0098686E">
              <w:t>1 </w:t>
            </w:r>
            <w:r>
              <w:t>g</w:t>
            </w:r>
          </w:p>
        </w:tc>
      </w:tr>
      <w:tr w:rsidR="0098686E" w:rsidRPr="0098686E" w14:paraId="4B43D62B" w14:textId="77777777" w:rsidTr="000811A4">
        <w:tc>
          <w:tcPr>
            <w:tcW w:w="5669" w:type="dxa"/>
          </w:tcPr>
          <w:p w14:paraId="1BE4D457" w14:textId="0B3B197F" w:rsidR="0098686E" w:rsidRPr="0098686E" w:rsidRDefault="0098686E" w:rsidP="000811A4">
            <w:pPr>
              <w:pStyle w:val="Tabletextnormal"/>
            </w:pPr>
            <w:r w:rsidRPr="0098686E">
              <w:t xml:space="preserve">Dried </w:t>
            </w:r>
            <w:r>
              <w:t>methanol</w:t>
            </w:r>
          </w:p>
        </w:tc>
        <w:tc>
          <w:tcPr>
            <w:tcW w:w="2268" w:type="dxa"/>
          </w:tcPr>
          <w:p w14:paraId="34B2D28A" w14:textId="0E4612E1" w:rsidR="0098686E" w:rsidRPr="0098686E" w:rsidRDefault="0098686E" w:rsidP="000811A4">
            <w:pPr>
              <w:pStyle w:val="Tabletextnormal"/>
            </w:pPr>
            <w:r>
              <w:t>5</w:t>
            </w:r>
            <w:r w:rsidRPr="0098686E">
              <w:t> ml</w:t>
            </w:r>
          </w:p>
        </w:tc>
      </w:tr>
    </w:tbl>
    <w:p w14:paraId="0C9D2AD8" w14:textId="71FCD5A0" w:rsidR="004F748E" w:rsidRPr="004F748E" w:rsidRDefault="0077413C" w:rsidP="004F748E">
      <w:r>
        <w:t>This stock solution was prepared using glassware and it was stored at – 20 </w:t>
      </w:r>
      <w:r>
        <w:rPr>
          <w:rFonts w:ascii="Calibri" w:hAnsi="Calibri" w:cs="Calibri"/>
        </w:rPr>
        <w:t>°</w:t>
      </w:r>
      <w:r>
        <w:t>C.</w:t>
      </w:r>
    </w:p>
    <w:p w14:paraId="6B6FAB0D" w14:textId="6A6AFF6E" w:rsidR="004F748E" w:rsidRDefault="004F748E" w:rsidP="004F748E">
      <w:pPr>
        <w:pStyle w:val="Heading3"/>
      </w:pPr>
      <w:bookmarkStart w:id="189" w:name="_Ref79750264"/>
      <w:bookmarkStart w:id="190" w:name="_Toc90216763"/>
      <w:r>
        <w:lastRenderedPageBreak/>
        <w:t>1</w:t>
      </w:r>
      <w:r w:rsidRPr="005B0F81">
        <w:t xml:space="preserve"> % </w:t>
      </w:r>
      <w:r w:rsidR="00E54184">
        <w:t xml:space="preserve">(w/v) </w:t>
      </w:r>
      <w:r>
        <w:t>uranyl acetate (UA) in acetone</w:t>
      </w:r>
      <w:bookmarkEnd w:id="189"/>
      <w:r w:rsidR="007006CC">
        <w:t>.</w:t>
      </w:r>
      <w:bookmarkEnd w:id="190"/>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77413C" w:rsidRPr="0098686E" w14:paraId="16E799D7" w14:textId="77777777" w:rsidTr="005D60C3">
        <w:tc>
          <w:tcPr>
            <w:tcW w:w="5669" w:type="dxa"/>
          </w:tcPr>
          <w:p w14:paraId="72994F06" w14:textId="117C5F7B" w:rsidR="0077413C" w:rsidRPr="0098686E" w:rsidRDefault="00C74613" w:rsidP="005D60C3">
            <w:pPr>
              <w:pStyle w:val="Tabletextnormal"/>
            </w:pPr>
            <w:r w:rsidRPr="0098686E">
              <w:t xml:space="preserve">20 % </w:t>
            </w:r>
            <w:r w:rsidR="00E74037">
              <w:t xml:space="preserve">(w/v) </w:t>
            </w:r>
            <w:r w:rsidRPr="0098686E">
              <w:t>UA in methanol</w:t>
            </w:r>
          </w:p>
        </w:tc>
        <w:tc>
          <w:tcPr>
            <w:tcW w:w="2268" w:type="dxa"/>
          </w:tcPr>
          <w:p w14:paraId="7E7984C6" w14:textId="31A459E7" w:rsidR="0077413C" w:rsidRPr="0098686E" w:rsidRDefault="00C74613" w:rsidP="005D60C3">
            <w:pPr>
              <w:pStyle w:val="Tabletextnormal"/>
            </w:pPr>
            <w:r w:rsidRPr="0098686E">
              <w:t>1 ml</w:t>
            </w:r>
          </w:p>
        </w:tc>
      </w:tr>
      <w:tr w:rsidR="0077413C" w:rsidRPr="0098686E" w14:paraId="2B100520" w14:textId="77777777" w:rsidTr="005D60C3">
        <w:tc>
          <w:tcPr>
            <w:tcW w:w="5669" w:type="dxa"/>
          </w:tcPr>
          <w:p w14:paraId="4E0594F6" w14:textId="0A1824B4" w:rsidR="0077413C" w:rsidRPr="0098686E" w:rsidRDefault="00C74613" w:rsidP="005D60C3">
            <w:pPr>
              <w:pStyle w:val="Tabletextnormal"/>
            </w:pPr>
            <w:r w:rsidRPr="0098686E">
              <w:t>Dried acetone</w:t>
            </w:r>
            <w:r w:rsidR="00075728" w:rsidRPr="0098686E">
              <w:t xml:space="preserve"> (– 20 </w:t>
            </w:r>
            <w:r w:rsidR="00075728" w:rsidRPr="0098686E">
              <w:rPr>
                <w:rFonts w:ascii="Calibri" w:hAnsi="Calibri" w:cs="Calibri"/>
              </w:rPr>
              <w:t>°</w:t>
            </w:r>
            <w:r w:rsidR="00075728" w:rsidRPr="0098686E">
              <w:t>C)</w:t>
            </w:r>
          </w:p>
        </w:tc>
        <w:tc>
          <w:tcPr>
            <w:tcW w:w="2268" w:type="dxa"/>
          </w:tcPr>
          <w:p w14:paraId="473082A0" w14:textId="483A3D5D" w:rsidR="0077413C" w:rsidRPr="0098686E" w:rsidRDefault="00C74613" w:rsidP="005D60C3">
            <w:pPr>
              <w:pStyle w:val="Tabletextnormal"/>
            </w:pPr>
            <w:r w:rsidRPr="0098686E">
              <w:t>19 ml</w:t>
            </w:r>
          </w:p>
        </w:tc>
      </w:tr>
    </w:tbl>
    <w:p w14:paraId="272EA0F4" w14:textId="4CF389BA" w:rsidR="00691FB7" w:rsidRDefault="00691FB7" w:rsidP="00691FB7">
      <w:bookmarkStart w:id="191" w:name="_Toc64276306"/>
      <w:bookmarkStart w:id="192" w:name="_Toc64276610"/>
      <w:bookmarkStart w:id="193" w:name="_Toc64276822"/>
      <w:r>
        <w:t>This working solution was prepared using glassware and it was stored at 4 </w:t>
      </w:r>
      <w:r>
        <w:rPr>
          <w:rFonts w:ascii="Calibri" w:hAnsi="Calibri" w:cs="Calibri"/>
        </w:rPr>
        <w:t>°</w:t>
      </w:r>
      <w:r>
        <w:t>C in the dark.</w:t>
      </w:r>
      <w:r w:rsidR="00075728">
        <w:t xml:space="preserve"> The dried acetone used had been kept at – 20 </w:t>
      </w:r>
      <w:r w:rsidR="00075728">
        <w:rPr>
          <w:rFonts w:ascii="Calibri" w:hAnsi="Calibri" w:cs="Calibri"/>
        </w:rPr>
        <w:t>°</w:t>
      </w:r>
      <w:r w:rsidR="00075728">
        <w:t>C.</w:t>
      </w:r>
    </w:p>
    <w:p w14:paraId="35F78CA6" w14:textId="25D6174C" w:rsidR="000B291C" w:rsidRDefault="000B291C" w:rsidP="000B291C">
      <w:pPr>
        <w:pStyle w:val="Heading3"/>
      </w:pPr>
      <w:bookmarkStart w:id="194" w:name="_Ref79750229"/>
      <w:bookmarkStart w:id="195" w:name="_Toc90216764"/>
      <w:r>
        <w:t xml:space="preserve">0.05 – 0.1 % </w:t>
      </w:r>
      <w:r w:rsidR="00942DE2">
        <w:t xml:space="preserve">(w/v) </w:t>
      </w:r>
      <w:r>
        <w:t>egg lecithin in chloroform</w:t>
      </w:r>
      <w:bookmarkEnd w:id="194"/>
      <w:r w:rsidR="007006CC">
        <w:t>.</w:t>
      </w:r>
      <w:bookmarkEnd w:id="195"/>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8E5B55" w:rsidRPr="00D50367" w14:paraId="42F17A9A" w14:textId="77777777" w:rsidTr="005D60C3">
        <w:tc>
          <w:tcPr>
            <w:tcW w:w="5669" w:type="dxa"/>
          </w:tcPr>
          <w:p w14:paraId="254558D7" w14:textId="22FA83BF" w:rsidR="008E5B55" w:rsidRPr="00D50367" w:rsidRDefault="008E5B55" w:rsidP="005D60C3">
            <w:pPr>
              <w:pStyle w:val="Tabletextnormal"/>
            </w:pPr>
            <w:r w:rsidRPr="00D50367">
              <w:t>Chloroform</w:t>
            </w:r>
          </w:p>
        </w:tc>
        <w:tc>
          <w:tcPr>
            <w:tcW w:w="2268" w:type="dxa"/>
          </w:tcPr>
          <w:p w14:paraId="706DE4DA" w14:textId="7F9CE85C" w:rsidR="008E5B55" w:rsidRPr="00D50367" w:rsidRDefault="008E5B55" w:rsidP="005D60C3">
            <w:pPr>
              <w:pStyle w:val="Tabletextnormal"/>
            </w:pPr>
            <w:r w:rsidRPr="00D50367">
              <w:t>10 ml</w:t>
            </w:r>
          </w:p>
        </w:tc>
      </w:tr>
      <w:tr w:rsidR="008E5B55" w:rsidRPr="00D50367" w14:paraId="34B0C582" w14:textId="77777777" w:rsidTr="005D60C3">
        <w:tc>
          <w:tcPr>
            <w:tcW w:w="5669" w:type="dxa"/>
          </w:tcPr>
          <w:p w14:paraId="44F94614" w14:textId="6E92D709" w:rsidR="008E5B55" w:rsidRPr="00D50367" w:rsidRDefault="008E5B55" w:rsidP="005D60C3">
            <w:pPr>
              <w:pStyle w:val="Tabletextnormal"/>
            </w:pPr>
            <w:r w:rsidRPr="00D50367">
              <w:t>Egg lecithin (– 20 </w:t>
            </w:r>
            <w:r w:rsidRPr="00D50367">
              <w:rPr>
                <w:rFonts w:ascii="Calibri" w:hAnsi="Calibri" w:cs="Calibri"/>
              </w:rPr>
              <w:t>°</w:t>
            </w:r>
            <w:r w:rsidRPr="00D50367">
              <w:t>C)</w:t>
            </w:r>
          </w:p>
        </w:tc>
        <w:tc>
          <w:tcPr>
            <w:tcW w:w="2268" w:type="dxa"/>
          </w:tcPr>
          <w:p w14:paraId="2A0248D4" w14:textId="450D92E3" w:rsidR="008E5B55" w:rsidRPr="00D50367" w:rsidRDefault="008E5B55" w:rsidP="005D60C3">
            <w:pPr>
              <w:pStyle w:val="Tabletextnormal"/>
            </w:pPr>
            <w:r w:rsidRPr="00D50367">
              <w:t>0.01 g</w:t>
            </w:r>
          </w:p>
        </w:tc>
      </w:tr>
    </w:tbl>
    <w:p w14:paraId="6275F76D" w14:textId="3A709801" w:rsidR="008E5B55" w:rsidRPr="008E5B55" w:rsidRDefault="008E5B55" w:rsidP="008E5B55">
      <w:r>
        <w:t>Prepared with glassware and stored at room temperature.</w:t>
      </w:r>
    </w:p>
    <w:p w14:paraId="4B0EF1EE" w14:textId="21488D83" w:rsidR="00047061" w:rsidRPr="005B0F81" w:rsidRDefault="00047061" w:rsidP="00047061">
      <w:pPr>
        <w:pStyle w:val="Heading3"/>
      </w:pPr>
      <w:bookmarkStart w:id="196" w:name="_Toc90216765"/>
      <w:r w:rsidRPr="005B0F81">
        <w:t>Sodium Citrate</w:t>
      </w:r>
      <w:bookmarkEnd w:id="191"/>
      <w:bookmarkEnd w:id="192"/>
      <w:bookmarkEnd w:id="193"/>
      <w:r w:rsidR="007006CC">
        <w:t>.</w:t>
      </w:r>
      <w:bookmarkEnd w:id="196"/>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047061" w:rsidRPr="00D50367" w14:paraId="74550D37" w14:textId="77777777" w:rsidTr="00154A0D">
        <w:tc>
          <w:tcPr>
            <w:tcW w:w="5669" w:type="dxa"/>
          </w:tcPr>
          <w:p w14:paraId="19FE3716" w14:textId="1A7BDFED" w:rsidR="00047061" w:rsidRPr="00D50367" w:rsidRDefault="00047061" w:rsidP="00047061">
            <w:pPr>
              <w:pStyle w:val="Tabletextnormal"/>
            </w:pPr>
            <w:r w:rsidRPr="00D50367">
              <w:t>Sodium citrate (Fisher Scientific)</w:t>
            </w:r>
          </w:p>
        </w:tc>
        <w:tc>
          <w:tcPr>
            <w:tcW w:w="2268" w:type="dxa"/>
          </w:tcPr>
          <w:p w14:paraId="48941777" w14:textId="7B386149" w:rsidR="00047061" w:rsidRPr="00D50367" w:rsidRDefault="00047061" w:rsidP="00047061">
            <w:pPr>
              <w:pStyle w:val="Tabletextnormal"/>
            </w:pPr>
            <w:r w:rsidRPr="00D50367">
              <w:t>0.02 M</w:t>
            </w:r>
          </w:p>
        </w:tc>
      </w:tr>
    </w:tbl>
    <w:p w14:paraId="4BBD5CCA" w14:textId="77699854" w:rsidR="00047061" w:rsidRPr="005B0F81" w:rsidRDefault="00047061" w:rsidP="00047061">
      <w:pPr>
        <w:pStyle w:val="Heading3"/>
      </w:pPr>
      <w:bookmarkStart w:id="197" w:name="_Toc64276307"/>
      <w:bookmarkStart w:id="198" w:name="_Toc64276611"/>
      <w:bookmarkStart w:id="199" w:name="_Toc64276823"/>
      <w:bookmarkStart w:id="200" w:name="_Toc90216766"/>
      <w:r w:rsidRPr="005B0F81">
        <w:t>Calcium chloride (CaCl</w:t>
      </w:r>
      <w:r w:rsidRPr="005B0F81">
        <w:rPr>
          <w:vertAlign w:val="subscript"/>
        </w:rPr>
        <w:t>2</w:t>
      </w:r>
      <w:r w:rsidRPr="005B0F81">
        <w:t>)</w:t>
      </w:r>
      <w:bookmarkEnd w:id="197"/>
      <w:bookmarkEnd w:id="198"/>
      <w:bookmarkEnd w:id="199"/>
      <w:r w:rsidR="007006CC">
        <w:t>.</w:t>
      </w:r>
      <w:bookmarkEnd w:id="200"/>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047061" w:rsidRPr="00D50367" w14:paraId="1E75550A" w14:textId="77777777" w:rsidTr="00154A0D">
        <w:tc>
          <w:tcPr>
            <w:tcW w:w="5669" w:type="dxa"/>
          </w:tcPr>
          <w:p w14:paraId="2AC98A99" w14:textId="42F9FE48" w:rsidR="00047061" w:rsidRPr="00D50367" w:rsidRDefault="00047061" w:rsidP="00047061">
            <w:pPr>
              <w:pStyle w:val="Tabletextnormal"/>
            </w:pPr>
            <w:r w:rsidRPr="00D50367">
              <w:t>CaCl</w:t>
            </w:r>
            <w:r w:rsidRPr="00D50367">
              <w:rPr>
                <w:vertAlign w:val="subscript"/>
              </w:rPr>
              <w:t>2</w:t>
            </w:r>
          </w:p>
        </w:tc>
        <w:tc>
          <w:tcPr>
            <w:tcW w:w="2268" w:type="dxa"/>
          </w:tcPr>
          <w:p w14:paraId="10D6E0A8" w14:textId="54CAFFFC" w:rsidR="00047061" w:rsidRPr="00D50367" w:rsidRDefault="003D5AF2" w:rsidP="00047061">
            <w:pPr>
              <w:pStyle w:val="Tabletextnormal"/>
            </w:pPr>
            <w:r w:rsidRPr="00D50367">
              <w:t>1</w:t>
            </w:r>
            <w:r w:rsidR="00047061" w:rsidRPr="00D50367">
              <w:t> M</w:t>
            </w:r>
          </w:p>
        </w:tc>
      </w:tr>
    </w:tbl>
    <w:p w14:paraId="0D709CFE" w14:textId="2905C222" w:rsidR="00047061" w:rsidRPr="007006CC" w:rsidRDefault="005B0F81" w:rsidP="005B0F81">
      <w:pPr>
        <w:pStyle w:val="Heading3"/>
        <w:rPr>
          <w:lang w:val="es-ES"/>
        </w:rPr>
      </w:pPr>
      <w:bookmarkStart w:id="201" w:name="_Toc64276308"/>
      <w:bookmarkStart w:id="202" w:name="_Toc64276612"/>
      <w:bookmarkStart w:id="203" w:name="_Toc64276824"/>
      <w:bookmarkStart w:id="204" w:name="_Toc90216767"/>
      <w:r w:rsidRPr="007006CC">
        <w:rPr>
          <w:lang w:val="es-ES"/>
        </w:rPr>
        <w:t>Tris-acetate EDTA (TAE) – 50X</w:t>
      </w:r>
      <w:bookmarkEnd w:id="201"/>
      <w:bookmarkEnd w:id="202"/>
      <w:bookmarkEnd w:id="203"/>
      <w:r w:rsidR="007006CC" w:rsidRPr="007006CC">
        <w:rPr>
          <w:lang w:val="es-ES"/>
        </w:rPr>
        <w:t>.</w:t>
      </w:r>
      <w:bookmarkEnd w:id="204"/>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5B0F81" w:rsidRPr="00D50367" w14:paraId="097B6A6E" w14:textId="77777777" w:rsidTr="00154A0D">
        <w:tc>
          <w:tcPr>
            <w:tcW w:w="5669" w:type="dxa"/>
          </w:tcPr>
          <w:p w14:paraId="55DF8770" w14:textId="63557F48" w:rsidR="005B0F81" w:rsidRPr="00D50367" w:rsidRDefault="005B0F81" w:rsidP="005B0F81">
            <w:pPr>
              <w:pStyle w:val="Tabletextnormal"/>
            </w:pPr>
            <w:r w:rsidRPr="00D50367">
              <w:t>Tris</w:t>
            </w:r>
            <w:r w:rsidR="00025419" w:rsidRPr="00D50367">
              <w:t xml:space="preserve"> base</w:t>
            </w:r>
          </w:p>
        </w:tc>
        <w:tc>
          <w:tcPr>
            <w:tcW w:w="2268" w:type="dxa"/>
          </w:tcPr>
          <w:p w14:paraId="7B5BBD55" w14:textId="054E772D" w:rsidR="005B0F81" w:rsidRPr="00D50367" w:rsidRDefault="005B0F81" w:rsidP="005B0F81">
            <w:pPr>
              <w:pStyle w:val="Tabletextnormal"/>
            </w:pPr>
            <w:r w:rsidRPr="00D50367">
              <w:t>242 g/L</w:t>
            </w:r>
          </w:p>
        </w:tc>
      </w:tr>
      <w:tr w:rsidR="005B0F81" w:rsidRPr="00D50367" w14:paraId="3A3637A9" w14:textId="77777777" w:rsidTr="00154A0D">
        <w:tc>
          <w:tcPr>
            <w:tcW w:w="5669" w:type="dxa"/>
          </w:tcPr>
          <w:p w14:paraId="5EAEBDE0" w14:textId="11D5B061" w:rsidR="005B0F81" w:rsidRPr="00D50367" w:rsidRDefault="005B0F81" w:rsidP="005B0F81">
            <w:pPr>
              <w:pStyle w:val="Tabletextnormal"/>
            </w:pPr>
            <w:r w:rsidRPr="00D50367">
              <w:t>Glacial acetic acid</w:t>
            </w:r>
          </w:p>
        </w:tc>
        <w:tc>
          <w:tcPr>
            <w:tcW w:w="2268" w:type="dxa"/>
          </w:tcPr>
          <w:p w14:paraId="70B711E3" w14:textId="0F069AE0" w:rsidR="005B0F81" w:rsidRPr="00D50367" w:rsidRDefault="005B0F81" w:rsidP="005B0F81">
            <w:pPr>
              <w:pStyle w:val="Tabletextnormal"/>
            </w:pPr>
            <w:r w:rsidRPr="00D50367">
              <w:t>5.7 % (v/v)</w:t>
            </w:r>
          </w:p>
        </w:tc>
      </w:tr>
      <w:tr w:rsidR="005B0F81" w:rsidRPr="00D50367" w14:paraId="3A1A460D" w14:textId="77777777" w:rsidTr="00154A0D">
        <w:tc>
          <w:tcPr>
            <w:tcW w:w="5669" w:type="dxa"/>
          </w:tcPr>
          <w:p w14:paraId="4D023485" w14:textId="4745AAAD" w:rsidR="005B0F81" w:rsidRPr="00D50367" w:rsidRDefault="005B0F81" w:rsidP="005B0F81">
            <w:pPr>
              <w:pStyle w:val="Tabletextnormal"/>
            </w:pPr>
            <w:r w:rsidRPr="00D50367">
              <w:t>Na</w:t>
            </w:r>
            <w:r w:rsidRPr="00D50367">
              <w:rPr>
                <w:vertAlign w:val="subscript"/>
              </w:rPr>
              <w:t>2</w:t>
            </w:r>
            <w:r w:rsidRPr="00D50367">
              <w:t>EDTA pH 8.0</w:t>
            </w:r>
          </w:p>
        </w:tc>
        <w:tc>
          <w:tcPr>
            <w:tcW w:w="2268" w:type="dxa"/>
          </w:tcPr>
          <w:p w14:paraId="68A5C242" w14:textId="27984F7B" w:rsidR="005B0F81" w:rsidRPr="00D50367" w:rsidRDefault="005B0F81" w:rsidP="005B0F81">
            <w:pPr>
              <w:pStyle w:val="Tabletextnormal"/>
            </w:pPr>
            <w:r w:rsidRPr="00D50367">
              <w:t>0.05 M</w:t>
            </w:r>
          </w:p>
        </w:tc>
      </w:tr>
    </w:tbl>
    <w:p w14:paraId="3351D33C" w14:textId="63122064" w:rsidR="005B0F81" w:rsidRDefault="005B0F81" w:rsidP="005B0F81">
      <w:r w:rsidRPr="005B0F81">
        <w:t>1X TAE working solution was made by a 1:50 dilution of 50X TAE stock solution with dH</w:t>
      </w:r>
      <w:r w:rsidRPr="00150BDB">
        <w:rPr>
          <w:vertAlign w:val="subscript"/>
        </w:rPr>
        <w:t>2</w:t>
      </w:r>
      <w:r w:rsidRPr="005B0F81">
        <w:t>O</w:t>
      </w:r>
      <w:r>
        <w:t>.</w:t>
      </w:r>
    </w:p>
    <w:p w14:paraId="4971982F" w14:textId="5CF55051" w:rsidR="005B0F81" w:rsidRDefault="005B0F81" w:rsidP="005B0F81">
      <w:pPr>
        <w:pStyle w:val="Heading3"/>
      </w:pPr>
      <w:bookmarkStart w:id="205" w:name="_Toc64276309"/>
      <w:bookmarkStart w:id="206" w:name="_Toc64276613"/>
      <w:bookmarkStart w:id="207" w:name="_Toc64276825"/>
      <w:bookmarkStart w:id="208" w:name="_Toc90216768"/>
      <w:r>
        <w:t>Agarose Gel</w:t>
      </w:r>
      <w:bookmarkEnd w:id="205"/>
      <w:bookmarkEnd w:id="206"/>
      <w:bookmarkEnd w:id="207"/>
      <w:r w:rsidR="007006CC">
        <w:t>.</w:t>
      </w:r>
      <w:bookmarkEnd w:id="208"/>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5B0F81" w:rsidRPr="00D50367" w14:paraId="1DD646FD" w14:textId="77777777" w:rsidTr="00154A0D">
        <w:tc>
          <w:tcPr>
            <w:tcW w:w="5669" w:type="dxa"/>
          </w:tcPr>
          <w:p w14:paraId="248069C8" w14:textId="2ABED974" w:rsidR="005B0F81" w:rsidRPr="00D50367" w:rsidRDefault="005B0F81" w:rsidP="005B0F81">
            <w:pPr>
              <w:pStyle w:val="Tabletextnormal"/>
            </w:pPr>
            <w:r w:rsidRPr="00D50367">
              <w:t>Agarose</w:t>
            </w:r>
          </w:p>
        </w:tc>
        <w:tc>
          <w:tcPr>
            <w:tcW w:w="2268" w:type="dxa"/>
          </w:tcPr>
          <w:p w14:paraId="6D66DA6C" w14:textId="0B097231" w:rsidR="005B0F81" w:rsidRPr="00D50367" w:rsidRDefault="005B0F81" w:rsidP="005B0F81">
            <w:pPr>
              <w:pStyle w:val="Tabletextnormal"/>
            </w:pPr>
            <w:r w:rsidRPr="00D50367">
              <w:t>2.5 % (w/v)</w:t>
            </w:r>
          </w:p>
        </w:tc>
      </w:tr>
      <w:tr w:rsidR="005B0F81" w:rsidRPr="00D50367" w14:paraId="471EDEFE" w14:textId="77777777" w:rsidTr="00154A0D">
        <w:tc>
          <w:tcPr>
            <w:tcW w:w="5669" w:type="dxa"/>
          </w:tcPr>
          <w:p w14:paraId="406E2529" w14:textId="593CC31B" w:rsidR="005B0F81" w:rsidRPr="00D50367" w:rsidRDefault="005B0F81" w:rsidP="005B0F81">
            <w:pPr>
              <w:pStyle w:val="Tabletextnormal"/>
            </w:pPr>
            <w:r w:rsidRPr="00D50367">
              <w:t>Ethidium bromide (EtBr)</w:t>
            </w:r>
          </w:p>
        </w:tc>
        <w:tc>
          <w:tcPr>
            <w:tcW w:w="2268" w:type="dxa"/>
          </w:tcPr>
          <w:p w14:paraId="5C947A26" w14:textId="1EFC4BBD" w:rsidR="005B0F81" w:rsidRPr="00D50367" w:rsidRDefault="005B0F81" w:rsidP="005B0F81">
            <w:pPr>
              <w:pStyle w:val="Tabletextnormal"/>
            </w:pPr>
            <w:r w:rsidRPr="00D50367">
              <w:t>0.5 µl/ml</w:t>
            </w:r>
          </w:p>
        </w:tc>
      </w:tr>
    </w:tbl>
    <w:p w14:paraId="479B81F6" w14:textId="61B839CC" w:rsidR="005B0F81" w:rsidRDefault="005B0F81" w:rsidP="005B0F81">
      <w:r>
        <w:t>In TAE (1X) buffer.</w:t>
      </w:r>
    </w:p>
    <w:p w14:paraId="738E3866" w14:textId="0D393717" w:rsidR="000C5834" w:rsidRDefault="000C5834" w:rsidP="005B0F81"/>
    <w:p w14:paraId="67032207" w14:textId="61CE5E97" w:rsidR="000C5834" w:rsidRDefault="000C5834" w:rsidP="005B0F81"/>
    <w:p w14:paraId="04A10C04" w14:textId="77777777" w:rsidR="000C5834" w:rsidRDefault="000C5834" w:rsidP="00331C78">
      <w:pPr>
        <w:pStyle w:val="Heading3"/>
      </w:pPr>
      <w:bookmarkStart w:id="209" w:name="_Toc64276312"/>
      <w:bookmarkStart w:id="210" w:name="_Toc64276616"/>
      <w:bookmarkStart w:id="211" w:name="_Toc64276828"/>
      <w:bookmarkStart w:id="212" w:name="_Toc90216769"/>
      <w:r>
        <w:lastRenderedPageBreak/>
        <w:t>100 mM sodium phosphate buffer</w:t>
      </w:r>
      <w:bookmarkEnd w:id="209"/>
      <w:bookmarkEnd w:id="210"/>
      <w:bookmarkEnd w:id="211"/>
      <w:r>
        <w:t>.</w:t>
      </w:r>
      <w:bookmarkEnd w:id="212"/>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0C5834" w:rsidRPr="00D50367" w14:paraId="3B9F5900" w14:textId="77777777" w:rsidTr="00F12A23">
        <w:tc>
          <w:tcPr>
            <w:tcW w:w="5669" w:type="dxa"/>
          </w:tcPr>
          <w:p w14:paraId="3156979F" w14:textId="77777777" w:rsidR="000C5834" w:rsidRPr="00D50367" w:rsidRDefault="000C5834" w:rsidP="00F12A23">
            <w:pPr>
              <w:pStyle w:val="Tabletextnormal"/>
              <w:rPr>
                <w:vertAlign w:val="subscript"/>
              </w:rPr>
            </w:pPr>
            <w:r w:rsidRPr="00D50367">
              <w:t>1 M NaH</w:t>
            </w:r>
            <w:r w:rsidRPr="00D50367">
              <w:rPr>
                <w:vertAlign w:val="subscript"/>
              </w:rPr>
              <w:t>2</w:t>
            </w:r>
            <w:r w:rsidRPr="00D50367">
              <w:t>PO</w:t>
            </w:r>
            <w:r w:rsidRPr="00D50367">
              <w:rPr>
                <w:vertAlign w:val="subscript"/>
              </w:rPr>
              <w:t>4</w:t>
            </w:r>
          </w:p>
        </w:tc>
        <w:tc>
          <w:tcPr>
            <w:tcW w:w="2268" w:type="dxa"/>
          </w:tcPr>
          <w:p w14:paraId="62038201" w14:textId="77777777" w:rsidR="000C5834" w:rsidRPr="00D50367" w:rsidRDefault="000C5834" w:rsidP="00F12A23">
            <w:pPr>
              <w:pStyle w:val="Tabletextnormal"/>
            </w:pPr>
            <w:r w:rsidRPr="00D50367">
              <w:t>42.3 ml</w:t>
            </w:r>
          </w:p>
        </w:tc>
      </w:tr>
      <w:tr w:rsidR="000C5834" w:rsidRPr="00D50367" w14:paraId="1A22C1F5" w14:textId="77777777" w:rsidTr="00F12A23">
        <w:tc>
          <w:tcPr>
            <w:tcW w:w="5669" w:type="dxa"/>
          </w:tcPr>
          <w:p w14:paraId="6B261968" w14:textId="77777777" w:rsidR="000C5834" w:rsidRPr="00D50367" w:rsidRDefault="000C5834" w:rsidP="00F12A23">
            <w:pPr>
              <w:pStyle w:val="Tabletextnormal"/>
              <w:rPr>
                <w:vertAlign w:val="subscript"/>
              </w:rPr>
            </w:pPr>
            <w:r w:rsidRPr="00D50367">
              <w:t>1 M Na</w:t>
            </w:r>
            <w:r w:rsidRPr="00D50367">
              <w:rPr>
                <w:vertAlign w:val="subscript"/>
              </w:rPr>
              <w:t>2</w:t>
            </w:r>
            <w:r w:rsidRPr="00D50367">
              <w:t>HPO</w:t>
            </w:r>
            <w:r w:rsidRPr="00D50367">
              <w:rPr>
                <w:vertAlign w:val="subscript"/>
              </w:rPr>
              <w:t>4</w:t>
            </w:r>
          </w:p>
        </w:tc>
        <w:tc>
          <w:tcPr>
            <w:tcW w:w="2268" w:type="dxa"/>
          </w:tcPr>
          <w:p w14:paraId="2FA9A4C4" w14:textId="77777777" w:rsidR="000C5834" w:rsidRPr="00D50367" w:rsidRDefault="000C5834" w:rsidP="00F12A23">
            <w:pPr>
              <w:pStyle w:val="Tabletextnormal"/>
            </w:pPr>
            <w:r w:rsidRPr="00D50367">
              <w:t>57.7 ml</w:t>
            </w:r>
          </w:p>
        </w:tc>
      </w:tr>
    </w:tbl>
    <w:p w14:paraId="450F9FB8" w14:textId="7E0871B0" w:rsidR="000C5834" w:rsidRDefault="000C5834" w:rsidP="005B0F81">
      <w:r>
        <w:t>The final volume was adjusted to 1 L and to a pH of 7.0.</w:t>
      </w:r>
    </w:p>
    <w:p w14:paraId="2394FA89" w14:textId="4A171595" w:rsidR="005B0F81" w:rsidRDefault="005B0F81" w:rsidP="005B0F81">
      <w:pPr>
        <w:pStyle w:val="Heading2"/>
      </w:pPr>
      <w:bookmarkStart w:id="213" w:name="_Toc64276310"/>
      <w:bookmarkStart w:id="214" w:name="_Toc64276614"/>
      <w:bookmarkStart w:id="215" w:name="_Toc64276826"/>
      <w:bookmarkStart w:id="216" w:name="_Toc90216770"/>
      <w:r>
        <w:t>Fixatives</w:t>
      </w:r>
      <w:bookmarkEnd w:id="213"/>
      <w:bookmarkEnd w:id="214"/>
      <w:bookmarkEnd w:id="215"/>
      <w:r w:rsidR="007006CC">
        <w:t>.</w:t>
      </w:r>
      <w:bookmarkEnd w:id="216"/>
    </w:p>
    <w:p w14:paraId="6C704391" w14:textId="72A3CD04" w:rsidR="005B0F81" w:rsidRDefault="005B0F81" w:rsidP="005B0F81">
      <w:pPr>
        <w:pStyle w:val="Heading3"/>
      </w:pPr>
      <w:bookmarkStart w:id="217" w:name="_Toc64276311"/>
      <w:bookmarkStart w:id="218" w:name="_Toc64276615"/>
      <w:bookmarkStart w:id="219" w:name="_Toc64276827"/>
      <w:bookmarkStart w:id="220" w:name="_Toc90216771"/>
      <w:r>
        <w:t>Paraformaldehyde (PFA)</w:t>
      </w:r>
      <w:bookmarkEnd w:id="217"/>
      <w:bookmarkEnd w:id="218"/>
      <w:bookmarkEnd w:id="219"/>
      <w:r w:rsidR="007006CC">
        <w:t>.</w:t>
      </w:r>
      <w:bookmarkEnd w:id="220"/>
    </w:p>
    <w:p w14:paraId="58250579" w14:textId="5820646F" w:rsidR="008C21A2" w:rsidRDefault="008C21A2" w:rsidP="008C21A2">
      <w:pPr>
        <w:pStyle w:val="Heading4"/>
      </w:pPr>
      <w:bookmarkStart w:id="221" w:name="_Toc64276313"/>
      <w:bookmarkStart w:id="222" w:name="_Toc64276617"/>
      <w:bookmarkStart w:id="223" w:name="_Toc64276829"/>
      <w:bookmarkStart w:id="224" w:name="_Toc90216772"/>
      <w:r>
        <w:t>16 % (w/v) paraformaldehyde</w:t>
      </w:r>
      <w:bookmarkEnd w:id="221"/>
      <w:bookmarkEnd w:id="222"/>
      <w:bookmarkEnd w:id="223"/>
      <w:r w:rsidR="00DB664F">
        <w:t xml:space="preserve"> stock solution</w:t>
      </w:r>
      <w:r w:rsidR="007006CC">
        <w:t>.</w:t>
      </w:r>
      <w:bookmarkEnd w:id="224"/>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8C21A2" w:rsidRPr="00D50367" w14:paraId="5E383FE2" w14:textId="77777777" w:rsidTr="00154A0D">
        <w:tc>
          <w:tcPr>
            <w:tcW w:w="5669" w:type="dxa"/>
          </w:tcPr>
          <w:p w14:paraId="4E4AC9C3" w14:textId="2E974A3F" w:rsidR="008C21A2" w:rsidRPr="00D50367" w:rsidRDefault="008C21A2" w:rsidP="008C21A2">
            <w:pPr>
              <w:pStyle w:val="Tabletextnormal"/>
            </w:pPr>
            <w:r w:rsidRPr="00D50367">
              <w:t>Paraformaldehyde</w:t>
            </w:r>
            <w:r w:rsidR="00A22BB0">
              <w:t xml:space="preserve"> (PFA)</w:t>
            </w:r>
          </w:p>
        </w:tc>
        <w:tc>
          <w:tcPr>
            <w:tcW w:w="2268" w:type="dxa"/>
          </w:tcPr>
          <w:p w14:paraId="262B17AE" w14:textId="4F9CAA78" w:rsidR="008C21A2" w:rsidRPr="00D50367" w:rsidRDefault="008C21A2" w:rsidP="008C21A2">
            <w:pPr>
              <w:pStyle w:val="Tabletextnormal"/>
            </w:pPr>
            <w:r w:rsidRPr="00D50367">
              <w:t>8 g</w:t>
            </w:r>
          </w:p>
        </w:tc>
      </w:tr>
      <w:tr w:rsidR="008C21A2" w:rsidRPr="00D50367" w14:paraId="384313B5" w14:textId="77777777" w:rsidTr="00154A0D">
        <w:tc>
          <w:tcPr>
            <w:tcW w:w="5669" w:type="dxa"/>
          </w:tcPr>
          <w:p w14:paraId="04733872" w14:textId="2B1D5D77" w:rsidR="008C21A2" w:rsidRPr="00D50367" w:rsidRDefault="008C21A2" w:rsidP="008C21A2">
            <w:pPr>
              <w:pStyle w:val="Tabletextnormal"/>
            </w:pPr>
            <w:r w:rsidRPr="00D50367">
              <w:t>100 mM sodium phosphate buffer pH 7.0</w:t>
            </w:r>
          </w:p>
        </w:tc>
        <w:tc>
          <w:tcPr>
            <w:tcW w:w="2268" w:type="dxa"/>
          </w:tcPr>
          <w:p w14:paraId="534925FC" w14:textId="6156FB9A" w:rsidR="008C21A2" w:rsidRPr="00D50367" w:rsidRDefault="008C21A2" w:rsidP="008C21A2">
            <w:pPr>
              <w:pStyle w:val="Tabletextnormal"/>
            </w:pPr>
            <w:r w:rsidRPr="00D50367">
              <w:t>50 ml</w:t>
            </w:r>
          </w:p>
        </w:tc>
      </w:tr>
    </w:tbl>
    <w:p w14:paraId="7CA17028" w14:textId="0295C5F0" w:rsidR="008C21A2" w:rsidRDefault="008C21A2" w:rsidP="008C21A2">
      <w:r w:rsidRPr="008C21A2">
        <w:t xml:space="preserve">To aid the dilution of the </w:t>
      </w:r>
      <w:r w:rsidR="00A22BB0">
        <w:t>paraformaldehyde (</w:t>
      </w:r>
      <w:r w:rsidRPr="008C21A2">
        <w:t>PFA</w:t>
      </w:r>
      <w:r w:rsidR="00A22BB0">
        <w:t>)</w:t>
      </w:r>
      <w:r w:rsidRPr="008C21A2">
        <w:t xml:space="preserve">, the solution was heated to 60 °C and shaken vigorously. The resulting solution </w:t>
      </w:r>
      <w:r w:rsidR="00FA1449">
        <w:t>was</w:t>
      </w:r>
      <w:r w:rsidRPr="008C21A2">
        <w:t xml:space="preserve"> cloudy and white, a characteristic that disappear</w:t>
      </w:r>
      <w:r w:rsidR="00FA1449">
        <w:t>ed</w:t>
      </w:r>
      <w:r w:rsidRPr="008C21A2">
        <w:t xml:space="preserve"> by carefully adding drops of 1 M NaOH while mixing the solution. Sterilisation was achieved with a 0.22 µm pore filter</w:t>
      </w:r>
      <w:r w:rsidR="00D71AFD">
        <w:t xml:space="preserve"> (Merck)</w:t>
      </w:r>
      <w:r w:rsidRPr="008C21A2">
        <w:t>. Stored at 4 °C for up to 3 months.</w:t>
      </w:r>
    </w:p>
    <w:p w14:paraId="58C6321E" w14:textId="6DB9E12B" w:rsidR="00640EC8" w:rsidRDefault="00DB664F" w:rsidP="00640EC8">
      <w:pPr>
        <w:pStyle w:val="Heading4"/>
      </w:pPr>
      <w:bookmarkStart w:id="225" w:name="_Toc64276314"/>
      <w:bookmarkStart w:id="226" w:name="_Toc64276618"/>
      <w:bookmarkStart w:id="227" w:name="_Toc64276830"/>
      <w:bookmarkStart w:id="228" w:name="_Ref78205833"/>
      <w:bookmarkStart w:id="229" w:name="_Ref79662411"/>
      <w:bookmarkStart w:id="230" w:name="_Toc90216773"/>
      <w:r>
        <w:t>3</w:t>
      </w:r>
      <w:r w:rsidR="00032755">
        <w:t>.2</w:t>
      </w:r>
      <w:r>
        <w:t xml:space="preserve"> % </w:t>
      </w:r>
      <w:r w:rsidR="002D2963">
        <w:t xml:space="preserve">(w/v) </w:t>
      </w:r>
      <w:r>
        <w:t>p</w:t>
      </w:r>
      <w:r w:rsidR="00853150">
        <w:t>araformaldehyde</w:t>
      </w:r>
      <w:r w:rsidR="00640EC8">
        <w:t xml:space="preserve"> fixing solution</w:t>
      </w:r>
      <w:bookmarkEnd w:id="225"/>
      <w:bookmarkEnd w:id="226"/>
      <w:bookmarkEnd w:id="227"/>
      <w:bookmarkEnd w:id="228"/>
      <w:bookmarkEnd w:id="229"/>
      <w:r w:rsidR="007006CC">
        <w:t>.</w:t>
      </w:r>
      <w:bookmarkEnd w:id="230"/>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640EC8" w:rsidRPr="00D50367" w14:paraId="73929A3F" w14:textId="77777777" w:rsidTr="00154A0D">
        <w:tc>
          <w:tcPr>
            <w:tcW w:w="5669" w:type="dxa"/>
          </w:tcPr>
          <w:p w14:paraId="43779EC6" w14:textId="01937BBD" w:rsidR="00640EC8" w:rsidRPr="00D50367" w:rsidRDefault="00640EC8" w:rsidP="00640EC8">
            <w:pPr>
              <w:pStyle w:val="Tabletextnormal"/>
            </w:pPr>
            <w:r w:rsidRPr="00D50367">
              <w:t>16 % (w/v) PFA</w:t>
            </w:r>
          </w:p>
        </w:tc>
        <w:tc>
          <w:tcPr>
            <w:tcW w:w="2268" w:type="dxa"/>
          </w:tcPr>
          <w:p w14:paraId="5F12E972" w14:textId="4E80CBF8" w:rsidR="00640EC8" w:rsidRPr="00D50367" w:rsidRDefault="00640EC8" w:rsidP="00640EC8">
            <w:pPr>
              <w:pStyle w:val="Tabletextnormal"/>
            </w:pPr>
            <w:r w:rsidRPr="00D50367">
              <w:t>0.5 ml</w:t>
            </w:r>
          </w:p>
        </w:tc>
      </w:tr>
      <w:tr w:rsidR="00640EC8" w:rsidRPr="00D50367" w14:paraId="614EB8D5" w14:textId="77777777" w:rsidTr="00154A0D">
        <w:tc>
          <w:tcPr>
            <w:tcW w:w="5669" w:type="dxa"/>
          </w:tcPr>
          <w:p w14:paraId="5A3448F0" w14:textId="350E7691" w:rsidR="00640EC8" w:rsidRPr="00D50367" w:rsidRDefault="00640EC8" w:rsidP="00640EC8">
            <w:pPr>
              <w:pStyle w:val="Tabletextnormal"/>
            </w:pPr>
            <w:r w:rsidRPr="00D50367">
              <w:t>PBS</w:t>
            </w:r>
          </w:p>
        </w:tc>
        <w:tc>
          <w:tcPr>
            <w:tcW w:w="2268" w:type="dxa"/>
          </w:tcPr>
          <w:p w14:paraId="22DF0850" w14:textId="5AD65D03" w:rsidR="00640EC8" w:rsidRPr="00D50367" w:rsidRDefault="00640EC8" w:rsidP="00640EC8">
            <w:pPr>
              <w:pStyle w:val="Tabletextnormal"/>
            </w:pPr>
            <w:r w:rsidRPr="00D50367">
              <w:t>2 ml</w:t>
            </w:r>
          </w:p>
        </w:tc>
      </w:tr>
    </w:tbl>
    <w:p w14:paraId="7627C6AF" w14:textId="7380057F" w:rsidR="00640EC8" w:rsidRPr="00640EC8" w:rsidRDefault="00640EC8" w:rsidP="00640EC8">
      <w:r w:rsidRPr="00640EC8">
        <w:t xml:space="preserve">A </w:t>
      </w:r>
      <w:r w:rsidR="00853150">
        <w:t>paraformaldehyde (</w:t>
      </w:r>
      <w:r w:rsidRPr="00640EC8">
        <w:t>PFA</w:t>
      </w:r>
      <w:r w:rsidR="00853150">
        <w:t>)</w:t>
      </w:r>
      <w:r w:rsidRPr="00640EC8">
        <w:t xml:space="preserve"> fixing solution stock was freshly made by a 1:5 dilution of the 16</w:t>
      </w:r>
      <w:r w:rsidR="00D01938">
        <w:t> </w:t>
      </w:r>
      <w:r w:rsidRPr="00640EC8">
        <w:t>% (w/v) PFA in PBS.</w:t>
      </w:r>
    </w:p>
    <w:p w14:paraId="1B5E7C4E" w14:textId="0F002F93" w:rsidR="005B0F81" w:rsidRDefault="00640EC8" w:rsidP="00B70A95">
      <w:pPr>
        <w:pStyle w:val="Heading3"/>
      </w:pPr>
      <w:bookmarkStart w:id="231" w:name="_Toc64276315"/>
      <w:bookmarkStart w:id="232" w:name="_Toc64276619"/>
      <w:bookmarkStart w:id="233" w:name="_Toc64276831"/>
      <w:bookmarkStart w:id="234" w:name="_Ref79680723"/>
      <w:bookmarkStart w:id="235" w:name="_Ref79685666"/>
      <w:bookmarkStart w:id="236" w:name="_Toc90216774"/>
      <w:r>
        <w:t xml:space="preserve">2.5 % </w:t>
      </w:r>
      <w:r w:rsidR="00F061C3">
        <w:t xml:space="preserve">(v/v) </w:t>
      </w:r>
      <w:r>
        <w:t>glutaraldehyde</w:t>
      </w:r>
      <w:bookmarkEnd w:id="231"/>
      <w:bookmarkEnd w:id="232"/>
      <w:bookmarkEnd w:id="233"/>
      <w:bookmarkEnd w:id="234"/>
      <w:bookmarkEnd w:id="235"/>
      <w:r w:rsidR="007006CC">
        <w:t>.</w:t>
      </w:r>
      <w:bookmarkEnd w:id="236"/>
    </w:p>
    <w:p w14:paraId="0F2A241B" w14:textId="0A607F49" w:rsidR="00640EC8" w:rsidRDefault="00640EC8" w:rsidP="00640EC8">
      <w:r w:rsidRPr="00640EC8">
        <w:t>2.5</w:t>
      </w:r>
      <w:r w:rsidR="00D01938">
        <w:t> </w:t>
      </w:r>
      <w:r w:rsidRPr="00640EC8">
        <w:t xml:space="preserve">% </w:t>
      </w:r>
      <w:r w:rsidR="00F061C3">
        <w:t xml:space="preserve">(v/v) </w:t>
      </w:r>
      <w:r w:rsidRPr="00640EC8">
        <w:t>glutaraldehyde was made by a 1:10 dilution of 25</w:t>
      </w:r>
      <w:r w:rsidR="00D01938">
        <w:t> </w:t>
      </w:r>
      <w:r w:rsidRPr="00640EC8">
        <w:t xml:space="preserve">% </w:t>
      </w:r>
      <w:r w:rsidR="00F061C3">
        <w:t xml:space="preserve">(v/v) </w:t>
      </w:r>
      <w:r w:rsidR="006E322D" w:rsidRPr="00640EC8">
        <w:t>glutaraldehyde EM</w:t>
      </w:r>
      <w:r w:rsidRPr="00640EC8">
        <w:t xml:space="preserve"> grade (Agar Scientific) in PBS. Stored at 4 °C.</w:t>
      </w:r>
    </w:p>
    <w:p w14:paraId="54B71743" w14:textId="152DE51C" w:rsidR="00640EC8" w:rsidRDefault="00640EC8" w:rsidP="00B70A95">
      <w:pPr>
        <w:pStyle w:val="Heading3"/>
      </w:pPr>
      <w:bookmarkStart w:id="237" w:name="_Toc64276316"/>
      <w:bookmarkStart w:id="238" w:name="_Toc64276620"/>
      <w:bookmarkStart w:id="239" w:name="_Toc64276832"/>
      <w:bookmarkStart w:id="240" w:name="_Ref79681068"/>
      <w:bookmarkStart w:id="241" w:name="_Ref79685925"/>
      <w:bookmarkStart w:id="242" w:name="_Toc90216775"/>
      <w:r>
        <w:t xml:space="preserve">2 % </w:t>
      </w:r>
      <w:r w:rsidR="00C95AAC">
        <w:t xml:space="preserve">(w/v) </w:t>
      </w:r>
      <w:r>
        <w:t>aqueous osmium tetroxide (OsO</w:t>
      </w:r>
      <w:r>
        <w:rPr>
          <w:vertAlign w:val="subscript"/>
        </w:rPr>
        <w:t>4</w:t>
      </w:r>
      <w:r>
        <w:t>)</w:t>
      </w:r>
      <w:bookmarkEnd w:id="237"/>
      <w:bookmarkEnd w:id="238"/>
      <w:bookmarkEnd w:id="239"/>
      <w:bookmarkEnd w:id="240"/>
      <w:bookmarkEnd w:id="241"/>
      <w:r w:rsidR="007006CC">
        <w:t>.</w:t>
      </w:r>
      <w:bookmarkEnd w:id="242"/>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CB56CB" w:rsidRPr="00D50367" w14:paraId="198518A1" w14:textId="77777777" w:rsidTr="00154A0D">
        <w:tc>
          <w:tcPr>
            <w:tcW w:w="5669" w:type="dxa"/>
          </w:tcPr>
          <w:p w14:paraId="349AF3D4" w14:textId="3692C641" w:rsidR="00CB56CB" w:rsidRPr="00D50367" w:rsidRDefault="0033200C" w:rsidP="00277F43">
            <w:pPr>
              <w:pStyle w:val="Tabletextnormal"/>
            </w:pPr>
            <w:r w:rsidRPr="00D50367">
              <w:t xml:space="preserve">4 % (w/v) </w:t>
            </w:r>
            <w:r w:rsidR="00CB56CB" w:rsidRPr="00D50367">
              <w:t>OsO</w:t>
            </w:r>
            <w:r w:rsidR="00CB56CB" w:rsidRPr="00D50367">
              <w:rPr>
                <w:vertAlign w:val="subscript"/>
              </w:rPr>
              <w:t>4</w:t>
            </w:r>
            <w:r w:rsidR="00CB56CB" w:rsidRPr="00D50367">
              <w:t xml:space="preserve"> (AGR1024, Agar Scientific)</w:t>
            </w:r>
          </w:p>
        </w:tc>
        <w:tc>
          <w:tcPr>
            <w:tcW w:w="2268" w:type="dxa"/>
          </w:tcPr>
          <w:p w14:paraId="3788E34F" w14:textId="407EEE67" w:rsidR="00CB56CB" w:rsidRPr="00D50367" w:rsidRDefault="0033200C" w:rsidP="00277F43">
            <w:pPr>
              <w:pStyle w:val="Tabletextnormal"/>
            </w:pPr>
            <w:r w:rsidRPr="00D50367">
              <w:t>5 ml</w:t>
            </w:r>
          </w:p>
        </w:tc>
      </w:tr>
      <w:tr w:rsidR="00C907D7" w:rsidRPr="00D50367" w14:paraId="38EC44D2" w14:textId="77777777" w:rsidTr="00154A0D">
        <w:tc>
          <w:tcPr>
            <w:tcW w:w="5669" w:type="dxa"/>
          </w:tcPr>
          <w:p w14:paraId="43243FAE" w14:textId="7ACF32A5" w:rsidR="00C907D7" w:rsidRPr="00D50367" w:rsidRDefault="00C907D7" w:rsidP="00277F43">
            <w:pPr>
              <w:pStyle w:val="Tabletextnormal"/>
            </w:pPr>
            <w:r w:rsidRPr="00D50367">
              <w:t>dH</w:t>
            </w:r>
            <w:r w:rsidRPr="00D50367">
              <w:rPr>
                <w:vertAlign w:val="subscript"/>
              </w:rPr>
              <w:t>2</w:t>
            </w:r>
            <w:r w:rsidRPr="00D50367">
              <w:t>O</w:t>
            </w:r>
          </w:p>
        </w:tc>
        <w:tc>
          <w:tcPr>
            <w:tcW w:w="2268" w:type="dxa"/>
          </w:tcPr>
          <w:p w14:paraId="60ABC688" w14:textId="7B431659" w:rsidR="00C907D7" w:rsidRPr="00D50367" w:rsidRDefault="00C907D7" w:rsidP="00277F43">
            <w:pPr>
              <w:pStyle w:val="Tabletextnormal"/>
            </w:pPr>
            <w:r w:rsidRPr="00D50367">
              <w:t>5 ml</w:t>
            </w:r>
          </w:p>
        </w:tc>
      </w:tr>
    </w:tbl>
    <w:p w14:paraId="0E23CD94" w14:textId="09C64D71" w:rsidR="00640EC8" w:rsidRDefault="00CB56CB" w:rsidP="00640EC8">
      <w:r>
        <w:lastRenderedPageBreak/>
        <w:t>5 ml of</w:t>
      </w:r>
      <w:r w:rsidR="00640EC8" w:rsidRPr="00640EC8">
        <w:t xml:space="preserve"> 4</w:t>
      </w:r>
      <w:r w:rsidR="00D01938">
        <w:t> </w:t>
      </w:r>
      <w:r w:rsidR="00640EC8" w:rsidRPr="00640EC8">
        <w:t xml:space="preserve">% </w:t>
      </w:r>
      <w:r w:rsidR="00F061C3">
        <w:t xml:space="preserve">(w/v) </w:t>
      </w:r>
      <w:r w:rsidR="00640EC8" w:rsidRPr="00640EC8">
        <w:t>OsO</w:t>
      </w:r>
      <w:r w:rsidR="00640EC8" w:rsidRPr="003306FC">
        <w:rPr>
          <w:vertAlign w:val="subscript"/>
        </w:rPr>
        <w:t>4</w:t>
      </w:r>
      <w:r w:rsidR="00640EC8" w:rsidRPr="00640EC8">
        <w:t xml:space="preserve"> (</w:t>
      </w:r>
      <w:r w:rsidR="00B02541" w:rsidRPr="00B02541">
        <w:t>AGR1024</w:t>
      </w:r>
      <w:r w:rsidR="00B02541">
        <w:t xml:space="preserve">, </w:t>
      </w:r>
      <w:r w:rsidR="00640EC8" w:rsidRPr="00640EC8">
        <w:t>Agar Scientific)</w:t>
      </w:r>
      <w:r w:rsidR="00A56F7C">
        <w:t xml:space="preserve"> in an ampoule</w:t>
      </w:r>
      <w:r w:rsidR="00640EC8" w:rsidRPr="00640EC8">
        <w:t xml:space="preserve"> </w:t>
      </w:r>
      <w:r w:rsidR="00A56F7C">
        <w:t>was</w:t>
      </w:r>
      <w:r w:rsidR="00640EC8" w:rsidRPr="00640EC8">
        <w:t xml:space="preserve"> diluted 1:2 in dH</w:t>
      </w:r>
      <w:r w:rsidR="00640EC8" w:rsidRPr="00E06982">
        <w:rPr>
          <w:vertAlign w:val="subscript"/>
        </w:rPr>
        <w:t>2</w:t>
      </w:r>
      <w:r w:rsidR="00640EC8" w:rsidRPr="00640EC8">
        <w:t>O</w:t>
      </w:r>
      <w:r w:rsidR="00E06982">
        <w:t xml:space="preserve"> and</w:t>
      </w:r>
      <w:r w:rsidR="00430655">
        <w:t xml:space="preserve"> was</w:t>
      </w:r>
      <w:r w:rsidR="00E06982">
        <w:t xml:space="preserve"> filtered</w:t>
      </w:r>
      <w:r w:rsidR="00430655">
        <w:t>,</w:t>
      </w:r>
      <w:r w:rsidR="00640EC8" w:rsidRPr="00640EC8">
        <w:t xml:space="preserve"> using glass pipettes and glass containers.</w:t>
      </w:r>
    </w:p>
    <w:p w14:paraId="1BA8703C" w14:textId="1CBB1A52" w:rsidR="00640EC8" w:rsidRDefault="00640EC8" w:rsidP="00B8365D">
      <w:pPr>
        <w:pStyle w:val="Heading2"/>
      </w:pPr>
      <w:bookmarkStart w:id="243" w:name="_Toc64276317"/>
      <w:bookmarkStart w:id="244" w:name="_Toc64276621"/>
      <w:bookmarkStart w:id="245" w:name="_Toc64276833"/>
      <w:bookmarkStart w:id="246" w:name="_Toc90216776"/>
      <w:r>
        <w:t>Freeze-substitution medium</w:t>
      </w:r>
      <w:bookmarkEnd w:id="243"/>
      <w:bookmarkEnd w:id="244"/>
      <w:bookmarkEnd w:id="245"/>
      <w:r w:rsidR="004D065B">
        <w:t xml:space="preserve"> for TEM</w:t>
      </w:r>
      <w:r w:rsidR="007006CC">
        <w:t>.</w:t>
      </w:r>
      <w:bookmarkEnd w:id="246"/>
    </w:p>
    <w:p w14:paraId="6758B337" w14:textId="50ED89A4" w:rsidR="009808BD" w:rsidRDefault="009808BD" w:rsidP="009808BD">
      <w:pPr>
        <w:pStyle w:val="Heading3"/>
      </w:pPr>
      <w:bookmarkStart w:id="247" w:name="_Toc64276320"/>
      <w:bookmarkStart w:id="248" w:name="_Toc64276624"/>
      <w:bookmarkStart w:id="249" w:name="_Toc64276836"/>
      <w:bookmarkStart w:id="250" w:name="_Toc90216777"/>
      <w:r>
        <w:t>1 % (w/v) OsO</w:t>
      </w:r>
      <w:r>
        <w:rPr>
          <w:vertAlign w:val="subscript"/>
        </w:rPr>
        <w:t>4</w:t>
      </w:r>
      <w:r>
        <w:t xml:space="preserve"> in dried ethanol</w:t>
      </w:r>
      <w:bookmarkEnd w:id="247"/>
      <w:bookmarkEnd w:id="248"/>
      <w:bookmarkEnd w:id="249"/>
      <w:r w:rsidR="007006CC">
        <w:t>.</w:t>
      </w:r>
      <w:bookmarkEnd w:id="250"/>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9808BD" w:rsidRPr="00D50367" w14:paraId="587C3132" w14:textId="77777777" w:rsidTr="00154A0D">
        <w:tc>
          <w:tcPr>
            <w:tcW w:w="5669" w:type="dxa"/>
          </w:tcPr>
          <w:p w14:paraId="50E04435" w14:textId="77777777" w:rsidR="009808BD" w:rsidRPr="00D50367" w:rsidRDefault="009808BD" w:rsidP="001D4A77">
            <w:pPr>
              <w:pStyle w:val="Tabletextnormal"/>
            </w:pPr>
            <w:r w:rsidRPr="00D50367">
              <w:t>OsO</w:t>
            </w:r>
            <w:r w:rsidRPr="00D50367">
              <w:rPr>
                <w:vertAlign w:val="subscript"/>
              </w:rPr>
              <w:t>4</w:t>
            </w:r>
            <w:r w:rsidRPr="00D50367">
              <w:t xml:space="preserve"> (AGR1015, Agar Scientific)</w:t>
            </w:r>
          </w:p>
        </w:tc>
        <w:tc>
          <w:tcPr>
            <w:tcW w:w="2268" w:type="dxa"/>
          </w:tcPr>
          <w:p w14:paraId="46A58F6D" w14:textId="77777777" w:rsidR="009808BD" w:rsidRPr="00D50367" w:rsidRDefault="009808BD" w:rsidP="001D4A77">
            <w:pPr>
              <w:pStyle w:val="Tabletextnormal"/>
            </w:pPr>
            <w:r w:rsidRPr="00D50367">
              <w:t>0.1</w:t>
            </w:r>
            <w:r w:rsidRPr="00D50367">
              <w:rPr>
                <w:lang w:val="el-GR"/>
              </w:rPr>
              <w:t> </w:t>
            </w:r>
            <w:r w:rsidRPr="00D50367">
              <w:t>g</w:t>
            </w:r>
          </w:p>
        </w:tc>
      </w:tr>
      <w:tr w:rsidR="009808BD" w:rsidRPr="00D50367" w14:paraId="378B1FBC" w14:textId="77777777" w:rsidTr="00154A0D">
        <w:tc>
          <w:tcPr>
            <w:tcW w:w="5669" w:type="dxa"/>
          </w:tcPr>
          <w:p w14:paraId="2F783AE2" w14:textId="77777777" w:rsidR="009808BD" w:rsidRPr="00D50367" w:rsidRDefault="009808BD" w:rsidP="001D4A77">
            <w:pPr>
              <w:pStyle w:val="Tabletextnormal"/>
            </w:pPr>
            <w:r w:rsidRPr="00D50367">
              <w:t>Dried ethanol</w:t>
            </w:r>
          </w:p>
        </w:tc>
        <w:tc>
          <w:tcPr>
            <w:tcW w:w="2268" w:type="dxa"/>
          </w:tcPr>
          <w:p w14:paraId="3277C346" w14:textId="77777777" w:rsidR="009808BD" w:rsidRPr="00D50367" w:rsidRDefault="009808BD" w:rsidP="001D4A77">
            <w:pPr>
              <w:pStyle w:val="Tabletextnormal"/>
            </w:pPr>
            <w:r w:rsidRPr="00D50367">
              <w:t>10 ml</w:t>
            </w:r>
          </w:p>
        </w:tc>
      </w:tr>
    </w:tbl>
    <w:p w14:paraId="6F4D37D3" w14:textId="3FD74825" w:rsidR="009808BD" w:rsidRPr="00CB56CB" w:rsidRDefault="009808BD" w:rsidP="009808BD">
      <w:r>
        <w:t>0.1 g</w:t>
      </w:r>
      <w:r w:rsidRPr="00640EC8">
        <w:t xml:space="preserve"> of </w:t>
      </w:r>
      <w:r w:rsidR="004B43DE" w:rsidRPr="00640EC8">
        <w:t>OsO</w:t>
      </w:r>
      <w:r w:rsidR="004B43DE" w:rsidRPr="004B43DE">
        <w:rPr>
          <w:vertAlign w:val="subscript"/>
        </w:rPr>
        <w:t>4</w:t>
      </w:r>
      <w:r w:rsidR="004B43DE" w:rsidRPr="00640EC8">
        <w:t xml:space="preserve"> </w:t>
      </w:r>
      <w:r w:rsidRPr="00640EC8">
        <w:t>(</w:t>
      </w:r>
      <w:r>
        <w:t xml:space="preserve">AGR1015, </w:t>
      </w:r>
      <w:r w:rsidRPr="00640EC8">
        <w:t xml:space="preserve">Agar Scientific) </w:t>
      </w:r>
      <w:r w:rsidR="002A30DF">
        <w:t>in an ampoule</w:t>
      </w:r>
      <w:r w:rsidR="00A56F7C">
        <w:t xml:space="preserve"> was</w:t>
      </w:r>
      <w:r w:rsidRPr="00640EC8">
        <w:t xml:space="preserve"> </w:t>
      </w:r>
      <w:r>
        <w:t>dissolved in</w:t>
      </w:r>
      <w:r w:rsidRPr="00640EC8">
        <w:t xml:space="preserve"> </w:t>
      </w:r>
      <w:r w:rsidR="00A925A5">
        <w:t>10</w:t>
      </w:r>
      <w:r>
        <w:t> ml of</w:t>
      </w:r>
      <w:r w:rsidRPr="00640EC8">
        <w:t xml:space="preserve"> </w:t>
      </w:r>
      <w:r>
        <w:t>dried ethanol</w:t>
      </w:r>
      <w:r w:rsidR="00E06982">
        <w:t xml:space="preserve"> and </w:t>
      </w:r>
      <w:r w:rsidR="00430655">
        <w:t xml:space="preserve">was </w:t>
      </w:r>
      <w:r w:rsidR="00E06982">
        <w:t>filtered</w:t>
      </w:r>
      <w:r w:rsidR="00430655">
        <w:t>,</w:t>
      </w:r>
      <w:r w:rsidRPr="00640EC8">
        <w:t xml:space="preserve"> using glass pipettes and glass containers.</w:t>
      </w:r>
    </w:p>
    <w:p w14:paraId="652D95D9" w14:textId="43C627DA" w:rsidR="000F31C9" w:rsidRDefault="002B483D" w:rsidP="00B8365D">
      <w:pPr>
        <w:pStyle w:val="Heading3"/>
      </w:pPr>
      <w:bookmarkStart w:id="251" w:name="_Toc64276318"/>
      <w:bookmarkStart w:id="252" w:name="_Toc64276622"/>
      <w:bookmarkStart w:id="253" w:name="_Toc64276834"/>
      <w:bookmarkStart w:id="254" w:name="_Toc90216778"/>
      <w:r>
        <w:t>2</w:t>
      </w:r>
      <w:r w:rsidR="000F31C9">
        <w:t xml:space="preserve"> % </w:t>
      </w:r>
      <w:r w:rsidR="00F061C3">
        <w:t xml:space="preserve">(w/v) </w:t>
      </w:r>
      <w:r w:rsidR="000F31C9">
        <w:t>OsO</w:t>
      </w:r>
      <w:r w:rsidR="000F31C9">
        <w:rPr>
          <w:vertAlign w:val="subscript"/>
        </w:rPr>
        <w:t>4</w:t>
      </w:r>
      <w:r w:rsidR="000F31C9">
        <w:t xml:space="preserve"> in dried ethanol</w:t>
      </w:r>
      <w:bookmarkEnd w:id="251"/>
      <w:bookmarkEnd w:id="252"/>
      <w:bookmarkEnd w:id="253"/>
      <w:r w:rsidR="007006CC">
        <w:t>.</w:t>
      </w:r>
      <w:bookmarkEnd w:id="254"/>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D64414" w:rsidRPr="00D50367" w14:paraId="0BDC3350" w14:textId="77777777" w:rsidTr="00154A0D">
        <w:tc>
          <w:tcPr>
            <w:tcW w:w="5669" w:type="dxa"/>
          </w:tcPr>
          <w:p w14:paraId="416E5C79" w14:textId="1F28B724" w:rsidR="00D64414" w:rsidRPr="00D50367" w:rsidRDefault="00D64414" w:rsidP="00277F43">
            <w:pPr>
              <w:pStyle w:val="Tabletextnormal"/>
            </w:pPr>
            <w:r w:rsidRPr="00D50367">
              <w:t>OsO</w:t>
            </w:r>
            <w:r w:rsidRPr="00D50367">
              <w:rPr>
                <w:vertAlign w:val="subscript"/>
              </w:rPr>
              <w:t>4</w:t>
            </w:r>
            <w:r w:rsidRPr="00D50367">
              <w:t xml:space="preserve"> (AGR1015, Agar Scientific)</w:t>
            </w:r>
          </w:p>
        </w:tc>
        <w:tc>
          <w:tcPr>
            <w:tcW w:w="2268" w:type="dxa"/>
          </w:tcPr>
          <w:p w14:paraId="41DE652C" w14:textId="4EE1431C" w:rsidR="00D64414" w:rsidRPr="00D50367" w:rsidRDefault="00C907D7" w:rsidP="00277F43">
            <w:pPr>
              <w:pStyle w:val="Tabletextnormal"/>
            </w:pPr>
            <w:r w:rsidRPr="00D50367">
              <w:t>0.1</w:t>
            </w:r>
            <w:r w:rsidRPr="00D50367">
              <w:rPr>
                <w:lang w:val="el-GR"/>
              </w:rPr>
              <w:t> </w:t>
            </w:r>
            <w:r w:rsidRPr="00D50367">
              <w:t>g</w:t>
            </w:r>
          </w:p>
        </w:tc>
      </w:tr>
      <w:tr w:rsidR="00C907D7" w:rsidRPr="00D50367" w14:paraId="1B44EE5F" w14:textId="77777777" w:rsidTr="00154A0D">
        <w:tc>
          <w:tcPr>
            <w:tcW w:w="5669" w:type="dxa"/>
          </w:tcPr>
          <w:p w14:paraId="229EAB80" w14:textId="6F65B254" w:rsidR="00C907D7" w:rsidRPr="00D50367" w:rsidRDefault="00405591" w:rsidP="00277F43">
            <w:pPr>
              <w:pStyle w:val="Tabletextnormal"/>
            </w:pPr>
            <w:r w:rsidRPr="00D50367">
              <w:t>Dried e</w:t>
            </w:r>
            <w:r w:rsidR="00B917E5" w:rsidRPr="00D50367">
              <w:t>thanol</w:t>
            </w:r>
          </w:p>
        </w:tc>
        <w:tc>
          <w:tcPr>
            <w:tcW w:w="2268" w:type="dxa"/>
          </w:tcPr>
          <w:p w14:paraId="3C26101D" w14:textId="2E97A8FD" w:rsidR="00C907D7" w:rsidRPr="00D50367" w:rsidRDefault="00C907D7" w:rsidP="00277F43">
            <w:pPr>
              <w:pStyle w:val="Tabletextnormal"/>
            </w:pPr>
            <w:r w:rsidRPr="00D50367">
              <w:t>5 ml</w:t>
            </w:r>
          </w:p>
        </w:tc>
      </w:tr>
    </w:tbl>
    <w:p w14:paraId="3E29D35B" w14:textId="67D7766E" w:rsidR="00CB56CB" w:rsidRPr="00CB56CB" w:rsidRDefault="00D64414" w:rsidP="00CB56CB">
      <w:r>
        <w:t>0.1 g</w:t>
      </w:r>
      <w:r w:rsidR="00CB56CB" w:rsidRPr="00640EC8">
        <w:t xml:space="preserve"> of </w:t>
      </w:r>
      <w:r w:rsidR="004B43DE" w:rsidRPr="00640EC8">
        <w:t>OsO</w:t>
      </w:r>
      <w:r w:rsidR="004B43DE" w:rsidRPr="004B43DE">
        <w:rPr>
          <w:vertAlign w:val="subscript"/>
        </w:rPr>
        <w:t>4</w:t>
      </w:r>
      <w:r w:rsidR="004B43DE" w:rsidRPr="00640EC8">
        <w:t xml:space="preserve"> </w:t>
      </w:r>
      <w:r w:rsidR="00CB56CB" w:rsidRPr="00640EC8">
        <w:t>(</w:t>
      </w:r>
      <w:r w:rsidR="00CD7894">
        <w:t xml:space="preserve">AGR1015, </w:t>
      </w:r>
      <w:r w:rsidR="00CB56CB" w:rsidRPr="00640EC8">
        <w:t>Agar Scientific)</w:t>
      </w:r>
      <w:r w:rsidR="00FE0EC4">
        <w:t xml:space="preserve"> in an ampoule</w:t>
      </w:r>
      <w:r w:rsidR="00CB56CB" w:rsidRPr="00640EC8">
        <w:t xml:space="preserve"> </w:t>
      </w:r>
      <w:r w:rsidR="00FE0EC4">
        <w:t>was</w:t>
      </w:r>
      <w:r w:rsidR="00CB56CB" w:rsidRPr="00640EC8">
        <w:t xml:space="preserve"> </w:t>
      </w:r>
      <w:r w:rsidR="00CD7894">
        <w:t>dissolved in</w:t>
      </w:r>
      <w:r w:rsidR="00CB56CB" w:rsidRPr="00640EC8">
        <w:t xml:space="preserve"> </w:t>
      </w:r>
      <w:r w:rsidR="00CD7894">
        <w:t>5 ml of</w:t>
      </w:r>
      <w:r w:rsidR="00CB56CB" w:rsidRPr="00640EC8">
        <w:t xml:space="preserve"> </w:t>
      </w:r>
      <w:r w:rsidR="00B17695">
        <w:t>dried ethanol</w:t>
      </w:r>
      <w:r w:rsidR="00E06982">
        <w:t xml:space="preserve"> and </w:t>
      </w:r>
      <w:r w:rsidR="0070710E">
        <w:t xml:space="preserve">was </w:t>
      </w:r>
      <w:r w:rsidR="00E06982">
        <w:t>filtered</w:t>
      </w:r>
      <w:r w:rsidR="0070710E">
        <w:t>,</w:t>
      </w:r>
      <w:r w:rsidR="00CB56CB" w:rsidRPr="00640EC8">
        <w:t xml:space="preserve"> using glass pipettes and glass containers.</w:t>
      </w:r>
    </w:p>
    <w:p w14:paraId="65CCAAD7" w14:textId="23F3B6C8" w:rsidR="000F31C9" w:rsidRDefault="000F31C9" w:rsidP="00B8365D">
      <w:pPr>
        <w:pStyle w:val="Heading3"/>
      </w:pPr>
      <w:bookmarkStart w:id="255" w:name="_Toc64276319"/>
      <w:bookmarkStart w:id="256" w:name="_Toc64276623"/>
      <w:bookmarkStart w:id="257" w:name="_Toc64276835"/>
      <w:bookmarkStart w:id="258" w:name="_Ref79745976"/>
      <w:bookmarkStart w:id="259" w:name="_Toc90216779"/>
      <w:r w:rsidRPr="000F31C9">
        <w:t>2</w:t>
      </w:r>
      <w:r w:rsidR="00D01938">
        <w:t> </w:t>
      </w:r>
      <w:r w:rsidRPr="000F31C9">
        <w:t xml:space="preserve">% </w:t>
      </w:r>
      <w:r w:rsidR="00F061C3">
        <w:t xml:space="preserve">(w/v) </w:t>
      </w:r>
      <w:r w:rsidRPr="000F31C9">
        <w:t>OsO</w:t>
      </w:r>
      <w:r w:rsidRPr="00427C8F">
        <w:rPr>
          <w:vertAlign w:val="subscript"/>
        </w:rPr>
        <w:t>4</w:t>
      </w:r>
      <w:r w:rsidRPr="000F31C9">
        <w:t xml:space="preserve"> + 2</w:t>
      </w:r>
      <w:r w:rsidR="00D01938">
        <w:t> </w:t>
      </w:r>
      <w:r w:rsidRPr="000F31C9">
        <w:t xml:space="preserve">% </w:t>
      </w:r>
      <w:r w:rsidR="00F061C3">
        <w:t xml:space="preserve">(w/v) </w:t>
      </w:r>
      <w:r w:rsidRPr="000F31C9">
        <w:t>uranyl acetate (UA) in dried ethanol</w:t>
      </w:r>
      <w:bookmarkEnd w:id="255"/>
      <w:bookmarkEnd w:id="256"/>
      <w:bookmarkEnd w:id="257"/>
      <w:bookmarkEnd w:id="258"/>
      <w:r w:rsidR="007006CC">
        <w:t>.</w:t>
      </w:r>
      <w:bookmarkEnd w:id="259"/>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0F31C9" w:rsidRPr="00D50367" w14:paraId="72CB659E" w14:textId="77777777" w:rsidTr="00154A0D">
        <w:tc>
          <w:tcPr>
            <w:tcW w:w="5669" w:type="dxa"/>
          </w:tcPr>
          <w:p w14:paraId="6671299D" w14:textId="55210EC2" w:rsidR="000F31C9" w:rsidRPr="00D50367" w:rsidRDefault="000F31C9" w:rsidP="000F31C9">
            <w:pPr>
              <w:pStyle w:val="Tabletextnormal"/>
            </w:pPr>
            <w:r w:rsidRPr="00D50367">
              <w:t>OsO</w:t>
            </w:r>
            <w:r w:rsidRPr="00D50367">
              <w:rPr>
                <w:vertAlign w:val="subscript"/>
              </w:rPr>
              <w:t>4</w:t>
            </w:r>
            <w:r w:rsidRPr="00D50367">
              <w:t xml:space="preserve"> (</w:t>
            </w:r>
            <w:r w:rsidR="00C6635E" w:rsidRPr="00D50367">
              <w:t xml:space="preserve">AGR1015, </w:t>
            </w:r>
            <w:r w:rsidRPr="00D50367">
              <w:t>Agar Scientific)</w:t>
            </w:r>
          </w:p>
        </w:tc>
        <w:tc>
          <w:tcPr>
            <w:tcW w:w="2268" w:type="dxa"/>
          </w:tcPr>
          <w:p w14:paraId="1E5660C7" w14:textId="2F7D73DB" w:rsidR="000F31C9" w:rsidRPr="00D50367" w:rsidRDefault="00C6635E" w:rsidP="000F31C9">
            <w:pPr>
              <w:pStyle w:val="Tabletextnormal"/>
            </w:pPr>
            <w:r w:rsidRPr="00D50367">
              <w:t>0.1 g</w:t>
            </w:r>
          </w:p>
        </w:tc>
      </w:tr>
      <w:tr w:rsidR="000F31C9" w:rsidRPr="00D50367" w14:paraId="126E800C" w14:textId="77777777" w:rsidTr="00154A0D">
        <w:tc>
          <w:tcPr>
            <w:tcW w:w="5669" w:type="dxa"/>
          </w:tcPr>
          <w:p w14:paraId="00064880" w14:textId="084DF152" w:rsidR="000F31C9" w:rsidRPr="00D50367" w:rsidRDefault="000F31C9" w:rsidP="000F31C9">
            <w:pPr>
              <w:pStyle w:val="Tabletextnormal"/>
            </w:pPr>
            <w:r w:rsidRPr="00D50367">
              <w:t>Uranyl Acetate (</w:t>
            </w:r>
            <w:r w:rsidR="009B4331" w:rsidRPr="00D50367">
              <w:t>Polysciences inc.</w:t>
            </w:r>
            <w:r w:rsidRPr="00D50367">
              <w:t>)</w:t>
            </w:r>
          </w:p>
        </w:tc>
        <w:tc>
          <w:tcPr>
            <w:tcW w:w="2268" w:type="dxa"/>
          </w:tcPr>
          <w:p w14:paraId="0C1811C6" w14:textId="3659860D" w:rsidR="00DB1845" w:rsidRPr="00D50367" w:rsidRDefault="00B62E1E" w:rsidP="000F31C9">
            <w:pPr>
              <w:pStyle w:val="Tabletextnormal"/>
            </w:pPr>
            <w:r w:rsidRPr="00D50367">
              <w:t>0.1 g</w:t>
            </w:r>
          </w:p>
        </w:tc>
      </w:tr>
      <w:tr w:rsidR="003C667B" w:rsidRPr="00D50367" w14:paraId="41BC4DFD" w14:textId="77777777" w:rsidTr="00154A0D">
        <w:tc>
          <w:tcPr>
            <w:tcW w:w="5669" w:type="dxa"/>
          </w:tcPr>
          <w:p w14:paraId="0B9131B7" w14:textId="23499DC4" w:rsidR="003C667B" w:rsidRPr="00D50367" w:rsidRDefault="003C667B" w:rsidP="000F31C9">
            <w:pPr>
              <w:pStyle w:val="Tabletextnormal"/>
            </w:pPr>
            <w:r w:rsidRPr="00D50367">
              <w:t>Dried ethanol</w:t>
            </w:r>
          </w:p>
        </w:tc>
        <w:tc>
          <w:tcPr>
            <w:tcW w:w="2268" w:type="dxa"/>
          </w:tcPr>
          <w:p w14:paraId="5C2CE78F" w14:textId="06C9F499" w:rsidR="003C667B" w:rsidRPr="00D50367" w:rsidRDefault="00147319" w:rsidP="000F31C9">
            <w:pPr>
              <w:pStyle w:val="Tabletextnormal"/>
            </w:pPr>
            <w:r w:rsidRPr="00D50367">
              <w:t>5 ml</w:t>
            </w:r>
          </w:p>
        </w:tc>
      </w:tr>
    </w:tbl>
    <w:p w14:paraId="1F332828" w14:textId="63CB497D" w:rsidR="000F31C9" w:rsidRDefault="000F31C9" w:rsidP="000F31C9">
      <w:r>
        <w:t>Diluted in anhydrous ethanol</w:t>
      </w:r>
      <w:r w:rsidR="00527D50">
        <w:t xml:space="preserve"> </w:t>
      </w:r>
      <w:r w:rsidR="0070710E">
        <w:t xml:space="preserve">and filtered, </w:t>
      </w:r>
      <w:r w:rsidR="00527D50" w:rsidRPr="00640EC8">
        <w:t>using glass pipettes and glass containers.</w:t>
      </w:r>
    </w:p>
    <w:p w14:paraId="1E850FD1" w14:textId="57B7CF4D" w:rsidR="00DB1845" w:rsidRDefault="00182D9A" w:rsidP="00B8365D">
      <w:pPr>
        <w:pStyle w:val="Heading3"/>
      </w:pPr>
      <w:bookmarkStart w:id="260" w:name="_Toc64276322"/>
      <w:bookmarkStart w:id="261" w:name="_Toc64276626"/>
      <w:bookmarkStart w:id="262" w:name="_Toc64276838"/>
      <w:bookmarkStart w:id="263" w:name="_Toc90216780"/>
      <w:r>
        <w:t>1 </w:t>
      </w:r>
      <w:r w:rsidR="00DB1845">
        <w:t xml:space="preserve">% </w:t>
      </w:r>
      <w:r w:rsidR="009C762F">
        <w:t xml:space="preserve">(w/v) </w:t>
      </w:r>
      <w:r w:rsidR="00DB1845">
        <w:t>OsO</w:t>
      </w:r>
      <w:r w:rsidR="00DB1845">
        <w:rPr>
          <w:vertAlign w:val="subscript"/>
        </w:rPr>
        <w:t>4</w:t>
      </w:r>
      <w:r w:rsidR="00DB1845">
        <w:t xml:space="preserve"> in dried acetone</w:t>
      </w:r>
      <w:bookmarkEnd w:id="260"/>
      <w:bookmarkEnd w:id="261"/>
      <w:bookmarkEnd w:id="262"/>
      <w:r w:rsidR="007006CC">
        <w:t>.</w:t>
      </w:r>
      <w:bookmarkEnd w:id="263"/>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182D9A" w:rsidRPr="00D50367" w14:paraId="59433EC5" w14:textId="77777777" w:rsidTr="00154A0D">
        <w:tc>
          <w:tcPr>
            <w:tcW w:w="5669" w:type="dxa"/>
          </w:tcPr>
          <w:p w14:paraId="1CE7D016" w14:textId="77777777" w:rsidR="00182D9A" w:rsidRPr="00D50367" w:rsidRDefault="00182D9A" w:rsidP="00277F43">
            <w:pPr>
              <w:pStyle w:val="Tabletextnormal"/>
            </w:pPr>
            <w:r w:rsidRPr="00D50367">
              <w:t>OsO</w:t>
            </w:r>
            <w:r w:rsidRPr="00D50367">
              <w:rPr>
                <w:vertAlign w:val="subscript"/>
              </w:rPr>
              <w:t>4</w:t>
            </w:r>
            <w:r w:rsidRPr="00D50367">
              <w:t xml:space="preserve"> (AGR1015, Agar Scientific)</w:t>
            </w:r>
          </w:p>
        </w:tc>
        <w:tc>
          <w:tcPr>
            <w:tcW w:w="2268" w:type="dxa"/>
          </w:tcPr>
          <w:p w14:paraId="0426A2E1" w14:textId="77777777" w:rsidR="00182D9A" w:rsidRPr="00D50367" w:rsidRDefault="00182D9A" w:rsidP="00277F43">
            <w:pPr>
              <w:pStyle w:val="Tabletextnormal"/>
            </w:pPr>
            <w:r w:rsidRPr="00D50367">
              <w:t>0.1</w:t>
            </w:r>
            <w:r w:rsidRPr="00D50367">
              <w:rPr>
                <w:lang w:val="el-GR"/>
              </w:rPr>
              <w:t> </w:t>
            </w:r>
            <w:r w:rsidRPr="00D50367">
              <w:t>g</w:t>
            </w:r>
          </w:p>
        </w:tc>
      </w:tr>
      <w:tr w:rsidR="00182D9A" w:rsidRPr="00D50367" w14:paraId="27429C3D" w14:textId="77777777" w:rsidTr="00154A0D">
        <w:tc>
          <w:tcPr>
            <w:tcW w:w="5669" w:type="dxa"/>
          </w:tcPr>
          <w:p w14:paraId="03CBEBC7" w14:textId="77777777" w:rsidR="00182D9A" w:rsidRPr="00D50367" w:rsidRDefault="00182D9A" w:rsidP="00277F43">
            <w:pPr>
              <w:pStyle w:val="Tabletextnormal"/>
            </w:pPr>
            <w:r w:rsidRPr="00D50367">
              <w:t>Dried acetone</w:t>
            </w:r>
          </w:p>
        </w:tc>
        <w:tc>
          <w:tcPr>
            <w:tcW w:w="2268" w:type="dxa"/>
          </w:tcPr>
          <w:p w14:paraId="4120ED76" w14:textId="77777777" w:rsidR="00182D9A" w:rsidRPr="00D50367" w:rsidRDefault="00182D9A" w:rsidP="00277F43">
            <w:pPr>
              <w:pStyle w:val="Tabletextnormal"/>
            </w:pPr>
            <w:r w:rsidRPr="00D50367">
              <w:t>10 ml</w:t>
            </w:r>
          </w:p>
        </w:tc>
      </w:tr>
    </w:tbl>
    <w:p w14:paraId="417097DE" w14:textId="27048ABF" w:rsidR="00182D9A" w:rsidRDefault="00182D9A" w:rsidP="00182D9A">
      <w:r>
        <w:t>0.1 g</w:t>
      </w:r>
      <w:r w:rsidRPr="00640EC8">
        <w:t xml:space="preserve"> of </w:t>
      </w:r>
      <w:r w:rsidR="004B43DE" w:rsidRPr="00640EC8">
        <w:t>OsO</w:t>
      </w:r>
      <w:r w:rsidR="004B43DE" w:rsidRPr="004B43DE">
        <w:rPr>
          <w:vertAlign w:val="subscript"/>
        </w:rPr>
        <w:t>4</w:t>
      </w:r>
      <w:r w:rsidR="004B43DE" w:rsidRPr="00640EC8">
        <w:t xml:space="preserve"> </w:t>
      </w:r>
      <w:r w:rsidRPr="00640EC8">
        <w:t>(</w:t>
      </w:r>
      <w:r>
        <w:t xml:space="preserve">AGR1015, </w:t>
      </w:r>
      <w:r w:rsidRPr="00640EC8">
        <w:t xml:space="preserve">Agar Scientific) </w:t>
      </w:r>
      <w:r w:rsidR="009A14AF">
        <w:t xml:space="preserve">in an ampoule </w:t>
      </w:r>
      <w:r w:rsidRPr="00640EC8">
        <w:t>w</w:t>
      </w:r>
      <w:r w:rsidR="009A14AF">
        <w:t>as</w:t>
      </w:r>
      <w:r w:rsidRPr="00640EC8">
        <w:t xml:space="preserve"> </w:t>
      </w:r>
      <w:r>
        <w:t>dissolved in</w:t>
      </w:r>
      <w:r w:rsidRPr="00640EC8">
        <w:t xml:space="preserve"> </w:t>
      </w:r>
      <w:r w:rsidR="00516627">
        <w:t>10</w:t>
      </w:r>
      <w:r>
        <w:t> ml of</w:t>
      </w:r>
      <w:r w:rsidRPr="00640EC8">
        <w:t xml:space="preserve"> </w:t>
      </w:r>
      <w:r>
        <w:t>dried acetone</w:t>
      </w:r>
      <w:r w:rsidR="0070710E">
        <w:t xml:space="preserve"> and was filtered</w:t>
      </w:r>
      <w:r>
        <w:t>,</w:t>
      </w:r>
      <w:r w:rsidRPr="00640EC8">
        <w:t xml:space="preserve"> using glass pipettes and glass containers.</w:t>
      </w:r>
    </w:p>
    <w:p w14:paraId="6A961B95" w14:textId="77777777" w:rsidR="00662E5E" w:rsidRDefault="00662E5E" w:rsidP="00182D9A"/>
    <w:p w14:paraId="6F41BAC3" w14:textId="4198A31A" w:rsidR="00831910" w:rsidRDefault="00831910" w:rsidP="00831910">
      <w:pPr>
        <w:pStyle w:val="Heading3"/>
      </w:pPr>
      <w:bookmarkStart w:id="264" w:name="_Toc64276324"/>
      <w:bookmarkStart w:id="265" w:name="_Toc64276628"/>
      <w:bookmarkStart w:id="266" w:name="_Toc64276840"/>
      <w:bookmarkStart w:id="267" w:name="_Toc90216781"/>
      <w:r>
        <w:lastRenderedPageBreak/>
        <w:t>2 % (w/v) OsO</w:t>
      </w:r>
      <w:r>
        <w:rPr>
          <w:vertAlign w:val="subscript"/>
        </w:rPr>
        <w:t>4</w:t>
      </w:r>
      <w:r>
        <w:t xml:space="preserve"> in dried acetone</w:t>
      </w:r>
      <w:bookmarkEnd w:id="264"/>
      <w:bookmarkEnd w:id="265"/>
      <w:bookmarkEnd w:id="266"/>
      <w:r w:rsidR="007006CC">
        <w:t>.</w:t>
      </w:r>
      <w:bookmarkEnd w:id="267"/>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831910" w:rsidRPr="00D50367" w14:paraId="5E8CB897" w14:textId="77777777" w:rsidTr="00154A0D">
        <w:tc>
          <w:tcPr>
            <w:tcW w:w="5669" w:type="dxa"/>
          </w:tcPr>
          <w:p w14:paraId="47A6BC82" w14:textId="448DB736" w:rsidR="00831910" w:rsidRPr="00D50367" w:rsidRDefault="00831910" w:rsidP="00F54484">
            <w:pPr>
              <w:pStyle w:val="Tabletextnormal"/>
            </w:pPr>
            <w:r w:rsidRPr="00D50367">
              <w:t>OsO</w:t>
            </w:r>
            <w:r w:rsidRPr="00D50367">
              <w:rPr>
                <w:vertAlign w:val="subscript"/>
              </w:rPr>
              <w:t>4</w:t>
            </w:r>
            <w:r w:rsidRPr="00D50367">
              <w:t xml:space="preserve"> (</w:t>
            </w:r>
            <w:r w:rsidR="006C4CF1" w:rsidRPr="00D50367">
              <w:t xml:space="preserve">AGR1015, </w:t>
            </w:r>
            <w:r w:rsidRPr="00D50367">
              <w:t>Agar Scientific)</w:t>
            </w:r>
          </w:p>
        </w:tc>
        <w:tc>
          <w:tcPr>
            <w:tcW w:w="2268" w:type="dxa"/>
          </w:tcPr>
          <w:p w14:paraId="629A8FD5" w14:textId="2D6026B7" w:rsidR="00831910" w:rsidRPr="00D50367" w:rsidRDefault="00831910" w:rsidP="00F54484">
            <w:pPr>
              <w:pStyle w:val="Tabletextnormal"/>
            </w:pPr>
            <w:r w:rsidRPr="00D50367">
              <w:t>0.1 g</w:t>
            </w:r>
          </w:p>
        </w:tc>
      </w:tr>
      <w:tr w:rsidR="00831910" w:rsidRPr="00D50367" w14:paraId="14FAEF62" w14:textId="77777777" w:rsidTr="00154A0D">
        <w:tc>
          <w:tcPr>
            <w:tcW w:w="5669" w:type="dxa"/>
          </w:tcPr>
          <w:p w14:paraId="257E25B6" w14:textId="156E30D7" w:rsidR="00831910" w:rsidRPr="00D50367" w:rsidRDefault="00831910" w:rsidP="00F54484">
            <w:pPr>
              <w:pStyle w:val="Tabletextnormal"/>
            </w:pPr>
            <w:r w:rsidRPr="00D50367">
              <w:t>Dried acetone</w:t>
            </w:r>
          </w:p>
        </w:tc>
        <w:tc>
          <w:tcPr>
            <w:tcW w:w="2268" w:type="dxa"/>
          </w:tcPr>
          <w:p w14:paraId="73797142" w14:textId="446E603C" w:rsidR="00831910" w:rsidRPr="00D50367" w:rsidRDefault="00831910" w:rsidP="00F54484">
            <w:pPr>
              <w:pStyle w:val="Tabletextnormal"/>
            </w:pPr>
            <w:r w:rsidRPr="00D50367">
              <w:t>5 ml</w:t>
            </w:r>
          </w:p>
        </w:tc>
      </w:tr>
    </w:tbl>
    <w:p w14:paraId="7300CF17" w14:textId="3226B025" w:rsidR="00831910" w:rsidRDefault="00831910" w:rsidP="00831910">
      <w:r>
        <w:t>0.1 g</w:t>
      </w:r>
      <w:r w:rsidRPr="00640EC8">
        <w:t xml:space="preserve"> of </w:t>
      </w:r>
      <w:r w:rsidR="004B43DE" w:rsidRPr="00640EC8">
        <w:t>OsO</w:t>
      </w:r>
      <w:r w:rsidR="004B43DE" w:rsidRPr="004B43DE">
        <w:rPr>
          <w:vertAlign w:val="subscript"/>
        </w:rPr>
        <w:t>4</w:t>
      </w:r>
      <w:r w:rsidR="004B43DE" w:rsidRPr="00640EC8">
        <w:t xml:space="preserve"> </w:t>
      </w:r>
      <w:r w:rsidRPr="00640EC8">
        <w:t>(</w:t>
      </w:r>
      <w:r>
        <w:t xml:space="preserve">AGR1015, </w:t>
      </w:r>
      <w:r w:rsidRPr="00640EC8">
        <w:t xml:space="preserve">Agar Scientific) </w:t>
      </w:r>
      <w:r w:rsidR="009A14AF">
        <w:t>in an ampoule was</w:t>
      </w:r>
      <w:r w:rsidRPr="00640EC8">
        <w:t xml:space="preserve"> </w:t>
      </w:r>
      <w:r>
        <w:t>dissolved in</w:t>
      </w:r>
      <w:r w:rsidRPr="00640EC8">
        <w:t xml:space="preserve"> </w:t>
      </w:r>
      <w:r>
        <w:t>5 ml of</w:t>
      </w:r>
      <w:r w:rsidRPr="00640EC8">
        <w:t xml:space="preserve"> </w:t>
      </w:r>
      <w:r>
        <w:t>dried acetone</w:t>
      </w:r>
      <w:r w:rsidR="0070710E">
        <w:t xml:space="preserve"> and was filtered</w:t>
      </w:r>
      <w:r>
        <w:t>,</w:t>
      </w:r>
      <w:r w:rsidRPr="00640EC8">
        <w:t xml:space="preserve"> using glass pipettes and glass containers.</w:t>
      </w:r>
    </w:p>
    <w:p w14:paraId="0CCCCBBD" w14:textId="17B5E607" w:rsidR="00DB1845" w:rsidRDefault="001800C8" w:rsidP="00B8365D">
      <w:pPr>
        <w:pStyle w:val="Heading3"/>
      </w:pPr>
      <w:bookmarkStart w:id="268" w:name="_Toc64276323"/>
      <w:bookmarkStart w:id="269" w:name="_Toc64276627"/>
      <w:bookmarkStart w:id="270" w:name="_Toc64276839"/>
      <w:bookmarkStart w:id="271" w:name="_Toc90216782"/>
      <w:r>
        <w:t>1 </w:t>
      </w:r>
      <w:r w:rsidR="00DB1845">
        <w:t xml:space="preserve">% </w:t>
      </w:r>
      <w:r w:rsidR="009C762F">
        <w:t xml:space="preserve">(w/v) </w:t>
      </w:r>
      <w:r w:rsidR="00DB1845">
        <w:t>OsO</w:t>
      </w:r>
      <w:r w:rsidR="00DB1845">
        <w:rPr>
          <w:vertAlign w:val="subscript"/>
        </w:rPr>
        <w:t>4</w:t>
      </w:r>
      <w:r w:rsidR="00DB1845">
        <w:t xml:space="preserve"> + </w:t>
      </w:r>
      <w:r>
        <w:t xml:space="preserve">0.5 % (v/v) glutaraldehyde </w:t>
      </w:r>
      <w:r w:rsidR="00DB1845">
        <w:t>in dried acetone</w:t>
      </w:r>
      <w:bookmarkEnd w:id="268"/>
      <w:bookmarkEnd w:id="269"/>
      <w:bookmarkEnd w:id="270"/>
      <w:r w:rsidR="007006CC">
        <w:t>.</w:t>
      </w:r>
      <w:bookmarkEnd w:id="271"/>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B7185D" w:rsidRPr="00D50367" w14:paraId="329A33C4" w14:textId="77777777" w:rsidTr="00154A0D">
        <w:tc>
          <w:tcPr>
            <w:tcW w:w="5669" w:type="dxa"/>
          </w:tcPr>
          <w:p w14:paraId="36E064C9" w14:textId="77777777" w:rsidR="00B7185D" w:rsidRPr="00D50367" w:rsidRDefault="00B7185D" w:rsidP="00277F43">
            <w:pPr>
              <w:pStyle w:val="Tabletextnormal"/>
            </w:pPr>
            <w:r w:rsidRPr="00D50367">
              <w:t>OsO</w:t>
            </w:r>
            <w:r w:rsidRPr="00D50367">
              <w:rPr>
                <w:vertAlign w:val="subscript"/>
              </w:rPr>
              <w:t>4</w:t>
            </w:r>
            <w:r w:rsidRPr="00D50367">
              <w:t xml:space="preserve"> (AGR1015, Agar Scientific)</w:t>
            </w:r>
          </w:p>
        </w:tc>
        <w:tc>
          <w:tcPr>
            <w:tcW w:w="2268" w:type="dxa"/>
          </w:tcPr>
          <w:p w14:paraId="5987321C" w14:textId="77777777" w:rsidR="00B7185D" w:rsidRPr="00D50367" w:rsidRDefault="00B7185D" w:rsidP="00277F43">
            <w:pPr>
              <w:pStyle w:val="Tabletextnormal"/>
            </w:pPr>
            <w:r w:rsidRPr="00D50367">
              <w:t>0.1 g</w:t>
            </w:r>
          </w:p>
        </w:tc>
      </w:tr>
      <w:tr w:rsidR="00B7185D" w:rsidRPr="00D50367" w14:paraId="12EA3B94" w14:textId="77777777" w:rsidTr="00154A0D">
        <w:tc>
          <w:tcPr>
            <w:tcW w:w="5669" w:type="dxa"/>
          </w:tcPr>
          <w:p w14:paraId="60C0A6A4" w14:textId="2B01F39A" w:rsidR="00B7185D" w:rsidRPr="00D50367" w:rsidRDefault="00B7185D" w:rsidP="00277F43">
            <w:pPr>
              <w:pStyle w:val="Tabletextnormal"/>
            </w:pPr>
            <w:r w:rsidRPr="00D50367">
              <w:t>25 % (v/v) glutaraldehyde</w:t>
            </w:r>
            <w:r w:rsidR="00572A7B" w:rsidRPr="00D50367">
              <w:t xml:space="preserve"> EM grade (R1010, Agar Scientific)</w:t>
            </w:r>
          </w:p>
        </w:tc>
        <w:tc>
          <w:tcPr>
            <w:tcW w:w="2268" w:type="dxa"/>
          </w:tcPr>
          <w:p w14:paraId="59C5C382" w14:textId="18AD896E" w:rsidR="00B7185D" w:rsidRPr="00D50367" w:rsidRDefault="0018503D" w:rsidP="00277F43">
            <w:pPr>
              <w:pStyle w:val="Tabletextnormal"/>
            </w:pPr>
            <w:r w:rsidRPr="00D50367">
              <w:t>200</w:t>
            </w:r>
            <w:r w:rsidR="00B7185D" w:rsidRPr="00D50367">
              <w:t> </w:t>
            </w:r>
            <w:r w:rsidRPr="00D50367">
              <w:t>µl</w:t>
            </w:r>
          </w:p>
        </w:tc>
      </w:tr>
      <w:tr w:rsidR="00B7185D" w:rsidRPr="00D50367" w14:paraId="6FE539E7" w14:textId="77777777" w:rsidTr="00154A0D">
        <w:tc>
          <w:tcPr>
            <w:tcW w:w="5669" w:type="dxa"/>
          </w:tcPr>
          <w:p w14:paraId="3EFC5F14" w14:textId="673D318B" w:rsidR="00B7185D" w:rsidRPr="00D50367" w:rsidRDefault="00B7185D" w:rsidP="00277F43">
            <w:pPr>
              <w:pStyle w:val="Tabletextnormal"/>
            </w:pPr>
            <w:r w:rsidRPr="00D50367">
              <w:t xml:space="preserve">Dried </w:t>
            </w:r>
            <w:r w:rsidR="009053AF" w:rsidRPr="00D50367">
              <w:t>acetone</w:t>
            </w:r>
          </w:p>
        </w:tc>
        <w:tc>
          <w:tcPr>
            <w:tcW w:w="2268" w:type="dxa"/>
          </w:tcPr>
          <w:p w14:paraId="72D85296" w14:textId="167E6D27" w:rsidR="00B7185D" w:rsidRPr="00D50367" w:rsidRDefault="0044251C" w:rsidP="00277F43">
            <w:pPr>
              <w:pStyle w:val="Tabletextnormal"/>
            </w:pPr>
            <w:r w:rsidRPr="00D50367">
              <w:t>9.8</w:t>
            </w:r>
            <w:r w:rsidR="00B7185D" w:rsidRPr="00D50367">
              <w:t> ml</w:t>
            </w:r>
          </w:p>
        </w:tc>
      </w:tr>
    </w:tbl>
    <w:p w14:paraId="47EB4509" w14:textId="355FA587" w:rsidR="00B7185D" w:rsidRDefault="00B7185D" w:rsidP="00B7185D">
      <w:r>
        <w:t xml:space="preserve">Diluted in anhydrous </w:t>
      </w:r>
      <w:r w:rsidR="000B02AF">
        <w:t>acetone</w:t>
      </w:r>
      <w:r>
        <w:t xml:space="preserve"> </w:t>
      </w:r>
      <w:r w:rsidR="0070710E">
        <w:t xml:space="preserve">and filtered </w:t>
      </w:r>
      <w:r w:rsidRPr="00640EC8">
        <w:t>using glass pipettes and glass containers.</w:t>
      </w:r>
    </w:p>
    <w:p w14:paraId="0726A630" w14:textId="38465C42" w:rsidR="001800C8" w:rsidRDefault="00E83386" w:rsidP="001800C8">
      <w:pPr>
        <w:pStyle w:val="Heading3"/>
      </w:pPr>
      <w:bookmarkStart w:id="272" w:name="_Toc64276321"/>
      <w:bookmarkStart w:id="273" w:name="_Toc64276625"/>
      <w:bookmarkStart w:id="274" w:name="_Toc64276837"/>
      <w:bookmarkStart w:id="275" w:name="_Toc90216783"/>
      <w:r>
        <w:t>1</w:t>
      </w:r>
      <w:r w:rsidR="001800C8">
        <w:t> % (w/v) OsO</w:t>
      </w:r>
      <w:r w:rsidR="001800C8">
        <w:rPr>
          <w:vertAlign w:val="subscript"/>
        </w:rPr>
        <w:t>4</w:t>
      </w:r>
      <w:r w:rsidR="001800C8">
        <w:t xml:space="preserve"> </w:t>
      </w:r>
      <w:r>
        <w:t xml:space="preserve">+ 0.5 % (v/v) glutaraldehyde + 3 % </w:t>
      </w:r>
      <w:r w:rsidR="00014159">
        <w:t xml:space="preserve">(w/v) </w:t>
      </w:r>
      <w:r>
        <w:t xml:space="preserve">UA </w:t>
      </w:r>
      <w:r w:rsidR="001800C8">
        <w:t>in dried acetone</w:t>
      </w:r>
      <w:bookmarkEnd w:id="272"/>
      <w:bookmarkEnd w:id="273"/>
      <w:bookmarkEnd w:id="274"/>
      <w:r w:rsidR="007006CC">
        <w:t>.</w:t>
      </w:r>
      <w:bookmarkEnd w:id="275"/>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0C4524" w:rsidRPr="00D50367" w14:paraId="6936CEFC" w14:textId="77777777" w:rsidTr="00154A0D">
        <w:tc>
          <w:tcPr>
            <w:tcW w:w="5669" w:type="dxa"/>
          </w:tcPr>
          <w:p w14:paraId="5CD5950E" w14:textId="77777777" w:rsidR="000C4524" w:rsidRPr="00D50367" w:rsidRDefault="000C4524" w:rsidP="00277F43">
            <w:pPr>
              <w:pStyle w:val="Tabletextnormal"/>
            </w:pPr>
            <w:r w:rsidRPr="00D50367">
              <w:t>OsO</w:t>
            </w:r>
            <w:r w:rsidRPr="00D50367">
              <w:rPr>
                <w:vertAlign w:val="subscript"/>
              </w:rPr>
              <w:t>4</w:t>
            </w:r>
            <w:r w:rsidRPr="00D50367">
              <w:t xml:space="preserve"> (AGR1015, Agar Scientific)</w:t>
            </w:r>
          </w:p>
        </w:tc>
        <w:tc>
          <w:tcPr>
            <w:tcW w:w="2268" w:type="dxa"/>
          </w:tcPr>
          <w:p w14:paraId="08C42E74" w14:textId="77777777" w:rsidR="000C4524" w:rsidRPr="00D50367" w:rsidRDefault="000C4524" w:rsidP="00277F43">
            <w:pPr>
              <w:pStyle w:val="Tabletextnormal"/>
            </w:pPr>
            <w:r w:rsidRPr="00D50367">
              <w:t>0.1 g</w:t>
            </w:r>
          </w:p>
        </w:tc>
      </w:tr>
      <w:tr w:rsidR="000C4524" w:rsidRPr="00D50367" w14:paraId="02F6BEF7" w14:textId="77777777" w:rsidTr="00154A0D">
        <w:tc>
          <w:tcPr>
            <w:tcW w:w="5669" w:type="dxa"/>
          </w:tcPr>
          <w:p w14:paraId="76AF983F" w14:textId="77777777" w:rsidR="000C4524" w:rsidRPr="00D50367" w:rsidRDefault="000C4524" w:rsidP="00277F43">
            <w:pPr>
              <w:pStyle w:val="Tabletextnormal"/>
            </w:pPr>
            <w:r w:rsidRPr="00D50367">
              <w:t>25 % (v/v) glutaraldehyde EM grade (R1010, Agar Scientific)</w:t>
            </w:r>
          </w:p>
        </w:tc>
        <w:tc>
          <w:tcPr>
            <w:tcW w:w="2268" w:type="dxa"/>
          </w:tcPr>
          <w:p w14:paraId="4970AF02" w14:textId="77777777" w:rsidR="000C4524" w:rsidRPr="00D50367" w:rsidRDefault="000C4524" w:rsidP="00277F43">
            <w:pPr>
              <w:pStyle w:val="Tabletextnormal"/>
            </w:pPr>
            <w:r w:rsidRPr="00D50367">
              <w:t>200 µl</w:t>
            </w:r>
          </w:p>
        </w:tc>
      </w:tr>
      <w:tr w:rsidR="002323FB" w:rsidRPr="00D50367" w14:paraId="3D76D9FF" w14:textId="77777777" w:rsidTr="00154A0D">
        <w:tc>
          <w:tcPr>
            <w:tcW w:w="5669" w:type="dxa"/>
          </w:tcPr>
          <w:p w14:paraId="4C3C0E0C" w14:textId="06C43FAB" w:rsidR="002323FB" w:rsidRPr="00D50367" w:rsidRDefault="002323FB" w:rsidP="002323FB">
            <w:pPr>
              <w:pStyle w:val="Tabletextnormal"/>
            </w:pPr>
            <w:r w:rsidRPr="00D50367">
              <w:t>Uranyl Acetate (</w:t>
            </w:r>
            <w:r w:rsidR="009B4331" w:rsidRPr="00D50367">
              <w:t>Polysciences inc.)</w:t>
            </w:r>
          </w:p>
        </w:tc>
        <w:tc>
          <w:tcPr>
            <w:tcW w:w="2268" w:type="dxa"/>
          </w:tcPr>
          <w:p w14:paraId="36F3AE6A" w14:textId="15DDBA7B" w:rsidR="002323FB" w:rsidRPr="00D50367" w:rsidRDefault="00FD37A7" w:rsidP="002323FB">
            <w:pPr>
              <w:pStyle w:val="Tabletextnormal"/>
            </w:pPr>
            <w:r w:rsidRPr="00D50367">
              <w:t>0.3 g</w:t>
            </w:r>
          </w:p>
        </w:tc>
      </w:tr>
      <w:tr w:rsidR="002323FB" w:rsidRPr="00D50367" w14:paraId="51F1C909" w14:textId="77777777" w:rsidTr="00154A0D">
        <w:tc>
          <w:tcPr>
            <w:tcW w:w="5669" w:type="dxa"/>
          </w:tcPr>
          <w:p w14:paraId="4F08B809" w14:textId="77777777" w:rsidR="002323FB" w:rsidRPr="00D50367" w:rsidRDefault="002323FB" w:rsidP="002323FB">
            <w:pPr>
              <w:pStyle w:val="Tabletextnormal"/>
            </w:pPr>
            <w:r w:rsidRPr="00D50367">
              <w:t>Dried acetone</w:t>
            </w:r>
          </w:p>
        </w:tc>
        <w:tc>
          <w:tcPr>
            <w:tcW w:w="2268" w:type="dxa"/>
          </w:tcPr>
          <w:p w14:paraId="1C8914DB" w14:textId="77777777" w:rsidR="002323FB" w:rsidRPr="00D50367" w:rsidRDefault="002323FB" w:rsidP="002323FB">
            <w:pPr>
              <w:pStyle w:val="Tabletextnormal"/>
            </w:pPr>
            <w:r w:rsidRPr="00D50367">
              <w:t>9.8 ml</w:t>
            </w:r>
          </w:p>
        </w:tc>
      </w:tr>
    </w:tbl>
    <w:p w14:paraId="6B0F8B0F" w14:textId="0184C555" w:rsidR="001F28B3" w:rsidRDefault="000C4524" w:rsidP="000C4524">
      <w:r>
        <w:t>Diluted in anhydrous acetone</w:t>
      </w:r>
      <w:r w:rsidR="0070710E">
        <w:t xml:space="preserve"> and filtered</w:t>
      </w:r>
      <w:r>
        <w:t xml:space="preserve"> </w:t>
      </w:r>
      <w:r w:rsidRPr="00640EC8">
        <w:t>using glass pipettes and glass containers.</w:t>
      </w:r>
    </w:p>
    <w:p w14:paraId="41AF4CB9" w14:textId="7060909B" w:rsidR="00AF6F90" w:rsidRDefault="00DB1845" w:rsidP="004B0C7E">
      <w:pPr>
        <w:pStyle w:val="Heading2"/>
      </w:pPr>
      <w:bookmarkStart w:id="276" w:name="_Toc64276325"/>
      <w:bookmarkStart w:id="277" w:name="_Toc64276629"/>
      <w:bookmarkStart w:id="278" w:name="_Toc64276841"/>
      <w:bookmarkStart w:id="279" w:name="_Toc90216784"/>
      <w:r>
        <w:t>Resins</w:t>
      </w:r>
      <w:bookmarkEnd w:id="276"/>
      <w:bookmarkEnd w:id="277"/>
      <w:bookmarkEnd w:id="278"/>
      <w:r w:rsidR="004D065B">
        <w:t xml:space="preserve"> for TEM</w:t>
      </w:r>
      <w:r w:rsidR="007006CC">
        <w:t>.</w:t>
      </w:r>
      <w:bookmarkEnd w:id="279"/>
    </w:p>
    <w:p w14:paraId="3561C493" w14:textId="139F1707" w:rsidR="00DB1845" w:rsidRDefault="00DB1845" w:rsidP="00DB1845">
      <w:pPr>
        <w:pStyle w:val="Heading3"/>
      </w:pPr>
      <w:bookmarkStart w:id="280" w:name="_Toc64276326"/>
      <w:bookmarkStart w:id="281" w:name="_Toc64276630"/>
      <w:bookmarkStart w:id="282" w:name="_Toc64276842"/>
      <w:bookmarkStart w:id="283" w:name="_Ref79687131"/>
      <w:bookmarkStart w:id="284" w:name="_Toc90216785"/>
      <w:r>
        <w:t>Epon</w:t>
      </w:r>
      <w:bookmarkEnd w:id="280"/>
      <w:bookmarkEnd w:id="281"/>
      <w:bookmarkEnd w:id="282"/>
      <w:bookmarkEnd w:id="283"/>
      <w:r w:rsidR="007006CC">
        <w:t>.</w:t>
      </w:r>
      <w:bookmarkEnd w:id="284"/>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DB1845" w:rsidRPr="00D50367" w14:paraId="0A0F7A5F" w14:textId="77777777" w:rsidTr="00154A0D">
        <w:tc>
          <w:tcPr>
            <w:tcW w:w="5669" w:type="dxa"/>
          </w:tcPr>
          <w:p w14:paraId="76A54F02" w14:textId="6864FCAF" w:rsidR="00DB1845" w:rsidRPr="00D50367" w:rsidRDefault="00DB1845" w:rsidP="00DB1845">
            <w:pPr>
              <w:pStyle w:val="Tabletextnormal"/>
            </w:pPr>
            <w:r w:rsidRPr="00D50367">
              <w:t>Agar 100 (</w:t>
            </w:r>
            <w:r w:rsidR="006F7318" w:rsidRPr="00D50367">
              <w:t xml:space="preserve">R1044, </w:t>
            </w:r>
            <w:r w:rsidRPr="00D50367">
              <w:t>Agar Scientific)</w:t>
            </w:r>
          </w:p>
        </w:tc>
        <w:tc>
          <w:tcPr>
            <w:tcW w:w="2268" w:type="dxa"/>
          </w:tcPr>
          <w:p w14:paraId="3ED4F032" w14:textId="25573F31" w:rsidR="00DB1845" w:rsidRPr="00D50367" w:rsidRDefault="00DB1845" w:rsidP="00D65472">
            <w:pPr>
              <w:pStyle w:val="Tabletextnormal"/>
            </w:pPr>
            <w:r w:rsidRPr="00D50367">
              <w:t>10.16 g</w:t>
            </w:r>
          </w:p>
        </w:tc>
      </w:tr>
      <w:tr w:rsidR="00DB1845" w:rsidRPr="00D50367" w14:paraId="774DA6B7" w14:textId="77777777" w:rsidTr="00154A0D">
        <w:tc>
          <w:tcPr>
            <w:tcW w:w="5669" w:type="dxa"/>
          </w:tcPr>
          <w:p w14:paraId="0ED63793" w14:textId="6F3BEFEE" w:rsidR="00DB1845" w:rsidRPr="00D50367" w:rsidRDefault="00DB1845" w:rsidP="00DB1845">
            <w:pPr>
              <w:pStyle w:val="Tabletextnormal"/>
            </w:pPr>
            <w:r w:rsidRPr="00D50367">
              <w:t>MNA (</w:t>
            </w:r>
            <w:r w:rsidR="006F7318" w:rsidRPr="00D50367">
              <w:t xml:space="preserve">R1081, </w:t>
            </w:r>
            <w:r w:rsidRPr="00D50367">
              <w:t>Agar Scientific)</w:t>
            </w:r>
          </w:p>
        </w:tc>
        <w:tc>
          <w:tcPr>
            <w:tcW w:w="2268" w:type="dxa"/>
          </w:tcPr>
          <w:p w14:paraId="4B1ECA8F" w14:textId="2A2FDF0C" w:rsidR="00DB1845" w:rsidRPr="00D50367" w:rsidRDefault="00DB1845" w:rsidP="00DB1845">
            <w:pPr>
              <w:pStyle w:val="Tabletextnormal"/>
            </w:pPr>
            <w:r w:rsidRPr="00D50367">
              <w:t>7.5 g</w:t>
            </w:r>
          </w:p>
        </w:tc>
      </w:tr>
      <w:tr w:rsidR="00DB1845" w:rsidRPr="00D50367" w14:paraId="399F642E" w14:textId="77777777" w:rsidTr="00154A0D">
        <w:tc>
          <w:tcPr>
            <w:tcW w:w="5669" w:type="dxa"/>
          </w:tcPr>
          <w:p w14:paraId="7901A15B" w14:textId="4633C1AF" w:rsidR="00DB1845" w:rsidRPr="00D50367" w:rsidRDefault="00DB1845" w:rsidP="00DB1845">
            <w:pPr>
              <w:pStyle w:val="Tabletextnormal"/>
            </w:pPr>
            <w:r w:rsidRPr="00D50367">
              <w:t>DDSA (</w:t>
            </w:r>
            <w:r w:rsidR="006F7318" w:rsidRPr="00D50367">
              <w:t xml:space="preserve">R1051, </w:t>
            </w:r>
            <w:r w:rsidRPr="00D50367">
              <w:t>Agar Scientific)</w:t>
            </w:r>
          </w:p>
        </w:tc>
        <w:tc>
          <w:tcPr>
            <w:tcW w:w="2268" w:type="dxa"/>
          </w:tcPr>
          <w:p w14:paraId="4E980908" w14:textId="5CA53B28" w:rsidR="00DB1845" w:rsidRPr="00D50367" w:rsidRDefault="00DB1845" w:rsidP="00DB1845">
            <w:pPr>
              <w:pStyle w:val="Tabletextnormal"/>
            </w:pPr>
            <w:r w:rsidRPr="00D50367">
              <w:t>6.25 g</w:t>
            </w:r>
          </w:p>
        </w:tc>
      </w:tr>
      <w:tr w:rsidR="00DB1845" w:rsidRPr="00D50367" w14:paraId="6DE91E35" w14:textId="77777777" w:rsidTr="00154A0D">
        <w:tc>
          <w:tcPr>
            <w:tcW w:w="5669" w:type="dxa"/>
          </w:tcPr>
          <w:p w14:paraId="32D2FE3F" w14:textId="23DC0814" w:rsidR="00DB1845" w:rsidRPr="00D50367" w:rsidRDefault="00DB1845" w:rsidP="00DB1845">
            <w:pPr>
              <w:pStyle w:val="Tabletextnormal"/>
            </w:pPr>
            <w:r w:rsidRPr="00D50367">
              <w:t>BDMA (</w:t>
            </w:r>
            <w:r w:rsidR="006F7318" w:rsidRPr="00D50367">
              <w:t xml:space="preserve">R1062, </w:t>
            </w:r>
            <w:r w:rsidRPr="00D50367">
              <w:t>Agar Scientific)</w:t>
            </w:r>
          </w:p>
        </w:tc>
        <w:tc>
          <w:tcPr>
            <w:tcW w:w="2268" w:type="dxa"/>
          </w:tcPr>
          <w:p w14:paraId="63707FF1" w14:textId="4F519BF4" w:rsidR="00DB1845" w:rsidRPr="00D50367" w:rsidRDefault="00DB1845" w:rsidP="00DB1845">
            <w:pPr>
              <w:pStyle w:val="Tabletextnormal"/>
            </w:pPr>
            <w:r w:rsidRPr="00D50367">
              <w:t>0.72 g</w:t>
            </w:r>
          </w:p>
        </w:tc>
      </w:tr>
    </w:tbl>
    <w:p w14:paraId="7FE239C1" w14:textId="7792AE24" w:rsidR="00DB1845" w:rsidRDefault="00DB1845" w:rsidP="00DB1845">
      <w:r>
        <w:t>Freshly made at the time of use</w:t>
      </w:r>
      <w:r w:rsidR="002D7439">
        <w:t xml:space="preserve">, mixing agar 100, methyl nadic anhydride (MNA), </w:t>
      </w:r>
      <w:r w:rsidR="006C0061">
        <w:t>d</w:t>
      </w:r>
      <w:r w:rsidR="002D7439">
        <w:t xml:space="preserve">odecenyl succinic anhydride (DDSA) and </w:t>
      </w:r>
      <w:r w:rsidR="006C0061">
        <w:t>benzyl dimethylamine</w:t>
      </w:r>
      <w:r w:rsidR="002D7439">
        <w:t xml:space="preserve"> (BDMA).</w:t>
      </w:r>
    </w:p>
    <w:p w14:paraId="503D7E8E" w14:textId="5943304C" w:rsidR="00DB1845" w:rsidRDefault="00DB1845" w:rsidP="00DB1845">
      <w:pPr>
        <w:pStyle w:val="Heading3"/>
      </w:pPr>
      <w:bookmarkStart w:id="285" w:name="_Toc64276327"/>
      <w:bookmarkStart w:id="286" w:name="_Toc64276631"/>
      <w:bookmarkStart w:id="287" w:name="_Toc64276843"/>
      <w:bookmarkStart w:id="288" w:name="_Ref79686418"/>
      <w:bookmarkStart w:id="289" w:name="_Toc90216786"/>
      <w:r>
        <w:t>Epon/</w:t>
      </w:r>
      <w:r w:rsidR="00E63C40">
        <w:t>p</w:t>
      </w:r>
      <w:r>
        <w:t>ropylene oxide</w:t>
      </w:r>
      <w:bookmarkEnd w:id="285"/>
      <w:bookmarkEnd w:id="286"/>
      <w:bookmarkEnd w:id="287"/>
      <w:bookmarkEnd w:id="288"/>
      <w:r w:rsidR="007006CC">
        <w:t>.</w:t>
      </w:r>
      <w:bookmarkEnd w:id="289"/>
    </w:p>
    <w:p w14:paraId="05B97EBF" w14:textId="333B0817" w:rsidR="00250F96" w:rsidRPr="00250F96" w:rsidRDefault="00250F96" w:rsidP="00250F96">
      <w:r w:rsidRPr="00250F96">
        <w:t>Propylene oxide (</w:t>
      </w:r>
      <w:r w:rsidR="006F7318">
        <w:t xml:space="preserve">R1080, </w:t>
      </w:r>
      <w:r w:rsidRPr="00250F96">
        <w:t xml:space="preserve">Agar Scientific) was used to obtain a 1:1 </w:t>
      </w:r>
      <w:r w:rsidR="00015BE0">
        <w:t>mixture</w:t>
      </w:r>
      <w:r w:rsidRPr="00250F96">
        <w:t xml:space="preserve"> with Epon resin.</w:t>
      </w:r>
    </w:p>
    <w:p w14:paraId="6C71CC4A" w14:textId="01A0BBC4" w:rsidR="00DB1845" w:rsidRDefault="00DB1845" w:rsidP="00DB1845">
      <w:pPr>
        <w:pStyle w:val="Heading3"/>
      </w:pPr>
      <w:bookmarkStart w:id="290" w:name="_Toc64276328"/>
      <w:bookmarkStart w:id="291" w:name="_Toc64276632"/>
      <w:bookmarkStart w:id="292" w:name="_Toc64276844"/>
      <w:bookmarkStart w:id="293" w:name="_Ref79752039"/>
      <w:bookmarkStart w:id="294" w:name="_Toc90216787"/>
      <w:r>
        <w:lastRenderedPageBreak/>
        <w:t>Spurr</w:t>
      </w:r>
      <w:bookmarkEnd w:id="290"/>
      <w:bookmarkEnd w:id="291"/>
      <w:bookmarkEnd w:id="292"/>
      <w:bookmarkEnd w:id="293"/>
      <w:r w:rsidR="007006CC">
        <w:t>.</w:t>
      </w:r>
      <w:bookmarkEnd w:id="294"/>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250F96" w:rsidRPr="00D50367" w14:paraId="3F024ADB" w14:textId="77777777" w:rsidTr="00154A0D">
        <w:tc>
          <w:tcPr>
            <w:tcW w:w="5669" w:type="dxa"/>
          </w:tcPr>
          <w:p w14:paraId="76A4592C" w14:textId="543EAA84" w:rsidR="00250F96" w:rsidRPr="00D50367" w:rsidRDefault="00250F96" w:rsidP="00250F96">
            <w:pPr>
              <w:pStyle w:val="Tabletextnormal"/>
            </w:pPr>
            <w:r w:rsidRPr="00D50367">
              <w:t>Cycloaliphatic epoxide resin ERL 4221D (</w:t>
            </w:r>
            <w:r w:rsidR="00677D9C" w:rsidRPr="00D50367">
              <w:t xml:space="preserve">E208, </w:t>
            </w:r>
            <w:r w:rsidRPr="00D50367">
              <w:t>TAAB Laboratories)</w:t>
            </w:r>
          </w:p>
        </w:tc>
        <w:tc>
          <w:tcPr>
            <w:tcW w:w="2268" w:type="dxa"/>
          </w:tcPr>
          <w:p w14:paraId="19FDF73B" w14:textId="55EA4505" w:rsidR="00250F96" w:rsidRPr="00D50367" w:rsidRDefault="00250F96" w:rsidP="00250F96">
            <w:pPr>
              <w:pStyle w:val="Tabletextnormal"/>
            </w:pPr>
            <w:r w:rsidRPr="00D50367">
              <w:t>10 g</w:t>
            </w:r>
          </w:p>
        </w:tc>
      </w:tr>
      <w:tr w:rsidR="00250F96" w:rsidRPr="00D50367" w14:paraId="3C8E4E89" w14:textId="77777777" w:rsidTr="00154A0D">
        <w:tc>
          <w:tcPr>
            <w:tcW w:w="5669" w:type="dxa"/>
          </w:tcPr>
          <w:p w14:paraId="55FE84C8" w14:textId="34337AB7" w:rsidR="00250F96" w:rsidRPr="00D50367" w:rsidRDefault="00250F96" w:rsidP="00250F96">
            <w:pPr>
              <w:pStyle w:val="Tabletextnormal"/>
            </w:pPr>
            <w:r w:rsidRPr="00D50367">
              <w:t>DER 736 (</w:t>
            </w:r>
            <w:r w:rsidR="00CC4084" w:rsidRPr="00D50367">
              <w:t xml:space="preserve">R1072, </w:t>
            </w:r>
            <w:r w:rsidRPr="00D50367">
              <w:t>Agar Scientific)</w:t>
            </w:r>
          </w:p>
        </w:tc>
        <w:tc>
          <w:tcPr>
            <w:tcW w:w="2268" w:type="dxa"/>
          </w:tcPr>
          <w:p w14:paraId="2038C29A" w14:textId="5BF23DDB" w:rsidR="00250F96" w:rsidRPr="00D50367" w:rsidRDefault="00250F96" w:rsidP="00250F96">
            <w:pPr>
              <w:pStyle w:val="Tabletextnormal"/>
            </w:pPr>
            <w:r w:rsidRPr="00D50367">
              <w:t>6 g</w:t>
            </w:r>
          </w:p>
        </w:tc>
      </w:tr>
      <w:tr w:rsidR="00250F96" w:rsidRPr="00D50367" w14:paraId="653FB631" w14:textId="77777777" w:rsidTr="00154A0D">
        <w:tc>
          <w:tcPr>
            <w:tcW w:w="5669" w:type="dxa"/>
          </w:tcPr>
          <w:p w14:paraId="3A67A746" w14:textId="5F073275" w:rsidR="00250F96" w:rsidRPr="00D50367" w:rsidRDefault="00250F96" w:rsidP="00250F96">
            <w:pPr>
              <w:pStyle w:val="Tabletextnormal"/>
            </w:pPr>
            <w:r w:rsidRPr="00D50367">
              <w:t>NSA (</w:t>
            </w:r>
            <w:r w:rsidR="00677D9C" w:rsidRPr="00D50367">
              <w:t xml:space="preserve">R1054, </w:t>
            </w:r>
            <w:r w:rsidRPr="00D50367">
              <w:t>Agar Scientific)</w:t>
            </w:r>
          </w:p>
        </w:tc>
        <w:tc>
          <w:tcPr>
            <w:tcW w:w="2268" w:type="dxa"/>
          </w:tcPr>
          <w:p w14:paraId="3589098A" w14:textId="010FE5D6" w:rsidR="00250F96" w:rsidRPr="00D50367" w:rsidRDefault="00250F96" w:rsidP="00250F96">
            <w:pPr>
              <w:pStyle w:val="Tabletextnormal"/>
            </w:pPr>
            <w:r w:rsidRPr="00D50367">
              <w:t>26 g</w:t>
            </w:r>
          </w:p>
        </w:tc>
      </w:tr>
      <w:tr w:rsidR="00250F96" w:rsidRPr="00D50367" w14:paraId="5B2A86D2" w14:textId="77777777" w:rsidTr="00154A0D">
        <w:tc>
          <w:tcPr>
            <w:tcW w:w="5669" w:type="dxa"/>
          </w:tcPr>
          <w:p w14:paraId="583D6571" w14:textId="181C65B8" w:rsidR="00250F96" w:rsidRPr="00D50367" w:rsidRDefault="00642461" w:rsidP="00250F96">
            <w:pPr>
              <w:pStyle w:val="Tabletextnormal"/>
            </w:pPr>
            <w:r w:rsidRPr="00D50367">
              <w:t>S</w:t>
            </w:r>
            <w:r w:rsidR="002107E2" w:rsidRPr="00D50367">
              <w:t>-</w:t>
            </w:r>
            <w:r w:rsidRPr="00D50367">
              <w:t>1 (</w:t>
            </w:r>
            <w:r w:rsidR="00250F96" w:rsidRPr="00D50367">
              <w:t>DMAE</w:t>
            </w:r>
            <w:r w:rsidRPr="00D50367">
              <w:t>)</w:t>
            </w:r>
            <w:r w:rsidR="00250F96" w:rsidRPr="00D50367">
              <w:t xml:space="preserve"> (</w:t>
            </w:r>
            <w:r w:rsidRPr="00D50367">
              <w:t xml:space="preserve">R1067, </w:t>
            </w:r>
            <w:r w:rsidR="00250F96" w:rsidRPr="00D50367">
              <w:t>Agar Scientific)</w:t>
            </w:r>
          </w:p>
        </w:tc>
        <w:tc>
          <w:tcPr>
            <w:tcW w:w="2268" w:type="dxa"/>
          </w:tcPr>
          <w:p w14:paraId="4669929E" w14:textId="29D8C7D9" w:rsidR="00250F96" w:rsidRPr="00D50367" w:rsidRDefault="00250F96" w:rsidP="00250F96">
            <w:pPr>
              <w:pStyle w:val="Tabletextnormal"/>
            </w:pPr>
            <w:r w:rsidRPr="00D50367">
              <w:t>0.4 g</w:t>
            </w:r>
          </w:p>
        </w:tc>
      </w:tr>
    </w:tbl>
    <w:p w14:paraId="6DDF977B" w14:textId="1ED5F265" w:rsidR="00250F96" w:rsidRDefault="00250F96" w:rsidP="00E00112">
      <w:pPr>
        <w:tabs>
          <w:tab w:val="left" w:pos="5670"/>
        </w:tabs>
      </w:pPr>
      <w:r w:rsidRPr="00250F96">
        <w:t>Freshly made at the time of use</w:t>
      </w:r>
      <w:r w:rsidR="00C05CFB">
        <w:t>,</w:t>
      </w:r>
      <w:r w:rsidR="00677D9C">
        <w:t xml:space="preserve"> mixing cycloaliphatic epoxide resin ERL 4221D, diglycidylether of polypropylene glycol (DER 736) nonenyl succinic anhydride (NSA), </w:t>
      </w:r>
      <w:r w:rsidR="00642461">
        <w:t>and dimethylaminoethanol (DMAE)</w:t>
      </w:r>
      <w:r w:rsidR="00C05CFB">
        <w:t>.</w:t>
      </w:r>
      <w:r w:rsidRPr="00250F96">
        <w:t xml:space="preserve"> </w:t>
      </w:r>
      <w:r w:rsidR="00C05CFB">
        <w:t>P</w:t>
      </w:r>
      <w:r w:rsidRPr="00250F96">
        <w:t>rotocol as previously described</w:t>
      </w:r>
      <w:r w:rsidR="00B91B5C">
        <w:t xml:space="preserve"> </w:t>
      </w:r>
      <w:r w:rsidR="00B91B5C">
        <w:fldChar w:fldCharType="begin" w:fldLock="1"/>
      </w:r>
      <w:r w:rsidR="0058736C">
        <w:instrText>ADDIN CSL_CITATION {"citationItems":[{"id":"ITEM-1","itemData":{"DOI":"10.1016/S0022-5320(69)90033-1","ISBN":"0022-5320","ISSN":"00225320","PMID":"4887011","abstract":"A low-viscosity embedding medium based on ERL-4206 is recommended for use in electron microscopy. The composition is: ERL-4206 (vinyl cyclohexene dioxide) 10 g, D.E.R. 736 (diglycidyl ether of polypropylene glycol) 6 g, NSA (nonenyl succinic anhydride) 26 g, and S-1 (dimethylaminoethanol or DMAE) 0.4 g. The medium is easily and rapidly prepared by dispensing the components, in turn by weight, into a single flask. The relatively low viscosity of the medium (60 cP) permits rapid mixing by shaking and swirling. The medium is infiltrated into specimens after the use of any one of several dehydrating fluids, such as ethanol, acetone, dioxan, hexylene glycol, isopropyl alcohol, propylene oxide, and tert.-butyl alcohol. It is compatible with each of these in all proportions. After infiltration the castings are polymerized at 70°C in 8 hours. Longer curing does not adversely affect the physical properties of the castings. Curing time can be reduced by increasing the temperature or the accelerator, S-1, or both; and the hardness of the castings is controlled by changes in the D.E.R. 736 flexibilizer. The medium has a long pot life of several days and infiltrates readily because of its low viscosity. The castings have good trimming and sectioning qualities. The embedding matrix of the sections is very resistant to oxidation by KMnO4 and Ba(MnO4)2, compared with resins containing NADIC methyl anhydride. Sections are tough under the electron beam and may be used without a supporting membrane on the grids. The background plastic in the sections shows no perceptible substructure at magnifications commonly used for biological materials. The medium has been used successfully with a wide range of specimens, including endosperms with a high lipid content, tissues with hard, lignified cell walls, and highly vacuolated parenchymatous tissues of ripe fruits.","author":[{"dropping-particle":"","family":"Spurr","given":"Arthur R.","non-dropping-particle":"","parse-names":false,"suffix":""}],"container-title":"Journal of Ultrastructure Research","id":"ITEM-1","issue":"1-2","issued":{"date-parts":[["1969"]]},"page":"31-43","title":"A low-viscosity epoxy resin embedding medium for electron microscopy","type":"article-journal","volume":"26"},"uris":["http://www.mendeley.com/documents/?uuid=85fb02f9-86e9-461c-966e-6509dde1bd2e"]}],"mendeley":{"formattedCitation":"&lt;sup&gt;[229]&lt;/sup&gt;","plainTextFormattedCitation":"[229]","previouslyFormattedCitation":"&lt;sup&gt;[229]&lt;/sup&gt;"},"properties":{"noteIndex":0},"schema":"https://github.com/citation-style-language/schema/raw/master/csl-citation.json"}</w:instrText>
      </w:r>
      <w:r w:rsidR="00B91B5C">
        <w:fldChar w:fldCharType="separate"/>
      </w:r>
      <w:r w:rsidR="002659E5" w:rsidRPr="002659E5">
        <w:rPr>
          <w:noProof/>
          <w:vertAlign w:val="superscript"/>
        </w:rPr>
        <w:t>[229]</w:t>
      </w:r>
      <w:r w:rsidR="00B91B5C">
        <w:fldChar w:fldCharType="end"/>
      </w:r>
      <w:r w:rsidRPr="00250F96">
        <w:t>.</w:t>
      </w:r>
    </w:p>
    <w:p w14:paraId="3DCDCA23" w14:textId="0E4FEDC0" w:rsidR="00352412" w:rsidRDefault="00352412" w:rsidP="00352412">
      <w:pPr>
        <w:pStyle w:val="Heading3"/>
      </w:pPr>
      <w:bookmarkStart w:id="295" w:name="_Ref79752016"/>
      <w:bookmarkStart w:id="296" w:name="_Toc90216788"/>
      <w:r>
        <w:t>30, 60</w:t>
      </w:r>
      <w:r w:rsidR="00D01938">
        <w:t xml:space="preserve"> </w:t>
      </w:r>
      <w:r>
        <w:t xml:space="preserve">and 90 % </w:t>
      </w:r>
      <w:r w:rsidR="00D655EA">
        <w:t xml:space="preserve">(v/v) </w:t>
      </w:r>
      <w:r w:rsidR="00B105C7">
        <w:t>S</w:t>
      </w:r>
      <w:r>
        <w:t>pu</w:t>
      </w:r>
      <w:r w:rsidR="0076459E">
        <w:t>r</w:t>
      </w:r>
      <w:r>
        <w:t>r in acetone</w:t>
      </w:r>
      <w:bookmarkEnd w:id="295"/>
      <w:r w:rsidR="007006CC">
        <w:t>.</w:t>
      </w:r>
      <w:bookmarkEnd w:id="296"/>
    </w:p>
    <w:p w14:paraId="16410D02" w14:textId="44AA031C" w:rsidR="00133187" w:rsidRPr="00352412" w:rsidRDefault="00352412" w:rsidP="00352412">
      <w:r>
        <w:t>Freshly made Spurr resin was mixed appropriately to obtain 30, 60 and 90 % (v/v) in dried acetone.</w:t>
      </w:r>
    </w:p>
    <w:p w14:paraId="39B64105" w14:textId="2B60A449" w:rsidR="00B8365D" w:rsidRDefault="00B8365D" w:rsidP="004B0C7E">
      <w:pPr>
        <w:pStyle w:val="Heading2"/>
      </w:pPr>
      <w:bookmarkStart w:id="297" w:name="_Ref73184746"/>
      <w:bookmarkStart w:id="298" w:name="_Toc90216789"/>
      <w:bookmarkStart w:id="299" w:name="_Toc64276330"/>
      <w:bookmarkStart w:id="300" w:name="_Toc64276634"/>
      <w:bookmarkStart w:id="301" w:name="_Toc64276846"/>
      <w:r>
        <w:t>Stains</w:t>
      </w:r>
      <w:bookmarkEnd w:id="297"/>
      <w:r w:rsidR="004D065B">
        <w:t xml:space="preserve"> for TEM</w:t>
      </w:r>
      <w:r w:rsidR="007006CC">
        <w:t>.</w:t>
      </w:r>
      <w:bookmarkEnd w:id="298"/>
    </w:p>
    <w:p w14:paraId="1E33B4C7" w14:textId="358B5914" w:rsidR="005D7494" w:rsidRDefault="005D7494" w:rsidP="005D7494">
      <w:pPr>
        <w:pStyle w:val="Heading3"/>
      </w:pPr>
      <w:bookmarkStart w:id="302" w:name="_Ref79697292"/>
      <w:bookmarkStart w:id="303" w:name="_Toc90216790"/>
      <w:r>
        <w:t>Reynold’s lead citrate</w:t>
      </w:r>
      <w:bookmarkEnd w:id="302"/>
      <w:r w:rsidR="007006CC">
        <w:t>.</w:t>
      </w:r>
      <w:bookmarkEnd w:id="303"/>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5D7494" w:rsidRPr="00D50367" w14:paraId="6988CBCB" w14:textId="77777777" w:rsidTr="00154A0D">
        <w:tc>
          <w:tcPr>
            <w:tcW w:w="5669" w:type="dxa"/>
          </w:tcPr>
          <w:p w14:paraId="40AB0245" w14:textId="77777777" w:rsidR="005D7494" w:rsidRPr="00D50367" w:rsidRDefault="005D7494" w:rsidP="006670A1">
            <w:pPr>
              <w:pStyle w:val="Tabletextnormal"/>
            </w:pPr>
            <w:r w:rsidRPr="00D50367">
              <w:t>Lead nitrate [Pb(NO</w:t>
            </w:r>
            <w:r w:rsidRPr="00D50367">
              <w:rPr>
                <w:vertAlign w:val="subscript"/>
              </w:rPr>
              <w:t>3</w:t>
            </w:r>
            <w:r w:rsidRPr="00D50367">
              <w:t>)</w:t>
            </w:r>
            <w:r w:rsidRPr="00D50367">
              <w:rPr>
                <w:vertAlign w:val="subscript"/>
              </w:rPr>
              <w:t>2</w:t>
            </w:r>
            <w:r w:rsidRPr="00D50367">
              <w:t>]</w:t>
            </w:r>
          </w:p>
        </w:tc>
        <w:tc>
          <w:tcPr>
            <w:tcW w:w="2268" w:type="dxa"/>
          </w:tcPr>
          <w:p w14:paraId="7B82F1F2" w14:textId="77777777" w:rsidR="005D7494" w:rsidRPr="00D50367" w:rsidRDefault="005D7494" w:rsidP="006670A1">
            <w:pPr>
              <w:pStyle w:val="Tabletextnormal"/>
            </w:pPr>
            <w:r w:rsidRPr="00D50367">
              <w:t>2.66 % (w/v)</w:t>
            </w:r>
          </w:p>
        </w:tc>
      </w:tr>
      <w:tr w:rsidR="005D7494" w:rsidRPr="00D50367" w14:paraId="22C882CB" w14:textId="77777777" w:rsidTr="00154A0D">
        <w:tc>
          <w:tcPr>
            <w:tcW w:w="5669" w:type="dxa"/>
          </w:tcPr>
          <w:p w14:paraId="3FFF26C1" w14:textId="77777777" w:rsidR="005D7494" w:rsidRPr="00E55D70" w:rsidRDefault="005D7494" w:rsidP="006670A1">
            <w:pPr>
              <w:pStyle w:val="Tabletextnormal"/>
              <w:rPr>
                <w:lang w:val="es-ES"/>
              </w:rPr>
            </w:pPr>
            <w:r w:rsidRPr="00E55D70">
              <w:rPr>
                <w:lang w:val="es-ES"/>
              </w:rPr>
              <w:t>Sodium citrate [Na</w:t>
            </w:r>
            <w:r w:rsidRPr="00E55D70">
              <w:rPr>
                <w:vertAlign w:val="subscript"/>
                <w:lang w:val="es-ES"/>
              </w:rPr>
              <w:t>3</w:t>
            </w:r>
            <w:r w:rsidRPr="00E55D70">
              <w:rPr>
                <w:lang w:val="es-ES"/>
              </w:rPr>
              <w:t>(C</w:t>
            </w:r>
            <w:r w:rsidRPr="00E55D70">
              <w:rPr>
                <w:vertAlign w:val="subscript"/>
                <w:lang w:val="es-ES"/>
              </w:rPr>
              <w:t>6</w:t>
            </w:r>
            <w:r w:rsidRPr="00E55D70">
              <w:rPr>
                <w:lang w:val="es-ES"/>
              </w:rPr>
              <w:t>H</w:t>
            </w:r>
            <w:r w:rsidRPr="00E55D70">
              <w:rPr>
                <w:vertAlign w:val="subscript"/>
                <w:lang w:val="es-ES"/>
              </w:rPr>
              <w:t>5</w:t>
            </w:r>
            <w:r w:rsidRPr="00E55D70">
              <w:rPr>
                <w:lang w:val="es-ES"/>
              </w:rPr>
              <w:t>O</w:t>
            </w:r>
            <w:r w:rsidRPr="00E55D70">
              <w:rPr>
                <w:vertAlign w:val="subscript"/>
                <w:lang w:val="es-ES"/>
              </w:rPr>
              <w:t>7</w:t>
            </w:r>
            <w:r w:rsidRPr="00E55D70">
              <w:rPr>
                <w:lang w:val="es-ES"/>
              </w:rPr>
              <w:t>).2H</w:t>
            </w:r>
            <w:r w:rsidRPr="00E55D70">
              <w:rPr>
                <w:vertAlign w:val="subscript"/>
                <w:lang w:val="es-ES"/>
              </w:rPr>
              <w:t>2</w:t>
            </w:r>
            <w:r w:rsidRPr="00E55D70">
              <w:rPr>
                <w:lang w:val="es-ES"/>
              </w:rPr>
              <w:t>O]</w:t>
            </w:r>
          </w:p>
        </w:tc>
        <w:tc>
          <w:tcPr>
            <w:tcW w:w="2268" w:type="dxa"/>
          </w:tcPr>
          <w:p w14:paraId="3A7E8531" w14:textId="77777777" w:rsidR="005D7494" w:rsidRPr="00D50367" w:rsidRDefault="005D7494" w:rsidP="006670A1">
            <w:pPr>
              <w:pStyle w:val="Tabletextnormal"/>
              <w:rPr>
                <w:lang w:val="es-ES"/>
              </w:rPr>
            </w:pPr>
            <w:r w:rsidRPr="00D50367">
              <w:rPr>
                <w:lang w:val="es-ES"/>
              </w:rPr>
              <w:t>3.52 </w:t>
            </w:r>
            <w:r w:rsidRPr="00D50367">
              <w:t>% (w/v)</w:t>
            </w:r>
          </w:p>
        </w:tc>
      </w:tr>
    </w:tbl>
    <w:p w14:paraId="014E5EFF" w14:textId="61F6C312" w:rsidR="005D7494" w:rsidRPr="003917FE" w:rsidRDefault="005D7494" w:rsidP="005D7494">
      <w:r>
        <w:t xml:space="preserve">Preparation </w:t>
      </w:r>
      <w:r w:rsidR="009114D2">
        <w:t>of</w:t>
      </w:r>
      <w:r>
        <w:t xml:space="preserve"> </w:t>
      </w:r>
      <w:r w:rsidRPr="003917FE">
        <w:rPr>
          <w:bCs/>
        </w:rPr>
        <w:t>Reynold’s lead citrate</w:t>
      </w:r>
      <w:r w:rsidRPr="003917FE">
        <w:fldChar w:fldCharType="begin" w:fldLock="1"/>
      </w:r>
      <w:r w:rsidR="0058736C">
        <w:instrText>ADDIN CSL_CITATION {"citationItems":[{"id":"ITEM-1","itemData":{"DOI":"10.1083/jcb.17.1.208","ISBN":"0021-9525 (Print)\\r0021-9525 (Linking)","ISSN":"00219525","PMID":"13986422","abstract":"Aqueous solutions of lead salts (1, 2) and saturated solutions of lead hydroxide (1) have been used as stains to enhance the electron-scattering properties of components of biological materials examined in the electron microscope. Saturated solutions of lead hydroxide (1), while staining more intensely than either lead acetate or monobasic lead acetate (l, 2), form insoluble lead carbonate upon exposure to air. The avoidance of such precipitates which contaminate surfaces of sections during staining has been the stimulus for the development of elaborate procedures for exclusion of air or carbon dioxide (3, 4). Several modifications of Watson's lead hydroxide stain (1) have recently appeared (5-7). All utilize relatively high pH (approximately 12) and one contains small amounts of tartrate (6), a relatively weak complexing agent (8), in addition to lead. These modified lead stains are less liable to contaminate the surface of the section with precipitated stain products. The stain reported here differs from previous alkaline lead stains in that the chelating agent, citrate, is in sufficient excess to sequester all lead present. Lead citrate, soluble in high concentrations in basic solutions, is a chelate compound with an apparent association constant (log Ka) between ligand and lead ion of 6.5 (9). Tissue binding sites, presumably organophosphates, and other anionic species present in biological components following fixation, dehydration, and plastic embedding apparently have a greater affinity for this cation than lead citrate inasmuch as cellular and extracellular structures in the section sequester lead from the staining solution. Alkaline lead citrate solutions are less likely to contaminate sections, as no precipitates form when droplets of fresh staining solution are exposed to air for periods of up to 30 minutes. The resultant staining of the sections is of high intensity in sections of Araldite- or Epon-embedded material. Cytoplasmic membranes, ribosomes, glycogen, and nuclear material are stained (Figs. 1 to 3).","author":[{"dropping-particle":"","family":"Reynolds","given":"E. S.","non-dropping-particle":"","parse-names":false,"suffix":""}],"container-title":"The Journal of cell biology","id":"ITEM-1","issue":"1","issued":{"date-parts":[["1963"]]},"page":"208-212","title":"The use of lead citrate at high pH as an electron-opaque stain in electron microscopy.","type":"article-journal","volume":"17"},"uris":["http://www.mendeley.com/documents/?uuid=746afc7c-7d7f-40c0-83b9-eaabe050cff6"]}],"mendeley":{"formattedCitation":"&lt;sup&gt;[230]&lt;/sup&gt;","plainTextFormattedCitation":"[230]","previouslyFormattedCitation":"&lt;sup&gt;[230]&lt;/sup&gt;"},"properties":{"noteIndex":0},"schema":"https://github.com/citation-style-language/schema/raw/master/csl-citation.json"}</w:instrText>
      </w:r>
      <w:r w:rsidRPr="003917FE">
        <w:fldChar w:fldCharType="separate"/>
      </w:r>
      <w:r w:rsidR="002659E5" w:rsidRPr="002659E5">
        <w:rPr>
          <w:noProof/>
          <w:vertAlign w:val="superscript"/>
        </w:rPr>
        <w:t>[230]</w:t>
      </w:r>
      <w:r w:rsidRPr="003917FE">
        <w:fldChar w:fldCharType="end"/>
      </w:r>
      <w:r>
        <w:t xml:space="preserve"> is very delicate as it can easily precipitate in the presence of carbon dioxide (CO</w:t>
      </w:r>
      <w:r w:rsidRPr="003917FE">
        <w:rPr>
          <w:vertAlign w:val="subscript"/>
        </w:rPr>
        <w:t>2</w:t>
      </w:r>
      <w:r>
        <w:t>). It is therefore necessary to diminish contact with the CO</w:t>
      </w:r>
      <w:r w:rsidRPr="003917FE">
        <w:rPr>
          <w:vertAlign w:val="subscript"/>
        </w:rPr>
        <w:t>2</w:t>
      </w:r>
      <w:r>
        <w:t xml:space="preserve"> from both the air and the dH</w:t>
      </w:r>
      <w:r w:rsidRPr="003917FE">
        <w:rPr>
          <w:vertAlign w:val="subscript"/>
        </w:rPr>
        <w:t>2</w:t>
      </w:r>
      <w:r>
        <w:t>O used. CO</w:t>
      </w:r>
      <w:r w:rsidRPr="003917FE">
        <w:rPr>
          <w:vertAlign w:val="subscript"/>
        </w:rPr>
        <w:t>2</w:t>
      </w:r>
      <w:r>
        <w:t>-free water was made by either degassing dH</w:t>
      </w:r>
      <w:r w:rsidRPr="003917FE">
        <w:rPr>
          <w:vertAlign w:val="subscript"/>
        </w:rPr>
        <w:t>2</w:t>
      </w:r>
      <w:r>
        <w:t>O with a vacuum or by boiling. If the latter was used, it was left to cool down to room temperature in an air-tight container</w:t>
      </w:r>
      <w:r>
        <w:fldChar w:fldCharType="begin" w:fldLock="1"/>
      </w:r>
      <w:r w:rsidR="0058736C">
        <w:instrText>ADDIN CSL_CITATION {"citationItems":[{"id":"ITEM-1","itemData":{"abstract":"Since the contrast in the electron microscope depends primarily on the differences in the electron density of the organic molecules in the cell, the efficiency of a stain is determined by the atomic weight of the stain attached to the biological structures. Consequently, the most widely used stains in electron microscopy are the heavy metals uranium and lead.","author":[{"dropping-particle":"","family":"Pandithage","given":"Ruwin","non-dropping-particle":"","parse-names":false,"suffix":""}],"id":"ITEM-1","issued":{"date-parts":[["2013"]]},"title":"Brief Introduction to Contrasting for EM Sample Preparation","type":"article-journal"},"uris":["http://www.mendeley.com/documents/?uuid=95598e7c-2bf7-4d3a-b3f7-d17896792f7d"]}],"mendeley":{"formattedCitation":"&lt;sup&gt;[231]&lt;/sup&gt;","plainTextFormattedCitation":"[231]","previouslyFormattedCitation":"&lt;sup&gt;[231]&lt;/sup&gt;"},"properties":{"noteIndex":0},"schema":"https://github.com/citation-style-language/schema/raw/master/csl-citation.json"}</w:instrText>
      </w:r>
      <w:r>
        <w:fldChar w:fldCharType="separate"/>
      </w:r>
      <w:r w:rsidR="002659E5" w:rsidRPr="002659E5">
        <w:rPr>
          <w:noProof/>
          <w:vertAlign w:val="superscript"/>
        </w:rPr>
        <w:t>[231]</w:t>
      </w:r>
      <w:r>
        <w:fldChar w:fldCharType="end"/>
      </w:r>
      <w:r>
        <w:t xml:space="preserve">. </w:t>
      </w:r>
    </w:p>
    <w:p w14:paraId="369F076C" w14:textId="589CBC93" w:rsidR="005D7494" w:rsidRDefault="005D7494" w:rsidP="005D7494">
      <w:r>
        <w:t>Both chemicals were combined in 2/3 of the volume of CO</w:t>
      </w:r>
      <w:r>
        <w:rPr>
          <w:vertAlign w:val="subscript"/>
        </w:rPr>
        <w:t>2</w:t>
      </w:r>
      <w:r>
        <w:t>-free dH</w:t>
      </w:r>
      <w:r>
        <w:rPr>
          <w:vertAlign w:val="subscript"/>
        </w:rPr>
        <w:t>2</w:t>
      </w:r>
      <w:r>
        <w:t>O and shaken vigorously for 1-2 min., and then intermittently for 30 min. The resulting cloudy solution clear</w:t>
      </w:r>
      <w:r w:rsidR="009114D2">
        <w:t>s</w:t>
      </w:r>
      <w:r>
        <w:t xml:space="preserve"> after adding ~5-7 drops of freshly prepared 1 M </w:t>
      </w:r>
      <w:r w:rsidR="00E435DF">
        <w:t>sodium hydroxide (</w:t>
      </w:r>
      <w:r w:rsidRPr="005B0F81">
        <w:t>NaOH</w:t>
      </w:r>
      <w:r w:rsidR="00E435DF">
        <w:t>)</w:t>
      </w:r>
      <w:r w:rsidRPr="005B0F81">
        <w:t xml:space="preserve"> </w:t>
      </w:r>
      <w:r>
        <w:t xml:space="preserve">made with </w:t>
      </w:r>
      <w:r w:rsidRPr="00C771A1">
        <w:t>CO</w:t>
      </w:r>
      <w:r w:rsidRPr="00C771A1">
        <w:rPr>
          <w:vertAlign w:val="subscript"/>
        </w:rPr>
        <w:t>2</w:t>
      </w:r>
      <w:r>
        <w:t>-free water; inverted slowly. Finally, the</w:t>
      </w:r>
      <w:r w:rsidRPr="005B0F81">
        <w:t xml:space="preserve"> pH was adjusted </w:t>
      </w:r>
      <w:r>
        <w:t xml:space="preserve">to 12.0 </w:t>
      </w:r>
      <w:r w:rsidRPr="005B0F81">
        <w:t xml:space="preserve">with </w:t>
      </w:r>
      <w:r>
        <w:t xml:space="preserve">the same carbonated-free </w:t>
      </w:r>
      <w:r w:rsidRPr="005B0F81">
        <w:t>NaOH</w:t>
      </w:r>
      <w:r>
        <w:t xml:space="preserve">. </w:t>
      </w:r>
      <w:r w:rsidRPr="005C68D8">
        <w:t>This</w:t>
      </w:r>
      <w:r>
        <w:t xml:space="preserve"> was done with extreme care, as this stain can easily precipitate with a variation in the pH of more than 0.1.</w:t>
      </w:r>
      <w:r w:rsidRPr="005B0F81">
        <w:t xml:space="preserve"> </w:t>
      </w:r>
      <w:r>
        <w:t xml:space="preserve">The solution was taken to its final volume by adding the remaining </w:t>
      </w:r>
      <w:r w:rsidRPr="005C68D8">
        <w:t>CO</w:t>
      </w:r>
      <w:r w:rsidRPr="005C68D8">
        <w:rPr>
          <w:vertAlign w:val="subscript"/>
        </w:rPr>
        <w:t>2</w:t>
      </w:r>
      <w:r>
        <w:t>-free dH</w:t>
      </w:r>
      <w:r w:rsidRPr="005C68D8">
        <w:rPr>
          <w:vertAlign w:val="subscript"/>
        </w:rPr>
        <w:t>2</w:t>
      </w:r>
      <w:r>
        <w:t xml:space="preserve">O. </w:t>
      </w:r>
      <w:r w:rsidRPr="005B0F81">
        <w:t xml:space="preserve">Stored </w:t>
      </w:r>
      <w:r>
        <w:t xml:space="preserve">in the dark </w:t>
      </w:r>
      <w:r w:rsidRPr="005B0F81">
        <w:t>at 4 </w:t>
      </w:r>
      <w:r w:rsidRPr="005B0F81">
        <w:rPr>
          <w:rFonts w:ascii="Calibri" w:hAnsi="Calibri"/>
        </w:rPr>
        <w:t>°</w:t>
      </w:r>
      <w:r w:rsidRPr="005B0F81">
        <w:t>C</w:t>
      </w:r>
      <w:r>
        <w:t xml:space="preserve"> for about 1 month or until precipitation appeared</w:t>
      </w:r>
      <w:r w:rsidRPr="005B0F81">
        <w:t>.</w:t>
      </w:r>
    </w:p>
    <w:p w14:paraId="7B1DD754" w14:textId="3DE51A36" w:rsidR="00B8365D" w:rsidRDefault="001A14BA" w:rsidP="00B8365D">
      <w:pPr>
        <w:pStyle w:val="Heading3"/>
      </w:pPr>
      <w:bookmarkStart w:id="304" w:name="_Ref79696979"/>
      <w:bookmarkStart w:id="305" w:name="_Toc90216791"/>
      <w:r>
        <w:lastRenderedPageBreak/>
        <w:t xml:space="preserve">3 % </w:t>
      </w:r>
      <w:r w:rsidR="00551932">
        <w:t xml:space="preserve">(w/v) </w:t>
      </w:r>
      <w:r w:rsidR="004B1092">
        <w:t>aqueous u</w:t>
      </w:r>
      <w:r w:rsidR="00B8365D">
        <w:t>ranyl acetate</w:t>
      </w:r>
      <w:bookmarkEnd w:id="304"/>
      <w:r w:rsidR="007006CC">
        <w:t>.</w:t>
      </w:r>
      <w:bookmarkEnd w:id="30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4"/>
        <w:gridCol w:w="4094"/>
      </w:tblGrid>
      <w:tr w:rsidR="001A14BA" w:rsidRPr="00D50367" w14:paraId="6E0DC5D6" w14:textId="77777777" w:rsidTr="00793AB9">
        <w:tc>
          <w:tcPr>
            <w:tcW w:w="4094" w:type="dxa"/>
          </w:tcPr>
          <w:p w14:paraId="3B339FD9" w14:textId="174B5433" w:rsidR="001A14BA" w:rsidRPr="00D50367" w:rsidRDefault="001A14BA" w:rsidP="00FA5681">
            <w:pPr>
              <w:pStyle w:val="Tabletextnormal"/>
            </w:pPr>
            <w:r w:rsidRPr="00D50367">
              <w:t>Uranyl acetate</w:t>
            </w:r>
            <w:r w:rsidR="00793AB9" w:rsidRPr="00D50367">
              <w:t xml:space="preserve"> (</w:t>
            </w:r>
            <w:r w:rsidR="001D02FB" w:rsidRPr="00D50367">
              <w:t>Polysciences inc.</w:t>
            </w:r>
            <w:r w:rsidR="00793AB9" w:rsidRPr="00D50367">
              <w:t>)</w:t>
            </w:r>
          </w:p>
        </w:tc>
        <w:tc>
          <w:tcPr>
            <w:tcW w:w="4094" w:type="dxa"/>
          </w:tcPr>
          <w:p w14:paraId="46881801" w14:textId="553EF036" w:rsidR="001A14BA" w:rsidRPr="00D50367" w:rsidRDefault="001A14BA" w:rsidP="00FA5681">
            <w:pPr>
              <w:pStyle w:val="Tabletextnormal"/>
            </w:pPr>
            <w:r w:rsidRPr="00D50367">
              <w:t>3 % (w/v)</w:t>
            </w:r>
          </w:p>
        </w:tc>
      </w:tr>
    </w:tbl>
    <w:p w14:paraId="1678C577" w14:textId="22021150" w:rsidR="00C771A1" w:rsidRPr="00FF5A2E" w:rsidRDefault="00B35783" w:rsidP="002D7981">
      <w:r>
        <w:t xml:space="preserve">Aqueous </w:t>
      </w:r>
      <w:r w:rsidR="00746A23">
        <w:t>uranyl acetate (</w:t>
      </w:r>
      <w:r>
        <w:t>UA</w:t>
      </w:r>
      <w:r w:rsidR="00746A23">
        <w:t>)</w:t>
      </w:r>
      <w:r>
        <w:t xml:space="preserve"> was made with</w:t>
      </w:r>
      <w:r w:rsidR="00746A23">
        <w:t xml:space="preserve"> </w:t>
      </w:r>
      <w:r w:rsidR="00F968FC">
        <w:t>CO</w:t>
      </w:r>
      <w:r w:rsidR="00F968FC">
        <w:rPr>
          <w:vertAlign w:val="subscript"/>
        </w:rPr>
        <w:t>2</w:t>
      </w:r>
      <w:r w:rsidR="00F968FC">
        <w:t>-free</w:t>
      </w:r>
      <w:r>
        <w:t xml:space="preserve"> dH</w:t>
      </w:r>
      <w:r w:rsidRPr="00C01E58">
        <w:rPr>
          <w:vertAlign w:val="subscript"/>
        </w:rPr>
        <w:t>2</w:t>
      </w:r>
      <w:r>
        <w:t xml:space="preserve">O. </w:t>
      </w:r>
      <w:r w:rsidR="008F1BE7">
        <w:t xml:space="preserve">UA is radioactive and toxic, therefore, all glassware or plasticware was decontaminated before disposal. </w:t>
      </w:r>
      <w:r>
        <w:t xml:space="preserve">A dilution of 3 % </w:t>
      </w:r>
      <w:r w:rsidR="009114D2">
        <w:t xml:space="preserve">(w/v) UA </w:t>
      </w:r>
      <w:r>
        <w:t>has a pH &gt;</w:t>
      </w:r>
      <w:r w:rsidR="000A1F9A">
        <w:t> </w:t>
      </w:r>
      <w:r>
        <w:t>4.9, and it is very sensitive to light. If not careful, exposure to light and an old stain can result in precipitation of uranium hydroxide and tetravalent uranium hydroxide</w:t>
      </w:r>
      <w:r w:rsidR="00E33DDB">
        <w:fldChar w:fldCharType="begin" w:fldLock="1"/>
      </w:r>
      <w:r w:rsidR="0058736C">
        <w:instrText>ADDIN CSL_CITATION {"citationItems":[{"id":"ITEM-1","itemData":{"abstract":"Since the contrast in the electron microscope depends primarily on the differences in the electron density of the organic molecules in the cell, the efficiency of a stain is determined by the atomic weight of the stain attached to the biological structures. Consequently, the most widely used stains in electron microscopy are the heavy metals uranium and lead.","author":[{"dropping-particle":"","family":"Pandithage","given":"Ruwin","non-dropping-particle":"","parse-names":false,"suffix":""}],"id":"ITEM-1","issued":{"date-parts":[["2013"]]},"title":"Brief Introduction to Contrasting for EM Sample Preparation","type":"article-journal"},"uris":["http://www.mendeley.com/documents/?uuid=95598e7c-2bf7-4d3a-b3f7-d17896792f7d"]}],"mendeley":{"formattedCitation":"&lt;sup&gt;[231]&lt;/sup&gt;","plainTextFormattedCitation":"[231]","previouslyFormattedCitation":"&lt;sup&gt;[231]&lt;/sup&gt;"},"properties":{"noteIndex":0},"schema":"https://github.com/citation-style-language/schema/raw/master/csl-citation.json"}</w:instrText>
      </w:r>
      <w:r w:rsidR="00E33DDB">
        <w:fldChar w:fldCharType="separate"/>
      </w:r>
      <w:r w:rsidR="002659E5" w:rsidRPr="002659E5">
        <w:rPr>
          <w:noProof/>
          <w:vertAlign w:val="superscript"/>
        </w:rPr>
        <w:t>[231]</w:t>
      </w:r>
      <w:r w:rsidR="00E33DDB">
        <w:fldChar w:fldCharType="end"/>
      </w:r>
      <w:r>
        <w:t>. Stored in the dark at 4 </w:t>
      </w:r>
      <w:r>
        <w:rPr>
          <w:rFonts w:ascii="Calibri" w:hAnsi="Calibri"/>
        </w:rPr>
        <w:t>°</w:t>
      </w:r>
      <w:r>
        <w:t>C and replaced every 4-6 months</w:t>
      </w:r>
      <w:r w:rsidR="00E90C1D">
        <w:t>, or at the earliest signs of precipitation.</w:t>
      </w:r>
    </w:p>
    <w:p w14:paraId="581428BD" w14:textId="192B65C8" w:rsidR="004B0C7E" w:rsidRDefault="004B0C7E" w:rsidP="004B0C7E">
      <w:pPr>
        <w:pStyle w:val="Heading2"/>
      </w:pPr>
      <w:bookmarkStart w:id="306" w:name="_Ref68879829"/>
      <w:bookmarkStart w:id="307" w:name="_Toc90216792"/>
      <w:r w:rsidRPr="005B0F81">
        <w:t>Antibiotics</w:t>
      </w:r>
      <w:bookmarkEnd w:id="299"/>
      <w:bookmarkEnd w:id="300"/>
      <w:bookmarkEnd w:id="301"/>
      <w:bookmarkEnd w:id="306"/>
      <w:r w:rsidR="007006CC">
        <w:t>.</w:t>
      </w:r>
      <w:bookmarkEnd w:id="307"/>
    </w:p>
    <w:p w14:paraId="6DDE209B" w14:textId="0EE2D1F7" w:rsidR="00944497" w:rsidRDefault="000C08B1" w:rsidP="00F8234C">
      <w:r>
        <w:fldChar w:fldCharType="begin"/>
      </w:r>
      <w:r>
        <w:instrText xml:space="preserve"> REF _Ref64275196 \h </w:instrText>
      </w:r>
      <w:r>
        <w:fldChar w:fldCharType="separate"/>
      </w:r>
      <w:r w:rsidR="00183CC8">
        <w:t xml:space="preserve">Table </w:t>
      </w:r>
      <w:r w:rsidR="00183CC8">
        <w:rPr>
          <w:noProof/>
        </w:rPr>
        <w:t>2</w:t>
      </w:r>
      <w:r w:rsidR="00183CC8">
        <w:t>.</w:t>
      </w:r>
      <w:r w:rsidR="00183CC8">
        <w:rPr>
          <w:noProof/>
        </w:rPr>
        <w:t>2</w:t>
      </w:r>
      <w:r>
        <w:fldChar w:fldCharType="end"/>
      </w:r>
      <w:r>
        <w:t xml:space="preserve"> </w:t>
      </w:r>
      <w:r w:rsidR="002A7EF5">
        <w:t>shows</w:t>
      </w:r>
      <w:r w:rsidR="00F8234C" w:rsidRPr="00F8234C">
        <w:t xml:space="preserve"> the list of antibiotics used in this study. All stock concentrations were sterilised with a 0.2</w:t>
      </w:r>
      <w:r>
        <w:t> </w:t>
      </w:r>
      <w:r w:rsidR="00F8234C" w:rsidRPr="00F8234C">
        <w:t>µm pore filter</w:t>
      </w:r>
      <w:r w:rsidR="00D71AFD">
        <w:t xml:space="preserve"> (Merck)</w:t>
      </w:r>
      <w:r w:rsidR="00F8234C" w:rsidRPr="00F8234C">
        <w:t xml:space="preserve"> and stored at </w:t>
      </w:r>
      <w:r w:rsidR="00BF5BC1">
        <w:t>– </w:t>
      </w:r>
      <w:r w:rsidR="00F8234C" w:rsidRPr="00F8234C">
        <w:t xml:space="preserve">20 °C. Antibiotics were </w:t>
      </w:r>
      <w:r>
        <w:t xml:space="preserve">thawed and </w:t>
      </w:r>
      <w:r w:rsidR="00F8234C" w:rsidRPr="00F8234C">
        <w:t>added to agar plates</w:t>
      </w:r>
      <w:r>
        <w:t xml:space="preserve"> when needed,</w:t>
      </w:r>
      <w:r w:rsidR="00F8234C" w:rsidRPr="00F8234C">
        <w:t xml:space="preserve"> once the autoclaved media cooled </w:t>
      </w:r>
      <w:r>
        <w:t xml:space="preserve">down </w:t>
      </w:r>
      <w:r w:rsidR="00F8234C" w:rsidRPr="00F8234C">
        <w:t xml:space="preserve">below 55 °C. For liquid, they were added at the time of use </w:t>
      </w:r>
      <w:r w:rsidR="00651F74">
        <w:t>to pre-warmed</w:t>
      </w:r>
      <w:r w:rsidR="00F8234C" w:rsidRPr="00F8234C">
        <w:t xml:space="preserve"> growth media at 37 °C.</w:t>
      </w:r>
    </w:p>
    <w:tbl>
      <w:tblPr>
        <w:tblStyle w:val="GridTable1Light"/>
        <w:tblW w:w="0" w:type="auto"/>
        <w:tblLook w:val="04A0" w:firstRow="1" w:lastRow="0" w:firstColumn="1" w:lastColumn="0" w:noHBand="0" w:noVBand="1"/>
      </w:tblPr>
      <w:tblGrid>
        <w:gridCol w:w="2263"/>
        <w:gridCol w:w="2415"/>
        <w:gridCol w:w="2956"/>
        <w:gridCol w:w="1768"/>
      </w:tblGrid>
      <w:tr w:rsidR="00F8234C" w:rsidRPr="00F7476A" w14:paraId="28767193" w14:textId="77777777" w:rsidTr="002E1F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bottom w:val="double" w:sz="4" w:space="0" w:color="auto"/>
            </w:tcBorders>
            <w:vAlign w:val="center"/>
          </w:tcPr>
          <w:p w14:paraId="50713A3C" w14:textId="77777777" w:rsidR="00F8234C" w:rsidRPr="00F7476A" w:rsidRDefault="00F8234C" w:rsidP="00F82AD7">
            <w:pPr>
              <w:pStyle w:val="Tabletextnormal"/>
              <w:jc w:val="center"/>
              <w:rPr>
                <w:szCs w:val="22"/>
              </w:rPr>
            </w:pPr>
            <w:r w:rsidRPr="00F7476A">
              <w:rPr>
                <w:szCs w:val="22"/>
              </w:rPr>
              <w:t>Antibiotic</w:t>
            </w:r>
          </w:p>
        </w:tc>
        <w:tc>
          <w:tcPr>
            <w:tcW w:w="2415" w:type="dxa"/>
            <w:tcBorders>
              <w:bottom w:val="double" w:sz="4" w:space="0" w:color="auto"/>
            </w:tcBorders>
            <w:vAlign w:val="center"/>
          </w:tcPr>
          <w:p w14:paraId="22D3EEBC" w14:textId="77777777" w:rsidR="00F8234C" w:rsidRPr="00F7476A" w:rsidRDefault="00F8234C" w:rsidP="00F82AD7">
            <w:pPr>
              <w:pStyle w:val="Tabletextnormal"/>
              <w:jc w:val="center"/>
              <w:cnfStyle w:val="100000000000" w:firstRow="1" w:lastRow="0" w:firstColumn="0" w:lastColumn="0" w:oddVBand="0" w:evenVBand="0" w:oddHBand="0" w:evenHBand="0" w:firstRowFirstColumn="0" w:firstRowLastColumn="0" w:lastRowFirstColumn="0" w:lastRowLastColumn="0"/>
              <w:rPr>
                <w:szCs w:val="22"/>
              </w:rPr>
            </w:pPr>
            <w:r w:rsidRPr="00F7476A">
              <w:rPr>
                <w:szCs w:val="22"/>
              </w:rPr>
              <w:t>Stock Concentration (mg/ml)</w:t>
            </w:r>
          </w:p>
        </w:tc>
        <w:tc>
          <w:tcPr>
            <w:tcW w:w="0" w:type="auto"/>
            <w:tcBorders>
              <w:bottom w:val="double" w:sz="4" w:space="0" w:color="auto"/>
            </w:tcBorders>
            <w:vAlign w:val="center"/>
          </w:tcPr>
          <w:p w14:paraId="377A5B18" w14:textId="77777777" w:rsidR="00F8234C" w:rsidRPr="00F7476A" w:rsidRDefault="00F8234C" w:rsidP="00F82AD7">
            <w:pPr>
              <w:pStyle w:val="Tabletextnormal"/>
              <w:jc w:val="center"/>
              <w:cnfStyle w:val="100000000000" w:firstRow="1" w:lastRow="0" w:firstColumn="0" w:lastColumn="0" w:oddVBand="0" w:evenVBand="0" w:oddHBand="0" w:evenHBand="0" w:firstRowFirstColumn="0" w:firstRowLastColumn="0" w:lastRowFirstColumn="0" w:lastRowLastColumn="0"/>
              <w:rPr>
                <w:szCs w:val="22"/>
              </w:rPr>
            </w:pPr>
            <w:r w:rsidRPr="00F7476A">
              <w:rPr>
                <w:szCs w:val="22"/>
              </w:rPr>
              <w:t>Working Concentration (µg/ml)</w:t>
            </w:r>
          </w:p>
        </w:tc>
        <w:tc>
          <w:tcPr>
            <w:tcW w:w="0" w:type="auto"/>
            <w:tcBorders>
              <w:bottom w:val="double" w:sz="4" w:space="0" w:color="auto"/>
            </w:tcBorders>
            <w:vAlign w:val="center"/>
          </w:tcPr>
          <w:p w14:paraId="6C05756B" w14:textId="77777777" w:rsidR="00F8234C" w:rsidRPr="00F7476A" w:rsidRDefault="00F8234C" w:rsidP="00F82AD7">
            <w:pPr>
              <w:pStyle w:val="Tabletextnormal"/>
              <w:jc w:val="center"/>
              <w:cnfStyle w:val="100000000000" w:firstRow="1" w:lastRow="0" w:firstColumn="0" w:lastColumn="0" w:oddVBand="0" w:evenVBand="0" w:oddHBand="0" w:evenHBand="0" w:firstRowFirstColumn="0" w:firstRowLastColumn="0" w:lastRowFirstColumn="0" w:lastRowLastColumn="0"/>
              <w:rPr>
                <w:szCs w:val="22"/>
              </w:rPr>
            </w:pPr>
            <w:r w:rsidRPr="00F7476A">
              <w:rPr>
                <w:szCs w:val="22"/>
              </w:rPr>
              <w:t>Solvent</w:t>
            </w:r>
          </w:p>
        </w:tc>
      </w:tr>
      <w:tr w:rsidR="00F8234C" w:rsidRPr="00F7476A" w14:paraId="11CA4631" w14:textId="77777777" w:rsidTr="002E1F7D">
        <w:tc>
          <w:tcPr>
            <w:cnfStyle w:val="001000000000" w:firstRow="0" w:lastRow="0" w:firstColumn="1" w:lastColumn="0" w:oddVBand="0" w:evenVBand="0" w:oddHBand="0" w:evenHBand="0" w:firstRowFirstColumn="0" w:firstRowLastColumn="0" w:lastRowFirstColumn="0" w:lastRowLastColumn="0"/>
            <w:tcW w:w="2263" w:type="dxa"/>
            <w:tcBorders>
              <w:top w:val="double" w:sz="4" w:space="0" w:color="auto"/>
            </w:tcBorders>
          </w:tcPr>
          <w:p w14:paraId="62EFD6DD" w14:textId="77777777" w:rsidR="00F8234C" w:rsidRPr="00F7476A" w:rsidRDefault="00F8234C" w:rsidP="00956062">
            <w:pPr>
              <w:pStyle w:val="Tabletextnormal"/>
              <w:rPr>
                <w:szCs w:val="22"/>
              </w:rPr>
            </w:pPr>
            <w:r w:rsidRPr="00F7476A">
              <w:rPr>
                <w:szCs w:val="22"/>
              </w:rPr>
              <w:t>Erythromycin (Ery)</w:t>
            </w:r>
          </w:p>
        </w:tc>
        <w:tc>
          <w:tcPr>
            <w:tcW w:w="2415" w:type="dxa"/>
            <w:tcBorders>
              <w:top w:val="double" w:sz="4" w:space="0" w:color="auto"/>
            </w:tcBorders>
          </w:tcPr>
          <w:p w14:paraId="2612BA8C" w14:textId="77777777" w:rsidR="00F8234C" w:rsidRPr="00F7476A" w:rsidRDefault="00F8234C" w:rsidP="00956062">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5</w:t>
            </w:r>
          </w:p>
        </w:tc>
        <w:tc>
          <w:tcPr>
            <w:tcW w:w="0" w:type="auto"/>
            <w:tcBorders>
              <w:top w:val="double" w:sz="4" w:space="0" w:color="auto"/>
            </w:tcBorders>
          </w:tcPr>
          <w:p w14:paraId="378B53AB" w14:textId="77777777" w:rsidR="00F8234C" w:rsidRPr="00F7476A" w:rsidRDefault="00F8234C" w:rsidP="00956062">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5</w:t>
            </w:r>
          </w:p>
        </w:tc>
        <w:tc>
          <w:tcPr>
            <w:tcW w:w="0" w:type="auto"/>
            <w:tcBorders>
              <w:top w:val="double" w:sz="4" w:space="0" w:color="auto"/>
            </w:tcBorders>
          </w:tcPr>
          <w:p w14:paraId="7715938B" w14:textId="4F34388C" w:rsidR="00F8234C" w:rsidRPr="00F7476A" w:rsidRDefault="009B5DC2" w:rsidP="00956062">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ethanol</w:t>
            </w:r>
          </w:p>
        </w:tc>
      </w:tr>
      <w:tr w:rsidR="00F8234C" w:rsidRPr="00F7476A" w14:paraId="7EA6FBDC" w14:textId="77777777" w:rsidTr="002E1F7D">
        <w:tc>
          <w:tcPr>
            <w:cnfStyle w:val="001000000000" w:firstRow="0" w:lastRow="0" w:firstColumn="1" w:lastColumn="0" w:oddVBand="0" w:evenVBand="0" w:oddHBand="0" w:evenHBand="0" w:firstRowFirstColumn="0" w:firstRowLastColumn="0" w:lastRowFirstColumn="0" w:lastRowLastColumn="0"/>
            <w:tcW w:w="2263" w:type="dxa"/>
          </w:tcPr>
          <w:p w14:paraId="17F381AC" w14:textId="77777777" w:rsidR="00F8234C" w:rsidRPr="00F7476A" w:rsidRDefault="00F8234C" w:rsidP="00956062">
            <w:pPr>
              <w:pStyle w:val="Tabletextnormal"/>
              <w:rPr>
                <w:szCs w:val="22"/>
              </w:rPr>
            </w:pPr>
            <w:r w:rsidRPr="00F7476A">
              <w:rPr>
                <w:szCs w:val="22"/>
              </w:rPr>
              <w:t>Lincomycin (Lin)</w:t>
            </w:r>
          </w:p>
        </w:tc>
        <w:tc>
          <w:tcPr>
            <w:tcW w:w="2415" w:type="dxa"/>
          </w:tcPr>
          <w:p w14:paraId="73C25BFA" w14:textId="77777777" w:rsidR="00F8234C" w:rsidRPr="00F7476A" w:rsidRDefault="00F8234C" w:rsidP="00956062">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25</w:t>
            </w:r>
          </w:p>
        </w:tc>
        <w:tc>
          <w:tcPr>
            <w:tcW w:w="0" w:type="auto"/>
          </w:tcPr>
          <w:p w14:paraId="024F8461" w14:textId="77777777" w:rsidR="00F8234C" w:rsidRPr="00F7476A" w:rsidRDefault="00F8234C" w:rsidP="00956062">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25</w:t>
            </w:r>
          </w:p>
        </w:tc>
        <w:tc>
          <w:tcPr>
            <w:tcW w:w="0" w:type="auto"/>
          </w:tcPr>
          <w:p w14:paraId="3F9628C6" w14:textId="483B24D7" w:rsidR="00F8234C" w:rsidRPr="00F7476A" w:rsidRDefault="00F8234C" w:rsidP="00956062">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50 % (v/v) ethanol</w:t>
            </w:r>
          </w:p>
        </w:tc>
      </w:tr>
      <w:tr w:rsidR="000A0FF5" w:rsidRPr="00F7476A" w14:paraId="52073027" w14:textId="77777777" w:rsidTr="002E1F7D">
        <w:tc>
          <w:tcPr>
            <w:cnfStyle w:val="001000000000" w:firstRow="0" w:lastRow="0" w:firstColumn="1" w:lastColumn="0" w:oddVBand="0" w:evenVBand="0" w:oddHBand="0" w:evenHBand="0" w:firstRowFirstColumn="0" w:firstRowLastColumn="0" w:lastRowFirstColumn="0" w:lastRowLastColumn="0"/>
            <w:tcW w:w="2263" w:type="dxa"/>
          </w:tcPr>
          <w:p w14:paraId="69106C49" w14:textId="3D9D0380" w:rsidR="000A0FF5" w:rsidRPr="00F7476A" w:rsidRDefault="000A0FF5" w:rsidP="000A0FF5">
            <w:pPr>
              <w:pStyle w:val="Tabletextnormal"/>
            </w:pPr>
            <w:r>
              <w:t>Chloramphenicol (Cm)</w:t>
            </w:r>
          </w:p>
        </w:tc>
        <w:tc>
          <w:tcPr>
            <w:tcW w:w="2415" w:type="dxa"/>
          </w:tcPr>
          <w:p w14:paraId="361725AE" w14:textId="3599CE43"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pPr>
            <w:r>
              <w:t>10</w:t>
            </w:r>
          </w:p>
        </w:tc>
        <w:tc>
          <w:tcPr>
            <w:tcW w:w="0" w:type="auto"/>
          </w:tcPr>
          <w:p w14:paraId="310D5309" w14:textId="512E62C6"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pPr>
            <w:r>
              <w:t>5</w:t>
            </w:r>
          </w:p>
        </w:tc>
        <w:tc>
          <w:tcPr>
            <w:tcW w:w="0" w:type="auto"/>
          </w:tcPr>
          <w:p w14:paraId="67375D67" w14:textId="045327F7" w:rsidR="000A0FF5" w:rsidRPr="00F7476A" w:rsidRDefault="002E1F7D" w:rsidP="000A0FF5">
            <w:pPr>
              <w:pStyle w:val="Tabletextnormal"/>
              <w:cnfStyle w:val="000000000000" w:firstRow="0" w:lastRow="0" w:firstColumn="0" w:lastColumn="0" w:oddVBand="0" w:evenVBand="0" w:oddHBand="0" w:evenHBand="0" w:firstRowFirstColumn="0" w:firstRowLastColumn="0" w:lastRowFirstColumn="0" w:lastRowLastColumn="0"/>
            </w:pPr>
            <w:r w:rsidRPr="00F7476A">
              <w:rPr>
                <w:szCs w:val="22"/>
              </w:rPr>
              <w:t>ethanol</w:t>
            </w:r>
          </w:p>
        </w:tc>
      </w:tr>
      <w:tr w:rsidR="000A0FF5" w:rsidRPr="00F7476A" w14:paraId="000AECE2" w14:textId="77777777" w:rsidTr="002E1F7D">
        <w:tc>
          <w:tcPr>
            <w:cnfStyle w:val="001000000000" w:firstRow="0" w:lastRow="0" w:firstColumn="1" w:lastColumn="0" w:oddVBand="0" w:evenVBand="0" w:oddHBand="0" w:evenHBand="0" w:firstRowFirstColumn="0" w:firstRowLastColumn="0" w:lastRowFirstColumn="0" w:lastRowLastColumn="0"/>
            <w:tcW w:w="2263" w:type="dxa"/>
          </w:tcPr>
          <w:p w14:paraId="018E9BC8" w14:textId="26DEECC7" w:rsidR="000A0FF5" w:rsidRPr="00F7476A" w:rsidRDefault="000A0FF5" w:rsidP="000A0FF5">
            <w:pPr>
              <w:pStyle w:val="Tabletextnormal"/>
            </w:pPr>
            <w:r>
              <w:t>Neomycin (Neo)</w:t>
            </w:r>
          </w:p>
        </w:tc>
        <w:tc>
          <w:tcPr>
            <w:tcW w:w="2415" w:type="dxa"/>
          </w:tcPr>
          <w:p w14:paraId="56FAEE51" w14:textId="7C96A0F7"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pPr>
            <w:r>
              <w:t>50</w:t>
            </w:r>
          </w:p>
        </w:tc>
        <w:tc>
          <w:tcPr>
            <w:tcW w:w="0" w:type="auto"/>
          </w:tcPr>
          <w:p w14:paraId="73958F23" w14:textId="64D8D66C"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pPr>
            <w:r>
              <w:t>25</w:t>
            </w:r>
          </w:p>
        </w:tc>
        <w:tc>
          <w:tcPr>
            <w:tcW w:w="0" w:type="auto"/>
          </w:tcPr>
          <w:p w14:paraId="4BA124BB" w14:textId="595A0151"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pPr>
            <w:r w:rsidRPr="00F7476A">
              <w:rPr>
                <w:szCs w:val="22"/>
              </w:rPr>
              <w:t>dH</w:t>
            </w:r>
            <w:r w:rsidRPr="00F7476A">
              <w:rPr>
                <w:szCs w:val="22"/>
                <w:vertAlign w:val="subscript"/>
              </w:rPr>
              <w:t>2</w:t>
            </w:r>
            <w:r w:rsidRPr="00F7476A">
              <w:rPr>
                <w:szCs w:val="22"/>
              </w:rPr>
              <w:t>O</w:t>
            </w:r>
          </w:p>
        </w:tc>
      </w:tr>
      <w:tr w:rsidR="000A0FF5" w:rsidRPr="00F7476A" w14:paraId="0F08D06F" w14:textId="77777777" w:rsidTr="002E1F7D">
        <w:tc>
          <w:tcPr>
            <w:cnfStyle w:val="001000000000" w:firstRow="0" w:lastRow="0" w:firstColumn="1" w:lastColumn="0" w:oddVBand="0" w:evenVBand="0" w:oddHBand="0" w:evenHBand="0" w:firstRowFirstColumn="0" w:firstRowLastColumn="0" w:lastRowFirstColumn="0" w:lastRowLastColumn="0"/>
            <w:tcW w:w="2263" w:type="dxa"/>
          </w:tcPr>
          <w:p w14:paraId="67192626" w14:textId="77777777" w:rsidR="000A0FF5" w:rsidRPr="00F7476A" w:rsidRDefault="000A0FF5" w:rsidP="000A0FF5">
            <w:pPr>
              <w:pStyle w:val="Tabletextnormal"/>
              <w:rPr>
                <w:szCs w:val="22"/>
              </w:rPr>
            </w:pPr>
            <w:r w:rsidRPr="00F7476A">
              <w:rPr>
                <w:szCs w:val="22"/>
              </w:rPr>
              <w:t>Kanamycin (Kan)</w:t>
            </w:r>
          </w:p>
        </w:tc>
        <w:tc>
          <w:tcPr>
            <w:tcW w:w="2415" w:type="dxa"/>
          </w:tcPr>
          <w:p w14:paraId="4AD96A21" w14:textId="77777777"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50</w:t>
            </w:r>
          </w:p>
        </w:tc>
        <w:tc>
          <w:tcPr>
            <w:tcW w:w="0" w:type="auto"/>
          </w:tcPr>
          <w:p w14:paraId="11C9442A" w14:textId="77777777"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50</w:t>
            </w:r>
          </w:p>
        </w:tc>
        <w:tc>
          <w:tcPr>
            <w:tcW w:w="0" w:type="auto"/>
          </w:tcPr>
          <w:p w14:paraId="7148C05E" w14:textId="77777777"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dH</w:t>
            </w:r>
            <w:r w:rsidRPr="00F7476A">
              <w:rPr>
                <w:szCs w:val="22"/>
                <w:vertAlign w:val="subscript"/>
              </w:rPr>
              <w:t>2</w:t>
            </w:r>
            <w:r w:rsidRPr="00F7476A">
              <w:rPr>
                <w:szCs w:val="22"/>
              </w:rPr>
              <w:t>O</w:t>
            </w:r>
          </w:p>
        </w:tc>
      </w:tr>
      <w:tr w:rsidR="000A0FF5" w:rsidRPr="00F7476A" w14:paraId="6B1AD319" w14:textId="77777777" w:rsidTr="002E1F7D">
        <w:tc>
          <w:tcPr>
            <w:cnfStyle w:val="001000000000" w:firstRow="0" w:lastRow="0" w:firstColumn="1" w:lastColumn="0" w:oddVBand="0" w:evenVBand="0" w:oddHBand="0" w:evenHBand="0" w:firstRowFirstColumn="0" w:firstRowLastColumn="0" w:lastRowFirstColumn="0" w:lastRowLastColumn="0"/>
            <w:tcW w:w="2263" w:type="dxa"/>
          </w:tcPr>
          <w:p w14:paraId="1D3B26BC" w14:textId="100B8935" w:rsidR="000A0FF5" w:rsidRPr="00F7476A" w:rsidRDefault="000A0FF5" w:rsidP="000A0FF5">
            <w:pPr>
              <w:pStyle w:val="Tabletextnormal"/>
              <w:rPr>
                <w:szCs w:val="22"/>
              </w:rPr>
            </w:pPr>
            <w:r w:rsidRPr="00F7476A">
              <w:rPr>
                <w:szCs w:val="22"/>
              </w:rPr>
              <w:t>Tetracycline (Tet)</w:t>
            </w:r>
          </w:p>
        </w:tc>
        <w:tc>
          <w:tcPr>
            <w:tcW w:w="2415" w:type="dxa"/>
          </w:tcPr>
          <w:p w14:paraId="0149BC3D" w14:textId="259B64A3"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5</w:t>
            </w:r>
          </w:p>
        </w:tc>
        <w:tc>
          <w:tcPr>
            <w:tcW w:w="0" w:type="auto"/>
          </w:tcPr>
          <w:p w14:paraId="04C71DA5" w14:textId="55708566"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5</w:t>
            </w:r>
          </w:p>
        </w:tc>
        <w:tc>
          <w:tcPr>
            <w:tcW w:w="0" w:type="auto"/>
          </w:tcPr>
          <w:p w14:paraId="65C9003B" w14:textId="2456E0A6"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50 % (v/v) ethanol</w:t>
            </w:r>
          </w:p>
        </w:tc>
      </w:tr>
      <w:tr w:rsidR="000A0FF5" w:rsidRPr="00F7476A" w14:paraId="7991D8B7" w14:textId="77777777" w:rsidTr="002E1F7D">
        <w:tc>
          <w:tcPr>
            <w:cnfStyle w:val="001000000000" w:firstRow="0" w:lastRow="0" w:firstColumn="1" w:lastColumn="0" w:oddVBand="0" w:evenVBand="0" w:oddHBand="0" w:evenHBand="0" w:firstRowFirstColumn="0" w:firstRowLastColumn="0" w:lastRowFirstColumn="0" w:lastRowLastColumn="0"/>
            <w:tcW w:w="2263" w:type="dxa"/>
          </w:tcPr>
          <w:p w14:paraId="6030F695" w14:textId="27CB7F1F" w:rsidR="000A0FF5" w:rsidRPr="00F7476A" w:rsidRDefault="000A0FF5" w:rsidP="000A0FF5">
            <w:pPr>
              <w:pStyle w:val="Tabletextnormal"/>
              <w:rPr>
                <w:szCs w:val="22"/>
              </w:rPr>
            </w:pPr>
            <w:r w:rsidRPr="00F7476A">
              <w:rPr>
                <w:szCs w:val="22"/>
              </w:rPr>
              <w:t>Methicillin</w:t>
            </w:r>
          </w:p>
        </w:tc>
        <w:tc>
          <w:tcPr>
            <w:tcW w:w="2415" w:type="dxa"/>
          </w:tcPr>
          <w:p w14:paraId="51709E2D" w14:textId="77777777"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10</w:t>
            </w:r>
          </w:p>
        </w:tc>
        <w:tc>
          <w:tcPr>
            <w:tcW w:w="0" w:type="auto"/>
          </w:tcPr>
          <w:p w14:paraId="6870FB56" w14:textId="7E408BC6"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40 (10X MIC)</w:t>
            </w:r>
          </w:p>
        </w:tc>
        <w:tc>
          <w:tcPr>
            <w:tcW w:w="0" w:type="auto"/>
          </w:tcPr>
          <w:p w14:paraId="51670E06" w14:textId="77777777"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dH</w:t>
            </w:r>
            <w:r w:rsidRPr="00F7476A">
              <w:rPr>
                <w:szCs w:val="22"/>
                <w:vertAlign w:val="subscript"/>
              </w:rPr>
              <w:t>2</w:t>
            </w:r>
            <w:r w:rsidRPr="00F7476A">
              <w:rPr>
                <w:szCs w:val="22"/>
              </w:rPr>
              <w:t>O</w:t>
            </w:r>
          </w:p>
        </w:tc>
      </w:tr>
      <w:tr w:rsidR="000A0FF5" w:rsidRPr="00F7476A" w14:paraId="6231368F" w14:textId="77777777" w:rsidTr="002E1F7D">
        <w:tc>
          <w:tcPr>
            <w:cnfStyle w:val="001000000000" w:firstRow="0" w:lastRow="0" w:firstColumn="1" w:lastColumn="0" w:oddVBand="0" w:evenVBand="0" w:oddHBand="0" w:evenHBand="0" w:firstRowFirstColumn="0" w:firstRowLastColumn="0" w:lastRowFirstColumn="0" w:lastRowLastColumn="0"/>
            <w:tcW w:w="2263" w:type="dxa"/>
          </w:tcPr>
          <w:p w14:paraId="6B33CAD5" w14:textId="2C65CE68" w:rsidR="000A0FF5" w:rsidRPr="00F7476A" w:rsidRDefault="000A0FF5" w:rsidP="000A0FF5">
            <w:pPr>
              <w:pStyle w:val="Tabletextnormal"/>
              <w:rPr>
                <w:szCs w:val="22"/>
              </w:rPr>
            </w:pPr>
            <w:r w:rsidRPr="00F7476A">
              <w:rPr>
                <w:szCs w:val="22"/>
              </w:rPr>
              <w:t>Oxacillin</w:t>
            </w:r>
          </w:p>
        </w:tc>
        <w:tc>
          <w:tcPr>
            <w:tcW w:w="2415" w:type="dxa"/>
          </w:tcPr>
          <w:p w14:paraId="3CF92C04" w14:textId="33FE3C4A"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1</w:t>
            </w:r>
          </w:p>
        </w:tc>
        <w:tc>
          <w:tcPr>
            <w:tcW w:w="0" w:type="auto"/>
          </w:tcPr>
          <w:p w14:paraId="3E1A58D0" w14:textId="1FDACAD2"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10 (10X MIC)</w:t>
            </w:r>
          </w:p>
        </w:tc>
        <w:tc>
          <w:tcPr>
            <w:tcW w:w="0" w:type="auto"/>
          </w:tcPr>
          <w:p w14:paraId="13CE08B8" w14:textId="77777777"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dH</w:t>
            </w:r>
            <w:r w:rsidRPr="00F7476A">
              <w:rPr>
                <w:szCs w:val="22"/>
                <w:vertAlign w:val="subscript"/>
              </w:rPr>
              <w:t>2</w:t>
            </w:r>
            <w:r w:rsidRPr="00F7476A">
              <w:rPr>
                <w:szCs w:val="22"/>
              </w:rPr>
              <w:t>O</w:t>
            </w:r>
          </w:p>
        </w:tc>
      </w:tr>
      <w:tr w:rsidR="000A0FF5" w:rsidRPr="00F7476A" w14:paraId="4C94CEA0" w14:textId="77777777" w:rsidTr="002E1F7D">
        <w:tc>
          <w:tcPr>
            <w:cnfStyle w:val="001000000000" w:firstRow="0" w:lastRow="0" w:firstColumn="1" w:lastColumn="0" w:oddVBand="0" w:evenVBand="0" w:oddHBand="0" w:evenHBand="0" w:firstRowFirstColumn="0" w:firstRowLastColumn="0" w:lastRowFirstColumn="0" w:lastRowLastColumn="0"/>
            <w:tcW w:w="2263" w:type="dxa"/>
          </w:tcPr>
          <w:p w14:paraId="1507033D" w14:textId="29E04569" w:rsidR="000A0FF5" w:rsidRPr="00F7476A" w:rsidRDefault="000A0FF5" w:rsidP="000A0FF5">
            <w:pPr>
              <w:pStyle w:val="Tabletextnormal"/>
              <w:rPr>
                <w:szCs w:val="22"/>
              </w:rPr>
            </w:pPr>
            <w:r w:rsidRPr="00F7476A">
              <w:rPr>
                <w:szCs w:val="22"/>
              </w:rPr>
              <w:t>Vancomycin</w:t>
            </w:r>
          </w:p>
        </w:tc>
        <w:tc>
          <w:tcPr>
            <w:tcW w:w="2415" w:type="dxa"/>
          </w:tcPr>
          <w:p w14:paraId="4913F53B" w14:textId="77777777"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10</w:t>
            </w:r>
          </w:p>
        </w:tc>
        <w:tc>
          <w:tcPr>
            <w:tcW w:w="0" w:type="auto"/>
          </w:tcPr>
          <w:p w14:paraId="1DB3A982" w14:textId="27A39F00"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40 (40X MIC)</w:t>
            </w:r>
          </w:p>
        </w:tc>
        <w:tc>
          <w:tcPr>
            <w:tcW w:w="0" w:type="auto"/>
          </w:tcPr>
          <w:p w14:paraId="107AA83C" w14:textId="77777777"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p>
        </w:tc>
      </w:tr>
      <w:tr w:rsidR="000A0FF5" w:rsidRPr="00F7476A" w14:paraId="213AD14D" w14:textId="77777777" w:rsidTr="002E1F7D">
        <w:tc>
          <w:tcPr>
            <w:cnfStyle w:val="001000000000" w:firstRow="0" w:lastRow="0" w:firstColumn="1" w:lastColumn="0" w:oddVBand="0" w:evenVBand="0" w:oddHBand="0" w:evenHBand="0" w:firstRowFirstColumn="0" w:firstRowLastColumn="0" w:lastRowFirstColumn="0" w:lastRowLastColumn="0"/>
            <w:tcW w:w="2263" w:type="dxa"/>
          </w:tcPr>
          <w:p w14:paraId="0C59EC1B" w14:textId="02D1D92F" w:rsidR="000A0FF5" w:rsidRPr="00F7476A" w:rsidRDefault="000A0FF5" w:rsidP="000A0FF5">
            <w:pPr>
              <w:pStyle w:val="Tabletextnormal"/>
              <w:rPr>
                <w:szCs w:val="22"/>
              </w:rPr>
            </w:pPr>
            <w:r w:rsidRPr="00F7476A">
              <w:rPr>
                <w:szCs w:val="22"/>
              </w:rPr>
              <w:t>Moenomycin</w:t>
            </w:r>
          </w:p>
        </w:tc>
        <w:tc>
          <w:tcPr>
            <w:tcW w:w="2415" w:type="dxa"/>
          </w:tcPr>
          <w:p w14:paraId="70C37D3B" w14:textId="77777777"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1</w:t>
            </w:r>
          </w:p>
        </w:tc>
        <w:tc>
          <w:tcPr>
            <w:tcW w:w="0" w:type="auto"/>
          </w:tcPr>
          <w:p w14:paraId="16A82DD5" w14:textId="4B178C21"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2 (10X MIC)</w:t>
            </w:r>
          </w:p>
        </w:tc>
        <w:tc>
          <w:tcPr>
            <w:tcW w:w="0" w:type="auto"/>
          </w:tcPr>
          <w:p w14:paraId="4CF2FF59" w14:textId="62412843"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DMSO</w:t>
            </w:r>
          </w:p>
        </w:tc>
      </w:tr>
      <w:tr w:rsidR="000A0FF5" w:rsidRPr="00F7476A" w14:paraId="75D41BF2" w14:textId="77777777" w:rsidTr="002E1F7D">
        <w:tc>
          <w:tcPr>
            <w:cnfStyle w:val="001000000000" w:firstRow="0" w:lastRow="0" w:firstColumn="1" w:lastColumn="0" w:oddVBand="0" w:evenVBand="0" w:oddHBand="0" w:evenHBand="0" w:firstRowFirstColumn="0" w:firstRowLastColumn="0" w:lastRowFirstColumn="0" w:lastRowLastColumn="0"/>
            <w:tcW w:w="2263" w:type="dxa"/>
          </w:tcPr>
          <w:p w14:paraId="687C33E3" w14:textId="19D0EFB5" w:rsidR="000A0FF5" w:rsidRPr="00F7476A" w:rsidRDefault="000A0FF5" w:rsidP="000A0FF5">
            <w:pPr>
              <w:pStyle w:val="Tabletextnormal"/>
              <w:rPr>
                <w:szCs w:val="22"/>
              </w:rPr>
            </w:pPr>
            <w:r w:rsidRPr="00F7476A">
              <w:rPr>
                <w:szCs w:val="22"/>
              </w:rPr>
              <w:t>Cerulenin</w:t>
            </w:r>
          </w:p>
        </w:tc>
        <w:tc>
          <w:tcPr>
            <w:tcW w:w="2415" w:type="dxa"/>
          </w:tcPr>
          <w:p w14:paraId="7FDF7F27" w14:textId="77777777"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20</w:t>
            </w:r>
          </w:p>
        </w:tc>
        <w:tc>
          <w:tcPr>
            <w:tcW w:w="0" w:type="auto"/>
          </w:tcPr>
          <w:p w14:paraId="3C1DE664" w14:textId="190CE5D2"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 xml:space="preserve">100 (1.3X MIC) </w:t>
            </w:r>
          </w:p>
        </w:tc>
        <w:tc>
          <w:tcPr>
            <w:tcW w:w="0" w:type="auto"/>
          </w:tcPr>
          <w:p w14:paraId="621C6178" w14:textId="514655CD"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ethanol</w:t>
            </w:r>
          </w:p>
        </w:tc>
      </w:tr>
      <w:tr w:rsidR="000A0FF5" w:rsidRPr="00F7476A" w14:paraId="54B40B16" w14:textId="77777777" w:rsidTr="002E1F7D">
        <w:tc>
          <w:tcPr>
            <w:cnfStyle w:val="001000000000" w:firstRow="0" w:lastRow="0" w:firstColumn="1" w:lastColumn="0" w:oddVBand="0" w:evenVBand="0" w:oddHBand="0" w:evenHBand="0" w:firstRowFirstColumn="0" w:firstRowLastColumn="0" w:lastRowFirstColumn="0" w:lastRowLastColumn="0"/>
            <w:tcW w:w="2263" w:type="dxa"/>
          </w:tcPr>
          <w:p w14:paraId="65410D92" w14:textId="51E32125" w:rsidR="000A0FF5" w:rsidRPr="00F7476A" w:rsidRDefault="000A0FF5" w:rsidP="000A0FF5">
            <w:pPr>
              <w:pStyle w:val="Tabletextnormal"/>
              <w:rPr>
                <w:szCs w:val="22"/>
              </w:rPr>
            </w:pPr>
            <w:r w:rsidRPr="00F7476A">
              <w:rPr>
                <w:szCs w:val="22"/>
              </w:rPr>
              <w:t>Tarocin</w:t>
            </w:r>
          </w:p>
        </w:tc>
        <w:tc>
          <w:tcPr>
            <w:tcW w:w="2415" w:type="dxa"/>
          </w:tcPr>
          <w:p w14:paraId="0BB28138" w14:textId="77777777"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5</w:t>
            </w:r>
          </w:p>
        </w:tc>
        <w:tc>
          <w:tcPr>
            <w:tcW w:w="0" w:type="auto"/>
          </w:tcPr>
          <w:p w14:paraId="5A13F964" w14:textId="18B30DFD"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2.5</w:t>
            </w:r>
          </w:p>
        </w:tc>
        <w:tc>
          <w:tcPr>
            <w:tcW w:w="0" w:type="auto"/>
          </w:tcPr>
          <w:p w14:paraId="4B534612" w14:textId="77777777"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DMSO</w:t>
            </w:r>
          </w:p>
        </w:tc>
      </w:tr>
      <w:tr w:rsidR="000A0FF5" w:rsidRPr="00F7476A" w14:paraId="53DF24D0" w14:textId="77777777" w:rsidTr="002E1F7D">
        <w:tc>
          <w:tcPr>
            <w:cnfStyle w:val="001000000000" w:firstRow="0" w:lastRow="0" w:firstColumn="1" w:lastColumn="0" w:oddVBand="0" w:evenVBand="0" w:oddHBand="0" w:evenHBand="0" w:firstRowFirstColumn="0" w:firstRowLastColumn="0" w:lastRowFirstColumn="0" w:lastRowLastColumn="0"/>
            <w:tcW w:w="2263" w:type="dxa"/>
          </w:tcPr>
          <w:p w14:paraId="1A1A3013" w14:textId="2025F6F9" w:rsidR="000A0FF5" w:rsidRPr="00F7476A" w:rsidRDefault="000A0FF5" w:rsidP="000A0FF5">
            <w:pPr>
              <w:pStyle w:val="Tabletextnormal"/>
              <w:rPr>
                <w:bCs w:val="0"/>
                <w:szCs w:val="22"/>
              </w:rPr>
            </w:pPr>
            <w:r w:rsidRPr="00F7476A">
              <w:rPr>
                <w:szCs w:val="22"/>
              </w:rPr>
              <w:t>Tunicamycin</w:t>
            </w:r>
          </w:p>
        </w:tc>
        <w:tc>
          <w:tcPr>
            <w:tcW w:w="2415" w:type="dxa"/>
          </w:tcPr>
          <w:p w14:paraId="79B2FDA6" w14:textId="12567A0F"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1</w:t>
            </w:r>
          </w:p>
        </w:tc>
        <w:tc>
          <w:tcPr>
            <w:tcW w:w="0" w:type="auto"/>
          </w:tcPr>
          <w:p w14:paraId="62B9C4B6" w14:textId="0ACEE6D1"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2</w:t>
            </w:r>
          </w:p>
        </w:tc>
        <w:tc>
          <w:tcPr>
            <w:tcW w:w="0" w:type="auto"/>
          </w:tcPr>
          <w:p w14:paraId="0BBC5A41" w14:textId="259BC596" w:rsidR="000A0FF5" w:rsidRPr="00F7476A" w:rsidRDefault="000A0FF5" w:rsidP="000A0FF5">
            <w:pPr>
              <w:pStyle w:val="Tabletextnormal"/>
              <w:cnfStyle w:val="000000000000" w:firstRow="0" w:lastRow="0" w:firstColumn="0" w:lastColumn="0" w:oddVBand="0" w:evenVBand="0" w:oddHBand="0" w:evenHBand="0" w:firstRowFirstColumn="0" w:firstRowLastColumn="0" w:lastRowFirstColumn="0" w:lastRowLastColumn="0"/>
              <w:rPr>
                <w:szCs w:val="22"/>
              </w:rPr>
            </w:pPr>
            <w:r w:rsidRPr="00F7476A">
              <w:rPr>
                <w:szCs w:val="22"/>
              </w:rPr>
              <w:t>dH</w:t>
            </w:r>
            <w:r w:rsidRPr="00F7476A">
              <w:rPr>
                <w:szCs w:val="22"/>
                <w:vertAlign w:val="subscript"/>
              </w:rPr>
              <w:t>2</w:t>
            </w:r>
            <w:r w:rsidRPr="00F7476A">
              <w:rPr>
                <w:szCs w:val="22"/>
              </w:rPr>
              <w:t>O</w:t>
            </w:r>
          </w:p>
        </w:tc>
      </w:tr>
    </w:tbl>
    <w:p w14:paraId="352F6728" w14:textId="567C4BFC" w:rsidR="005444C2" w:rsidRDefault="000C08B1" w:rsidP="00944497">
      <w:pPr>
        <w:pStyle w:val="Caption"/>
      </w:pPr>
      <w:bookmarkStart w:id="308" w:name="_Ref64275196"/>
      <w:bookmarkStart w:id="309" w:name="_Toc90217048"/>
      <w:r>
        <w:t xml:space="preserve">Table </w:t>
      </w:r>
      <w:r w:rsidR="003373BF">
        <w:fldChar w:fldCharType="begin"/>
      </w:r>
      <w:r w:rsidR="003373BF">
        <w:instrText xml:space="preserve"> STYLEREF 1 \s </w:instrText>
      </w:r>
      <w:r w:rsidR="003373BF">
        <w:fldChar w:fldCharType="separate"/>
      </w:r>
      <w:r w:rsidR="00183CC8">
        <w:rPr>
          <w:noProof/>
        </w:rPr>
        <w:t>2</w:t>
      </w:r>
      <w:r w:rsidR="003373BF">
        <w:rPr>
          <w:noProof/>
        </w:rPr>
        <w:fldChar w:fldCharType="end"/>
      </w:r>
      <w:r w:rsidR="00F12B90">
        <w:t>.</w:t>
      </w:r>
      <w:r w:rsidR="003373BF">
        <w:fldChar w:fldCharType="begin"/>
      </w:r>
      <w:r w:rsidR="003373BF">
        <w:instrText xml:space="preserve"> SEQ Table \* ARABIC \s 1 </w:instrText>
      </w:r>
      <w:r w:rsidR="003373BF">
        <w:fldChar w:fldCharType="separate"/>
      </w:r>
      <w:r w:rsidR="00183CC8">
        <w:rPr>
          <w:noProof/>
        </w:rPr>
        <w:t>2</w:t>
      </w:r>
      <w:r w:rsidR="003373BF">
        <w:rPr>
          <w:noProof/>
        </w:rPr>
        <w:fldChar w:fldCharType="end"/>
      </w:r>
      <w:bookmarkEnd w:id="308"/>
      <w:r>
        <w:t xml:space="preserve"> List of antibiotics used in this study.</w:t>
      </w:r>
      <w:bookmarkEnd w:id="309"/>
    </w:p>
    <w:p w14:paraId="65081781" w14:textId="77777777" w:rsidR="001F28B3" w:rsidRPr="001F28B3" w:rsidRDefault="001F28B3" w:rsidP="001F28B3">
      <w:pPr>
        <w:pStyle w:val="NoSpacing"/>
      </w:pPr>
    </w:p>
    <w:p w14:paraId="1CA3E951" w14:textId="30EC6D2B" w:rsidR="004B0C7E" w:rsidRDefault="004B0C7E" w:rsidP="004B0C7E">
      <w:pPr>
        <w:pStyle w:val="Heading2"/>
      </w:pPr>
      <w:bookmarkStart w:id="310" w:name="_Toc64276331"/>
      <w:bookmarkStart w:id="311" w:name="_Toc64276635"/>
      <w:bookmarkStart w:id="312" w:name="_Toc64276847"/>
      <w:bookmarkStart w:id="313" w:name="_Toc90216793"/>
      <w:r w:rsidRPr="005B0F81">
        <w:lastRenderedPageBreak/>
        <w:t>Primers</w:t>
      </w:r>
      <w:bookmarkEnd w:id="310"/>
      <w:bookmarkEnd w:id="311"/>
      <w:bookmarkEnd w:id="312"/>
      <w:r w:rsidR="007006CC">
        <w:t>.</w:t>
      </w:r>
      <w:bookmarkEnd w:id="313"/>
    </w:p>
    <w:p w14:paraId="211AEB92" w14:textId="3D2E2119" w:rsidR="00704EB1" w:rsidRPr="00CB308F" w:rsidRDefault="00CB308F" w:rsidP="00CB308F">
      <w:r>
        <w:t xml:space="preserve">A list of all the primers used in this study can be found in </w:t>
      </w:r>
      <w:r>
        <w:fldChar w:fldCharType="begin"/>
      </w:r>
      <w:r>
        <w:instrText xml:space="preserve"> REF _Ref74496496 \h </w:instrText>
      </w:r>
      <w:r>
        <w:fldChar w:fldCharType="separate"/>
      </w:r>
      <w:r w:rsidR="00183CC8">
        <w:t xml:space="preserve">Table </w:t>
      </w:r>
      <w:r w:rsidR="00183CC8">
        <w:rPr>
          <w:noProof/>
        </w:rPr>
        <w:t>2</w:t>
      </w:r>
      <w:r w:rsidR="00183CC8">
        <w:t>.</w:t>
      </w:r>
      <w:r w:rsidR="00183CC8">
        <w:rPr>
          <w:noProof/>
        </w:rPr>
        <w:t>3</w:t>
      </w:r>
      <w:r>
        <w:fldChar w:fldCharType="end"/>
      </w:r>
      <w:r w:rsidR="006C2A9E">
        <w:t>.</w:t>
      </w:r>
    </w:p>
    <w:tbl>
      <w:tblPr>
        <w:tblStyle w:val="GridTable1Light"/>
        <w:tblW w:w="0" w:type="auto"/>
        <w:tblLook w:val="04A0" w:firstRow="1" w:lastRow="0" w:firstColumn="1" w:lastColumn="0" w:noHBand="0" w:noVBand="1"/>
      </w:tblPr>
      <w:tblGrid>
        <w:gridCol w:w="1515"/>
        <w:gridCol w:w="1263"/>
        <w:gridCol w:w="3526"/>
        <w:gridCol w:w="1822"/>
      </w:tblGrid>
      <w:tr w:rsidR="00956062" w:rsidRPr="00BA528B" w14:paraId="10C9100A" w14:textId="77777777" w:rsidTr="00AD02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double" w:sz="4" w:space="0" w:color="auto"/>
            </w:tcBorders>
          </w:tcPr>
          <w:p w14:paraId="3681472E" w14:textId="77777777" w:rsidR="00956062" w:rsidRPr="00BA528B" w:rsidRDefault="00956062" w:rsidP="00956062">
            <w:pPr>
              <w:pStyle w:val="Tabletextnormal"/>
            </w:pPr>
            <w:r w:rsidRPr="00BA528B">
              <w:t>Primer</w:t>
            </w:r>
          </w:p>
        </w:tc>
        <w:tc>
          <w:tcPr>
            <w:tcW w:w="0" w:type="auto"/>
            <w:tcBorders>
              <w:bottom w:val="double" w:sz="4" w:space="0" w:color="auto"/>
            </w:tcBorders>
          </w:tcPr>
          <w:p w14:paraId="189470AD" w14:textId="77777777" w:rsidR="00956062" w:rsidRPr="00BA528B" w:rsidRDefault="00956062" w:rsidP="00956062">
            <w:pPr>
              <w:pStyle w:val="Tabletextnormal"/>
              <w:cnfStyle w:val="100000000000" w:firstRow="1" w:lastRow="0" w:firstColumn="0" w:lastColumn="0" w:oddVBand="0" w:evenVBand="0" w:oddHBand="0" w:evenHBand="0" w:firstRowFirstColumn="0" w:firstRowLastColumn="0" w:lastRowFirstColumn="0" w:lastRowLastColumn="0"/>
            </w:pPr>
            <w:r w:rsidRPr="00BA528B">
              <w:t>Description</w:t>
            </w:r>
          </w:p>
        </w:tc>
        <w:tc>
          <w:tcPr>
            <w:tcW w:w="3526" w:type="dxa"/>
            <w:tcBorders>
              <w:bottom w:val="double" w:sz="4" w:space="0" w:color="auto"/>
            </w:tcBorders>
          </w:tcPr>
          <w:p w14:paraId="11B362D5" w14:textId="77777777" w:rsidR="00956062" w:rsidRPr="00BA528B" w:rsidRDefault="00956062" w:rsidP="00956062">
            <w:pPr>
              <w:pStyle w:val="Tabletextnormal"/>
              <w:cnfStyle w:val="100000000000" w:firstRow="1" w:lastRow="0" w:firstColumn="0" w:lastColumn="0" w:oddVBand="0" w:evenVBand="0" w:oddHBand="0" w:evenHBand="0" w:firstRowFirstColumn="0" w:firstRowLastColumn="0" w:lastRowFirstColumn="0" w:lastRowLastColumn="0"/>
            </w:pPr>
            <w:r w:rsidRPr="00BA528B">
              <w:t>Sequence</w:t>
            </w:r>
          </w:p>
        </w:tc>
        <w:tc>
          <w:tcPr>
            <w:tcW w:w="0" w:type="auto"/>
            <w:tcBorders>
              <w:bottom w:val="double" w:sz="4" w:space="0" w:color="auto"/>
            </w:tcBorders>
          </w:tcPr>
          <w:p w14:paraId="29E351E2" w14:textId="77777777" w:rsidR="00956062" w:rsidRPr="00BA528B" w:rsidRDefault="00956062" w:rsidP="00956062">
            <w:pPr>
              <w:pStyle w:val="Tabletextnormal"/>
              <w:cnfStyle w:val="100000000000" w:firstRow="1" w:lastRow="0" w:firstColumn="0" w:lastColumn="0" w:oddVBand="0" w:evenVBand="0" w:oddHBand="0" w:evenHBand="0" w:firstRowFirstColumn="0" w:firstRowLastColumn="0" w:lastRowFirstColumn="0" w:lastRowLastColumn="0"/>
            </w:pPr>
            <w:r w:rsidRPr="00BA528B">
              <w:t>Source</w:t>
            </w:r>
          </w:p>
        </w:tc>
      </w:tr>
      <w:tr w:rsidR="00956062" w:rsidRPr="00BA528B" w14:paraId="040F393A" w14:textId="77777777" w:rsidTr="00AD0201">
        <w:tc>
          <w:tcPr>
            <w:cnfStyle w:val="001000000000" w:firstRow="0" w:lastRow="0" w:firstColumn="1" w:lastColumn="0" w:oddVBand="0" w:evenVBand="0" w:oddHBand="0" w:evenHBand="0" w:firstRowFirstColumn="0" w:firstRowLastColumn="0" w:lastRowFirstColumn="0" w:lastRowLastColumn="0"/>
            <w:tcW w:w="0" w:type="auto"/>
            <w:tcBorders>
              <w:top w:val="double" w:sz="4" w:space="0" w:color="auto"/>
            </w:tcBorders>
          </w:tcPr>
          <w:p w14:paraId="0C79074F" w14:textId="77777777" w:rsidR="00956062" w:rsidRPr="00BA528B" w:rsidRDefault="00956062" w:rsidP="00956062">
            <w:pPr>
              <w:pStyle w:val="Tabletextnormal"/>
            </w:pPr>
            <w:r w:rsidRPr="00BA528B">
              <w:t>VP58_SeqF1</w:t>
            </w:r>
          </w:p>
        </w:tc>
        <w:tc>
          <w:tcPr>
            <w:tcW w:w="0" w:type="auto"/>
            <w:vMerge w:val="restart"/>
            <w:tcBorders>
              <w:top w:val="double" w:sz="4" w:space="0" w:color="auto"/>
            </w:tcBorders>
            <w:vAlign w:val="center"/>
          </w:tcPr>
          <w:p w14:paraId="1A1A139B" w14:textId="77777777" w:rsidR="00956062" w:rsidRPr="00BA528B" w:rsidRDefault="00956062" w:rsidP="004E2A97">
            <w:pPr>
              <w:pStyle w:val="Tabletextnormal"/>
              <w:jc w:val="center"/>
              <w:cnfStyle w:val="000000000000" w:firstRow="0" w:lastRow="0" w:firstColumn="0" w:lastColumn="0" w:oddVBand="0" w:evenVBand="0" w:oddHBand="0" w:evenHBand="0" w:firstRowFirstColumn="0" w:firstRowLastColumn="0" w:lastRowFirstColumn="0" w:lastRowLastColumn="0"/>
              <w:rPr>
                <w:i/>
              </w:rPr>
            </w:pPr>
            <w:r w:rsidRPr="00BA528B">
              <w:rPr>
                <w:i/>
              </w:rPr>
              <w:t>gdpP</w:t>
            </w:r>
          </w:p>
        </w:tc>
        <w:tc>
          <w:tcPr>
            <w:tcW w:w="3526" w:type="dxa"/>
            <w:tcBorders>
              <w:top w:val="double" w:sz="4" w:space="0" w:color="auto"/>
            </w:tcBorders>
          </w:tcPr>
          <w:p w14:paraId="756ED3BB" w14:textId="77777777" w:rsidR="00956062" w:rsidRPr="00BA528B" w:rsidRDefault="00956062" w:rsidP="00956062">
            <w:pPr>
              <w:pStyle w:val="Tabletextnormal"/>
              <w:cnfStyle w:val="000000000000" w:firstRow="0" w:lastRow="0" w:firstColumn="0" w:lastColumn="0" w:oddVBand="0" w:evenVBand="0" w:oddHBand="0" w:evenHBand="0" w:firstRowFirstColumn="0" w:firstRowLastColumn="0" w:lastRowFirstColumn="0" w:lastRowLastColumn="0"/>
            </w:pPr>
            <w:r w:rsidRPr="00BA528B">
              <w:t>ATGAATCGGCAGTCCACTAAG</w:t>
            </w:r>
          </w:p>
        </w:tc>
        <w:tc>
          <w:tcPr>
            <w:tcW w:w="0" w:type="auto"/>
            <w:tcBorders>
              <w:top w:val="double" w:sz="4" w:space="0" w:color="auto"/>
            </w:tcBorders>
          </w:tcPr>
          <w:p w14:paraId="37BDB681" w14:textId="49573DCC" w:rsidR="00956062" w:rsidRPr="00BA528B" w:rsidRDefault="00956062" w:rsidP="00956062">
            <w:pPr>
              <w:pStyle w:val="Tabletextnormal"/>
              <w:cnfStyle w:val="000000000000" w:firstRow="0" w:lastRow="0" w:firstColumn="0" w:lastColumn="0" w:oddVBand="0" w:evenVBand="0" w:oddHBand="0" w:evenHBand="0" w:firstRowFirstColumn="0" w:firstRowLastColumn="0" w:lastRowFirstColumn="0" w:lastRowLastColumn="0"/>
            </w:pPr>
            <w:r w:rsidRPr="00BA528B">
              <w:t>Panchal</w:t>
            </w:r>
            <w:r w:rsidR="00FF2135">
              <w:t xml:space="preserve"> (2018)</w:t>
            </w:r>
            <w:r w:rsidR="00AD0201">
              <w:t xml:space="preserve"> </w:t>
            </w:r>
            <w:r w:rsidR="00AD0201">
              <w:fldChar w:fldCharType="begin" w:fldLock="1"/>
            </w:r>
            <w:r w:rsidR="00AB73F2">
              <w:instrText>ADDIN CSL_CITATION {"citationItems":[{"id":"ITEM-1","itemData":{"author":[{"dropping-particle":"","family":"Panchal","given":"Viralkumar Vijaybhai","non-dropping-particle":"","parse-names":false,"suffix":""}],"id":"ITEM-1","issue":"July","issued":{"date-parts":[["2018"]]},"publisher":"The University of Sheffield","title":"The molecular basis of high-level methicillin resistance in Staphylococcus aureus","type":"thesis"},"uris":["http://www.mendeley.com/documents/?uuid=46732959-acb6-4cc1-ae23-7b0cbfe2b3e4"]}],"mendeley":{"formattedCitation":"&lt;sup&gt;[51]&lt;/sup&gt;","plainTextFormattedCitation":"[51]","previouslyFormattedCitation":"&lt;sup&gt;[51]&lt;/sup&gt;"},"properties":{"noteIndex":0},"schema":"https://github.com/citation-style-language/schema/raw/master/csl-citation.json"}</w:instrText>
            </w:r>
            <w:r w:rsidR="00AD0201">
              <w:fldChar w:fldCharType="separate"/>
            </w:r>
            <w:r w:rsidR="001F5541" w:rsidRPr="001F5541">
              <w:rPr>
                <w:noProof/>
                <w:vertAlign w:val="superscript"/>
              </w:rPr>
              <w:t>[51]</w:t>
            </w:r>
            <w:r w:rsidR="00AD0201">
              <w:fldChar w:fldCharType="end"/>
            </w:r>
          </w:p>
        </w:tc>
      </w:tr>
      <w:tr w:rsidR="00FF2135" w:rsidRPr="00BA528B" w14:paraId="2A5633F9" w14:textId="77777777" w:rsidTr="00AD0201">
        <w:tc>
          <w:tcPr>
            <w:cnfStyle w:val="001000000000" w:firstRow="0" w:lastRow="0" w:firstColumn="1" w:lastColumn="0" w:oddVBand="0" w:evenVBand="0" w:oddHBand="0" w:evenHBand="0" w:firstRowFirstColumn="0" w:firstRowLastColumn="0" w:lastRowFirstColumn="0" w:lastRowLastColumn="0"/>
            <w:tcW w:w="0" w:type="auto"/>
          </w:tcPr>
          <w:p w14:paraId="571308B0" w14:textId="77777777" w:rsidR="00FF2135" w:rsidRPr="00BA528B" w:rsidRDefault="00FF2135" w:rsidP="00FF2135">
            <w:pPr>
              <w:pStyle w:val="Tabletextnormal"/>
            </w:pPr>
            <w:r w:rsidRPr="00BA528B">
              <w:t>VP59_SeqR1</w:t>
            </w:r>
          </w:p>
        </w:tc>
        <w:tc>
          <w:tcPr>
            <w:tcW w:w="0" w:type="auto"/>
            <w:vMerge/>
            <w:vAlign w:val="center"/>
          </w:tcPr>
          <w:p w14:paraId="10411EA2" w14:textId="77777777" w:rsidR="00FF2135" w:rsidRPr="00BA528B" w:rsidRDefault="00FF2135" w:rsidP="00FF2135">
            <w:pPr>
              <w:pStyle w:val="Tabletextnormal"/>
              <w:jc w:val="center"/>
              <w:cnfStyle w:val="000000000000" w:firstRow="0" w:lastRow="0" w:firstColumn="0" w:lastColumn="0" w:oddVBand="0" w:evenVBand="0" w:oddHBand="0" w:evenHBand="0" w:firstRowFirstColumn="0" w:firstRowLastColumn="0" w:lastRowFirstColumn="0" w:lastRowLastColumn="0"/>
            </w:pPr>
          </w:p>
        </w:tc>
        <w:tc>
          <w:tcPr>
            <w:tcW w:w="3526" w:type="dxa"/>
          </w:tcPr>
          <w:p w14:paraId="2D40E666" w14:textId="77777777" w:rsidR="00FF2135" w:rsidRPr="00BA528B" w:rsidRDefault="00FF2135" w:rsidP="00FF2135">
            <w:pPr>
              <w:pStyle w:val="Tabletextnormal"/>
              <w:cnfStyle w:val="000000000000" w:firstRow="0" w:lastRow="0" w:firstColumn="0" w:lastColumn="0" w:oddVBand="0" w:evenVBand="0" w:oddHBand="0" w:evenHBand="0" w:firstRowFirstColumn="0" w:firstRowLastColumn="0" w:lastRowFirstColumn="0" w:lastRowLastColumn="0"/>
            </w:pPr>
            <w:r w:rsidRPr="00BA528B">
              <w:t>TCATGCATCTTCACTCCTACTTAATTG</w:t>
            </w:r>
          </w:p>
        </w:tc>
        <w:tc>
          <w:tcPr>
            <w:tcW w:w="0" w:type="auto"/>
          </w:tcPr>
          <w:p w14:paraId="2DD39DB7" w14:textId="2636F892" w:rsidR="00FF2135" w:rsidRPr="00BA528B" w:rsidRDefault="00FF2135" w:rsidP="00FF2135">
            <w:pPr>
              <w:pStyle w:val="Tabletextnormal"/>
              <w:cnfStyle w:val="000000000000" w:firstRow="0" w:lastRow="0" w:firstColumn="0" w:lastColumn="0" w:oddVBand="0" w:evenVBand="0" w:oddHBand="0" w:evenHBand="0" w:firstRowFirstColumn="0" w:firstRowLastColumn="0" w:lastRowFirstColumn="0" w:lastRowLastColumn="0"/>
            </w:pPr>
            <w:r w:rsidRPr="00BA528B">
              <w:t>Panchal</w:t>
            </w:r>
            <w:r>
              <w:t xml:space="preserve"> (2018) </w:t>
            </w:r>
            <w:r>
              <w:fldChar w:fldCharType="begin" w:fldLock="1"/>
            </w:r>
            <w:r>
              <w:instrText>ADDIN CSL_CITATION {"citationItems":[{"id":"ITEM-1","itemData":{"author":[{"dropping-particle":"","family":"Panchal","given":"Viralkumar Vijaybhai","non-dropping-particle":"","parse-names":false,"suffix":""}],"id":"ITEM-1","issue":"July","issued":{"date-parts":[["2018"]]},"publisher":"The University of Sheffield","title":"The molecular basis of high-level methicillin resistance in Staphylococcus aureus","type":"thesis"},"uris":["http://www.mendeley.com/documents/?uuid=46732959-acb6-4cc1-ae23-7b0cbfe2b3e4"]}],"mendeley":{"formattedCitation":"&lt;sup&gt;[51]&lt;/sup&gt;","plainTextFormattedCitation":"[51]","previouslyFormattedCitation":"&lt;sup&gt;[51]&lt;/sup&gt;"},"properties":{"noteIndex":0},"schema":"https://github.com/citation-style-language/schema/raw/master/csl-citation.json"}</w:instrText>
            </w:r>
            <w:r>
              <w:fldChar w:fldCharType="separate"/>
            </w:r>
            <w:r w:rsidRPr="001F5541">
              <w:rPr>
                <w:noProof/>
                <w:vertAlign w:val="superscript"/>
              </w:rPr>
              <w:t>[51]</w:t>
            </w:r>
            <w:r>
              <w:fldChar w:fldCharType="end"/>
            </w:r>
          </w:p>
        </w:tc>
      </w:tr>
      <w:tr w:rsidR="00FF2135" w:rsidRPr="00BA528B" w14:paraId="73723711" w14:textId="77777777" w:rsidTr="00AD0201">
        <w:tc>
          <w:tcPr>
            <w:cnfStyle w:val="001000000000" w:firstRow="0" w:lastRow="0" w:firstColumn="1" w:lastColumn="0" w:oddVBand="0" w:evenVBand="0" w:oddHBand="0" w:evenHBand="0" w:firstRowFirstColumn="0" w:firstRowLastColumn="0" w:lastRowFirstColumn="0" w:lastRowLastColumn="0"/>
            <w:tcW w:w="0" w:type="auto"/>
          </w:tcPr>
          <w:p w14:paraId="48149DAA" w14:textId="77777777" w:rsidR="00FF2135" w:rsidRPr="00BA528B" w:rsidRDefault="00FF2135" w:rsidP="00FF2135">
            <w:pPr>
              <w:pStyle w:val="Tabletextnormal"/>
            </w:pPr>
            <w:r w:rsidRPr="00BA528B">
              <w:t>VP60_SeqF2</w:t>
            </w:r>
          </w:p>
        </w:tc>
        <w:tc>
          <w:tcPr>
            <w:tcW w:w="0" w:type="auto"/>
            <w:vMerge w:val="restart"/>
            <w:vAlign w:val="center"/>
          </w:tcPr>
          <w:p w14:paraId="59F1642A" w14:textId="77777777" w:rsidR="00FF2135" w:rsidRPr="00BA528B" w:rsidRDefault="00FF2135" w:rsidP="00FF2135">
            <w:pPr>
              <w:pStyle w:val="Tabletextnormal"/>
              <w:jc w:val="center"/>
              <w:cnfStyle w:val="000000000000" w:firstRow="0" w:lastRow="0" w:firstColumn="0" w:lastColumn="0" w:oddVBand="0" w:evenVBand="0" w:oddHBand="0" w:evenHBand="0" w:firstRowFirstColumn="0" w:firstRowLastColumn="0" w:lastRowFirstColumn="0" w:lastRowLastColumn="0"/>
              <w:rPr>
                <w:i/>
              </w:rPr>
            </w:pPr>
            <w:r w:rsidRPr="00BA528B">
              <w:rPr>
                <w:i/>
              </w:rPr>
              <w:t>gdpP</w:t>
            </w:r>
          </w:p>
        </w:tc>
        <w:tc>
          <w:tcPr>
            <w:tcW w:w="3526" w:type="dxa"/>
          </w:tcPr>
          <w:p w14:paraId="1C9C7E32" w14:textId="77777777" w:rsidR="00FF2135" w:rsidRPr="00BA528B" w:rsidRDefault="00FF2135" w:rsidP="00FF2135">
            <w:pPr>
              <w:pStyle w:val="Tabletextnormal"/>
              <w:cnfStyle w:val="000000000000" w:firstRow="0" w:lastRow="0" w:firstColumn="0" w:lastColumn="0" w:oddVBand="0" w:evenVBand="0" w:oddHBand="0" w:evenHBand="0" w:firstRowFirstColumn="0" w:firstRowLastColumn="0" w:lastRowFirstColumn="0" w:lastRowLastColumn="0"/>
            </w:pPr>
            <w:r w:rsidRPr="00BA528B">
              <w:t>GTCAATTAGTCGATGGGCAACTG</w:t>
            </w:r>
          </w:p>
        </w:tc>
        <w:tc>
          <w:tcPr>
            <w:tcW w:w="0" w:type="auto"/>
          </w:tcPr>
          <w:p w14:paraId="3AA1FCF6" w14:textId="0251D4E0" w:rsidR="00FF2135" w:rsidRPr="00BA528B" w:rsidRDefault="00FF2135" w:rsidP="00FF2135">
            <w:pPr>
              <w:pStyle w:val="Tabletextnormal"/>
              <w:cnfStyle w:val="000000000000" w:firstRow="0" w:lastRow="0" w:firstColumn="0" w:lastColumn="0" w:oddVBand="0" w:evenVBand="0" w:oddHBand="0" w:evenHBand="0" w:firstRowFirstColumn="0" w:firstRowLastColumn="0" w:lastRowFirstColumn="0" w:lastRowLastColumn="0"/>
            </w:pPr>
            <w:r w:rsidRPr="00BA528B">
              <w:t>Panchal</w:t>
            </w:r>
            <w:r>
              <w:t xml:space="preserve"> (2018) </w:t>
            </w:r>
            <w:r>
              <w:fldChar w:fldCharType="begin" w:fldLock="1"/>
            </w:r>
            <w:r>
              <w:instrText>ADDIN CSL_CITATION {"citationItems":[{"id":"ITEM-1","itemData":{"author":[{"dropping-particle":"","family":"Panchal","given":"Viralkumar Vijaybhai","non-dropping-particle":"","parse-names":false,"suffix":""}],"id":"ITEM-1","issue":"July","issued":{"date-parts":[["2018"]]},"publisher":"The University of Sheffield","title":"The molecular basis of high-level methicillin resistance in Staphylococcus aureus","type":"thesis"},"uris":["http://www.mendeley.com/documents/?uuid=46732959-acb6-4cc1-ae23-7b0cbfe2b3e4"]}],"mendeley":{"formattedCitation":"&lt;sup&gt;[51]&lt;/sup&gt;","plainTextFormattedCitation":"[51]","previouslyFormattedCitation":"&lt;sup&gt;[51]&lt;/sup&gt;"},"properties":{"noteIndex":0},"schema":"https://github.com/citation-style-language/schema/raw/master/csl-citation.json"}</w:instrText>
            </w:r>
            <w:r>
              <w:fldChar w:fldCharType="separate"/>
            </w:r>
            <w:r w:rsidRPr="001F5541">
              <w:rPr>
                <w:noProof/>
                <w:vertAlign w:val="superscript"/>
              </w:rPr>
              <w:t>[51]</w:t>
            </w:r>
            <w:r>
              <w:fldChar w:fldCharType="end"/>
            </w:r>
          </w:p>
        </w:tc>
      </w:tr>
      <w:tr w:rsidR="00FF2135" w:rsidRPr="00BA528B" w14:paraId="68152C1E" w14:textId="77777777" w:rsidTr="00AD0201">
        <w:tc>
          <w:tcPr>
            <w:cnfStyle w:val="001000000000" w:firstRow="0" w:lastRow="0" w:firstColumn="1" w:lastColumn="0" w:oddVBand="0" w:evenVBand="0" w:oddHBand="0" w:evenHBand="0" w:firstRowFirstColumn="0" w:firstRowLastColumn="0" w:lastRowFirstColumn="0" w:lastRowLastColumn="0"/>
            <w:tcW w:w="0" w:type="auto"/>
          </w:tcPr>
          <w:p w14:paraId="7FB76EDF" w14:textId="77777777" w:rsidR="00FF2135" w:rsidRPr="00BA528B" w:rsidRDefault="00FF2135" w:rsidP="00FF2135">
            <w:pPr>
              <w:pStyle w:val="Tabletextnormal"/>
            </w:pPr>
            <w:r w:rsidRPr="00BA528B">
              <w:t>VP61_SeqR2</w:t>
            </w:r>
          </w:p>
        </w:tc>
        <w:tc>
          <w:tcPr>
            <w:tcW w:w="0" w:type="auto"/>
            <w:vMerge/>
            <w:vAlign w:val="center"/>
          </w:tcPr>
          <w:p w14:paraId="3B257033" w14:textId="77777777" w:rsidR="00FF2135" w:rsidRPr="00BA528B" w:rsidRDefault="00FF2135" w:rsidP="00FF2135">
            <w:pPr>
              <w:pStyle w:val="Tabletextnormal"/>
              <w:jc w:val="center"/>
              <w:cnfStyle w:val="000000000000" w:firstRow="0" w:lastRow="0" w:firstColumn="0" w:lastColumn="0" w:oddVBand="0" w:evenVBand="0" w:oddHBand="0" w:evenHBand="0" w:firstRowFirstColumn="0" w:firstRowLastColumn="0" w:lastRowFirstColumn="0" w:lastRowLastColumn="0"/>
            </w:pPr>
          </w:p>
        </w:tc>
        <w:tc>
          <w:tcPr>
            <w:tcW w:w="3526" w:type="dxa"/>
          </w:tcPr>
          <w:p w14:paraId="264E32DD" w14:textId="77777777" w:rsidR="00FF2135" w:rsidRPr="00BA528B" w:rsidRDefault="00FF2135" w:rsidP="00FF2135">
            <w:pPr>
              <w:pStyle w:val="Tabletextnormal"/>
              <w:cnfStyle w:val="000000000000" w:firstRow="0" w:lastRow="0" w:firstColumn="0" w:lastColumn="0" w:oddVBand="0" w:evenVBand="0" w:oddHBand="0" w:evenHBand="0" w:firstRowFirstColumn="0" w:firstRowLastColumn="0" w:lastRowFirstColumn="0" w:lastRowLastColumn="0"/>
            </w:pPr>
            <w:r w:rsidRPr="00BA528B">
              <w:t>CACCACGTCTATGATGATCGATAAC</w:t>
            </w:r>
          </w:p>
        </w:tc>
        <w:tc>
          <w:tcPr>
            <w:tcW w:w="0" w:type="auto"/>
          </w:tcPr>
          <w:p w14:paraId="21021610" w14:textId="545ABEDD" w:rsidR="00FF2135" w:rsidRPr="00BA528B" w:rsidRDefault="00FF2135" w:rsidP="00FF2135">
            <w:pPr>
              <w:pStyle w:val="Tabletextnormal"/>
              <w:cnfStyle w:val="000000000000" w:firstRow="0" w:lastRow="0" w:firstColumn="0" w:lastColumn="0" w:oddVBand="0" w:evenVBand="0" w:oddHBand="0" w:evenHBand="0" w:firstRowFirstColumn="0" w:firstRowLastColumn="0" w:lastRowFirstColumn="0" w:lastRowLastColumn="0"/>
            </w:pPr>
            <w:r w:rsidRPr="00BA528B">
              <w:t>Panchal</w:t>
            </w:r>
            <w:r>
              <w:t xml:space="preserve"> (2018) </w:t>
            </w:r>
            <w:r>
              <w:fldChar w:fldCharType="begin" w:fldLock="1"/>
            </w:r>
            <w:r>
              <w:instrText>ADDIN CSL_CITATION {"citationItems":[{"id":"ITEM-1","itemData":{"author":[{"dropping-particle":"","family":"Panchal","given":"Viralkumar Vijaybhai","non-dropping-particle":"","parse-names":false,"suffix":""}],"id":"ITEM-1","issue":"July","issued":{"date-parts":[["2018"]]},"publisher":"The University of Sheffield","title":"The molecular basis of high-level methicillin resistance in Staphylococcus aureus","type":"thesis"},"uris":["http://www.mendeley.com/documents/?uuid=46732959-acb6-4cc1-ae23-7b0cbfe2b3e4"]}],"mendeley":{"formattedCitation":"&lt;sup&gt;[51]&lt;/sup&gt;","plainTextFormattedCitation":"[51]","previouslyFormattedCitation":"&lt;sup&gt;[51]&lt;/sup&gt;"},"properties":{"noteIndex":0},"schema":"https://github.com/citation-style-language/schema/raw/master/csl-citation.json"}</w:instrText>
            </w:r>
            <w:r>
              <w:fldChar w:fldCharType="separate"/>
            </w:r>
            <w:r w:rsidRPr="001F5541">
              <w:rPr>
                <w:noProof/>
                <w:vertAlign w:val="superscript"/>
              </w:rPr>
              <w:t>[51]</w:t>
            </w:r>
            <w:r>
              <w:fldChar w:fldCharType="end"/>
            </w:r>
          </w:p>
        </w:tc>
      </w:tr>
      <w:tr w:rsidR="00FF2135" w:rsidRPr="00BA528B" w14:paraId="73558480" w14:textId="77777777" w:rsidTr="00AD0201">
        <w:tc>
          <w:tcPr>
            <w:cnfStyle w:val="001000000000" w:firstRow="0" w:lastRow="0" w:firstColumn="1" w:lastColumn="0" w:oddVBand="0" w:evenVBand="0" w:oddHBand="0" w:evenHBand="0" w:firstRowFirstColumn="0" w:firstRowLastColumn="0" w:lastRowFirstColumn="0" w:lastRowLastColumn="0"/>
            <w:tcW w:w="0" w:type="auto"/>
          </w:tcPr>
          <w:p w14:paraId="0F4A5F9B" w14:textId="77777777" w:rsidR="00FF2135" w:rsidRPr="00BA528B" w:rsidRDefault="00FF2135" w:rsidP="00FF2135">
            <w:pPr>
              <w:pStyle w:val="Tabletextnormal"/>
            </w:pPr>
            <w:r w:rsidRPr="00BA528B">
              <w:t>VP62_F3</w:t>
            </w:r>
          </w:p>
        </w:tc>
        <w:tc>
          <w:tcPr>
            <w:tcW w:w="0" w:type="auto"/>
            <w:vMerge w:val="restart"/>
            <w:vAlign w:val="center"/>
          </w:tcPr>
          <w:p w14:paraId="33427595" w14:textId="77777777" w:rsidR="00FF2135" w:rsidRPr="00BA528B" w:rsidRDefault="00FF2135" w:rsidP="00FF2135">
            <w:pPr>
              <w:pStyle w:val="Tabletextnormal"/>
              <w:jc w:val="center"/>
              <w:cnfStyle w:val="000000000000" w:firstRow="0" w:lastRow="0" w:firstColumn="0" w:lastColumn="0" w:oddVBand="0" w:evenVBand="0" w:oddHBand="0" w:evenHBand="0" w:firstRowFirstColumn="0" w:firstRowLastColumn="0" w:lastRowFirstColumn="0" w:lastRowLastColumn="0"/>
            </w:pPr>
            <w:r w:rsidRPr="00BA528B">
              <w:rPr>
                <w:i/>
              </w:rPr>
              <w:t>gdpP</w:t>
            </w:r>
          </w:p>
        </w:tc>
        <w:tc>
          <w:tcPr>
            <w:tcW w:w="3526" w:type="dxa"/>
          </w:tcPr>
          <w:p w14:paraId="17A5986B" w14:textId="77777777" w:rsidR="00FF2135" w:rsidRPr="00BA528B" w:rsidRDefault="00FF2135" w:rsidP="00FF2135">
            <w:pPr>
              <w:pStyle w:val="Tabletextnormal"/>
              <w:cnfStyle w:val="000000000000" w:firstRow="0" w:lastRow="0" w:firstColumn="0" w:lastColumn="0" w:oddVBand="0" w:evenVBand="0" w:oddHBand="0" w:evenHBand="0" w:firstRowFirstColumn="0" w:firstRowLastColumn="0" w:lastRowFirstColumn="0" w:lastRowLastColumn="0"/>
            </w:pPr>
            <w:r w:rsidRPr="00BA528B">
              <w:t>CTATTGGTTATCGGTACAATACTGAC</w:t>
            </w:r>
          </w:p>
        </w:tc>
        <w:tc>
          <w:tcPr>
            <w:tcW w:w="0" w:type="auto"/>
          </w:tcPr>
          <w:p w14:paraId="46D4F8B1" w14:textId="755C98FB" w:rsidR="00FF2135" w:rsidRPr="00BA528B" w:rsidRDefault="00FF2135" w:rsidP="00FF2135">
            <w:pPr>
              <w:pStyle w:val="Tabletextnormal"/>
              <w:cnfStyle w:val="000000000000" w:firstRow="0" w:lastRow="0" w:firstColumn="0" w:lastColumn="0" w:oddVBand="0" w:evenVBand="0" w:oddHBand="0" w:evenHBand="0" w:firstRowFirstColumn="0" w:firstRowLastColumn="0" w:lastRowFirstColumn="0" w:lastRowLastColumn="0"/>
            </w:pPr>
            <w:r w:rsidRPr="00BA528B">
              <w:t>Panchal</w:t>
            </w:r>
            <w:r>
              <w:t xml:space="preserve"> (2018) </w:t>
            </w:r>
            <w:r>
              <w:fldChar w:fldCharType="begin" w:fldLock="1"/>
            </w:r>
            <w:r>
              <w:instrText>ADDIN CSL_CITATION {"citationItems":[{"id":"ITEM-1","itemData":{"author":[{"dropping-particle":"","family":"Panchal","given":"Viralkumar Vijaybhai","non-dropping-particle":"","parse-names":false,"suffix":""}],"id":"ITEM-1","issue":"July","issued":{"date-parts":[["2018"]]},"publisher":"The University of Sheffield","title":"The molecular basis of high-level methicillin resistance in Staphylococcus aureus","type":"thesis"},"uris":["http://www.mendeley.com/documents/?uuid=46732959-acb6-4cc1-ae23-7b0cbfe2b3e4"]}],"mendeley":{"formattedCitation":"&lt;sup&gt;[51]&lt;/sup&gt;","plainTextFormattedCitation":"[51]","previouslyFormattedCitation":"&lt;sup&gt;[51]&lt;/sup&gt;"},"properties":{"noteIndex":0},"schema":"https://github.com/citation-style-language/schema/raw/master/csl-citation.json"}</w:instrText>
            </w:r>
            <w:r>
              <w:fldChar w:fldCharType="separate"/>
            </w:r>
            <w:r w:rsidRPr="001F5541">
              <w:rPr>
                <w:noProof/>
                <w:vertAlign w:val="superscript"/>
              </w:rPr>
              <w:t>[51]</w:t>
            </w:r>
            <w:r>
              <w:fldChar w:fldCharType="end"/>
            </w:r>
          </w:p>
        </w:tc>
      </w:tr>
      <w:tr w:rsidR="00FF2135" w:rsidRPr="00BA528B" w14:paraId="61640E19" w14:textId="77777777" w:rsidTr="00AD0201">
        <w:tc>
          <w:tcPr>
            <w:cnfStyle w:val="001000000000" w:firstRow="0" w:lastRow="0" w:firstColumn="1" w:lastColumn="0" w:oddVBand="0" w:evenVBand="0" w:oddHBand="0" w:evenHBand="0" w:firstRowFirstColumn="0" w:firstRowLastColumn="0" w:lastRowFirstColumn="0" w:lastRowLastColumn="0"/>
            <w:tcW w:w="0" w:type="auto"/>
          </w:tcPr>
          <w:p w14:paraId="32C9196A" w14:textId="77777777" w:rsidR="00FF2135" w:rsidRPr="00BA528B" w:rsidRDefault="00FF2135" w:rsidP="00FF2135">
            <w:pPr>
              <w:pStyle w:val="Tabletextnormal"/>
            </w:pPr>
            <w:r w:rsidRPr="00BA528B">
              <w:t>VP63_R3</w:t>
            </w:r>
          </w:p>
        </w:tc>
        <w:tc>
          <w:tcPr>
            <w:tcW w:w="0" w:type="auto"/>
            <w:vMerge/>
            <w:vAlign w:val="center"/>
          </w:tcPr>
          <w:p w14:paraId="67E0B52C" w14:textId="77777777" w:rsidR="00FF2135" w:rsidRPr="00BA528B" w:rsidRDefault="00FF2135" w:rsidP="00FF2135">
            <w:pPr>
              <w:pStyle w:val="Tabletextnormal"/>
              <w:jc w:val="center"/>
              <w:cnfStyle w:val="000000000000" w:firstRow="0" w:lastRow="0" w:firstColumn="0" w:lastColumn="0" w:oddVBand="0" w:evenVBand="0" w:oddHBand="0" w:evenHBand="0" w:firstRowFirstColumn="0" w:firstRowLastColumn="0" w:lastRowFirstColumn="0" w:lastRowLastColumn="0"/>
            </w:pPr>
          </w:p>
        </w:tc>
        <w:tc>
          <w:tcPr>
            <w:tcW w:w="3526" w:type="dxa"/>
          </w:tcPr>
          <w:p w14:paraId="329345A2" w14:textId="77777777" w:rsidR="00FF2135" w:rsidRPr="00BA528B" w:rsidRDefault="00FF2135" w:rsidP="00FF2135">
            <w:pPr>
              <w:pStyle w:val="Tabletextnormal"/>
              <w:cnfStyle w:val="000000000000" w:firstRow="0" w:lastRow="0" w:firstColumn="0" w:lastColumn="0" w:oddVBand="0" w:evenVBand="0" w:oddHBand="0" w:evenHBand="0" w:firstRowFirstColumn="0" w:firstRowLastColumn="0" w:lastRowFirstColumn="0" w:lastRowLastColumn="0"/>
            </w:pPr>
            <w:r w:rsidRPr="00BA528B">
              <w:t>GTTGCTTCTACAGCATAATTCTTTTTC</w:t>
            </w:r>
          </w:p>
        </w:tc>
        <w:tc>
          <w:tcPr>
            <w:tcW w:w="0" w:type="auto"/>
          </w:tcPr>
          <w:p w14:paraId="56E319DD" w14:textId="39A4B7CC" w:rsidR="00FF2135" w:rsidRPr="00BA528B" w:rsidRDefault="00FF2135" w:rsidP="00FF2135">
            <w:pPr>
              <w:pStyle w:val="Tabletextnormal"/>
              <w:cnfStyle w:val="000000000000" w:firstRow="0" w:lastRow="0" w:firstColumn="0" w:lastColumn="0" w:oddVBand="0" w:evenVBand="0" w:oddHBand="0" w:evenHBand="0" w:firstRowFirstColumn="0" w:firstRowLastColumn="0" w:lastRowFirstColumn="0" w:lastRowLastColumn="0"/>
            </w:pPr>
            <w:r w:rsidRPr="00BA528B">
              <w:t>Panchal</w:t>
            </w:r>
            <w:r>
              <w:t xml:space="preserve"> (2018) </w:t>
            </w:r>
            <w:r>
              <w:fldChar w:fldCharType="begin" w:fldLock="1"/>
            </w:r>
            <w:r>
              <w:instrText>ADDIN CSL_CITATION {"citationItems":[{"id":"ITEM-1","itemData":{"author":[{"dropping-particle":"","family":"Panchal","given":"Viralkumar Vijaybhai","non-dropping-particle":"","parse-names":false,"suffix":""}],"id":"ITEM-1","issue":"July","issued":{"date-parts":[["2018"]]},"publisher":"The University of Sheffield","title":"The molecular basis of high-level methicillin resistance in Staphylococcus aureus","type":"thesis"},"uris":["http://www.mendeley.com/documents/?uuid=46732959-acb6-4cc1-ae23-7b0cbfe2b3e4"]}],"mendeley":{"formattedCitation":"&lt;sup&gt;[51]&lt;/sup&gt;","plainTextFormattedCitation":"[51]","previouslyFormattedCitation":"&lt;sup&gt;[51]&lt;/sup&gt;"},"properties":{"noteIndex":0},"schema":"https://github.com/citation-style-language/schema/raw/master/csl-citation.json"}</w:instrText>
            </w:r>
            <w:r>
              <w:fldChar w:fldCharType="separate"/>
            </w:r>
            <w:r w:rsidRPr="001F5541">
              <w:rPr>
                <w:noProof/>
                <w:vertAlign w:val="superscript"/>
              </w:rPr>
              <w:t>[51]</w:t>
            </w:r>
            <w:r>
              <w:fldChar w:fldCharType="end"/>
            </w:r>
          </w:p>
        </w:tc>
      </w:tr>
      <w:tr w:rsidR="00956062" w:rsidRPr="00BA528B" w14:paraId="3991016A" w14:textId="77777777" w:rsidTr="00AD0201">
        <w:tc>
          <w:tcPr>
            <w:cnfStyle w:val="001000000000" w:firstRow="0" w:lastRow="0" w:firstColumn="1" w:lastColumn="0" w:oddVBand="0" w:evenVBand="0" w:oddHBand="0" w:evenHBand="0" w:firstRowFirstColumn="0" w:firstRowLastColumn="0" w:lastRowFirstColumn="0" w:lastRowLastColumn="0"/>
            <w:tcW w:w="0" w:type="auto"/>
          </w:tcPr>
          <w:p w14:paraId="567DB49D" w14:textId="77777777" w:rsidR="00956062" w:rsidRPr="00BA528B" w:rsidRDefault="00956062" w:rsidP="00956062">
            <w:pPr>
              <w:pStyle w:val="Tabletextnormal"/>
            </w:pPr>
            <w:r w:rsidRPr="00BA528B">
              <w:t>LtaS_Forward</w:t>
            </w:r>
          </w:p>
        </w:tc>
        <w:tc>
          <w:tcPr>
            <w:tcW w:w="0" w:type="auto"/>
            <w:vMerge w:val="restart"/>
            <w:vAlign w:val="center"/>
          </w:tcPr>
          <w:p w14:paraId="2F86DB94" w14:textId="77777777" w:rsidR="00956062" w:rsidRPr="00BA528B" w:rsidRDefault="00956062" w:rsidP="004E2A97">
            <w:pPr>
              <w:pStyle w:val="Tabletextnormal"/>
              <w:jc w:val="center"/>
              <w:cnfStyle w:val="000000000000" w:firstRow="0" w:lastRow="0" w:firstColumn="0" w:lastColumn="0" w:oddVBand="0" w:evenVBand="0" w:oddHBand="0" w:evenHBand="0" w:firstRowFirstColumn="0" w:firstRowLastColumn="0" w:lastRowFirstColumn="0" w:lastRowLastColumn="0"/>
              <w:rPr>
                <w:i/>
              </w:rPr>
            </w:pPr>
            <w:r w:rsidRPr="00BA528B">
              <w:rPr>
                <w:i/>
              </w:rPr>
              <w:t>ltaS</w:t>
            </w:r>
          </w:p>
        </w:tc>
        <w:tc>
          <w:tcPr>
            <w:tcW w:w="3526" w:type="dxa"/>
          </w:tcPr>
          <w:p w14:paraId="63A28FDC" w14:textId="77777777" w:rsidR="00956062" w:rsidRPr="00BA528B" w:rsidRDefault="00956062" w:rsidP="00956062">
            <w:pPr>
              <w:pStyle w:val="Tabletextnormal"/>
              <w:cnfStyle w:val="000000000000" w:firstRow="0" w:lastRow="0" w:firstColumn="0" w:lastColumn="0" w:oddVBand="0" w:evenVBand="0" w:oddHBand="0" w:evenHBand="0" w:firstRowFirstColumn="0" w:firstRowLastColumn="0" w:lastRowFirstColumn="0" w:lastRowLastColumn="0"/>
            </w:pPr>
            <w:r w:rsidRPr="00BA528B">
              <w:t>TAAAGAAACTTACACAAGCAAA</w:t>
            </w:r>
          </w:p>
        </w:tc>
        <w:tc>
          <w:tcPr>
            <w:tcW w:w="0" w:type="auto"/>
          </w:tcPr>
          <w:p w14:paraId="6E75D59E" w14:textId="77777777" w:rsidR="00956062" w:rsidRPr="00BA528B" w:rsidRDefault="00956062" w:rsidP="00956062">
            <w:pPr>
              <w:pStyle w:val="Tabletextnormal"/>
              <w:cnfStyle w:val="000000000000" w:firstRow="0" w:lastRow="0" w:firstColumn="0" w:lastColumn="0" w:oddVBand="0" w:evenVBand="0" w:oddHBand="0" w:evenHBand="0" w:firstRowFirstColumn="0" w:firstRowLastColumn="0" w:lastRowFirstColumn="0" w:lastRowLastColumn="0"/>
            </w:pPr>
            <w:r w:rsidRPr="00BA528B">
              <w:t>This study</w:t>
            </w:r>
          </w:p>
        </w:tc>
      </w:tr>
      <w:tr w:rsidR="00956062" w:rsidRPr="00BA528B" w14:paraId="765E6968" w14:textId="77777777" w:rsidTr="00AD0201">
        <w:tc>
          <w:tcPr>
            <w:cnfStyle w:val="001000000000" w:firstRow="0" w:lastRow="0" w:firstColumn="1" w:lastColumn="0" w:oddVBand="0" w:evenVBand="0" w:oddHBand="0" w:evenHBand="0" w:firstRowFirstColumn="0" w:firstRowLastColumn="0" w:lastRowFirstColumn="0" w:lastRowLastColumn="0"/>
            <w:tcW w:w="0" w:type="auto"/>
          </w:tcPr>
          <w:p w14:paraId="0AF01275" w14:textId="77777777" w:rsidR="00956062" w:rsidRPr="00BA528B" w:rsidRDefault="00956062" w:rsidP="00956062">
            <w:pPr>
              <w:pStyle w:val="Tabletextnormal"/>
            </w:pPr>
            <w:r w:rsidRPr="00BA528B">
              <w:t>LtaS_Reverse</w:t>
            </w:r>
          </w:p>
        </w:tc>
        <w:tc>
          <w:tcPr>
            <w:tcW w:w="0" w:type="auto"/>
            <w:vMerge/>
            <w:vAlign w:val="center"/>
          </w:tcPr>
          <w:p w14:paraId="3700C8E7" w14:textId="77777777" w:rsidR="00956062" w:rsidRPr="00BA528B" w:rsidRDefault="00956062" w:rsidP="004E2A97">
            <w:pPr>
              <w:pStyle w:val="Tabletextnormal"/>
              <w:jc w:val="center"/>
              <w:cnfStyle w:val="000000000000" w:firstRow="0" w:lastRow="0" w:firstColumn="0" w:lastColumn="0" w:oddVBand="0" w:evenVBand="0" w:oddHBand="0" w:evenHBand="0" w:firstRowFirstColumn="0" w:firstRowLastColumn="0" w:lastRowFirstColumn="0" w:lastRowLastColumn="0"/>
              <w:rPr>
                <w:i/>
              </w:rPr>
            </w:pPr>
          </w:p>
        </w:tc>
        <w:tc>
          <w:tcPr>
            <w:tcW w:w="3526" w:type="dxa"/>
          </w:tcPr>
          <w:p w14:paraId="34281AD0" w14:textId="77777777" w:rsidR="00956062" w:rsidRPr="00BA528B" w:rsidRDefault="00956062" w:rsidP="00956062">
            <w:pPr>
              <w:pStyle w:val="Tabletextnormal"/>
              <w:cnfStyle w:val="000000000000" w:firstRow="0" w:lastRow="0" w:firstColumn="0" w:lastColumn="0" w:oddVBand="0" w:evenVBand="0" w:oddHBand="0" w:evenHBand="0" w:firstRowFirstColumn="0" w:firstRowLastColumn="0" w:lastRowFirstColumn="0" w:lastRowLastColumn="0"/>
            </w:pPr>
            <w:r w:rsidRPr="00BA528B">
              <w:t>CCATACCCATCTTCCTTCTTC</w:t>
            </w:r>
          </w:p>
        </w:tc>
        <w:tc>
          <w:tcPr>
            <w:tcW w:w="0" w:type="auto"/>
          </w:tcPr>
          <w:p w14:paraId="01996FB0" w14:textId="77777777" w:rsidR="00956062" w:rsidRPr="00BA528B" w:rsidRDefault="00956062" w:rsidP="00956062">
            <w:pPr>
              <w:pStyle w:val="Tabletextnormal"/>
              <w:cnfStyle w:val="000000000000" w:firstRow="0" w:lastRow="0" w:firstColumn="0" w:lastColumn="0" w:oddVBand="0" w:evenVBand="0" w:oddHBand="0" w:evenHBand="0" w:firstRowFirstColumn="0" w:firstRowLastColumn="0" w:lastRowFirstColumn="0" w:lastRowLastColumn="0"/>
            </w:pPr>
            <w:r w:rsidRPr="00BA528B">
              <w:t>This study</w:t>
            </w:r>
          </w:p>
        </w:tc>
      </w:tr>
      <w:tr w:rsidR="00FF2135" w:rsidRPr="00BA528B" w14:paraId="17E550A0" w14:textId="77777777" w:rsidTr="00AD0201">
        <w:tc>
          <w:tcPr>
            <w:cnfStyle w:val="001000000000" w:firstRow="0" w:lastRow="0" w:firstColumn="1" w:lastColumn="0" w:oddVBand="0" w:evenVBand="0" w:oddHBand="0" w:evenHBand="0" w:firstRowFirstColumn="0" w:firstRowLastColumn="0" w:lastRowFirstColumn="0" w:lastRowLastColumn="0"/>
            <w:tcW w:w="0" w:type="auto"/>
          </w:tcPr>
          <w:p w14:paraId="1EFEBD03" w14:textId="77777777" w:rsidR="00FF2135" w:rsidRPr="00BA528B" w:rsidRDefault="00FF2135" w:rsidP="00FF2135">
            <w:pPr>
              <w:pStyle w:val="Tabletextnormal"/>
            </w:pPr>
            <w:r w:rsidRPr="00BA528B">
              <w:t>KanR_FW_For</w:t>
            </w:r>
          </w:p>
        </w:tc>
        <w:tc>
          <w:tcPr>
            <w:tcW w:w="0" w:type="auto"/>
            <w:vMerge w:val="restart"/>
            <w:vAlign w:val="center"/>
          </w:tcPr>
          <w:p w14:paraId="2DA5CF44" w14:textId="77777777" w:rsidR="00FF2135" w:rsidRPr="00BA528B" w:rsidRDefault="00FF2135" w:rsidP="00FF2135">
            <w:pPr>
              <w:pStyle w:val="Tabletextnormal"/>
              <w:jc w:val="center"/>
              <w:cnfStyle w:val="000000000000" w:firstRow="0" w:lastRow="0" w:firstColumn="0" w:lastColumn="0" w:oddVBand="0" w:evenVBand="0" w:oddHBand="0" w:evenHBand="0" w:firstRowFirstColumn="0" w:firstRowLastColumn="0" w:lastRowFirstColumn="0" w:lastRowLastColumn="0"/>
            </w:pPr>
            <w:r w:rsidRPr="00BA528B">
              <w:rPr>
                <w:i/>
              </w:rPr>
              <w:t>kanR</w:t>
            </w:r>
          </w:p>
        </w:tc>
        <w:tc>
          <w:tcPr>
            <w:tcW w:w="3526" w:type="dxa"/>
          </w:tcPr>
          <w:p w14:paraId="4D0D3FDD" w14:textId="77777777" w:rsidR="00FF2135" w:rsidRPr="00BA528B" w:rsidRDefault="00FF2135" w:rsidP="00FF2135">
            <w:pPr>
              <w:pStyle w:val="Tabletextnormal"/>
              <w:cnfStyle w:val="000000000000" w:firstRow="0" w:lastRow="0" w:firstColumn="0" w:lastColumn="0" w:oddVBand="0" w:evenVBand="0" w:oddHBand="0" w:evenHBand="0" w:firstRowFirstColumn="0" w:firstRowLastColumn="0" w:lastRowFirstColumn="0" w:lastRowLastColumn="0"/>
            </w:pPr>
            <w:r w:rsidRPr="00BA528B">
              <w:t>GTTCCAAAGGTCCTGCACTTTG</w:t>
            </w:r>
          </w:p>
        </w:tc>
        <w:tc>
          <w:tcPr>
            <w:tcW w:w="0" w:type="auto"/>
          </w:tcPr>
          <w:p w14:paraId="1057EB29" w14:textId="6B12D2B6" w:rsidR="00FF2135" w:rsidRPr="00BA528B" w:rsidRDefault="00FF2135" w:rsidP="00FF2135">
            <w:pPr>
              <w:pStyle w:val="Tabletextnormal"/>
              <w:cnfStyle w:val="000000000000" w:firstRow="0" w:lastRow="0" w:firstColumn="0" w:lastColumn="0" w:oddVBand="0" w:evenVBand="0" w:oddHBand="0" w:evenHBand="0" w:firstRowFirstColumn="0" w:firstRowLastColumn="0" w:lastRowFirstColumn="0" w:lastRowLastColumn="0"/>
            </w:pPr>
            <w:r w:rsidRPr="00BA528B">
              <w:t>Panchal</w:t>
            </w:r>
            <w:r>
              <w:t xml:space="preserve"> (2018) </w:t>
            </w:r>
            <w:r>
              <w:fldChar w:fldCharType="begin" w:fldLock="1"/>
            </w:r>
            <w:r>
              <w:instrText>ADDIN CSL_CITATION {"citationItems":[{"id":"ITEM-1","itemData":{"author":[{"dropping-particle":"","family":"Panchal","given":"Viralkumar Vijaybhai","non-dropping-particle":"","parse-names":false,"suffix":""}],"id":"ITEM-1","issue":"July","issued":{"date-parts":[["2018"]]},"publisher":"The University of Sheffield","title":"The molecular basis of high-level methicillin resistance in Staphylococcus aureus","type":"thesis"},"uris":["http://www.mendeley.com/documents/?uuid=46732959-acb6-4cc1-ae23-7b0cbfe2b3e4"]}],"mendeley":{"formattedCitation":"&lt;sup&gt;[51]&lt;/sup&gt;","plainTextFormattedCitation":"[51]","previouslyFormattedCitation":"&lt;sup&gt;[51]&lt;/sup&gt;"},"properties":{"noteIndex":0},"schema":"https://github.com/citation-style-language/schema/raw/master/csl-citation.json"}</w:instrText>
            </w:r>
            <w:r>
              <w:fldChar w:fldCharType="separate"/>
            </w:r>
            <w:r w:rsidRPr="001F5541">
              <w:rPr>
                <w:noProof/>
                <w:vertAlign w:val="superscript"/>
              </w:rPr>
              <w:t>[51]</w:t>
            </w:r>
            <w:r>
              <w:fldChar w:fldCharType="end"/>
            </w:r>
          </w:p>
        </w:tc>
      </w:tr>
      <w:tr w:rsidR="00FF2135" w:rsidRPr="00BA528B" w14:paraId="616A0F6C" w14:textId="77777777" w:rsidTr="00AD0201">
        <w:tc>
          <w:tcPr>
            <w:cnfStyle w:val="001000000000" w:firstRow="0" w:lastRow="0" w:firstColumn="1" w:lastColumn="0" w:oddVBand="0" w:evenVBand="0" w:oddHBand="0" w:evenHBand="0" w:firstRowFirstColumn="0" w:firstRowLastColumn="0" w:lastRowFirstColumn="0" w:lastRowLastColumn="0"/>
            <w:tcW w:w="0" w:type="auto"/>
          </w:tcPr>
          <w:p w14:paraId="5352BD9A" w14:textId="77777777" w:rsidR="00FF2135" w:rsidRPr="00BA528B" w:rsidRDefault="00FF2135" w:rsidP="00FF2135">
            <w:pPr>
              <w:pStyle w:val="Tabletextnormal"/>
            </w:pPr>
            <w:r w:rsidRPr="00BA528B">
              <w:t>KanR_FW_Rev</w:t>
            </w:r>
          </w:p>
        </w:tc>
        <w:tc>
          <w:tcPr>
            <w:tcW w:w="0" w:type="auto"/>
            <w:vMerge/>
          </w:tcPr>
          <w:p w14:paraId="28408E9E" w14:textId="77777777" w:rsidR="00FF2135" w:rsidRPr="00BA528B" w:rsidRDefault="00FF2135" w:rsidP="00FF2135">
            <w:pPr>
              <w:pStyle w:val="Tabletextnormal"/>
              <w:cnfStyle w:val="000000000000" w:firstRow="0" w:lastRow="0" w:firstColumn="0" w:lastColumn="0" w:oddVBand="0" w:evenVBand="0" w:oddHBand="0" w:evenHBand="0" w:firstRowFirstColumn="0" w:firstRowLastColumn="0" w:lastRowFirstColumn="0" w:lastRowLastColumn="0"/>
            </w:pPr>
          </w:p>
        </w:tc>
        <w:tc>
          <w:tcPr>
            <w:tcW w:w="3526" w:type="dxa"/>
          </w:tcPr>
          <w:p w14:paraId="4FAC1CCA" w14:textId="77777777" w:rsidR="00FF2135" w:rsidRPr="00BA528B" w:rsidRDefault="00FF2135" w:rsidP="00FF2135">
            <w:pPr>
              <w:pStyle w:val="Tabletextnormal"/>
              <w:cnfStyle w:val="000000000000" w:firstRow="0" w:lastRow="0" w:firstColumn="0" w:lastColumn="0" w:oddVBand="0" w:evenVBand="0" w:oddHBand="0" w:evenHBand="0" w:firstRowFirstColumn="0" w:firstRowLastColumn="0" w:lastRowFirstColumn="0" w:lastRowLastColumn="0"/>
            </w:pPr>
            <w:r w:rsidRPr="00BA528B">
              <w:t>CTTACTTTGCCATCTTTCACAAAGATG</w:t>
            </w:r>
          </w:p>
        </w:tc>
        <w:tc>
          <w:tcPr>
            <w:tcW w:w="0" w:type="auto"/>
          </w:tcPr>
          <w:p w14:paraId="18D93F9C" w14:textId="18F14A26" w:rsidR="00FF2135" w:rsidRPr="00BA528B" w:rsidRDefault="00FF2135" w:rsidP="00FF2135">
            <w:pPr>
              <w:pStyle w:val="Tabletextnormal"/>
              <w:keepNext/>
              <w:cnfStyle w:val="000000000000" w:firstRow="0" w:lastRow="0" w:firstColumn="0" w:lastColumn="0" w:oddVBand="0" w:evenVBand="0" w:oddHBand="0" w:evenHBand="0" w:firstRowFirstColumn="0" w:firstRowLastColumn="0" w:lastRowFirstColumn="0" w:lastRowLastColumn="0"/>
            </w:pPr>
            <w:r w:rsidRPr="00BA528B">
              <w:t>Panchal</w:t>
            </w:r>
            <w:r>
              <w:t xml:space="preserve"> (2018) </w:t>
            </w:r>
            <w:r>
              <w:fldChar w:fldCharType="begin" w:fldLock="1"/>
            </w:r>
            <w:r>
              <w:instrText>ADDIN CSL_CITATION {"citationItems":[{"id":"ITEM-1","itemData":{"author":[{"dropping-particle":"","family":"Panchal","given":"Viralkumar Vijaybhai","non-dropping-particle":"","parse-names":false,"suffix":""}],"id":"ITEM-1","issue":"July","issued":{"date-parts":[["2018"]]},"publisher":"The University of Sheffield","title":"The molecular basis of high-level methicillin resistance in Staphylococcus aureus","type":"thesis"},"uris":["http://www.mendeley.com/documents/?uuid=46732959-acb6-4cc1-ae23-7b0cbfe2b3e4"]}],"mendeley":{"formattedCitation":"&lt;sup&gt;[51]&lt;/sup&gt;","plainTextFormattedCitation":"[51]","previouslyFormattedCitation":"&lt;sup&gt;[51]&lt;/sup&gt;"},"properties":{"noteIndex":0},"schema":"https://github.com/citation-style-language/schema/raw/master/csl-citation.json"}</w:instrText>
            </w:r>
            <w:r>
              <w:fldChar w:fldCharType="separate"/>
            </w:r>
            <w:r w:rsidRPr="001F5541">
              <w:rPr>
                <w:noProof/>
                <w:vertAlign w:val="superscript"/>
              </w:rPr>
              <w:t>[51]</w:t>
            </w:r>
            <w:r>
              <w:fldChar w:fldCharType="end"/>
            </w:r>
          </w:p>
        </w:tc>
      </w:tr>
    </w:tbl>
    <w:p w14:paraId="77C3E5D6" w14:textId="05D1DAC6" w:rsidR="00956062" w:rsidRDefault="00956062" w:rsidP="008A2B86">
      <w:pPr>
        <w:pStyle w:val="Caption"/>
      </w:pPr>
      <w:bookmarkStart w:id="314" w:name="_Ref74496496"/>
      <w:bookmarkStart w:id="315" w:name="_Toc90217049"/>
      <w:r>
        <w:t xml:space="preserve">Table </w:t>
      </w:r>
      <w:r w:rsidR="003373BF">
        <w:fldChar w:fldCharType="begin"/>
      </w:r>
      <w:r w:rsidR="003373BF">
        <w:instrText xml:space="preserve"> STYLEREF 1 \s </w:instrText>
      </w:r>
      <w:r w:rsidR="003373BF">
        <w:fldChar w:fldCharType="separate"/>
      </w:r>
      <w:r w:rsidR="00183CC8">
        <w:rPr>
          <w:noProof/>
        </w:rPr>
        <w:t>2</w:t>
      </w:r>
      <w:r w:rsidR="003373BF">
        <w:rPr>
          <w:noProof/>
        </w:rPr>
        <w:fldChar w:fldCharType="end"/>
      </w:r>
      <w:r w:rsidR="00F12B90">
        <w:t>.</w:t>
      </w:r>
      <w:r w:rsidR="003373BF">
        <w:fldChar w:fldCharType="begin"/>
      </w:r>
      <w:r w:rsidR="003373BF">
        <w:instrText xml:space="preserve"> SEQ Table \* ARABIC \s 1 </w:instrText>
      </w:r>
      <w:r w:rsidR="003373BF">
        <w:fldChar w:fldCharType="separate"/>
      </w:r>
      <w:r w:rsidR="00183CC8">
        <w:rPr>
          <w:noProof/>
        </w:rPr>
        <w:t>3</w:t>
      </w:r>
      <w:r w:rsidR="003373BF">
        <w:rPr>
          <w:noProof/>
        </w:rPr>
        <w:fldChar w:fldCharType="end"/>
      </w:r>
      <w:bookmarkEnd w:id="314"/>
      <w:r>
        <w:t>. List of primers used in this study.</w:t>
      </w:r>
      <w:bookmarkEnd w:id="315"/>
    </w:p>
    <w:p w14:paraId="7E64B204" w14:textId="77777777" w:rsidR="0046664E" w:rsidRPr="0046664E" w:rsidRDefault="0046664E" w:rsidP="0046664E">
      <w:pPr>
        <w:pStyle w:val="NoSpacing"/>
      </w:pPr>
    </w:p>
    <w:p w14:paraId="3011AEF5" w14:textId="7924D758" w:rsidR="004B0C7E" w:rsidRDefault="004B0C7E" w:rsidP="004B0C7E">
      <w:pPr>
        <w:pStyle w:val="Heading2"/>
      </w:pPr>
      <w:bookmarkStart w:id="316" w:name="_Toc64276332"/>
      <w:bookmarkStart w:id="317" w:name="_Toc64276636"/>
      <w:bookmarkStart w:id="318" w:name="_Toc64276848"/>
      <w:bookmarkStart w:id="319" w:name="_Toc90216794"/>
      <w:r w:rsidRPr="005B0F81">
        <w:t>Bacterial strains</w:t>
      </w:r>
      <w:bookmarkEnd w:id="316"/>
      <w:bookmarkEnd w:id="317"/>
      <w:bookmarkEnd w:id="318"/>
      <w:r w:rsidR="00B42F0F">
        <w:t xml:space="preserve"> and storage</w:t>
      </w:r>
      <w:r w:rsidR="007006CC">
        <w:t>.</w:t>
      </w:r>
      <w:bookmarkEnd w:id="319"/>
    </w:p>
    <w:p w14:paraId="0F720AF1" w14:textId="15664B2D" w:rsidR="00B42F0F" w:rsidRPr="00051EC9" w:rsidRDefault="00B42F0F" w:rsidP="00B42F0F">
      <w:pPr>
        <w:pStyle w:val="Heading3"/>
      </w:pPr>
      <w:bookmarkStart w:id="320" w:name="_Toc90216795"/>
      <w:r>
        <w:t>Storage of bacterial strains</w:t>
      </w:r>
      <w:r w:rsidR="007006CC">
        <w:t>.</w:t>
      </w:r>
      <w:bookmarkEnd w:id="320"/>
    </w:p>
    <w:p w14:paraId="251A8995" w14:textId="08C16FF4" w:rsidR="00B42F0F" w:rsidRDefault="00B42F0F" w:rsidP="00B42F0F">
      <w:r>
        <w:t xml:space="preserve">All strains were stored </w:t>
      </w:r>
      <w:r w:rsidR="002C4868">
        <w:t>as</w:t>
      </w:r>
      <w:r>
        <w:t xml:space="preserve"> Microbank bead frozen stocks at </w:t>
      </w:r>
      <w:r w:rsidR="00BF5BC1">
        <w:t>– </w:t>
      </w:r>
      <w:r>
        <w:t xml:space="preserve">80 °C. A single bead was used to streak each strain onto a TSA plate containing the appropriate concentration of antibiotics, if required (see </w:t>
      </w:r>
      <w:r>
        <w:rPr>
          <w:highlight w:val="yellow"/>
        </w:rPr>
        <w:fldChar w:fldCharType="begin"/>
      </w:r>
      <w:r>
        <w:instrText xml:space="preserve"> REF _Ref74484583 \h </w:instrText>
      </w:r>
      <w:r>
        <w:rPr>
          <w:highlight w:val="yellow"/>
        </w:rPr>
      </w:r>
      <w:r>
        <w:rPr>
          <w:highlight w:val="yellow"/>
        </w:rPr>
        <w:fldChar w:fldCharType="separate"/>
      </w:r>
      <w:r w:rsidR="00183CC8">
        <w:t xml:space="preserve">Table </w:t>
      </w:r>
      <w:r w:rsidR="00183CC8">
        <w:rPr>
          <w:noProof/>
        </w:rPr>
        <w:t>2</w:t>
      </w:r>
      <w:r w:rsidR="00183CC8">
        <w:t>.</w:t>
      </w:r>
      <w:r w:rsidR="00183CC8">
        <w:rPr>
          <w:noProof/>
        </w:rPr>
        <w:t>4</w:t>
      </w:r>
      <w:r>
        <w:rPr>
          <w:highlight w:val="yellow"/>
        </w:rPr>
        <w:fldChar w:fldCharType="end"/>
      </w:r>
      <w:r>
        <w:t>).</w:t>
      </w:r>
    </w:p>
    <w:p w14:paraId="1F85CB5D" w14:textId="105EA8BC" w:rsidR="00B42F0F" w:rsidRDefault="00B42F0F" w:rsidP="00B42F0F">
      <w:pPr>
        <w:pStyle w:val="Heading3"/>
      </w:pPr>
      <w:bookmarkStart w:id="321" w:name="_Toc90216796"/>
      <w:r>
        <w:t xml:space="preserve">Bacterial </w:t>
      </w:r>
      <w:r w:rsidR="00EF2AFD">
        <w:t>s</w:t>
      </w:r>
      <w:r>
        <w:t>trains</w:t>
      </w:r>
      <w:r w:rsidR="007006CC">
        <w:t>.</w:t>
      </w:r>
      <w:bookmarkEnd w:id="321"/>
    </w:p>
    <w:p w14:paraId="769CF697" w14:textId="1B262212" w:rsidR="00B42F0F" w:rsidRDefault="00B42F0F" w:rsidP="00B42F0F">
      <w:r>
        <w:t xml:space="preserve">A list of all the bacterial strains used in this study can be found in </w:t>
      </w:r>
      <w:r>
        <w:fldChar w:fldCharType="begin"/>
      </w:r>
      <w:r>
        <w:instrText xml:space="preserve"> REF _Ref74484583 \h </w:instrText>
      </w:r>
      <w:r>
        <w:fldChar w:fldCharType="separate"/>
      </w:r>
      <w:r w:rsidR="00183CC8">
        <w:t xml:space="preserve">Table </w:t>
      </w:r>
      <w:r w:rsidR="00183CC8">
        <w:rPr>
          <w:noProof/>
        </w:rPr>
        <w:t>2</w:t>
      </w:r>
      <w:r w:rsidR="00183CC8">
        <w:t>.</w:t>
      </w:r>
      <w:r w:rsidR="00183CC8">
        <w:rPr>
          <w:noProof/>
        </w:rPr>
        <w:t>4</w:t>
      </w:r>
      <w:r>
        <w:fldChar w:fldCharType="end"/>
      </w:r>
      <w:r>
        <w:t>.</w:t>
      </w:r>
    </w:p>
    <w:p w14:paraId="5842BADC" w14:textId="130781CF" w:rsidR="00484046" w:rsidRDefault="00484046" w:rsidP="00B42F0F"/>
    <w:p w14:paraId="220BADA7" w14:textId="3511B623" w:rsidR="00484046" w:rsidRDefault="00484046" w:rsidP="00B42F0F"/>
    <w:p w14:paraId="038527B9" w14:textId="265190DE" w:rsidR="00484046" w:rsidRDefault="00484046" w:rsidP="00B42F0F"/>
    <w:p w14:paraId="61626791" w14:textId="77777777" w:rsidR="00484046" w:rsidRPr="00B42F0F" w:rsidRDefault="00484046" w:rsidP="00B42F0F"/>
    <w:tbl>
      <w:tblPr>
        <w:tblStyle w:val="GridTable1Light"/>
        <w:tblW w:w="10433" w:type="dxa"/>
        <w:tblLook w:val="04A0" w:firstRow="1" w:lastRow="0" w:firstColumn="1" w:lastColumn="0" w:noHBand="0" w:noVBand="1"/>
      </w:tblPr>
      <w:tblGrid>
        <w:gridCol w:w="1555"/>
        <w:gridCol w:w="3402"/>
        <w:gridCol w:w="1881"/>
        <w:gridCol w:w="3595"/>
      </w:tblGrid>
      <w:tr w:rsidR="00F12044" w:rsidRPr="009F535F" w14:paraId="407D7304" w14:textId="77777777" w:rsidTr="00E51D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bottom w:val="double" w:sz="4" w:space="0" w:color="auto"/>
            </w:tcBorders>
          </w:tcPr>
          <w:p w14:paraId="44FC6BD3" w14:textId="77777777" w:rsidR="00956062" w:rsidRPr="009F535F" w:rsidRDefault="00956062" w:rsidP="004E2A97">
            <w:pPr>
              <w:pStyle w:val="Tabletextnormal"/>
            </w:pPr>
            <w:r w:rsidRPr="009F535F">
              <w:lastRenderedPageBreak/>
              <w:t>Strain</w:t>
            </w:r>
          </w:p>
        </w:tc>
        <w:tc>
          <w:tcPr>
            <w:tcW w:w="3402" w:type="dxa"/>
            <w:tcBorders>
              <w:bottom w:val="double" w:sz="4" w:space="0" w:color="auto"/>
            </w:tcBorders>
          </w:tcPr>
          <w:p w14:paraId="22C169ED" w14:textId="77777777" w:rsidR="00956062" w:rsidRPr="009F535F" w:rsidRDefault="00956062" w:rsidP="004E2A97">
            <w:pPr>
              <w:pStyle w:val="Tabletextnormal"/>
              <w:cnfStyle w:val="100000000000" w:firstRow="1" w:lastRow="0" w:firstColumn="0" w:lastColumn="0" w:oddVBand="0" w:evenVBand="0" w:oddHBand="0" w:evenHBand="0" w:firstRowFirstColumn="0" w:firstRowLastColumn="0" w:lastRowFirstColumn="0" w:lastRowLastColumn="0"/>
            </w:pPr>
            <w:r w:rsidRPr="009F535F">
              <w:t>Genotype/markers</w:t>
            </w:r>
          </w:p>
        </w:tc>
        <w:tc>
          <w:tcPr>
            <w:tcW w:w="1881" w:type="dxa"/>
            <w:tcBorders>
              <w:bottom w:val="double" w:sz="4" w:space="0" w:color="auto"/>
            </w:tcBorders>
          </w:tcPr>
          <w:p w14:paraId="71096EA1" w14:textId="77777777" w:rsidR="00956062" w:rsidRPr="009F535F" w:rsidRDefault="00956062" w:rsidP="004E2A97">
            <w:pPr>
              <w:pStyle w:val="Tabletextnormal"/>
              <w:cnfStyle w:val="100000000000" w:firstRow="1" w:lastRow="0" w:firstColumn="0" w:lastColumn="0" w:oddVBand="0" w:evenVBand="0" w:oddHBand="0" w:evenHBand="0" w:firstRowFirstColumn="0" w:firstRowLastColumn="0" w:lastRowFirstColumn="0" w:lastRowLastColumn="0"/>
            </w:pPr>
            <w:r w:rsidRPr="009F535F">
              <w:t>Growth conditions</w:t>
            </w:r>
          </w:p>
        </w:tc>
        <w:tc>
          <w:tcPr>
            <w:tcW w:w="3595" w:type="dxa"/>
            <w:tcBorders>
              <w:bottom w:val="double" w:sz="4" w:space="0" w:color="auto"/>
            </w:tcBorders>
          </w:tcPr>
          <w:p w14:paraId="11E605E9" w14:textId="77777777" w:rsidR="00956062" w:rsidRPr="009F535F" w:rsidRDefault="00956062" w:rsidP="004E2A97">
            <w:pPr>
              <w:pStyle w:val="Tabletextnormal"/>
              <w:cnfStyle w:val="100000000000" w:firstRow="1" w:lastRow="0" w:firstColumn="0" w:lastColumn="0" w:oddVBand="0" w:evenVBand="0" w:oddHBand="0" w:evenHBand="0" w:firstRowFirstColumn="0" w:firstRowLastColumn="0" w:lastRowFirstColumn="0" w:lastRowLastColumn="0"/>
            </w:pPr>
            <w:r w:rsidRPr="009F535F">
              <w:t>Source</w:t>
            </w:r>
          </w:p>
        </w:tc>
      </w:tr>
      <w:tr w:rsidR="00F12044" w:rsidRPr="009F535F" w14:paraId="49EE2FD7" w14:textId="77777777" w:rsidTr="00E51D70">
        <w:trPr>
          <w:trHeight w:val="311"/>
        </w:trPr>
        <w:tc>
          <w:tcPr>
            <w:cnfStyle w:val="001000000000" w:firstRow="0" w:lastRow="0" w:firstColumn="1" w:lastColumn="0" w:oddVBand="0" w:evenVBand="0" w:oddHBand="0" w:evenHBand="0" w:firstRowFirstColumn="0" w:firstRowLastColumn="0" w:lastRowFirstColumn="0" w:lastRowLastColumn="0"/>
            <w:tcW w:w="1555" w:type="dxa"/>
            <w:tcBorders>
              <w:top w:val="double" w:sz="4" w:space="0" w:color="auto"/>
            </w:tcBorders>
          </w:tcPr>
          <w:p w14:paraId="27B24336" w14:textId="662294E9" w:rsidR="00956062" w:rsidRPr="009F535F" w:rsidRDefault="00956062" w:rsidP="004E2A97">
            <w:pPr>
              <w:pStyle w:val="Tabletextnormal"/>
            </w:pPr>
            <w:r w:rsidRPr="009F535F">
              <w:t>SH1000</w:t>
            </w:r>
            <w:r w:rsidR="005A7B3A" w:rsidRPr="009F535F">
              <w:t xml:space="preserve"> (SJF 682)</w:t>
            </w:r>
          </w:p>
        </w:tc>
        <w:tc>
          <w:tcPr>
            <w:tcW w:w="3402" w:type="dxa"/>
            <w:tcBorders>
              <w:top w:val="double" w:sz="4" w:space="0" w:color="auto"/>
            </w:tcBorders>
          </w:tcPr>
          <w:p w14:paraId="7CC93186" w14:textId="77777777"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 xml:space="preserve">Functional </w:t>
            </w:r>
            <w:r w:rsidRPr="009F535F">
              <w:rPr>
                <w:i/>
                <w:iCs/>
              </w:rPr>
              <w:t>rsbU</w:t>
            </w:r>
            <w:r w:rsidRPr="009F535F">
              <w:rPr>
                <w:vertAlign w:val="superscript"/>
              </w:rPr>
              <w:t>+</w:t>
            </w:r>
            <w:r w:rsidRPr="009F535F">
              <w:t xml:space="preserve"> derivative of </w:t>
            </w:r>
            <w:r w:rsidRPr="009F535F">
              <w:rPr>
                <w:i/>
                <w:iCs/>
              </w:rPr>
              <w:t>S. aureus</w:t>
            </w:r>
            <w:r w:rsidRPr="009F535F">
              <w:t xml:space="preserve"> 8324–5</w:t>
            </w:r>
          </w:p>
        </w:tc>
        <w:tc>
          <w:tcPr>
            <w:tcW w:w="1881" w:type="dxa"/>
            <w:tcBorders>
              <w:top w:val="double" w:sz="4" w:space="0" w:color="auto"/>
            </w:tcBorders>
          </w:tcPr>
          <w:p w14:paraId="4D7DE9C0" w14:textId="77777777"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TSB</w:t>
            </w:r>
          </w:p>
        </w:tc>
        <w:tc>
          <w:tcPr>
            <w:tcW w:w="3595" w:type="dxa"/>
            <w:tcBorders>
              <w:top w:val="double" w:sz="4" w:space="0" w:color="auto"/>
            </w:tcBorders>
          </w:tcPr>
          <w:p w14:paraId="727D3F31" w14:textId="28A49FFB"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 xml:space="preserve">Horsbourgh </w:t>
            </w:r>
            <w:r w:rsidRPr="009F535F">
              <w:rPr>
                <w:i/>
              </w:rPr>
              <w:t>et al</w:t>
            </w:r>
            <w:r w:rsidRPr="009F535F">
              <w:t xml:space="preserve">., </w:t>
            </w:r>
            <w:r w:rsidR="00187DDC">
              <w:t>(</w:t>
            </w:r>
            <w:r w:rsidRPr="009F535F">
              <w:t>2002</w:t>
            </w:r>
            <w:r w:rsidR="00187DDC">
              <w:t>)</w:t>
            </w:r>
            <w:r w:rsidRPr="009F535F">
              <w:fldChar w:fldCharType="begin" w:fldLock="1"/>
            </w:r>
            <w:r w:rsidR="0058736C">
              <w:instrText>ADDIN CSL_CITATION {"citationItems":[{"id":"ITEM-1","itemData":{"DOI":"10.1128/JB.184.19.5457-5467.2002","ISSN":"00219193","PMID":"12218034","abstract":"The accessory sigma factor δB controls a general stress response that is thought to be important for Staphylococcus aureus survival and may contribute to virulence. The strain of choice for genetic studies, 8325-4, carries a small deletion in rsbU, which encodes a positive regulator of δB activity. Consequently, to enable the role of δB in virulence to be addressed, we constructed an rsbU+ derivative, SH1000, using a method that does not leave behind an antibiotic resistance marker. The phenotypic properties of SH1000 (8325-4 rsbU+) were characterized and compared to those of 8325-4, the rsbU mutant, parent strain. A recognition site for δB was located in the promoter region of katA, the gene encoding the sole catalase of S. aureus, by primer extension analysis. However, catalase expression and activity were similar in SH1000 (8325-4 rsbU+), suggesting that this promoter may have a minor role in catalase expression under normal conditions. Restoration of δB activity in SH1000 (8325-4 rsbU+) resulted in a marked decrease in the levels of the exoproteins SspA and Hla, and this is likely to be mediated by reduced expression of agr in this strain. By using Western blotting and a sarA-lacZ reporter assay, the levels of SarA were found to be similar in strains 8325-4 and SH1000 (8325-4 rsbU+) and sigB mutant derivatives of these strains. This finding contrasts with previous reports that suggested that SarA expression levels are altered when they are measured transcriptionally. Inactivation of sarA in each of these strains resulted in an expected decrease in agr expression; however, the relative level of agr in SH1000 (8325-4 rsbU+) remained less than the relative levels in 8325-4 and the sigB mutant derivatives. We suggest that SarA is not likely to be the effector in the overall δB-mediated effect on agr expression.","author":[{"dropping-particle":"","family":"Horsburgh","given":"Malcolm J.","non-dropping-particle":"","parse-names":false,"suffix":""},{"dropping-particle":"","family":"Aish","given":"Joanne L.","non-dropping-particle":"","parse-names":false,"suffix":""},{"dropping-particle":"","family":"White","given":"Ian J.","non-dropping-particle":"","parse-names":false,"suffix":""},{"dropping-particle":"","family":"Shaw","given":"Les","non-dropping-particle":"","parse-names":false,"suffix":""},{"dropping-particle":"","family":"Lithgow","given":"James K.","non-dropping-particle":"","parse-names":false,"suffix":""},{"dropping-particle":"","family":"Foster","given":"Simon J.","non-dropping-particle":"","parse-names":false,"suffix":""}],"container-title":"Journal of Bacteriology","id":"ITEM-1","issue":"19","issued":{"date-parts":[["2002"]]},"page":"5457-5467","title":"δb modulates virulence determinant expression and stress resistance: Characterization of a functional rsbU strain derived from Staphylococcus aureus 8325-4","type":"article-journal","volume":"184"},"uris":["http://www.mendeley.com/documents/?uuid=61c189ce-89c9-43fa-a4ac-6c7716fd38b3"]}],"mendeley":{"formattedCitation":"&lt;sup&gt;[232]&lt;/sup&gt;","plainTextFormattedCitation":"[232]","previouslyFormattedCitation":"&lt;sup&gt;[232]&lt;/sup&gt;"},"properties":{"noteIndex":0},"schema":"https://github.com/citation-style-language/schema/raw/master/csl-citation.json"}</w:instrText>
            </w:r>
            <w:r w:rsidRPr="009F535F">
              <w:fldChar w:fldCharType="separate"/>
            </w:r>
            <w:r w:rsidR="002659E5" w:rsidRPr="002659E5">
              <w:rPr>
                <w:noProof/>
                <w:vertAlign w:val="superscript"/>
              </w:rPr>
              <w:t>[232]</w:t>
            </w:r>
            <w:r w:rsidRPr="009F535F">
              <w:fldChar w:fldCharType="end"/>
            </w:r>
            <w:r w:rsidRPr="009F535F">
              <w:t>.</w:t>
            </w:r>
          </w:p>
        </w:tc>
      </w:tr>
      <w:tr w:rsidR="00F12044" w:rsidRPr="009F535F" w14:paraId="07A80E9D" w14:textId="77777777" w:rsidTr="00E51D70">
        <w:trPr>
          <w:trHeight w:val="394"/>
        </w:trPr>
        <w:tc>
          <w:tcPr>
            <w:cnfStyle w:val="001000000000" w:firstRow="0" w:lastRow="0" w:firstColumn="1" w:lastColumn="0" w:oddVBand="0" w:evenVBand="0" w:oddHBand="0" w:evenHBand="0" w:firstRowFirstColumn="0" w:firstRowLastColumn="0" w:lastRowFirstColumn="0" w:lastRowLastColumn="0"/>
            <w:tcW w:w="1555" w:type="dxa"/>
          </w:tcPr>
          <w:p w14:paraId="51AE1A74" w14:textId="59EF6ED9" w:rsidR="00956062" w:rsidRPr="009F535F" w:rsidRDefault="00956062" w:rsidP="004E2A97">
            <w:pPr>
              <w:pStyle w:val="Tabletextnormal"/>
              <w:rPr>
                <w:i/>
              </w:rPr>
            </w:pPr>
            <w:r w:rsidRPr="009F535F">
              <w:rPr>
                <w:i/>
              </w:rPr>
              <w:t>ΔtarO</w:t>
            </w:r>
            <w:r w:rsidR="005A7B3A" w:rsidRPr="009F535F">
              <w:t xml:space="preserve"> (SJF </w:t>
            </w:r>
            <w:r w:rsidR="004D3E48" w:rsidRPr="009F535F">
              <w:t>5289)</w:t>
            </w:r>
          </w:p>
        </w:tc>
        <w:tc>
          <w:tcPr>
            <w:tcW w:w="3402" w:type="dxa"/>
          </w:tcPr>
          <w:p w14:paraId="1F39BBB2" w14:textId="528DA17B"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rPr>
                <w:iCs/>
              </w:rPr>
            </w:pPr>
            <w:r w:rsidRPr="009F535F">
              <w:rPr>
                <w:i/>
              </w:rPr>
              <w:t xml:space="preserve">S. aureus </w:t>
            </w:r>
            <w:r w:rsidRPr="009F535F">
              <w:rPr>
                <w:iCs/>
              </w:rPr>
              <w:t>SH1000</w:t>
            </w:r>
            <w:r w:rsidRPr="009F535F">
              <w:rPr>
                <w:i/>
              </w:rPr>
              <w:t>ΔtarO::er</w:t>
            </w:r>
            <w:r w:rsidR="0006462F" w:rsidRPr="009F535F">
              <w:rPr>
                <w:i/>
              </w:rPr>
              <w:t>m</w:t>
            </w:r>
            <w:r w:rsidRPr="009F535F">
              <w:rPr>
                <w:iCs/>
              </w:rPr>
              <w:t>; Ery</w:t>
            </w:r>
            <w:r w:rsidRPr="009F535F">
              <w:rPr>
                <w:iCs/>
                <w:vertAlign w:val="superscript"/>
              </w:rPr>
              <w:t>R</w:t>
            </w:r>
          </w:p>
        </w:tc>
        <w:tc>
          <w:tcPr>
            <w:tcW w:w="1881" w:type="dxa"/>
          </w:tcPr>
          <w:p w14:paraId="04E25031" w14:textId="18DA5ABC"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TSB</w:t>
            </w:r>
            <w:r w:rsidR="00EF0345">
              <w:t>,</w:t>
            </w:r>
            <w:r w:rsidRPr="009F535F">
              <w:t xml:space="preserve"> ery</w:t>
            </w:r>
            <w:r w:rsidR="00993CDF">
              <w:t xml:space="preserve"> </w:t>
            </w:r>
            <w:r w:rsidRPr="009F535F">
              <w:t>1</w:t>
            </w:r>
            <w:r w:rsidR="00993CDF">
              <w:t> µl</w:t>
            </w:r>
            <w:r w:rsidR="00EF0345">
              <w:t>/ml</w:t>
            </w:r>
            <w:r w:rsidR="00120D16" w:rsidRPr="009F535F">
              <w:t>,</w:t>
            </w:r>
            <w:r w:rsidRPr="009F535F">
              <w:t xml:space="preserve"> Lin</w:t>
            </w:r>
            <w:r w:rsidR="00993CDF">
              <w:t xml:space="preserve"> </w:t>
            </w:r>
            <w:r w:rsidRPr="009F535F">
              <w:t>5</w:t>
            </w:r>
            <w:r w:rsidR="00993CDF">
              <w:t> µl</w:t>
            </w:r>
            <w:r w:rsidR="00EF0345">
              <w:t>/ml</w:t>
            </w:r>
          </w:p>
        </w:tc>
        <w:tc>
          <w:tcPr>
            <w:tcW w:w="3595" w:type="dxa"/>
          </w:tcPr>
          <w:p w14:paraId="792B27F0" w14:textId="491BD6A0" w:rsidR="00956062" w:rsidRPr="009F535F" w:rsidRDefault="00CC7292" w:rsidP="004E2A97">
            <w:pPr>
              <w:pStyle w:val="Tabletextnormal"/>
              <w:cnfStyle w:val="000000000000" w:firstRow="0" w:lastRow="0" w:firstColumn="0" w:lastColumn="0" w:oddVBand="0" w:evenVBand="0" w:oddHBand="0" w:evenHBand="0" w:firstRowFirstColumn="0" w:firstRowLastColumn="0" w:lastRowFirstColumn="0" w:lastRowLastColumn="0"/>
              <w:rPr>
                <w:iCs/>
                <w:highlight w:val="yellow"/>
              </w:rPr>
            </w:pPr>
            <w:r w:rsidRPr="00451AE1">
              <w:rPr>
                <w:iCs/>
              </w:rPr>
              <w:t>Constructed by Dr</w:t>
            </w:r>
            <w:r w:rsidR="0054694E" w:rsidRPr="009F535F">
              <w:rPr>
                <w:iCs/>
              </w:rPr>
              <w:t>.</w:t>
            </w:r>
            <w:r w:rsidRPr="00451AE1">
              <w:rPr>
                <w:iCs/>
              </w:rPr>
              <w:t xml:space="preserve"> B. Salamaga (University of Sheffield)</w:t>
            </w:r>
            <w:r w:rsidR="003D6C21" w:rsidRPr="009F535F">
              <w:rPr>
                <w:iCs/>
              </w:rPr>
              <w:t>.</w:t>
            </w:r>
          </w:p>
        </w:tc>
      </w:tr>
      <w:tr w:rsidR="00F12044" w:rsidRPr="009F535F" w14:paraId="0E6913A8" w14:textId="77777777" w:rsidTr="00E51D70">
        <w:tc>
          <w:tcPr>
            <w:cnfStyle w:val="001000000000" w:firstRow="0" w:lastRow="0" w:firstColumn="1" w:lastColumn="0" w:oddVBand="0" w:evenVBand="0" w:oddHBand="0" w:evenHBand="0" w:firstRowFirstColumn="0" w:firstRowLastColumn="0" w:lastRowFirstColumn="0" w:lastRowLastColumn="0"/>
            <w:tcW w:w="1555" w:type="dxa"/>
          </w:tcPr>
          <w:p w14:paraId="55454A37" w14:textId="19BE7F2D" w:rsidR="00956062" w:rsidRPr="009F535F" w:rsidRDefault="00956062" w:rsidP="004E2A97">
            <w:pPr>
              <w:pStyle w:val="Tabletextnormal"/>
            </w:pPr>
            <w:r w:rsidRPr="009F535F">
              <w:t>RN4220</w:t>
            </w:r>
            <w:r w:rsidR="003675F7" w:rsidRPr="009F535F">
              <w:t xml:space="preserve"> (ANG113, SJF 4962)</w:t>
            </w:r>
          </w:p>
        </w:tc>
        <w:tc>
          <w:tcPr>
            <w:tcW w:w="3402" w:type="dxa"/>
          </w:tcPr>
          <w:p w14:paraId="5E3D0E20" w14:textId="77777777"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RN4220</w:t>
            </w:r>
          </w:p>
        </w:tc>
        <w:tc>
          <w:tcPr>
            <w:tcW w:w="1881" w:type="dxa"/>
          </w:tcPr>
          <w:p w14:paraId="6753BBE9" w14:textId="77777777"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TSB</w:t>
            </w:r>
          </w:p>
        </w:tc>
        <w:tc>
          <w:tcPr>
            <w:tcW w:w="3595" w:type="dxa"/>
          </w:tcPr>
          <w:p w14:paraId="125CD521" w14:textId="3AAAF862"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 xml:space="preserve">Kreiswirth </w:t>
            </w:r>
            <w:r w:rsidRPr="009F535F">
              <w:rPr>
                <w:i/>
                <w:iCs/>
              </w:rPr>
              <w:t>et al</w:t>
            </w:r>
            <w:r w:rsidRPr="009F535F">
              <w:t xml:space="preserve">., </w:t>
            </w:r>
            <w:r w:rsidR="00187DDC">
              <w:t>(</w:t>
            </w:r>
            <w:r w:rsidRPr="009F535F">
              <w:t>1983</w:t>
            </w:r>
            <w:r w:rsidR="00187DDC">
              <w:t>)</w:t>
            </w:r>
            <w:r w:rsidRPr="009F535F">
              <w:fldChar w:fldCharType="begin" w:fldLock="1"/>
            </w:r>
            <w:r w:rsidR="00B3106D">
              <w:instrText>ADDIN CSL_CITATION {"citationItems":[{"id":"ITEM-1","itemData":{"DOI":"10.1038/305709a0","ISBN":"9788578110796","ISSN":"00280836","PMID":"6226876","abstract":"Toxic shock syndrome (TSS) is a complex of generalized symptoms caused by a local staphylococcal infection, and a circulating toxin is thought to be involved. Indeed, nearly 100% of TSS isolates produce an exoprotein, TSSE, that is thought to have an aetiological role on the basis of positive animal tests (refs 1,2 and F. Quimby, personal communication) and human serological data 3. Although the precise role of TSSE in TSS remains unclear (E. Kass, personal communication), no other staphylococcal factor has been implicated. Our preliminary studies of the genetics of TSSE production failed to demonstrate plasmid or phage involvement or linkage with known chromosomal genes (ref. 4 and B.N.K. et al., unpublished data); however, Schutzer et al. have found that most TSS strains harbour prophages with common plating characteristics and suggest that the toxin(s) involved in TSS are transmitted by lysogenic conversion5. We show here that TSSE is not demonstrably transferred by lysogeny; moreover, we have cloned the gene and found that the cloned product is serologically and biologically indistinguishable from the native protein, and that the TSSE determinant is associated with a larger DNA segment that is absent or rearranged in TSSE- strains. © 1983 Nature Publishing Group.","author":[{"dropping-particle":"","family":"Kreiswirth","given":"Barry N.","non-dropping-particle":"","parse-names":false,"suffix":""},{"dropping-particle":"","family":"Löfdahl","given":"Sven","non-dropping-particle":"","parse-names":false,"suffix":""},{"dropping-particle":"","family":"Betley","given":"Marsha J.","non-dropping-particle":"","parse-names":false,"suffix":""},{"dropping-particle":"","family":"O'reilly","given":"Mary","non-dropping-particle":"","parse-names":false,"suffix":""},{"dropping-particle":"","family":"Schlievert","given":"Patrick M.","non-dropping-particle":"","parse-names":false,"suffix":""},{"dropping-particle":"","family":"Bergdoll","given":"Merlin S.","non-dropping-particle":"","parse-names":false,"suffix":""},{"dropping-particle":"","family":"Novick","given":"Richard P.","non-dropping-particle":"","parse-names":false,"suffix":""}],"container-title":"Nature","id":"ITEM-1","issue":"5936","issued":{"date-parts":[["1983"]]},"page":"709-712","title":"The toxic shock syndrome exotoxin structural gene is not detectably transmitted by a prophage","type":"article-journal","volume":"305"},"uris":["http://www.mendeley.com/documents/?uuid=a5d57f7e-1514-3c5a-9c82-360eb96d8702"]}],"mendeley":{"formattedCitation":"&lt;sup&gt;[233]&lt;/sup&gt;","plainTextFormattedCitation":"[233]","previouslyFormattedCitation":"&lt;sup&gt;[233]&lt;/sup&gt;"},"properties":{"noteIndex":0},"schema":"https://github.com/citation-style-language/schema/raw/master/csl-citation.json"}</w:instrText>
            </w:r>
            <w:r w:rsidRPr="009F535F">
              <w:fldChar w:fldCharType="separate"/>
            </w:r>
            <w:r w:rsidR="002659E5" w:rsidRPr="002659E5">
              <w:rPr>
                <w:noProof/>
                <w:vertAlign w:val="superscript"/>
              </w:rPr>
              <w:t>[233]</w:t>
            </w:r>
            <w:r w:rsidRPr="009F535F">
              <w:fldChar w:fldCharType="end"/>
            </w:r>
            <w:r w:rsidRPr="009F535F">
              <w:t>. Provided by Angelika Gründling.</w:t>
            </w:r>
          </w:p>
        </w:tc>
      </w:tr>
      <w:tr w:rsidR="00F12044" w:rsidRPr="009F535F" w14:paraId="25CCBE99" w14:textId="77777777" w:rsidTr="00E51D70">
        <w:tc>
          <w:tcPr>
            <w:cnfStyle w:val="001000000000" w:firstRow="0" w:lastRow="0" w:firstColumn="1" w:lastColumn="0" w:oddVBand="0" w:evenVBand="0" w:oddHBand="0" w:evenHBand="0" w:firstRowFirstColumn="0" w:firstRowLastColumn="0" w:lastRowFirstColumn="0" w:lastRowLastColumn="0"/>
            <w:tcW w:w="1555" w:type="dxa"/>
          </w:tcPr>
          <w:p w14:paraId="7023BE23" w14:textId="6887B6FB" w:rsidR="00956062" w:rsidRPr="009F535F" w:rsidRDefault="00956062" w:rsidP="004E2A97">
            <w:pPr>
              <w:pStyle w:val="Tabletextnormal"/>
              <w:rPr>
                <w:i/>
              </w:rPr>
            </w:pPr>
            <w:r w:rsidRPr="009F535F">
              <w:t>ANG499</w:t>
            </w:r>
            <w:r w:rsidR="004D3E48" w:rsidRPr="009F535F">
              <w:t xml:space="preserve"> (SJF 4963)</w:t>
            </w:r>
          </w:p>
        </w:tc>
        <w:tc>
          <w:tcPr>
            <w:tcW w:w="3402" w:type="dxa"/>
          </w:tcPr>
          <w:p w14:paraId="26424811" w14:textId="1EA24715"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rPr>
                <w:iCs/>
                <w:vertAlign w:val="superscript"/>
              </w:rPr>
            </w:pPr>
            <w:r w:rsidRPr="009F535F">
              <w:rPr>
                <w:iCs/>
              </w:rPr>
              <w:t>RN4220</w:t>
            </w:r>
            <w:r w:rsidRPr="009F535F">
              <w:rPr>
                <w:i/>
              </w:rPr>
              <w:t>iltaS</w:t>
            </w:r>
            <w:r w:rsidRPr="009F535F">
              <w:rPr>
                <w:iCs/>
              </w:rPr>
              <w:t>; Er</w:t>
            </w:r>
            <w:r w:rsidR="004356C9" w:rsidRPr="009F535F">
              <w:rPr>
                <w:iCs/>
              </w:rPr>
              <w:t>y</w:t>
            </w:r>
            <w:r w:rsidRPr="009F535F">
              <w:rPr>
                <w:iCs/>
                <w:vertAlign w:val="superscript"/>
              </w:rPr>
              <w:t>R</w:t>
            </w:r>
          </w:p>
        </w:tc>
        <w:tc>
          <w:tcPr>
            <w:tcW w:w="1881" w:type="dxa"/>
          </w:tcPr>
          <w:p w14:paraId="57D377AF" w14:textId="59ECF52F"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TSB</w:t>
            </w:r>
            <w:r w:rsidR="00EF0345">
              <w:t>,</w:t>
            </w:r>
            <w:r w:rsidR="00E51D70">
              <w:t xml:space="preserve"> </w:t>
            </w:r>
            <w:r w:rsidRPr="009F535F">
              <w:t>ery</w:t>
            </w:r>
            <w:r w:rsidR="00993CDF">
              <w:t xml:space="preserve"> </w:t>
            </w:r>
            <w:r w:rsidRPr="009F535F">
              <w:t>10</w:t>
            </w:r>
            <w:r w:rsidR="00993CDF">
              <w:t> µl</w:t>
            </w:r>
            <w:r w:rsidR="00EF0345">
              <w:t>/ml</w:t>
            </w:r>
            <w:r w:rsidRPr="009F535F">
              <w:t xml:space="preserve">, </w:t>
            </w:r>
            <w:r w:rsidR="00993CDF">
              <w:t>1 </w:t>
            </w:r>
            <w:r w:rsidRPr="009F535F">
              <w:t>mM IPTG</w:t>
            </w:r>
          </w:p>
        </w:tc>
        <w:tc>
          <w:tcPr>
            <w:tcW w:w="3595" w:type="dxa"/>
          </w:tcPr>
          <w:p w14:paraId="66A367A9" w14:textId="470BEBF5" w:rsidR="00956062" w:rsidRPr="009F535F" w:rsidRDefault="003E28EA"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Gründling</w:t>
            </w:r>
            <w:r w:rsidR="00956062" w:rsidRPr="009F535F">
              <w:t xml:space="preserve"> and Schneewind</w:t>
            </w:r>
            <w:r w:rsidR="00187DDC">
              <w:t xml:space="preserve"> (</w:t>
            </w:r>
            <w:r w:rsidR="00956062" w:rsidRPr="009F535F">
              <w:t>2007</w:t>
            </w:r>
            <w:r w:rsidR="00187DDC">
              <w:t>)</w:t>
            </w:r>
            <w:r w:rsidR="00956062" w:rsidRPr="009F535F">
              <w:fldChar w:fldCharType="begin" w:fldLock="1"/>
            </w:r>
            <w:r w:rsidR="00260ACA">
              <w:instrText>ADDIN CSL_CITATION {"citationItems":[{"id":"ITEM-1","itemData":{"DOI":"10.1073/pnas.0701821104","ISBN":"0027-8424 (Print)\\r0027-8424 (Linking)","ISSN":"0027-8424","PMID":"17483484","abstract":"Lipoteichoic acid (LTA), a glycerol phosphate surface polymer, is a component of the envelope of Gram-positive bacteria. However, the molecular basis for its synthesis or function is not known. Here we report that Staphylococcus aureus LtaS synthesizes glycerol phosphate LTA. Construction of a mutant S. aureus strain with inducible ltaS expression revealed that LTA synthesis is required for bacterial growth and cell division. An ltaS homologue of Bacillus subtilis restored LTA synthesis and the growth of ltaS mutant staphylococci. Thus, LtaS inhibition can be used as a target to treat human infections caused by antibiotic-resistant S. aureus or other bacterial pathogens.","author":[{"dropping-particle":"","family":"Grundling","given":"A.","non-dropping-particle":"","parse-names":false,"suffix":""},{"dropping-particle":"","family":"Schneewind","given":"O.","non-dropping-particle":"","parse-names":false,"suffix":""}],"container-title":"Proceedings of the National Academy of Sciences","id":"ITEM-1","issue":"20","issued":{"date-parts":[["2007"]]},"page":"8478-8483","title":"Synthesis of glycerol phosphate lipoteichoic acid in Staphylococcus aureus","type":"article-journal","volume":"104"},"uris":["http://www.mendeley.com/documents/?uuid=33b7fcb3-ffde-4606-8a67-126926b4d10a"]}],"mendeley":{"formattedCitation":"&lt;sup&gt;[99]&lt;/sup&gt;","plainTextFormattedCitation":"[99]","previouslyFormattedCitation":"&lt;sup&gt;[99]&lt;/sup&gt;"},"properties":{"noteIndex":0},"schema":"https://github.com/citation-style-language/schema/raw/master/csl-citation.json"}</w:instrText>
            </w:r>
            <w:r w:rsidR="00956062" w:rsidRPr="009F535F">
              <w:fldChar w:fldCharType="separate"/>
            </w:r>
            <w:r w:rsidR="00C825F9" w:rsidRPr="00C825F9">
              <w:rPr>
                <w:noProof/>
                <w:vertAlign w:val="superscript"/>
              </w:rPr>
              <w:t>[99]</w:t>
            </w:r>
            <w:r w:rsidR="00956062" w:rsidRPr="009F535F">
              <w:fldChar w:fldCharType="end"/>
            </w:r>
            <w:r w:rsidR="00956062" w:rsidRPr="009F535F">
              <w:t>. Provided by Angelika Gründling.</w:t>
            </w:r>
          </w:p>
        </w:tc>
      </w:tr>
      <w:tr w:rsidR="00F12044" w:rsidRPr="009F535F" w14:paraId="1CDEC4A7" w14:textId="77777777" w:rsidTr="00E51D70">
        <w:tc>
          <w:tcPr>
            <w:cnfStyle w:val="001000000000" w:firstRow="0" w:lastRow="0" w:firstColumn="1" w:lastColumn="0" w:oddVBand="0" w:evenVBand="0" w:oddHBand="0" w:evenHBand="0" w:firstRowFirstColumn="0" w:firstRowLastColumn="0" w:lastRowFirstColumn="0" w:lastRowLastColumn="0"/>
            <w:tcW w:w="1555" w:type="dxa"/>
          </w:tcPr>
          <w:p w14:paraId="3AB8C541" w14:textId="1059196F" w:rsidR="00956062" w:rsidRPr="009F535F" w:rsidRDefault="00956062" w:rsidP="004E2A97">
            <w:pPr>
              <w:pStyle w:val="Tabletextnormal"/>
            </w:pPr>
            <w:r w:rsidRPr="009F535F">
              <w:t>AH1263</w:t>
            </w:r>
            <w:r w:rsidR="003675F7" w:rsidRPr="009F535F">
              <w:t xml:space="preserve"> (ANG1575, SFJ 4964)</w:t>
            </w:r>
          </w:p>
        </w:tc>
        <w:tc>
          <w:tcPr>
            <w:tcW w:w="3402" w:type="dxa"/>
          </w:tcPr>
          <w:p w14:paraId="5D742800" w14:textId="77777777"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LAC*</w:t>
            </w:r>
          </w:p>
        </w:tc>
        <w:tc>
          <w:tcPr>
            <w:tcW w:w="1881" w:type="dxa"/>
          </w:tcPr>
          <w:p w14:paraId="4C2F7C97" w14:textId="77777777"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TSB</w:t>
            </w:r>
          </w:p>
        </w:tc>
        <w:tc>
          <w:tcPr>
            <w:tcW w:w="3595" w:type="dxa"/>
          </w:tcPr>
          <w:p w14:paraId="54CB789B" w14:textId="74B8D280"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 xml:space="preserve">Boles </w:t>
            </w:r>
            <w:r w:rsidRPr="009F535F">
              <w:rPr>
                <w:i/>
                <w:iCs/>
              </w:rPr>
              <w:t>et al</w:t>
            </w:r>
            <w:r w:rsidRPr="009F535F">
              <w:t xml:space="preserve">., </w:t>
            </w:r>
            <w:r w:rsidR="00187DDC">
              <w:t>(</w:t>
            </w:r>
            <w:r w:rsidRPr="009F535F">
              <w:t>2010</w:t>
            </w:r>
            <w:r w:rsidR="00187DDC">
              <w:t>)</w:t>
            </w:r>
            <w:r w:rsidRPr="009F535F">
              <w:fldChar w:fldCharType="begin" w:fldLock="1"/>
            </w:r>
            <w:r w:rsidR="0058736C">
              <w:instrText>ADDIN CSL_CITATION {"citationItems":[{"id":"ITEM-1","itemData":{"DOI":"10.1371/journal.pone.0010146","ISBN":"1932-6203 (Electronic)\\r1932-6203 (Linking)","ISSN":"19326203","PMID":"20418950","abstract":"Staphylococcus aureus is a potent biofilm former on host tissue and medical implants, and biofilm growth is a critical virulence determinant for chronic infections. Recent studies suggest that many clinical isolates form polysaccharide-independent biofilms. However, a systematic screen for defective mutants has not been performed to identify factors important for biofilm formation in these strains. We created a library of 14,880 mariner transposon mutants in a S. aureus strain that generates a proteinaceous and extracellular DNA based biofilm matrix. The library was screened for biofilm defects and 31 transposon mutants conferred a reproducible phenotype. In the pool, 16 mutants overproduced extracellular proteases and the protease inhibitor alpha(2)-macroglobulin restored biofilm capacity to 13 of these mutants. The other 15 mutants in the pool displayed normal protease levels and had defects in genes involved in autolysis, osmoregulation, or uncharacterized membrane proteins. Two transposon mutants of interest in the GraRS two-component system and a putative inositol monophosphatase were confirmed in a flow cell biofilm model, genetically complemented, and further verified in a community-associated methicillin-resistant S. aureus (CA-MRSA) isolate. Collectively, our screen for biofilm defective mutants identified novel loci involved in S. aureus biofilm formation and underscored the importance of extracellular protease activity and autolysis in biofilm development.","author":[{"dropping-particle":"","family":"Boles","given":"Blaise R.","non-dropping-particle":"","parse-names":false,"suffix":""},{"dropping-particle":"","family":"Thoende","given":"Matthew","non-dropping-particle":"","parse-names":false,"suffix":""},{"dropping-particle":"","family":"Roth","given":"Aleeza J.","non-dropping-particle":"","parse-names":false,"suffix":""},{"dropping-particle":"","family":"Horswill","given":"Alexander R.","non-dropping-particle":"","parse-names":false,"suffix":""}],"container-title":"PLoS ONE","id":"ITEM-1","issue":"4","issued":{"date-parts":[["2010"]]},"title":"Identification of genes involved in polysaccharide- independent Staphylococcus aureus biofilm formation","type":"article-journal","volume":"5"},"uris":["http://www.mendeley.com/documents/?uuid=b904fa4f-364b-4c4b-a08d-6179a8a57401"]}],"mendeley":{"formattedCitation":"&lt;sup&gt;[234]&lt;/sup&gt;","plainTextFormattedCitation":"[234]","previouslyFormattedCitation":"&lt;sup&gt;[234]&lt;/sup&gt;"},"properties":{"noteIndex":0},"schema":"https://github.com/citation-style-language/schema/raw/master/csl-citation.json"}</w:instrText>
            </w:r>
            <w:r w:rsidRPr="009F535F">
              <w:fldChar w:fldCharType="separate"/>
            </w:r>
            <w:r w:rsidR="002659E5" w:rsidRPr="002659E5">
              <w:rPr>
                <w:noProof/>
                <w:vertAlign w:val="superscript"/>
              </w:rPr>
              <w:t>[234]</w:t>
            </w:r>
            <w:r w:rsidRPr="009F535F">
              <w:fldChar w:fldCharType="end"/>
            </w:r>
            <w:r w:rsidRPr="009F535F">
              <w:t>. Provided by Angelika Gründling.</w:t>
            </w:r>
          </w:p>
        </w:tc>
      </w:tr>
      <w:tr w:rsidR="00F12044" w:rsidRPr="000E4342" w14:paraId="40639276" w14:textId="77777777" w:rsidTr="00E51D70">
        <w:tc>
          <w:tcPr>
            <w:cnfStyle w:val="001000000000" w:firstRow="0" w:lastRow="0" w:firstColumn="1" w:lastColumn="0" w:oddVBand="0" w:evenVBand="0" w:oddHBand="0" w:evenHBand="0" w:firstRowFirstColumn="0" w:firstRowLastColumn="0" w:lastRowFirstColumn="0" w:lastRowLastColumn="0"/>
            <w:tcW w:w="1555" w:type="dxa"/>
          </w:tcPr>
          <w:p w14:paraId="292AF530" w14:textId="470DD1DF" w:rsidR="00956062" w:rsidRPr="009F535F" w:rsidRDefault="00956062" w:rsidP="004E2A97">
            <w:pPr>
              <w:pStyle w:val="Tabletextnormal"/>
              <w:rPr>
                <w:i/>
              </w:rPr>
            </w:pPr>
            <w:r w:rsidRPr="009F535F">
              <w:t>ANG1961</w:t>
            </w:r>
            <w:r w:rsidR="004D3E48" w:rsidRPr="009F535F">
              <w:t xml:space="preserve"> (SJF 4965)</w:t>
            </w:r>
          </w:p>
        </w:tc>
        <w:tc>
          <w:tcPr>
            <w:tcW w:w="3402" w:type="dxa"/>
          </w:tcPr>
          <w:p w14:paraId="700D06F4" w14:textId="1E1023C4"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rPr>
                <w:iCs/>
                <w:vertAlign w:val="superscript"/>
              </w:rPr>
            </w:pPr>
            <w:r w:rsidRPr="009F535F">
              <w:rPr>
                <w:iCs/>
              </w:rPr>
              <w:t>LAC*</w:t>
            </w:r>
            <w:r w:rsidR="00486D98" w:rsidRPr="009F535F">
              <w:rPr>
                <w:iCs/>
              </w:rPr>
              <w:t>Δ</w:t>
            </w:r>
            <w:r w:rsidRPr="009F535F">
              <w:rPr>
                <w:i/>
              </w:rPr>
              <w:t>gdpP::kan</w:t>
            </w:r>
            <w:r w:rsidRPr="009F535F">
              <w:rPr>
                <w:iCs/>
              </w:rPr>
              <w:t>; Kan</w:t>
            </w:r>
            <w:r w:rsidRPr="009F535F">
              <w:rPr>
                <w:iCs/>
                <w:vertAlign w:val="superscript"/>
              </w:rPr>
              <w:t>R</w:t>
            </w:r>
          </w:p>
        </w:tc>
        <w:tc>
          <w:tcPr>
            <w:tcW w:w="1881" w:type="dxa"/>
          </w:tcPr>
          <w:p w14:paraId="3ED0BAA6" w14:textId="3D5A063B"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TSB</w:t>
            </w:r>
            <w:r w:rsidR="00EF0345">
              <w:t>,</w:t>
            </w:r>
            <w:r w:rsidR="00E51D70">
              <w:t xml:space="preserve"> </w:t>
            </w:r>
            <w:r w:rsidRPr="009F535F">
              <w:t>kan</w:t>
            </w:r>
            <w:r w:rsidR="00993CDF">
              <w:t xml:space="preserve"> </w:t>
            </w:r>
            <w:r w:rsidRPr="009F535F">
              <w:t>90</w:t>
            </w:r>
            <w:r w:rsidR="00993CDF">
              <w:t> µl</w:t>
            </w:r>
            <w:r w:rsidR="00EF0345">
              <w:t>/ml</w:t>
            </w:r>
          </w:p>
        </w:tc>
        <w:tc>
          <w:tcPr>
            <w:tcW w:w="3595" w:type="dxa"/>
          </w:tcPr>
          <w:p w14:paraId="68953D75" w14:textId="796A786B" w:rsidR="00956062" w:rsidRPr="00FE2FE4" w:rsidRDefault="00956062" w:rsidP="004E2A97">
            <w:pPr>
              <w:pStyle w:val="Tabletextnormal"/>
              <w:cnfStyle w:val="000000000000" w:firstRow="0" w:lastRow="0" w:firstColumn="0" w:lastColumn="0" w:oddVBand="0" w:evenVBand="0" w:oddHBand="0" w:evenHBand="0" w:firstRowFirstColumn="0" w:firstRowLastColumn="0" w:lastRowFirstColumn="0" w:lastRowLastColumn="0"/>
              <w:rPr>
                <w:lang w:val="es-ES"/>
              </w:rPr>
            </w:pPr>
            <w:r w:rsidRPr="00FE2FE4">
              <w:rPr>
                <w:lang w:val="es-ES"/>
              </w:rPr>
              <w:t xml:space="preserve">Corrigan </w:t>
            </w:r>
            <w:r w:rsidRPr="00FE2FE4">
              <w:rPr>
                <w:i/>
                <w:lang w:val="es-ES"/>
              </w:rPr>
              <w:t>et al</w:t>
            </w:r>
            <w:r w:rsidRPr="00FE2FE4">
              <w:rPr>
                <w:lang w:val="es-ES"/>
              </w:rPr>
              <w:t xml:space="preserve">., </w:t>
            </w:r>
            <w:r w:rsidR="00187DDC">
              <w:rPr>
                <w:lang w:val="es-ES"/>
              </w:rPr>
              <w:t>(</w:t>
            </w:r>
            <w:r w:rsidRPr="00FE2FE4">
              <w:rPr>
                <w:lang w:val="es-ES"/>
              </w:rPr>
              <w:t>2011</w:t>
            </w:r>
            <w:r w:rsidR="00187DDC">
              <w:rPr>
                <w:lang w:val="es-ES"/>
              </w:rPr>
              <w:t>)</w:t>
            </w:r>
            <w:r w:rsidRPr="009F535F">
              <w:fldChar w:fldCharType="begin" w:fldLock="1"/>
            </w:r>
            <w:r w:rsidR="00DA0A83" w:rsidRPr="00FE2FE4">
              <w:rPr>
                <w:lang w:val="es-ES"/>
              </w:rPr>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mendeley":{"formattedCitation":"&lt;sup&gt;[63]&lt;/sup&gt;","plainTextFormattedCitation":"[63]","previouslyFormattedCitation":"&lt;sup&gt;[63]&lt;/sup&gt;"},"properties":{"noteIndex":0},"schema":"https://github.com/citation-style-language/schema/raw/master/csl-citation.json"}</w:instrText>
            </w:r>
            <w:r w:rsidRPr="009F535F">
              <w:fldChar w:fldCharType="separate"/>
            </w:r>
            <w:r w:rsidR="00DA0A83" w:rsidRPr="00FE2FE4">
              <w:rPr>
                <w:noProof/>
                <w:vertAlign w:val="superscript"/>
                <w:lang w:val="es-ES"/>
              </w:rPr>
              <w:t>[63]</w:t>
            </w:r>
            <w:r w:rsidRPr="009F535F">
              <w:fldChar w:fldCharType="end"/>
            </w:r>
            <w:r w:rsidRPr="00FE2FE4">
              <w:rPr>
                <w:lang w:val="es-ES"/>
              </w:rPr>
              <w:t>. Provided by Angelika Gründling.</w:t>
            </w:r>
          </w:p>
        </w:tc>
      </w:tr>
      <w:tr w:rsidR="00F12044" w:rsidRPr="000E4342" w14:paraId="7F9E4974" w14:textId="77777777" w:rsidTr="00E51D70">
        <w:tc>
          <w:tcPr>
            <w:cnfStyle w:val="001000000000" w:firstRow="0" w:lastRow="0" w:firstColumn="1" w:lastColumn="0" w:oddVBand="0" w:evenVBand="0" w:oddHBand="0" w:evenHBand="0" w:firstRowFirstColumn="0" w:firstRowLastColumn="0" w:lastRowFirstColumn="0" w:lastRowLastColumn="0"/>
            <w:tcW w:w="1555" w:type="dxa"/>
          </w:tcPr>
          <w:p w14:paraId="46F6945B" w14:textId="5A8348B8" w:rsidR="00956062" w:rsidRPr="009F535F" w:rsidRDefault="00956062" w:rsidP="004E2A97">
            <w:pPr>
              <w:pStyle w:val="Tabletextnormal"/>
            </w:pPr>
            <w:r w:rsidRPr="009F535F">
              <w:t>ANG2430</w:t>
            </w:r>
            <w:r w:rsidR="004D3E48" w:rsidRPr="009F535F">
              <w:t xml:space="preserve"> (SJF 4967)</w:t>
            </w:r>
          </w:p>
        </w:tc>
        <w:tc>
          <w:tcPr>
            <w:tcW w:w="3402" w:type="dxa"/>
          </w:tcPr>
          <w:p w14:paraId="7CA63894" w14:textId="1F4B9D28"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rPr>
                <w:iCs/>
              </w:rPr>
              <w:t>LAC*</w:t>
            </w:r>
            <w:r w:rsidRPr="009F535F">
              <w:rPr>
                <w:i/>
                <w:iCs/>
              </w:rPr>
              <w:t>ΔltaS</w:t>
            </w:r>
            <w:r w:rsidR="0090015C" w:rsidRPr="009F535F">
              <w:rPr>
                <w:i/>
                <w:iCs/>
              </w:rPr>
              <w:t>::er</w:t>
            </w:r>
            <w:r w:rsidR="001A5B23" w:rsidRPr="009F535F">
              <w:rPr>
                <w:i/>
                <w:iCs/>
              </w:rPr>
              <w:t>m</w:t>
            </w:r>
            <w:r w:rsidRPr="009F535F">
              <w:t xml:space="preserve"> with a suppressor mutation in </w:t>
            </w:r>
            <w:r w:rsidRPr="009F535F">
              <w:rPr>
                <w:i/>
                <w:iCs/>
              </w:rPr>
              <w:t>gdpP</w:t>
            </w:r>
            <w:r w:rsidRPr="009F535F">
              <w:t>(V425F)</w:t>
            </w:r>
            <w:r w:rsidRPr="009F535F">
              <w:rPr>
                <w:iCs/>
              </w:rPr>
              <w:t>; Ery</w:t>
            </w:r>
            <w:r w:rsidRPr="009F535F">
              <w:rPr>
                <w:iCs/>
                <w:vertAlign w:val="superscript"/>
              </w:rPr>
              <w:t>R</w:t>
            </w:r>
          </w:p>
        </w:tc>
        <w:tc>
          <w:tcPr>
            <w:tcW w:w="1881" w:type="dxa"/>
          </w:tcPr>
          <w:p w14:paraId="0FD57796" w14:textId="4552DE00"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TSB</w:t>
            </w:r>
            <w:r w:rsidR="00EF0345">
              <w:t>,</w:t>
            </w:r>
            <w:r w:rsidR="00E51D70">
              <w:t xml:space="preserve"> </w:t>
            </w:r>
            <w:r w:rsidRPr="009F535F">
              <w:t>ery</w:t>
            </w:r>
            <w:r w:rsidR="00993CDF">
              <w:t xml:space="preserve"> </w:t>
            </w:r>
            <w:r w:rsidRPr="009F535F">
              <w:t>10</w:t>
            </w:r>
            <w:r w:rsidR="00993CDF">
              <w:t> µl</w:t>
            </w:r>
            <w:r w:rsidR="00EF0345">
              <w:t>/ml</w:t>
            </w:r>
          </w:p>
        </w:tc>
        <w:tc>
          <w:tcPr>
            <w:tcW w:w="3595" w:type="dxa"/>
          </w:tcPr>
          <w:p w14:paraId="0B5965AD" w14:textId="7BAC4C1B" w:rsidR="00956062" w:rsidRPr="00FE2FE4" w:rsidRDefault="00956062" w:rsidP="004E2A97">
            <w:pPr>
              <w:pStyle w:val="Tabletextnormal"/>
              <w:cnfStyle w:val="000000000000" w:firstRow="0" w:lastRow="0" w:firstColumn="0" w:lastColumn="0" w:oddVBand="0" w:evenVBand="0" w:oddHBand="0" w:evenHBand="0" w:firstRowFirstColumn="0" w:firstRowLastColumn="0" w:lastRowFirstColumn="0" w:lastRowLastColumn="0"/>
              <w:rPr>
                <w:lang w:val="es-ES"/>
              </w:rPr>
            </w:pPr>
            <w:r w:rsidRPr="00FE2FE4">
              <w:rPr>
                <w:lang w:val="es-ES"/>
              </w:rPr>
              <w:t xml:space="preserve">Corrigan </w:t>
            </w:r>
            <w:r w:rsidRPr="00FE2FE4">
              <w:rPr>
                <w:i/>
                <w:lang w:val="es-ES"/>
              </w:rPr>
              <w:t>et al</w:t>
            </w:r>
            <w:r w:rsidRPr="00FE2FE4">
              <w:rPr>
                <w:lang w:val="es-ES"/>
              </w:rPr>
              <w:t xml:space="preserve">., </w:t>
            </w:r>
            <w:r w:rsidR="00187DDC">
              <w:rPr>
                <w:lang w:val="es-ES"/>
              </w:rPr>
              <w:t>(</w:t>
            </w:r>
            <w:r w:rsidRPr="00FE2FE4">
              <w:rPr>
                <w:lang w:val="es-ES"/>
              </w:rPr>
              <w:t>2011</w:t>
            </w:r>
            <w:r w:rsidR="00187DDC">
              <w:rPr>
                <w:lang w:val="es-ES"/>
              </w:rPr>
              <w:t>)</w:t>
            </w:r>
            <w:r w:rsidRPr="009F535F">
              <w:fldChar w:fldCharType="begin" w:fldLock="1"/>
            </w:r>
            <w:r w:rsidR="00DA0A83" w:rsidRPr="00FE2FE4">
              <w:rPr>
                <w:lang w:val="es-ES"/>
              </w:rPr>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mendeley":{"formattedCitation":"&lt;sup&gt;[63]&lt;/sup&gt;","plainTextFormattedCitation":"[63]","previouslyFormattedCitation":"&lt;sup&gt;[63]&lt;/sup&gt;"},"properties":{"noteIndex":0},"schema":"https://github.com/citation-style-language/schema/raw/master/csl-citation.json"}</w:instrText>
            </w:r>
            <w:r w:rsidRPr="009F535F">
              <w:fldChar w:fldCharType="separate"/>
            </w:r>
            <w:r w:rsidR="00DA0A83" w:rsidRPr="00FE2FE4">
              <w:rPr>
                <w:noProof/>
                <w:vertAlign w:val="superscript"/>
                <w:lang w:val="es-ES"/>
              </w:rPr>
              <w:t>[63]</w:t>
            </w:r>
            <w:r w:rsidRPr="009F535F">
              <w:fldChar w:fldCharType="end"/>
            </w:r>
            <w:r w:rsidRPr="00FE2FE4">
              <w:rPr>
                <w:lang w:val="es-ES"/>
              </w:rPr>
              <w:t>. Provided by Angelika Gründling.</w:t>
            </w:r>
          </w:p>
        </w:tc>
      </w:tr>
      <w:tr w:rsidR="00F12044" w:rsidRPr="009F535F" w14:paraId="5FB45BA1" w14:textId="77777777" w:rsidTr="00E51D70">
        <w:trPr>
          <w:trHeight w:val="395"/>
        </w:trPr>
        <w:tc>
          <w:tcPr>
            <w:cnfStyle w:val="001000000000" w:firstRow="0" w:lastRow="0" w:firstColumn="1" w:lastColumn="0" w:oddVBand="0" w:evenVBand="0" w:oddHBand="0" w:evenHBand="0" w:firstRowFirstColumn="0" w:firstRowLastColumn="0" w:lastRowFirstColumn="0" w:lastRowLastColumn="0"/>
            <w:tcW w:w="1555" w:type="dxa"/>
          </w:tcPr>
          <w:p w14:paraId="7674DC67" w14:textId="674712D2" w:rsidR="00956062" w:rsidRPr="009F535F" w:rsidRDefault="00956062" w:rsidP="004E2A97">
            <w:pPr>
              <w:pStyle w:val="Tabletextnormal"/>
              <w:rPr>
                <w:iCs/>
              </w:rPr>
            </w:pPr>
            <w:r w:rsidRPr="009F535F">
              <w:rPr>
                <w:i/>
              </w:rPr>
              <w:t>gdpP::kan</w:t>
            </w:r>
            <w:r w:rsidR="004D3E48" w:rsidRPr="009F535F">
              <w:t xml:space="preserve"> (SJF 5158)</w:t>
            </w:r>
          </w:p>
        </w:tc>
        <w:tc>
          <w:tcPr>
            <w:tcW w:w="3402" w:type="dxa"/>
          </w:tcPr>
          <w:p w14:paraId="7C383F98" w14:textId="14AD1CD0"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rPr>
                <w:iCs/>
              </w:rPr>
            </w:pPr>
            <w:r w:rsidRPr="009F535F">
              <w:rPr>
                <w:i/>
              </w:rPr>
              <w:t xml:space="preserve">S. aureus </w:t>
            </w:r>
            <w:r w:rsidRPr="009F535F">
              <w:rPr>
                <w:iCs/>
              </w:rPr>
              <w:t>SH1000</w:t>
            </w:r>
            <w:r w:rsidR="00486D98" w:rsidRPr="009F535F">
              <w:rPr>
                <w:iCs/>
              </w:rPr>
              <w:t>Δ</w:t>
            </w:r>
            <w:r w:rsidRPr="009F535F">
              <w:rPr>
                <w:i/>
              </w:rPr>
              <w:t>gdpP::kan;</w:t>
            </w:r>
            <w:r w:rsidRPr="009F535F">
              <w:rPr>
                <w:iCs/>
              </w:rPr>
              <w:t xml:space="preserve"> Kan</w:t>
            </w:r>
            <w:r w:rsidRPr="009F535F">
              <w:rPr>
                <w:iCs/>
                <w:vertAlign w:val="superscript"/>
              </w:rPr>
              <w:t>R</w:t>
            </w:r>
          </w:p>
        </w:tc>
        <w:tc>
          <w:tcPr>
            <w:tcW w:w="1881" w:type="dxa"/>
          </w:tcPr>
          <w:p w14:paraId="14ECA4E1" w14:textId="14467551"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TSB</w:t>
            </w:r>
            <w:r w:rsidR="00EF0345">
              <w:t>,</w:t>
            </w:r>
            <w:r w:rsidR="00E51D70">
              <w:t xml:space="preserve"> </w:t>
            </w:r>
            <w:r w:rsidRPr="009F535F">
              <w:t>kan</w:t>
            </w:r>
            <w:r w:rsidR="00993CDF">
              <w:t xml:space="preserve"> </w:t>
            </w:r>
            <w:r w:rsidRPr="009F535F">
              <w:t>50</w:t>
            </w:r>
            <w:r w:rsidR="00993CDF">
              <w:t> µl</w:t>
            </w:r>
            <w:r w:rsidR="00EF0345">
              <w:t>/ml</w:t>
            </w:r>
          </w:p>
        </w:tc>
        <w:tc>
          <w:tcPr>
            <w:tcW w:w="3595" w:type="dxa"/>
          </w:tcPr>
          <w:p w14:paraId="557E0C8D" w14:textId="77777777"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This study.</w:t>
            </w:r>
          </w:p>
        </w:tc>
      </w:tr>
      <w:tr w:rsidR="00F12044" w:rsidRPr="009F535F" w14:paraId="647E401C" w14:textId="77777777" w:rsidTr="00E51D70">
        <w:trPr>
          <w:trHeight w:val="269"/>
        </w:trPr>
        <w:tc>
          <w:tcPr>
            <w:cnfStyle w:val="001000000000" w:firstRow="0" w:lastRow="0" w:firstColumn="1" w:lastColumn="0" w:oddVBand="0" w:evenVBand="0" w:oddHBand="0" w:evenHBand="0" w:firstRowFirstColumn="0" w:firstRowLastColumn="0" w:lastRowFirstColumn="0" w:lastRowLastColumn="0"/>
            <w:tcW w:w="1555" w:type="dxa"/>
          </w:tcPr>
          <w:p w14:paraId="252C2A99" w14:textId="0D9C771E" w:rsidR="00956062" w:rsidRPr="009F535F" w:rsidRDefault="00956062" w:rsidP="004E2A97">
            <w:pPr>
              <w:pStyle w:val="Tabletextnormal"/>
              <w:rPr>
                <w:iCs/>
              </w:rPr>
            </w:pPr>
            <w:r w:rsidRPr="009F535F">
              <w:rPr>
                <w:i/>
              </w:rPr>
              <w:t>iltaS</w:t>
            </w:r>
            <w:r w:rsidR="004D3E48" w:rsidRPr="009F535F">
              <w:t xml:space="preserve"> (SJF 5157)</w:t>
            </w:r>
          </w:p>
        </w:tc>
        <w:tc>
          <w:tcPr>
            <w:tcW w:w="3402" w:type="dxa"/>
          </w:tcPr>
          <w:p w14:paraId="2A6AF3C5" w14:textId="5F51A85F"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rPr>
                <w:iCs/>
              </w:rPr>
            </w:pPr>
            <w:r w:rsidRPr="009F535F">
              <w:rPr>
                <w:i/>
              </w:rPr>
              <w:t xml:space="preserve">S. aureus </w:t>
            </w:r>
            <w:r w:rsidRPr="009F535F">
              <w:rPr>
                <w:iCs/>
              </w:rPr>
              <w:t>SH1000</w:t>
            </w:r>
            <w:r w:rsidRPr="009F535F">
              <w:rPr>
                <w:i/>
              </w:rPr>
              <w:t>iltaS;</w:t>
            </w:r>
            <w:r w:rsidRPr="009F535F">
              <w:rPr>
                <w:iCs/>
              </w:rPr>
              <w:t xml:space="preserve"> Ery</w:t>
            </w:r>
            <w:r w:rsidRPr="009F535F">
              <w:rPr>
                <w:iCs/>
                <w:vertAlign w:val="superscript"/>
              </w:rPr>
              <w:t>R</w:t>
            </w:r>
          </w:p>
        </w:tc>
        <w:tc>
          <w:tcPr>
            <w:tcW w:w="1881" w:type="dxa"/>
          </w:tcPr>
          <w:p w14:paraId="64168B48" w14:textId="5E1F056A"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TSB</w:t>
            </w:r>
            <w:r w:rsidR="00EF0345">
              <w:t>,</w:t>
            </w:r>
            <w:r w:rsidR="00E51D70">
              <w:t xml:space="preserve"> </w:t>
            </w:r>
            <w:r w:rsidRPr="009F535F">
              <w:t>ery</w:t>
            </w:r>
            <w:r w:rsidR="00993CDF">
              <w:t xml:space="preserve"> </w:t>
            </w:r>
            <w:r w:rsidRPr="009F535F">
              <w:t>5</w:t>
            </w:r>
            <w:r w:rsidR="00993CDF">
              <w:t> µl</w:t>
            </w:r>
            <w:r w:rsidR="00EF0345">
              <w:t>/ml</w:t>
            </w:r>
            <w:r w:rsidRPr="009F535F">
              <w:t>, 1 mM IPTG</w:t>
            </w:r>
          </w:p>
        </w:tc>
        <w:tc>
          <w:tcPr>
            <w:tcW w:w="3595" w:type="dxa"/>
          </w:tcPr>
          <w:p w14:paraId="4FEA2445" w14:textId="77777777"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This study.</w:t>
            </w:r>
          </w:p>
        </w:tc>
      </w:tr>
      <w:tr w:rsidR="00F12044" w:rsidRPr="009F535F" w14:paraId="44FB65C6" w14:textId="77777777" w:rsidTr="00E51D70">
        <w:tc>
          <w:tcPr>
            <w:cnfStyle w:val="001000000000" w:firstRow="0" w:lastRow="0" w:firstColumn="1" w:lastColumn="0" w:oddVBand="0" w:evenVBand="0" w:oddHBand="0" w:evenHBand="0" w:firstRowFirstColumn="0" w:firstRowLastColumn="0" w:lastRowFirstColumn="0" w:lastRowLastColumn="0"/>
            <w:tcW w:w="1555" w:type="dxa"/>
          </w:tcPr>
          <w:p w14:paraId="5A6E523B" w14:textId="11833810" w:rsidR="00956062" w:rsidRPr="009F535F" w:rsidRDefault="00956062" w:rsidP="004E2A97">
            <w:pPr>
              <w:pStyle w:val="Tabletextnormal"/>
            </w:pPr>
            <w:r w:rsidRPr="009F535F">
              <w:rPr>
                <w:i/>
              </w:rPr>
              <w:t>ΔltaS</w:t>
            </w:r>
            <w:r w:rsidRPr="009F535F">
              <w:t xml:space="preserve"> </w:t>
            </w:r>
            <w:r w:rsidRPr="009F535F">
              <w:rPr>
                <w:i/>
              </w:rPr>
              <w:t>gdpP</w:t>
            </w:r>
            <w:r w:rsidRPr="009F535F">
              <w:t>::kan</w:t>
            </w:r>
            <w:r w:rsidR="005A7B3A" w:rsidRPr="009F535F">
              <w:t xml:space="preserve"> (SJF 5159)</w:t>
            </w:r>
          </w:p>
        </w:tc>
        <w:tc>
          <w:tcPr>
            <w:tcW w:w="3402" w:type="dxa"/>
          </w:tcPr>
          <w:p w14:paraId="55557607" w14:textId="4EEE0FA8"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rPr>
                <w:i/>
              </w:rPr>
              <w:t xml:space="preserve">S. aureus </w:t>
            </w:r>
            <w:r w:rsidRPr="009F535F">
              <w:rPr>
                <w:iCs/>
              </w:rPr>
              <w:t>SH1000</w:t>
            </w:r>
            <w:r w:rsidRPr="009F535F">
              <w:rPr>
                <w:i/>
              </w:rPr>
              <w:t>ΔltaS</w:t>
            </w:r>
            <w:r w:rsidR="00486D98" w:rsidRPr="009F535F">
              <w:rPr>
                <w:i/>
              </w:rPr>
              <w:t>::erm</w:t>
            </w:r>
            <w:r w:rsidRPr="009F535F">
              <w:t xml:space="preserve"> </w:t>
            </w:r>
            <w:r w:rsidR="00486D98" w:rsidRPr="009F535F">
              <w:t>Δ</w:t>
            </w:r>
            <w:r w:rsidRPr="009F535F">
              <w:rPr>
                <w:i/>
              </w:rPr>
              <w:t>gdpP</w:t>
            </w:r>
            <w:r w:rsidRPr="009F535F">
              <w:t>::kan; Kan</w:t>
            </w:r>
            <w:r w:rsidRPr="009F535F">
              <w:rPr>
                <w:iCs/>
                <w:vertAlign w:val="superscript"/>
              </w:rPr>
              <w:t>R</w:t>
            </w:r>
          </w:p>
        </w:tc>
        <w:tc>
          <w:tcPr>
            <w:tcW w:w="1881" w:type="dxa"/>
          </w:tcPr>
          <w:p w14:paraId="4A9DC727" w14:textId="447DB2F7"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TSB</w:t>
            </w:r>
            <w:r w:rsidR="00EF0345">
              <w:t>,</w:t>
            </w:r>
            <w:r w:rsidR="00E51D70">
              <w:t xml:space="preserve"> </w:t>
            </w:r>
            <w:r w:rsidRPr="009F535F">
              <w:t>ery</w:t>
            </w:r>
            <w:r w:rsidR="00993CDF">
              <w:t xml:space="preserve"> </w:t>
            </w:r>
            <w:r w:rsidRPr="009F535F">
              <w:t>5</w:t>
            </w:r>
            <w:r w:rsidR="00993CDF">
              <w:t> µl</w:t>
            </w:r>
            <w:r w:rsidR="00EF0345">
              <w:t>/ml</w:t>
            </w:r>
            <w:r w:rsidRPr="009F535F">
              <w:t>, kan</w:t>
            </w:r>
            <w:r w:rsidR="00993CDF">
              <w:t xml:space="preserve"> </w:t>
            </w:r>
            <w:r w:rsidRPr="009F535F">
              <w:t>50</w:t>
            </w:r>
            <w:r w:rsidR="00993CDF">
              <w:t> µl</w:t>
            </w:r>
            <w:r w:rsidR="00EF0345">
              <w:t>/ml</w:t>
            </w:r>
          </w:p>
        </w:tc>
        <w:tc>
          <w:tcPr>
            <w:tcW w:w="3595" w:type="dxa"/>
          </w:tcPr>
          <w:p w14:paraId="21EE107E" w14:textId="77777777"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This study.</w:t>
            </w:r>
          </w:p>
        </w:tc>
      </w:tr>
      <w:tr w:rsidR="00F12044" w:rsidRPr="009F535F" w14:paraId="64BF8599" w14:textId="77777777" w:rsidTr="00E51D70">
        <w:tc>
          <w:tcPr>
            <w:cnfStyle w:val="001000000000" w:firstRow="0" w:lastRow="0" w:firstColumn="1" w:lastColumn="0" w:oddVBand="0" w:evenVBand="0" w:oddHBand="0" w:evenHBand="0" w:firstRowFirstColumn="0" w:firstRowLastColumn="0" w:lastRowFirstColumn="0" w:lastRowLastColumn="0"/>
            <w:tcW w:w="1555" w:type="dxa"/>
          </w:tcPr>
          <w:p w14:paraId="7B7C3903" w14:textId="755F6E2B" w:rsidR="00956062" w:rsidRPr="009F535F" w:rsidRDefault="00956062" w:rsidP="004E2A97">
            <w:pPr>
              <w:pStyle w:val="Tabletextnormal"/>
            </w:pPr>
            <w:r w:rsidRPr="009F535F">
              <w:rPr>
                <w:i/>
                <w:iCs/>
              </w:rPr>
              <w:t>walKR</w:t>
            </w:r>
            <w:r w:rsidR="005A7B3A" w:rsidRPr="009F535F">
              <w:t xml:space="preserve"> (SJF 5356)</w:t>
            </w:r>
          </w:p>
        </w:tc>
        <w:tc>
          <w:tcPr>
            <w:tcW w:w="3402" w:type="dxa"/>
          </w:tcPr>
          <w:p w14:paraId="67A4315B" w14:textId="77777777"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rPr>
                <w:iCs/>
              </w:rPr>
            </w:pPr>
            <w:r w:rsidRPr="009F535F">
              <w:rPr>
                <w:i/>
              </w:rPr>
              <w:t xml:space="preserve">S. aureus </w:t>
            </w:r>
            <w:r w:rsidRPr="009F535F">
              <w:rPr>
                <w:iCs/>
              </w:rPr>
              <w:t xml:space="preserve">SH1000 </w:t>
            </w:r>
            <w:r w:rsidRPr="009F535F">
              <w:rPr>
                <w:i/>
              </w:rPr>
              <w:t>P</w:t>
            </w:r>
            <w:r w:rsidRPr="009F535F">
              <w:rPr>
                <w:i/>
                <w:vertAlign w:val="subscript"/>
              </w:rPr>
              <w:t>Spac</w:t>
            </w:r>
            <w:r w:rsidRPr="009F535F">
              <w:rPr>
                <w:i/>
              </w:rPr>
              <w:t>-walR-walK, lacI</w:t>
            </w:r>
            <w:r w:rsidRPr="009F535F">
              <w:rPr>
                <w:iCs/>
              </w:rPr>
              <w:t>, Cm</w:t>
            </w:r>
            <w:r w:rsidRPr="009F535F">
              <w:rPr>
                <w:iCs/>
                <w:vertAlign w:val="superscript"/>
              </w:rPr>
              <w:t>R</w:t>
            </w:r>
            <w:r w:rsidRPr="009F535F">
              <w:rPr>
                <w:iCs/>
              </w:rPr>
              <w:t>, Tet</w:t>
            </w:r>
            <w:r w:rsidRPr="009F535F">
              <w:rPr>
                <w:iCs/>
                <w:vertAlign w:val="superscript"/>
              </w:rPr>
              <w:t>R</w:t>
            </w:r>
          </w:p>
        </w:tc>
        <w:tc>
          <w:tcPr>
            <w:tcW w:w="1881" w:type="dxa"/>
          </w:tcPr>
          <w:p w14:paraId="64D85CEC" w14:textId="77777777" w:rsidR="00E51D70"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TSB</w:t>
            </w:r>
            <w:r w:rsidR="00EF0345">
              <w:t>,</w:t>
            </w:r>
            <w:r w:rsidR="00E51D70">
              <w:t xml:space="preserve"> </w:t>
            </w:r>
            <w:r w:rsidRPr="009F535F">
              <w:t>tet</w:t>
            </w:r>
            <w:r w:rsidR="00993CDF">
              <w:t xml:space="preserve"> </w:t>
            </w:r>
            <w:r w:rsidRPr="009F535F">
              <w:t>5</w:t>
            </w:r>
            <w:r w:rsidR="00993CDF">
              <w:t> µl</w:t>
            </w:r>
            <w:r w:rsidR="00EF0345">
              <w:t>/ml,</w:t>
            </w:r>
            <w:r w:rsidRPr="009F535F">
              <w:t xml:space="preserve"> Cm</w:t>
            </w:r>
            <w:r w:rsidR="00993CDF">
              <w:t xml:space="preserve"> </w:t>
            </w:r>
            <w:r w:rsidRPr="009F535F">
              <w:t>5</w:t>
            </w:r>
            <w:r w:rsidR="00993CDF">
              <w:t> µl</w:t>
            </w:r>
            <w:r w:rsidR="00EF0345">
              <w:t>/ml</w:t>
            </w:r>
            <w:r w:rsidRPr="009F535F">
              <w:t>,</w:t>
            </w:r>
          </w:p>
          <w:p w14:paraId="21066746" w14:textId="5B123717"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1 mM IPTG</w:t>
            </w:r>
          </w:p>
        </w:tc>
        <w:tc>
          <w:tcPr>
            <w:tcW w:w="3595" w:type="dxa"/>
          </w:tcPr>
          <w:p w14:paraId="0DB49B89" w14:textId="63D18FBE" w:rsidR="00956062" w:rsidRPr="009F535F" w:rsidRDefault="00451AE1" w:rsidP="004E2A97">
            <w:pPr>
              <w:pStyle w:val="Tabletextnormal"/>
              <w:cnfStyle w:val="000000000000" w:firstRow="0" w:lastRow="0" w:firstColumn="0" w:lastColumn="0" w:oddVBand="0" w:evenVBand="0" w:oddHBand="0" w:evenHBand="0" w:firstRowFirstColumn="0" w:firstRowLastColumn="0" w:lastRowFirstColumn="0" w:lastRowLastColumn="0"/>
            </w:pPr>
            <w:r w:rsidRPr="00451AE1">
              <w:rPr>
                <w:iCs/>
              </w:rPr>
              <w:t xml:space="preserve">Constructed by </w:t>
            </w:r>
            <w:r w:rsidR="000A0636" w:rsidRPr="009F535F">
              <w:rPr>
                <w:iCs/>
              </w:rPr>
              <w:t xml:space="preserve">Lingyuan Kong </w:t>
            </w:r>
            <w:r w:rsidRPr="00451AE1">
              <w:rPr>
                <w:iCs/>
              </w:rPr>
              <w:t>(University of Sheffield</w:t>
            </w:r>
            <w:r w:rsidR="000A0636" w:rsidRPr="009F535F">
              <w:rPr>
                <w:iCs/>
              </w:rPr>
              <w:t xml:space="preserve"> and Xiamen University</w:t>
            </w:r>
            <w:r w:rsidRPr="00451AE1">
              <w:rPr>
                <w:iCs/>
              </w:rPr>
              <w:t>)</w:t>
            </w:r>
            <w:r w:rsidR="003D6C21" w:rsidRPr="009F535F">
              <w:rPr>
                <w:iCs/>
              </w:rPr>
              <w:t>.</w:t>
            </w:r>
          </w:p>
        </w:tc>
      </w:tr>
      <w:tr w:rsidR="00F12044" w:rsidRPr="009F535F" w14:paraId="39430121" w14:textId="77777777" w:rsidTr="00E51D70">
        <w:tc>
          <w:tcPr>
            <w:cnfStyle w:val="001000000000" w:firstRow="0" w:lastRow="0" w:firstColumn="1" w:lastColumn="0" w:oddVBand="0" w:evenVBand="0" w:oddHBand="0" w:evenHBand="0" w:firstRowFirstColumn="0" w:firstRowLastColumn="0" w:lastRowFirstColumn="0" w:lastRowLastColumn="0"/>
            <w:tcW w:w="1555" w:type="dxa"/>
          </w:tcPr>
          <w:p w14:paraId="22752C94" w14:textId="6ED94C6E" w:rsidR="00956062" w:rsidRPr="009F535F" w:rsidRDefault="00956062" w:rsidP="004E2A97">
            <w:pPr>
              <w:pStyle w:val="Tabletextnormal"/>
            </w:pPr>
            <w:r w:rsidRPr="009F535F">
              <w:rPr>
                <w:i/>
                <w:iCs/>
              </w:rPr>
              <w:t>atl</w:t>
            </w:r>
            <w:r w:rsidR="005A7B3A" w:rsidRPr="009F535F">
              <w:t xml:space="preserve"> (SJF 5255)</w:t>
            </w:r>
          </w:p>
        </w:tc>
        <w:tc>
          <w:tcPr>
            <w:tcW w:w="3402" w:type="dxa"/>
          </w:tcPr>
          <w:p w14:paraId="043BF61F" w14:textId="6E22C3CB"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rPr>
                <w:iCs/>
              </w:rPr>
            </w:pPr>
            <w:r w:rsidRPr="009F535F">
              <w:rPr>
                <w:i/>
              </w:rPr>
              <w:t xml:space="preserve">S. aureus </w:t>
            </w:r>
            <w:r w:rsidRPr="009F535F">
              <w:rPr>
                <w:iCs/>
              </w:rPr>
              <w:t xml:space="preserve">SH1000 </w:t>
            </w:r>
            <w:r w:rsidRPr="009F535F">
              <w:rPr>
                <w:i/>
              </w:rPr>
              <w:t>atl::kan</w:t>
            </w:r>
            <w:r w:rsidRPr="009F535F">
              <w:rPr>
                <w:iCs/>
              </w:rPr>
              <w:t>, Kan</w:t>
            </w:r>
            <w:r w:rsidRPr="009F535F">
              <w:rPr>
                <w:iCs/>
                <w:vertAlign w:val="superscript"/>
              </w:rPr>
              <w:t>R</w:t>
            </w:r>
            <w:r w:rsidRPr="009F535F">
              <w:rPr>
                <w:iCs/>
              </w:rPr>
              <w:t>, Neo</w:t>
            </w:r>
            <w:r w:rsidRPr="009F535F">
              <w:rPr>
                <w:iCs/>
                <w:vertAlign w:val="superscript"/>
              </w:rPr>
              <w:t>R</w:t>
            </w:r>
          </w:p>
        </w:tc>
        <w:tc>
          <w:tcPr>
            <w:tcW w:w="1881" w:type="dxa"/>
          </w:tcPr>
          <w:p w14:paraId="0B5DBA43" w14:textId="2AFF8587" w:rsidR="00956062" w:rsidRPr="00993CDF" w:rsidRDefault="00956062" w:rsidP="004E2A97">
            <w:pPr>
              <w:pStyle w:val="Tabletextnormal"/>
              <w:cnfStyle w:val="000000000000" w:firstRow="0" w:lastRow="0" w:firstColumn="0" w:lastColumn="0" w:oddVBand="0" w:evenVBand="0" w:oddHBand="0" w:evenHBand="0" w:firstRowFirstColumn="0" w:firstRowLastColumn="0" w:lastRowFirstColumn="0" w:lastRowLastColumn="0"/>
              <w:rPr>
                <w:lang w:val="es-ES"/>
              </w:rPr>
            </w:pPr>
            <w:r w:rsidRPr="00993CDF">
              <w:rPr>
                <w:lang w:val="es-ES"/>
              </w:rPr>
              <w:t>TSB</w:t>
            </w:r>
            <w:r w:rsidR="00EF0345">
              <w:rPr>
                <w:lang w:val="es-ES"/>
              </w:rPr>
              <w:t>,</w:t>
            </w:r>
            <w:r w:rsidR="00E51D70">
              <w:rPr>
                <w:lang w:val="es-ES"/>
              </w:rPr>
              <w:t xml:space="preserve"> </w:t>
            </w:r>
            <w:r w:rsidRPr="00993CDF">
              <w:rPr>
                <w:lang w:val="es-ES"/>
              </w:rPr>
              <w:t>kan</w:t>
            </w:r>
            <w:r w:rsidR="00993CDF" w:rsidRPr="00993CDF">
              <w:rPr>
                <w:lang w:val="es-ES"/>
              </w:rPr>
              <w:t xml:space="preserve"> </w:t>
            </w:r>
            <w:r w:rsidRPr="00993CDF">
              <w:rPr>
                <w:lang w:val="es-ES"/>
              </w:rPr>
              <w:t>50</w:t>
            </w:r>
            <w:r w:rsidR="00993CDF" w:rsidRPr="00993CDF">
              <w:rPr>
                <w:lang w:val="es-ES"/>
              </w:rPr>
              <w:t> µl</w:t>
            </w:r>
            <w:r w:rsidR="00EF0345">
              <w:rPr>
                <w:lang w:val="es-ES"/>
              </w:rPr>
              <w:t>/ml</w:t>
            </w:r>
            <w:r w:rsidRPr="00993CDF">
              <w:rPr>
                <w:lang w:val="es-ES"/>
              </w:rPr>
              <w:t>, neo</w:t>
            </w:r>
            <w:r w:rsidR="00993CDF" w:rsidRPr="00993CDF">
              <w:rPr>
                <w:lang w:val="es-ES"/>
              </w:rPr>
              <w:t xml:space="preserve"> </w:t>
            </w:r>
            <w:r w:rsidRPr="00993CDF">
              <w:rPr>
                <w:lang w:val="es-ES"/>
              </w:rPr>
              <w:t>25</w:t>
            </w:r>
            <w:r w:rsidR="00993CDF" w:rsidRPr="00993CDF">
              <w:rPr>
                <w:lang w:val="es-ES"/>
              </w:rPr>
              <w:t> µl</w:t>
            </w:r>
            <w:r w:rsidR="00EF0345">
              <w:rPr>
                <w:lang w:val="es-ES"/>
              </w:rPr>
              <w:t>/ml</w:t>
            </w:r>
          </w:p>
        </w:tc>
        <w:tc>
          <w:tcPr>
            <w:tcW w:w="3595" w:type="dxa"/>
          </w:tcPr>
          <w:p w14:paraId="25BF5C41" w14:textId="6CC47DD2" w:rsidR="00956062" w:rsidRPr="009F535F" w:rsidRDefault="00451AE1" w:rsidP="004E2A97">
            <w:pPr>
              <w:pStyle w:val="Tabletextnormal"/>
              <w:cnfStyle w:val="000000000000" w:firstRow="0" w:lastRow="0" w:firstColumn="0" w:lastColumn="0" w:oddVBand="0" w:evenVBand="0" w:oddHBand="0" w:evenHBand="0" w:firstRowFirstColumn="0" w:firstRowLastColumn="0" w:lastRowFirstColumn="0" w:lastRowLastColumn="0"/>
              <w:rPr>
                <w:iCs/>
                <w:highlight w:val="yellow"/>
              </w:rPr>
            </w:pPr>
            <w:r w:rsidRPr="00451AE1">
              <w:rPr>
                <w:iCs/>
              </w:rPr>
              <w:t>Constructed by Dr</w:t>
            </w:r>
            <w:r w:rsidR="0054694E" w:rsidRPr="009F535F">
              <w:rPr>
                <w:iCs/>
              </w:rPr>
              <w:t>.</w:t>
            </w:r>
            <w:r w:rsidRPr="00451AE1">
              <w:rPr>
                <w:iCs/>
              </w:rPr>
              <w:t xml:space="preserve"> B. Salamaga (University of Sheffield)</w:t>
            </w:r>
            <w:r w:rsidR="003D6C21" w:rsidRPr="009F535F">
              <w:rPr>
                <w:iCs/>
              </w:rPr>
              <w:t>.</w:t>
            </w:r>
          </w:p>
        </w:tc>
      </w:tr>
      <w:tr w:rsidR="00F12044" w:rsidRPr="009F535F" w14:paraId="1F653D4C" w14:textId="77777777" w:rsidTr="00E51D70">
        <w:tc>
          <w:tcPr>
            <w:cnfStyle w:val="001000000000" w:firstRow="0" w:lastRow="0" w:firstColumn="1" w:lastColumn="0" w:oddVBand="0" w:evenVBand="0" w:oddHBand="0" w:evenHBand="0" w:firstRowFirstColumn="0" w:firstRowLastColumn="0" w:lastRowFirstColumn="0" w:lastRowLastColumn="0"/>
            <w:tcW w:w="1555" w:type="dxa"/>
          </w:tcPr>
          <w:p w14:paraId="5A8F2ED2" w14:textId="6F4863FF" w:rsidR="00956062" w:rsidRPr="009F535F" w:rsidRDefault="00956062" w:rsidP="004E2A97">
            <w:pPr>
              <w:pStyle w:val="Tabletextnormal"/>
            </w:pPr>
            <w:r w:rsidRPr="009F535F">
              <w:t>COL</w:t>
            </w:r>
            <w:r w:rsidR="005A7B3A" w:rsidRPr="009F535F">
              <w:t xml:space="preserve"> (SJF 4183)</w:t>
            </w:r>
          </w:p>
        </w:tc>
        <w:tc>
          <w:tcPr>
            <w:tcW w:w="3402" w:type="dxa"/>
          </w:tcPr>
          <w:p w14:paraId="42041457" w14:textId="77777777"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rPr>
                <w:i/>
              </w:rPr>
            </w:pPr>
            <w:r w:rsidRPr="009F535F">
              <w:rPr>
                <w:iCs/>
              </w:rPr>
              <w:t xml:space="preserve">Methicillin resistant </w:t>
            </w:r>
            <w:r w:rsidRPr="009F535F">
              <w:rPr>
                <w:i/>
              </w:rPr>
              <w:t>S. aureus</w:t>
            </w:r>
          </w:p>
        </w:tc>
        <w:tc>
          <w:tcPr>
            <w:tcW w:w="1881" w:type="dxa"/>
          </w:tcPr>
          <w:p w14:paraId="318D3695" w14:textId="14B04285" w:rsidR="00956062" w:rsidRPr="009F535F" w:rsidRDefault="004021B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TSB</w:t>
            </w:r>
          </w:p>
        </w:tc>
        <w:tc>
          <w:tcPr>
            <w:tcW w:w="3595" w:type="dxa"/>
          </w:tcPr>
          <w:p w14:paraId="1173B7F7" w14:textId="07930C1A"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 xml:space="preserve">Dyke </w:t>
            </w:r>
            <w:r w:rsidRPr="009F535F">
              <w:rPr>
                <w:i/>
                <w:iCs/>
              </w:rPr>
              <w:t>et al.</w:t>
            </w:r>
            <w:r w:rsidRPr="009F535F">
              <w:t xml:space="preserve">, </w:t>
            </w:r>
            <w:r w:rsidR="004A7BD7">
              <w:t>(</w:t>
            </w:r>
            <w:r w:rsidRPr="009F535F">
              <w:t>1966</w:t>
            </w:r>
            <w:r w:rsidR="004A7BD7">
              <w:t>)</w:t>
            </w:r>
            <w:r w:rsidRPr="009F535F">
              <w:fldChar w:fldCharType="begin" w:fldLock="1"/>
            </w:r>
            <w:r w:rsidR="0058736C">
              <w:instrText>ADDIN CSL_CITATION {"citationItems":[{"id":"ITEM-1","itemData":{"DOI":"https://doi.org/10.1016/S0140-6736(66)90182-6","author":[{"dropping-particle":"","family":"K.G.H. Dyke","given":"Ph.D. Cantab.","non-dropping-particle":"","parse-names":false,"suffix":""},{"dropping-particle":"","family":"M.Patricia Jevons, M.D. Lond., M.C.Path.","given":"Dip. Bact.","non-dropping-particle":"","parse-names":false,"suffix":""},{"dropping-particle":"","family":"M.T. Parker, M.D. Cantab., F.C.Path.","given":"Dip. Bact.","non-dropping-particle":"","parse-names":false,"suffix":""}],"container-title":"The Lancet","id":"ITEM-1","issue":"7442","issued":{"date-parts":[["1966"]]},"page":"835-838","title":"Penicillinase production and intrinsic resistance to penicillins in Staphylococcus aures.","type":"article-journal","volume":"287"},"uris":["http://www.mendeley.com/documents/?uuid=017d9691-c91f-4ac7-8895-5720706f25e8"]}],"mendeley":{"formattedCitation":"&lt;sup&gt;[235]&lt;/sup&gt;","plainTextFormattedCitation":"[235]","previouslyFormattedCitation":"&lt;sup&gt;[235]&lt;/sup&gt;"},"properties":{"noteIndex":0},"schema":"https://github.com/citation-style-language/schema/raw/master/csl-citation.json"}</w:instrText>
            </w:r>
            <w:r w:rsidRPr="009F535F">
              <w:fldChar w:fldCharType="separate"/>
            </w:r>
            <w:r w:rsidR="002659E5" w:rsidRPr="002659E5">
              <w:rPr>
                <w:noProof/>
                <w:vertAlign w:val="superscript"/>
              </w:rPr>
              <w:t>[235]</w:t>
            </w:r>
            <w:r w:rsidRPr="009F535F">
              <w:fldChar w:fldCharType="end"/>
            </w:r>
            <w:r w:rsidRPr="009F535F">
              <w:t>.</w:t>
            </w:r>
          </w:p>
        </w:tc>
      </w:tr>
      <w:tr w:rsidR="00F12044" w:rsidRPr="009F535F" w14:paraId="2F0F0A3A" w14:textId="77777777" w:rsidTr="00E51D70">
        <w:tc>
          <w:tcPr>
            <w:cnfStyle w:val="001000000000" w:firstRow="0" w:lastRow="0" w:firstColumn="1" w:lastColumn="0" w:oddVBand="0" w:evenVBand="0" w:oddHBand="0" w:evenHBand="0" w:firstRowFirstColumn="0" w:firstRowLastColumn="0" w:lastRowFirstColumn="0" w:lastRowLastColumn="0"/>
            <w:tcW w:w="1555" w:type="dxa"/>
          </w:tcPr>
          <w:p w14:paraId="09ED59CA" w14:textId="53437082" w:rsidR="00956062" w:rsidRPr="009F535F" w:rsidRDefault="00956062" w:rsidP="004E2A97">
            <w:pPr>
              <w:pStyle w:val="Tabletextnormal"/>
            </w:pPr>
            <w:r w:rsidRPr="009F535F">
              <w:t>NewHG</w:t>
            </w:r>
            <w:r w:rsidR="004D3E48" w:rsidRPr="009F535F">
              <w:t xml:space="preserve"> (SJF 3663)</w:t>
            </w:r>
          </w:p>
        </w:tc>
        <w:tc>
          <w:tcPr>
            <w:tcW w:w="3402" w:type="dxa"/>
          </w:tcPr>
          <w:p w14:paraId="719A514D" w14:textId="77777777"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rPr>
                <w:iCs/>
              </w:rPr>
            </w:pPr>
            <w:r w:rsidRPr="009F535F">
              <w:rPr>
                <w:i/>
              </w:rPr>
              <w:t>S. aureus</w:t>
            </w:r>
            <w:r w:rsidRPr="009F535F">
              <w:rPr>
                <w:iCs/>
              </w:rPr>
              <w:t xml:space="preserve"> Newman with </w:t>
            </w:r>
            <w:r w:rsidRPr="009F535F">
              <w:rPr>
                <w:i/>
              </w:rPr>
              <w:t>sae</w:t>
            </w:r>
            <w:r w:rsidRPr="009F535F">
              <w:rPr>
                <w:i/>
                <w:vertAlign w:val="superscript"/>
              </w:rPr>
              <w:t>L</w:t>
            </w:r>
            <w:r w:rsidRPr="009F535F">
              <w:rPr>
                <w:iCs/>
              </w:rPr>
              <w:t xml:space="preserve"> allele from </w:t>
            </w:r>
            <w:r w:rsidRPr="009F535F">
              <w:rPr>
                <w:i/>
              </w:rPr>
              <w:t>S. aureus</w:t>
            </w:r>
            <w:r w:rsidRPr="009F535F">
              <w:rPr>
                <w:iCs/>
              </w:rPr>
              <w:t xml:space="preserve"> RN1</w:t>
            </w:r>
          </w:p>
        </w:tc>
        <w:tc>
          <w:tcPr>
            <w:tcW w:w="1881" w:type="dxa"/>
          </w:tcPr>
          <w:p w14:paraId="482DFCA5" w14:textId="48F49619" w:rsidR="00956062" w:rsidRPr="009F535F" w:rsidRDefault="004021B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TSB</w:t>
            </w:r>
          </w:p>
        </w:tc>
        <w:tc>
          <w:tcPr>
            <w:tcW w:w="3595" w:type="dxa"/>
          </w:tcPr>
          <w:p w14:paraId="27422195" w14:textId="42A5EEF3"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 xml:space="preserve">Duthie and Lorenz </w:t>
            </w:r>
            <w:r w:rsidR="004A7BD7">
              <w:t>(</w:t>
            </w:r>
            <w:r w:rsidRPr="009F535F">
              <w:t>1952</w:t>
            </w:r>
            <w:r w:rsidR="004A7BD7">
              <w:t>)</w:t>
            </w:r>
            <w:r w:rsidRPr="009F535F">
              <w:fldChar w:fldCharType="begin" w:fldLock="1"/>
            </w:r>
            <w:r w:rsidR="00B3106D">
              <w:instrText>ADDIN CSL_CITATION {"citationItems":[{"id":"ITEM-1","itemData":{"DOI":"10.1099/00221287-6-1-2-95","ISSN":"00221287","PMID":"14927856","author":[{"dropping-particle":"","family":"Duthie","given":"E. S.","non-dropping-particle":"","parse-names":false,"suffix":""},{"dropping-particle":"","family":"Lorenz","given":"L. L.","non-dropping-particle":"","parse-names":false,"suffix":""}],"container-title":"Journal of general microbiology","id":"ITEM-1","issue":"1-2","issued":{"date-parts":[["1952"]]},"page":"95-107","title":"Staphylococcal coagulase; mode of action and antigenicity.","type":"article-journal","volume":"6"},"uris":["http://www.mendeley.com/documents/?uuid=5621523a-6a5f-4c91-82c1-40bf1a31e98d"]}],"mendeley":{"formattedCitation":"&lt;sup&gt;[236]&lt;/sup&gt;","plainTextFormattedCitation":"[236]","previouslyFormattedCitation":"&lt;sup&gt;[236]&lt;/sup&gt;"},"properties":{"noteIndex":0},"schema":"https://github.com/citation-style-language/schema/raw/master/csl-citation.json"}</w:instrText>
            </w:r>
            <w:r w:rsidRPr="009F535F">
              <w:fldChar w:fldCharType="separate"/>
            </w:r>
            <w:r w:rsidR="002659E5" w:rsidRPr="002659E5">
              <w:rPr>
                <w:noProof/>
                <w:vertAlign w:val="superscript"/>
              </w:rPr>
              <w:t>[236]</w:t>
            </w:r>
            <w:r w:rsidRPr="009F535F">
              <w:fldChar w:fldCharType="end"/>
            </w:r>
            <w:r w:rsidRPr="009F535F">
              <w:t>.</w:t>
            </w:r>
          </w:p>
        </w:tc>
      </w:tr>
      <w:tr w:rsidR="00F12044" w:rsidRPr="009F535F" w14:paraId="27F4A67C" w14:textId="77777777" w:rsidTr="00E51D70">
        <w:tc>
          <w:tcPr>
            <w:cnfStyle w:val="001000000000" w:firstRow="0" w:lastRow="0" w:firstColumn="1" w:lastColumn="0" w:oddVBand="0" w:evenVBand="0" w:oddHBand="0" w:evenHBand="0" w:firstRowFirstColumn="0" w:firstRowLastColumn="0" w:lastRowFirstColumn="0" w:lastRowLastColumn="0"/>
            <w:tcW w:w="1555" w:type="dxa"/>
          </w:tcPr>
          <w:p w14:paraId="6F081647" w14:textId="3F3CEE49" w:rsidR="00956062" w:rsidRPr="009F535F" w:rsidRDefault="00956062" w:rsidP="004E2A97">
            <w:pPr>
              <w:pStyle w:val="Tabletextnormal"/>
            </w:pPr>
            <w:r w:rsidRPr="009F535F">
              <w:rPr>
                <w:i/>
                <w:iCs/>
              </w:rPr>
              <w:t>sagB</w:t>
            </w:r>
            <w:r w:rsidR="005A7B3A" w:rsidRPr="009F535F">
              <w:t xml:space="preserve"> (SJF 4167)</w:t>
            </w:r>
          </w:p>
        </w:tc>
        <w:tc>
          <w:tcPr>
            <w:tcW w:w="3402" w:type="dxa"/>
          </w:tcPr>
          <w:p w14:paraId="244B9F60" w14:textId="77777777"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rPr>
                <w:iCs/>
              </w:rPr>
            </w:pPr>
            <w:r w:rsidRPr="009F535F">
              <w:rPr>
                <w:i/>
              </w:rPr>
              <w:t xml:space="preserve">S. aureus </w:t>
            </w:r>
            <w:r w:rsidRPr="009F535F">
              <w:rPr>
                <w:iCs/>
              </w:rPr>
              <w:t xml:space="preserve">SH1000 </w:t>
            </w:r>
            <w:r w:rsidRPr="009F535F">
              <w:rPr>
                <w:i/>
              </w:rPr>
              <w:t>sagB::kan</w:t>
            </w:r>
            <w:r w:rsidRPr="009F535F">
              <w:rPr>
                <w:iCs/>
              </w:rPr>
              <w:t>; Kan</w:t>
            </w:r>
            <w:r w:rsidRPr="009F535F">
              <w:rPr>
                <w:iCs/>
                <w:vertAlign w:val="superscript"/>
              </w:rPr>
              <w:t>R</w:t>
            </w:r>
          </w:p>
        </w:tc>
        <w:tc>
          <w:tcPr>
            <w:tcW w:w="1881" w:type="dxa"/>
          </w:tcPr>
          <w:p w14:paraId="0AA16791" w14:textId="014648ED" w:rsidR="00A739F5" w:rsidRDefault="00956062" w:rsidP="00E51D70">
            <w:pPr>
              <w:pStyle w:val="Tabletextnormal"/>
              <w:cnfStyle w:val="000000000000" w:firstRow="0" w:lastRow="0" w:firstColumn="0" w:lastColumn="0" w:oddVBand="0" w:evenVBand="0" w:oddHBand="0" w:evenHBand="0" w:firstRowFirstColumn="0" w:firstRowLastColumn="0" w:lastRowFirstColumn="0" w:lastRowLastColumn="0"/>
              <w:rPr>
                <w:lang w:val="es-ES"/>
              </w:rPr>
            </w:pPr>
            <w:r w:rsidRPr="00993CDF">
              <w:rPr>
                <w:lang w:val="es-ES"/>
              </w:rPr>
              <w:t>TSB</w:t>
            </w:r>
            <w:r w:rsidR="00EF0345">
              <w:rPr>
                <w:lang w:val="es-ES"/>
              </w:rPr>
              <w:t>,</w:t>
            </w:r>
            <w:r w:rsidR="00E51D70">
              <w:rPr>
                <w:lang w:val="es-ES"/>
              </w:rPr>
              <w:t xml:space="preserve"> </w:t>
            </w:r>
            <w:r w:rsidRPr="00993CDF">
              <w:rPr>
                <w:lang w:val="es-ES"/>
              </w:rPr>
              <w:t>kan</w:t>
            </w:r>
            <w:r w:rsidR="00993CDF" w:rsidRPr="00993CDF">
              <w:rPr>
                <w:lang w:val="es-ES"/>
              </w:rPr>
              <w:t xml:space="preserve"> </w:t>
            </w:r>
            <w:r w:rsidRPr="00993CDF">
              <w:rPr>
                <w:lang w:val="es-ES"/>
              </w:rPr>
              <w:t>50</w:t>
            </w:r>
            <w:r w:rsidR="00993CDF" w:rsidRPr="00993CDF">
              <w:rPr>
                <w:lang w:val="es-ES"/>
              </w:rPr>
              <w:t> µl</w:t>
            </w:r>
            <w:r w:rsidR="00EF0345">
              <w:rPr>
                <w:lang w:val="es-ES"/>
              </w:rPr>
              <w:t>/ml</w:t>
            </w:r>
            <w:r w:rsidRPr="00993CDF">
              <w:rPr>
                <w:lang w:val="es-ES"/>
              </w:rPr>
              <w:t>,</w:t>
            </w:r>
          </w:p>
          <w:p w14:paraId="042DE9D7" w14:textId="25E98509" w:rsidR="00956062" w:rsidRPr="00993CDF" w:rsidRDefault="00956062" w:rsidP="00A739F5">
            <w:pPr>
              <w:pStyle w:val="Tabletextnormal"/>
              <w:ind w:right="-243"/>
              <w:cnfStyle w:val="000000000000" w:firstRow="0" w:lastRow="0" w:firstColumn="0" w:lastColumn="0" w:oddVBand="0" w:evenVBand="0" w:oddHBand="0" w:evenHBand="0" w:firstRowFirstColumn="0" w:firstRowLastColumn="0" w:lastRowFirstColumn="0" w:lastRowLastColumn="0"/>
              <w:rPr>
                <w:lang w:val="es-ES"/>
              </w:rPr>
            </w:pPr>
            <w:r w:rsidRPr="00993CDF">
              <w:rPr>
                <w:lang w:val="es-ES"/>
              </w:rPr>
              <w:t>neo</w:t>
            </w:r>
            <w:r w:rsidR="00993CDF" w:rsidRPr="00993CDF">
              <w:rPr>
                <w:lang w:val="es-ES"/>
              </w:rPr>
              <w:t xml:space="preserve"> </w:t>
            </w:r>
            <w:r w:rsidR="00120D16" w:rsidRPr="00993CDF">
              <w:rPr>
                <w:lang w:val="es-ES"/>
              </w:rPr>
              <w:t>50</w:t>
            </w:r>
            <w:r w:rsidR="00993CDF" w:rsidRPr="00993CDF">
              <w:rPr>
                <w:lang w:val="es-ES"/>
              </w:rPr>
              <w:t> µl</w:t>
            </w:r>
            <w:r w:rsidR="00EF0345">
              <w:rPr>
                <w:lang w:val="es-ES"/>
              </w:rPr>
              <w:t>/ml</w:t>
            </w:r>
          </w:p>
        </w:tc>
        <w:tc>
          <w:tcPr>
            <w:tcW w:w="3595" w:type="dxa"/>
          </w:tcPr>
          <w:p w14:paraId="707086EA" w14:textId="549787A4" w:rsidR="00956062" w:rsidRPr="009F535F" w:rsidRDefault="00956062" w:rsidP="004E2A97">
            <w:pPr>
              <w:pStyle w:val="Tabletextnormal"/>
              <w:cnfStyle w:val="000000000000" w:firstRow="0" w:lastRow="0" w:firstColumn="0" w:lastColumn="0" w:oddVBand="0" w:evenVBand="0" w:oddHBand="0" w:evenHBand="0" w:firstRowFirstColumn="0" w:firstRowLastColumn="0" w:lastRowFirstColumn="0" w:lastRowLastColumn="0"/>
            </w:pPr>
            <w:r w:rsidRPr="009F535F">
              <w:t xml:space="preserve">Wheeler </w:t>
            </w:r>
            <w:r w:rsidRPr="009F535F">
              <w:rPr>
                <w:i/>
                <w:iCs/>
              </w:rPr>
              <w:t>et al.</w:t>
            </w:r>
            <w:r w:rsidRPr="009F535F">
              <w:t xml:space="preserve">, </w:t>
            </w:r>
            <w:r w:rsidR="004A7BD7">
              <w:t>(</w:t>
            </w:r>
            <w:r w:rsidRPr="009F535F">
              <w:t>2015</w:t>
            </w:r>
            <w:r w:rsidR="004A7BD7">
              <w:t>)</w:t>
            </w:r>
            <w:r w:rsidRPr="009F535F">
              <w:fldChar w:fldCharType="begin" w:fldLock="1"/>
            </w:r>
            <w:r w:rsidR="00DA0A83" w:rsidRPr="009F535F">
              <w:instrText>ADDIN CSL_CITATION {"citationItems":[{"id":"ITEM-1","itemData":{"DOI":"10.1128/mBio.00660-15","ISSN":"21507511","PMID":"26220963","abstract":"UNLABELLED: Most bacterial cells are enclosed in a single macromolecule of the cell wall polymer, peptidoglycan, which is required for shape determination and maintenance of viability, while peptidoglycan biosynthesis is an important antibiotic target. It is hypothesized that cellular enlargement requires regional expansion of the cell wall through coordinated insertion and hydrolysis of peptidoglycan. Here, a group of (apparent glucosaminidase) peptidoglycan hydrolases are identified that are together required for cell enlargement and correct cellular morphology of Staphylococcus aureus, demonstrating the overall importance of this enzyme activity. These are Atl, SagA, ScaH, and SagB. The major advance here is the explanation of the observed morphological defects in terms of the mechanical and biochemical properties of peptidoglycan. It was shown that cells lacking groups of these hydrolases have increased surface stiffness and, in the absence of SagB, substantially increased glycan chain length. This indicates that, beyond their established roles (for example in cell separation), some hydrolases enable cellular enlargement by making peptidoglycan easier to stretch, providing the first direct evidence demonstrating that cellular enlargement occurs via modulation of the mechanical properties of peptidoglycan.\\n\\nIMPORTANCE: Understanding bacterial growth and division is a fundamental problem, and knowledge in this area underlies the treatment of many infectious diseases. Almost all bacteria are surrounded by a macromolecule of peptidoglycan that encloses the cell and maintains shape, and bacterial cells must increase the size of this molecule in order to enlarge themselves. This requires not only the insertion of new peptidoglycan monomers, a process targeted by antibiotics, including penicillin, but also breakage of existing bonds, a potentially hazardous activity for the cell. Using Staphylococcus aureus, we have identified a set of enzymes that are critical for cellular enlargement. We show that these enzymes are required for normal growth and define the mechanism through which cellular enlargement is accomplished, i.e., by breaking bonds in the peptidoglycan, which reduces the stiffness of the cell wall, enabling it to stretch and expand, a process that is likely to be fundamental to many bacteria.","author":[{"dropping-particle":"","family":"Wheeler","given":"Richard","non-dropping-particle":"","parse-names":false,"suffix":""},{"dropping-particle":"","family":"Turner","given":"Robert D.","non-dropping-particle":"","parse-names":false,"suffix":""},{"dropping-particle":"","family":"Bailey","given":"Richard G.","non-dropping-particle":"","parse-names":false,"suffix":""},{"dropping-particle":"","family":"Salamaga","given":"Bartłomiej","non-dropping-particle":"","parse-names":false,"suffix":""},{"dropping-particle":"","family":"Mesnage","given":"Stéphane","non-dropping-particle":"","parse-names":false,"suffix":""},{"dropping-particle":"","family":"Mohamad","given":"Sharifah A.S.","non-dropping-particle":"","parse-names":false,"suffix":""},{"dropping-particle":"","family":"Hayhurst","given":"Emma J.","non-dropping-particle":"","parse-names":false,"suffix":""},{"dropping-particle":"","family":"Horsburgh","given":"Malcolm","non-dropping-particle":"","parse-names":false,"suffix":""},{"dropping-particle":"","family":"Hobbs","given":"Jamie K.","non-dropping-particle":"","parse-names":false,"suffix":""},{"dropping-particle":"","family":"Foster","given":"Simon J.","non-dropping-particle":"","parse-names":false,"suffix":""}],"container-title":"mBio","id":"ITEM-1","issue":"4","issued":{"date-parts":[["2015"]]},"page":"1-10","title":"Bacterial cell enlargement requires control of cell wall stiffness mediated by peptidoglycan hydrolases","type":"article-journal","volume":"6"},"uris":["http://www.mendeley.com/documents/?uuid=d2ac9efd-feb5-4e30-a1e2-88eccd09b8af"]}],"mendeley":{"formattedCitation":"&lt;sup&gt;[53]&lt;/sup&gt;","plainTextFormattedCitation":"[53]","previouslyFormattedCitation":"&lt;sup&gt;[53]&lt;/sup&gt;"},"properties":{"noteIndex":0},"schema":"https://github.com/citation-style-language/schema/raw/master/csl-citation.json"}</w:instrText>
            </w:r>
            <w:r w:rsidRPr="009F535F">
              <w:fldChar w:fldCharType="separate"/>
            </w:r>
            <w:r w:rsidR="00DA0A83" w:rsidRPr="009F535F">
              <w:rPr>
                <w:noProof/>
                <w:vertAlign w:val="superscript"/>
              </w:rPr>
              <w:t>[53]</w:t>
            </w:r>
            <w:r w:rsidRPr="009F535F">
              <w:fldChar w:fldCharType="end"/>
            </w:r>
            <w:r w:rsidRPr="009F535F">
              <w:t>.</w:t>
            </w:r>
          </w:p>
        </w:tc>
      </w:tr>
    </w:tbl>
    <w:p w14:paraId="57DFFC5C" w14:textId="37D16556" w:rsidR="00956062" w:rsidRDefault="00956062" w:rsidP="008A2B86">
      <w:pPr>
        <w:pStyle w:val="Caption"/>
      </w:pPr>
      <w:bookmarkStart w:id="322" w:name="_Ref74484583"/>
      <w:bookmarkStart w:id="323" w:name="_Toc90217050"/>
      <w:r>
        <w:t xml:space="preserve">Table </w:t>
      </w:r>
      <w:r w:rsidR="003373BF">
        <w:fldChar w:fldCharType="begin"/>
      </w:r>
      <w:r w:rsidR="003373BF">
        <w:instrText xml:space="preserve"> STYLEREF 1 \s </w:instrText>
      </w:r>
      <w:r w:rsidR="003373BF">
        <w:fldChar w:fldCharType="separate"/>
      </w:r>
      <w:r w:rsidR="00183CC8">
        <w:rPr>
          <w:noProof/>
        </w:rPr>
        <w:t>2</w:t>
      </w:r>
      <w:r w:rsidR="003373BF">
        <w:rPr>
          <w:noProof/>
        </w:rPr>
        <w:fldChar w:fldCharType="end"/>
      </w:r>
      <w:r w:rsidR="00F12B90">
        <w:t>.</w:t>
      </w:r>
      <w:r w:rsidR="003373BF">
        <w:fldChar w:fldCharType="begin"/>
      </w:r>
      <w:r w:rsidR="003373BF">
        <w:instrText xml:space="preserve"> SEQ Table \* ARABIC \s 1 </w:instrText>
      </w:r>
      <w:r w:rsidR="003373BF">
        <w:fldChar w:fldCharType="separate"/>
      </w:r>
      <w:r w:rsidR="00183CC8">
        <w:rPr>
          <w:noProof/>
        </w:rPr>
        <w:t>4</w:t>
      </w:r>
      <w:r w:rsidR="003373BF">
        <w:rPr>
          <w:noProof/>
        </w:rPr>
        <w:fldChar w:fldCharType="end"/>
      </w:r>
      <w:bookmarkEnd w:id="322"/>
      <w:r>
        <w:t>. List of bacterial strains used in this study.</w:t>
      </w:r>
      <w:bookmarkEnd w:id="323"/>
    </w:p>
    <w:p w14:paraId="4B0C8D46" w14:textId="471AEF12" w:rsidR="001461EC" w:rsidRDefault="001461EC" w:rsidP="001461EC">
      <w:pPr>
        <w:pStyle w:val="NoSpacing"/>
      </w:pPr>
      <w:r w:rsidRPr="001461EC">
        <w:t>Cm</w:t>
      </w:r>
      <w:r w:rsidRPr="001461EC">
        <w:rPr>
          <w:vertAlign w:val="superscript"/>
        </w:rPr>
        <w:t>R</w:t>
      </w:r>
      <w:r w:rsidRPr="001461EC">
        <w:t>, chloramphenicol resistant; Ery</w:t>
      </w:r>
      <w:r w:rsidRPr="001461EC">
        <w:rPr>
          <w:vertAlign w:val="superscript"/>
        </w:rPr>
        <w:t>R</w:t>
      </w:r>
      <w:r w:rsidRPr="001461EC">
        <w:t>, erythromycin resistant; Kan</w:t>
      </w:r>
      <w:r w:rsidRPr="001461EC">
        <w:rPr>
          <w:vertAlign w:val="superscript"/>
        </w:rPr>
        <w:t>R</w:t>
      </w:r>
      <w:r w:rsidRPr="001461EC">
        <w:t>, kanamycin resistant; Lin</w:t>
      </w:r>
      <w:r w:rsidRPr="001461EC">
        <w:rPr>
          <w:vertAlign w:val="superscript"/>
        </w:rPr>
        <w:t>R</w:t>
      </w:r>
      <w:r w:rsidRPr="001461EC">
        <w:t>, lincomycin resistant; Tet</w:t>
      </w:r>
      <w:r w:rsidRPr="001461EC">
        <w:rPr>
          <w:vertAlign w:val="superscript"/>
        </w:rPr>
        <w:t>R</w:t>
      </w:r>
      <w:r w:rsidRPr="001461EC">
        <w:t>, tetracycline resistant</w:t>
      </w:r>
      <w:r w:rsidR="00227F13">
        <w:t>; Neo</w:t>
      </w:r>
      <w:r w:rsidR="00227F13">
        <w:rPr>
          <w:vertAlign w:val="superscript"/>
        </w:rPr>
        <w:t>R</w:t>
      </w:r>
      <w:r w:rsidR="00227F13">
        <w:t xml:space="preserve"> , neomycin resistant.</w:t>
      </w:r>
    </w:p>
    <w:p w14:paraId="6F526751" w14:textId="77777777" w:rsidR="001F28B3" w:rsidRDefault="001F28B3" w:rsidP="001461EC">
      <w:pPr>
        <w:pStyle w:val="NoSpacing"/>
      </w:pPr>
    </w:p>
    <w:p w14:paraId="4F1D5F68" w14:textId="1A7BEE4B" w:rsidR="008B3525" w:rsidRDefault="00B42F0F" w:rsidP="006F15E1">
      <w:pPr>
        <w:pStyle w:val="Heading2"/>
      </w:pPr>
      <w:bookmarkStart w:id="324" w:name="_Toc64276333"/>
      <w:bookmarkStart w:id="325" w:name="_Toc64276637"/>
      <w:bookmarkStart w:id="326" w:name="_Toc64276849"/>
      <w:bookmarkStart w:id="327" w:name="_Ref64387542"/>
      <w:bookmarkStart w:id="328" w:name="_Toc90216797"/>
      <w:r>
        <w:lastRenderedPageBreak/>
        <w:t>Growth</w:t>
      </w:r>
      <w:r w:rsidR="004B0C7E" w:rsidRPr="005B0F81">
        <w:t xml:space="preserve"> conditions</w:t>
      </w:r>
      <w:bookmarkEnd w:id="324"/>
      <w:bookmarkEnd w:id="325"/>
      <w:bookmarkEnd w:id="326"/>
      <w:bookmarkEnd w:id="327"/>
      <w:r w:rsidR="007006CC">
        <w:t>.</w:t>
      </w:r>
      <w:bookmarkEnd w:id="328"/>
    </w:p>
    <w:p w14:paraId="75967CE5" w14:textId="1F717D5A" w:rsidR="00051EC9" w:rsidRDefault="00051EC9" w:rsidP="00051EC9">
      <w:pPr>
        <w:pStyle w:val="Heading3"/>
      </w:pPr>
      <w:bookmarkStart w:id="329" w:name="_Ref64391429"/>
      <w:bookmarkStart w:id="330" w:name="_Ref88064598"/>
      <w:bookmarkStart w:id="331" w:name="_Toc90216798"/>
      <w:r>
        <w:t>Standard growth conditions</w:t>
      </w:r>
      <w:bookmarkEnd w:id="329"/>
      <w:r w:rsidR="007006CC">
        <w:t>.</w:t>
      </w:r>
      <w:bookmarkEnd w:id="330"/>
      <w:bookmarkEnd w:id="331"/>
    </w:p>
    <w:p w14:paraId="1F341357" w14:textId="121005E2" w:rsidR="00891204" w:rsidRPr="00D83C0E" w:rsidRDefault="00C50ACF" w:rsidP="006F15E1">
      <w:r>
        <w:t>Bacterial cultures</w:t>
      </w:r>
      <w:r w:rsidR="006F15E1">
        <w:t xml:space="preserve"> </w:t>
      </w:r>
      <w:r>
        <w:t>were</w:t>
      </w:r>
      <w:r w:rsidR="006F15E1">
        <w:t xml:space="preserve"> grown</w:t>
      </w:r>
      <w:r>
        <w:t xml:space="preserve"> overnight</w:t>
      </w:r>
      <w:r w:rsidR="006F15E1">
        <w:t xml:space="preserve"> from a single colony in 10 ml TSB </w:t>
      </w:r>
      <w:r w:rsidR="001C5E7A">
        <w:t>using</w:t>
      </w:r>
      <w:r w:rsidR="006F15E1">
        <w:t xml:space="preserve"> a 50 ml Falcon tube, incubated at 37 °</w:t>
      </w:r>
      <w:r w:rsidR="006F15E1" w:rsidRPr="008611FE">
        <w:t>C</w:t>
      </w:r>
      <w:r w:rsidR="006F15E1">
        <w:t xml:space="preserve"> and shak</w:t>
      </w:r>
      <w:r>
        <w:t>ing</w:t>
      </w:r>
      <w:r w:rsidR="006F15E1">
        <w:t xml:space="preserve"> at 200 rpm </w:t>
      </w:r>
      <w:r>
        <w:t xml:space="preserve">in a water bath </w:t>
      </w:r>
      <w:r w:rsidR="006F15E1">
        <w:t>(Julabo</w:t>
      </w:r>
      <w:r w:rsidR="006F15E1" w:rsidRPr="006F15E1">
        <w:rPr>
          <w:rFonts w:ascii="Calibri" w:hAnsi="Calibri"/>
        </w:rPr>
        <w:t>®</w:t>
      </w:r>
      <w:r w:rsidR="006F15E1">
        <w:t>).</w:t>
      </w:r>
      <w:r w:rsidR="00891204">
        <w:t xml:space="preserve"> </w:t>
      </w:r>
      <w:r w:rsidR="0094544C">
        <w:t>This</w:t>
      </w:r>
      <w:r w:rsidR="00891204">
        <w:t xml:space="preserve"> culture was used to inoculate 50 ml of TSB in a 250 ml conical flask with a starting optical density (OD</w:t>
      </w:r>
      <w:r w:rsidR="00891204">
        <w:rPr>
          <w:vertAlign w:val="subscript"/>
        </w:rPr>
        <w:t>600</w:t>
      </w:r>
      <w:r w:rsidR="00891204">
        <w:t xml:space="preserve">) of 0.05. </w:t>
      </w:r>
      <w:r w:rsidR="00D83C0E">
        <w:t>OD</w:t>
      </w:r>
      <w:r w:rsidR="00D83C0E">
        <w:rPr>
          <w:vertAlign w:val="subscript"/>
        </w:rPr>
        <w:t>600</w:t>
      </w:r>
      <w:r w:rsidR="00D83C0E">
        <w:t xml:space="preserve"> was measured as explained in section </w:t>
      </w:r>
      <w:r w:rsidR="00D83C0E">
        <w:fldChar w:fldCharType="begin"/>
      </w:r>
      <w:r w:rsidR="00D83C0E">
        <w:instrText xml:space="preserve"> REF _Ref88062489 \r \h </w:instrText>
      </w:r>
      <w:r w:rsidR="00D83C0E">
        <w:fldChar w:fldCharType="separate"/>
      </w:r>
      <w:r w:rsidR="00183CC8">
        <w:t>2.13.1</w:t>
      </w:r>
      <w:r w:rsidR="00D83C0E">
        <w:fldChar w:fldCharType="end"/>
      </w:r>
      <w:r w:rsidR="00D83C0E">
        <w:t>.</w:t>
      </w:r>
    </w:p>
    <w:p w14:paraId="695B2F0E" w14:textId="14AC43AC" w:rsidR="006F15E1" w:rsidRDefault="00891204" w:rsidP="006F15E1">
      <w:r>
        <w:t>Unless otherwise stated, standard grow</w:t>
      </w:r>
      <w:r w:rsidR="00E47435">
        <w:t>th</w:t>
      </w:r>
      <w:r>
        <w:t xml:space="preserve"> conditions</w:t>
      </w:r>
      <w:r w:rsidR="00E47435">
        <w:t xml:space="preserve"> were carried out</w:t>
      </w:r>
      <w:r>
        <w:t xml:space="preserve"> in TSB at 37 °</w:t>
      </w:r>
      <w:r w:rsidRPr="008611FE">
        <w:t>C</w:t>
      </w:r>
      <w:r>
        <w:t xml:space="preserve"> and shaking at 200 rpm in a water bath until reaching mid-exponential phase (OD</w:t>
      </w:r>
      <w:r>
        <w:rPr>
          <w:vertAlign w:val="subscript"/>
        </w:rPr>
        <w:t>600</w:t>
      </w:r>
      <w:r>
        <w:t xml:space="preserve"> 0.4-0.8).</w:t>
      </w:r>
    </w:p>
    <w:p w14:paraId="63B4A67B" w14:textId="5FE2B1D2" w:rsidR="00051EC9" w:rsidRDefault="00051EC9" w:rsidP="00051EC9">
      <w:pPr>
        <w:pStyle w:val="Heading3"/>
      </w:pPr>
      <w:bookmarkStart w:id="332" w:name="_Toc90216799"/>
      <w:r>
        <w:t>Growth conditions of IPTG-dependant strains</w:t>
      </w:r>
      <w:r w:rsidR="007006CC">
        <w:t>.</w:t>
      </w:r>
      <w:bookmarkEnd w:id="332"/>
    </w:p>
    <w:p w14:paraId="3CA2277D" w14:textId="18B2FF9F" w:rsidR="00496B28" w:rsidRDefault="002A6B3A" w:rsidP="003A1341">
      <w:r>
        <w:t>For those strains that have a gene of interest under an</w:t>
      </w:r>
      <w:r w:rsidR="0002414D">
        <w:t xml:space="preserve"> IPTG-</w:t>
      </w:r>
      <w:r>
        <w:t>inducible P</w:t>
      </w:r>
      <w:r w:rsidRPr="002453E5">
        <w:rPr>
          <w:vertAlign w:val="subscript"/>
        </w:rPr>
        <w:t>spac</w:t>
      </w:r>
      <w:r>
        <w:t xml:space="preserve"> promoter</w:t>
      </w:r>
      <w:r w:rsidR="0002414D">
        <w:t xml:space="preserve">, </w:t>
      </w:r>
      <w:r>
        <w:t>a</w:t>
      </w:r>
      <w:r w:rsidR="003A1341">
        <w:t xml:space="preserve">n </w:t>
      </w:r>
      <w:r w:rsidR="006E322D">
        <w:t>initial growing step</w:t>
      </w:r>
      <w:r w:rsidR="003A1341">
        <w:t xml:space="preserve"> was put in </w:t>
      </w:r>
      <w:r>
        <w:t>place to deplete the concentration of IPTG before each experiment.</w:t>
      </w:r>
    </w:p>
    <w:p w14:paraId="45ABA26F" w14:textId="7BFCB396" w:rsidR="00F709F8" w:rsidRDefault="00496B28" w:rsidP="003A1341">
      <w:r>
        <w:t>B</w:t>
      </w:r>
      <w:r w:rsidR="002A6B3A">
        <w:t xml:space="preserve">acterial cultures were grown overnight as </w:t>
      </w:r>
      <w:r w:rsidR="00D83C0E">
        <w:t>described</w:t>
      </w:r>
      <w:r w:rsidR="002A6B3A">
        <w:t xml:space="preserve"> above (</w:t>
      </w:r>
      <w:r w:rsidR="002A6B3A">
        <w:fldChar w:fldCharType="begin"/>
      </w:r>
      <w:r w:rsidR="002A6B3A">
        <w:instrText xml:space="preserve"> REF _Ref64391429 \n \h </w:instrText>
      </w:r>
      <w:r w:rsidR="002A6B3A">
        <w:fldChar w:fldCharType="separate"/>
      </w:r>
      <w:r w:rsidR="00183CC8">
        <w:t>2.11.1</w:t>
      </w:r>
      <w:r w:rsidR="002A6B3A">
        <w:fldChar w:fldCharType="end"/>
      </w:r>
      <w:r w:rsidR="002A6B3A">
        <w:t xml:space="preserve">), with 1 mM IPTG, and used the next day to inoculate 50 ml of TSB in a 250 ml conical flask </w:t>
      </w:r>
      <w:r w:rsidR="002A6B3A" w:rsidRPr="00496B28">
        <w:t>with 10 µM IPTG</w:t>
      </w:r>
      <w:r w:rsidR="002A6B3A">
        <w:t>. After reaching mid exponential phase (OD</w:t>
      </w:r>
      <w:r w:rsidR="002A6B3A">
        <w:rPr>
          <w:vertAlign w:val="subscript"/>
        </w:rPr>
        <w:t>600</w:t>
      </w:r>
      <w:r w:rsidR="002A6B3A">
        <w:t xml:space="preserve"> 0.5-1), the culture was transferred to a 50 ml Falcon tube and washed three times </w:t>
      </w:r>
      <w:r w:rsidR="00CC0A23">
        <w:t xml:space="preserve">with TSB </w:t>
      </w:r>
      <w:r w:rsidR="002A6B3A">
        <w:t xml:space="preserve">to remove any </w:t>
      </w:r>
      <w:r w:rsidR="008D327C">
        <w:t>remaining</w:t>
      </w:r>
      <w:r w:rsidR="002A6B3A">
        <w:t xml:space="preserve"> IPTG</w:t>
      </w:r>
      <w:r w:rsidR="0017667A">
        <w:t xml:space="preserve">. The IPTG-depleted cells were harvested by centrifugation (section </w:t>
      </w:r>
      <w:r w:rsidR="0017667A">
        <w:fldChar w:fldCharType="begin"/>
      </w:r>
      <w:r w:rsidR="0017667A">
        <w:instrText xml:space="preserve"> REF _Ref79424317 \r \h </w:instrText>
      </w:r>
      <w:r w:rsidR="0017667A">
        <w:fldChar w:fldCharType="separate"/>
      </w:r>
      <w:r w:rsidR="00183CC8">
        <w:t>2.12</w:t>
      </w:r>
      <w:r w:rsidR="0017667A">
        <w:fldChar w:fldCharType="end"/>
      </w:r>
      <w:r w:rsidR="0017667A">
        <w:t>) and used to inoculate and grow a bacterial culture without the inducer</w:t>
      </w:r>
      <w:r w:rsidR="002A6B3A">
        <w:t xml:space="preserve"> (</w:t>
      </w:r>
      <w:r w:rsidR="006E322D">
        <w:t>standard growth</w:t>
      </w:r>
      <w:r w:rsidR="0017667A">
        <w:t xml:space="preserve"> conditions, section </w:t>
      </w:r>
      <w:r w:rsidR="0017667A">
        <w:fldChar w:fldCharType="begin"/>
      </w:r>
      <w:r w:rsidR="0017667A">
        <w:instrText xml:space="preserve"> REF _Ref64391429 \r \h </w:instrText>
      </w:r>
      <w:r w:rsidR="0017667A">
        <w:fldChar w:fldCharType="separate"/>
      </w:r>
      <w:r w:rsidR="00183CC8">
        <w:t>2.11.1</w:t>
      </w:r>
      <w:r w:rsidR="0017667A">
        <w:fldChar w:fldCharType="end"/>
      </w:r>
      <w:r w:rsidR="002A6B3A">
        <w:t>)</w:t>
      </w:r>
      <w:r w:rsidR="00CC0A23">
        <w:t>.</w:t>
      </w:r>
    </w:p>
    <w:p w14:paraId="5643A087" w14:textId="16CCB41C" w:rsidR="00D77F0C" w:rsidRDefault="00D77F0C" w:rsidP="00D77F0C">
      <w:pPr>
        <w:pStyle w:val="Heading3"/>
      </w:pPr>
      <w:bookmarkStart w:id="333" w:name="_Ref72838362"/>
      <w:bookmarkStart w:id="334" w:name="_Toc90216800"/>
      <w:r>
        <w:t>Growth conditions for cryo-fixation methods</w:t>
      </w:r>
      <w:bookmarkEnd w:id="333"/>
      <w:r w:rsidR="007006CC">
        <w:t>.</w:t>
      </w:r>
      <w:bookmarkEnd w:id="334"/>
    </w:p>
    <w:p w14:paraId="7B7236E7" w14:textId="26918532" w:rsidR="00D77F0C" w:rsidRDefault="00D77F0C" w:rsidP="00D77F0C">
      <w:r>
        <w:t xml:space="preserve">For electron microscopy involving cryo-fixation methods, such as freeze-substitution TEM (section </w:t>
      </w:r>
      <w:r>
        <w:fldChar w:fldCharType="begin"/>
      </w:r>
      <w:r>
        <w:instrText xml:space="preserve"> REF _Ref79699351 \r \h </w:instrText>
      </w:r>
      <w:r>
        <w:fldChar w:fldCharType="separate"/>
      </w:r>
      <w:r w:rsidR="00183CC8">
        <w:t>2.20.2</w:t>
      </w:r>
      <w:r>
        <w:fldChar w:fldCharType="end"/>
      </w:r>
      <w:r>
        <w:t xml:space="preserve">) and CEMOVIS cryo-EM (section </w:t>
      </w:r>
      <w:r>
        <w:fldChar w:fldCharType="begin"/>
      </w:r>
      <w:r>
        <w:instrText xml:space="preserve"> REF _Ref79699317 \r \h </w:instrText>
      </w:r>
      <w:r>
        <w:fldChar w:fldCharType="separate"/>
      </w:r>
      <w:r w:rsidR="00183CC8">
        <w:t>2.21</w:t>
      </w:r>
      <w:r>
        <w:fldChar w:fldCharType="end"/>
      </w:r>
      <w:r>
        <w:t>), bacterial cultures were grown with cryoprotectants.</w:t>
      </w:r>
    </w:p>
    <w:p w14:paraId="79ED27C7" w14:textId="2F9A5CB2" w:rsidR="00D77F0C" w:rsidRDefault="007332C8" w:rsidP="003A1341">
      <w:r>
        <w:t xml:space="preserve">Bacterial cultures were grown overnight as described above (section </w:t>
      </w:r>
      <w:r>
        <w:fldChar w:fldCharType="begin"/>
      </w:r>
      <w:r>
        <w:instrText xml:space="preserve"> REF _Ref88064598 \r \h </w:instrText>
      </w:r>
      <w:r>
        <w:fldChar w:fldCharType="separate"/>
      </w:r>
      <w:r w:rsidR="00183CC8">
        <w:t>2.11.1</w:t>
      </w:r>
      <w:r>
        <w:fldChar w:fldCharType="end"/>
      </w:r>
      <w:r>
        <w:t>) with the addition of 10 % (v/v) glycerol to the TSB media</w:t>
      </w:r>
      <w:r w:rsidR="00A56A6D">
        <w:t xml:space="preserve"> (section </w:t>
      </w:r>
      <w:r w:rsidR="00A56A6D">
        <w:fldChar w:fldCharType="begin"/>
      </w:r>
      <w:r w:rsidR="00A56A6D">
        <w:instrText xml:space="preserve"> REF _Ref79701424 \r \h </w:instrText>
      </w:r>
      <w:r w:rsidR="00A56A6D">
        <w:fldChar w:fldCharType="separate"/>
      </w:r>
      <w:r w:rsidR="00183CC8">
        <w:t>2.2.2</w:t>
      </w:r>
      <w:r w:rsidR="00A56A6D">
        <w:fldChar w:fldCharType="end"/>
      </w:r>
      <w:r w:rsidR="00A56A6D">
        <w:t>)</w:t>
      </w:r>
      <w:r>
        <w:t>. This overnight culture</w:t>
      </w:r>
      <w:r w:rsidR="00D77F0C">
        <w:t xml:space="preserve"> was used to inoculate 50 ml of TSB with 10 % (v/v) glycerol with a starting optical density (OD</w:t>
      </w:r>
      <w:r w:rsidR="00D77F0C">
        <w:rPr>
          <w:vertAlign w:val="subscript"/>
        </w:rPr>
        <w:t>600</w:t>
      </w:r>
      <w:r w:rsidR="00D77F0C">
        <w:t>) of 0.05. Bacteria were incubated at 37 °</w:t>
      </w:r>
      <w:r w:rsidR="00D77F0C" w:rsidRPr="008611FE">
        <w:t>C</w:t>
      </w:r>
      <w:r w:rsidR="00D77F0C">
        <w:t xml:space="preserve"> and shaking at 200 rpm in a water bath (Julabo</w:t>
      </w:r>
      <w:r w:rsidR="00D77F0C" w:rsidRPr="006F15E1">
        <w:rPr>
          <w:rFonts w:ascii="Calibri" w:hAnsi="Calibri"/>
        </w:rPr>
        <w:t>®</w:t>
      </w:r>
      <w:r w:rsidR="00D77F0C">
        <w:t>), and grown until reaching</w:t>
      </w:r>
      <w:r w:rsidR="00D77F0C" w:rsidRPr="00C573A3">
        <w:t xml:space="preserve"> </w:t>
      </w:r>
      <w:r w:rsidR="00D77F0C">
        <w:t>mid-exponential phase (OD</w:t>
      </w:r>
      <w:r w:rsidR="00D77F0C">
        <w:rPr>
          <w:vertAlign w:val="subscript"/>
        </w:rPr>
        <w:t>600</w:t>
      </w:r>
      <w:r w:rsidR="00D77F0C">
        <w:t xml:space="preserve"> 0.4-0.8).</w:t>
      </w:r>
    </w:p>
    <w:p w14:paraId="5F6A8BD8" w14:textId="46266273" w:rsidR="00926ECE" w:rsidRDefault="00926ECE" w:rsidP="00051EC9">
      <w:pPr>
        <w:pStyle w:val="Heading3"/>
      </w:pPr>
      <w:bookmarkStart w:id="335" w:name="_Ref68880332"/>
      <w:bookmarkStart w:id="336" w:name="_Toc90216801"/>
      <w:r>
        <w:lastRenderedPageBreak/>
        <w:t xml:space="preserve">Growth conditions and harvest for </w:t>
      </w:r>
      <w:r w:rsidR="00E270EC">
        <w:t xml:space="preserve">microscopy of </w:t>
      </w:r>
      <w:r>
        <w:t>antibiotic experiments</w:t>
      </w:r>
      <w:bookmarkEnd w:id="335"/>
      <w:r w:rsidR="007006CC">
        <w:t>.</w:t>
      </w:r>
      <w:bookmarkEnd w:id="336"/>
    </w:p>
    <w:p w14:paraId="6D955815" w14:textId="05D9D8E1" w:rsidR="00C60281" w:rsidRPr="00F709F8" w:rsidRDefault="006A4A9B" w:rsidP="000E1053">
      <w:r>
        <w:t>Bacterial</w:t>
      </w:r>
      <w:r w:rsidR="0063626F">
        <w:t xml:space="preserve"> cultures were grown as described above (section </w:t>
      </w:r>
      <w:r w:rsidR="0063626F">
        <w:fldChar w:fldCharType="begin"/>
      </w:r>
      <w:r w:rsidR="0063626F">
        <w:instrText xml:space="preserve"> REF _Ref64391429 \r \h </w:instrText>
      </w:r>
      <w:r w:rsidR="0063626F">
        <w:fldChar w:fldCharType="separate"/>
      </w:r>
      <w:r w:rsidR="00183CC8">
        <w:t>2.11.1</w:t>
      </w:r>
      <w:r w:rsidR="0063626F">
        <w:fldChar w:fldCharType="end"/>
      </w:r>
      <w:r w:rsidR="0063626F">
        <w:t>)</w:t>
      </w:r>
      <w:r w:rsidR="00C435EB">
        <w:t>.</w:t>
      </w:r>
      <w:r w:rsidR="006B2FFA">
        <w:t xml:space="preserve"> </w:t>
      </w:r>
      <w:r w:rsidR="00C435EB">
        <w:t>O</w:t>
      </w:r>
      <w:r w:rsidR="006B2FFA">
        <w:t>nce</w:t>
      </w:r>
      <w:r w:rsidR="00813467">
        <w:t xml:space="preserve"> </w:t>
      </w:r>
      <w:r w:rsidR="00960B14">
        <w:t>an</w:t>
      </w:r>
      <w:r w:rsidR="006B2FFA">
        <w:t xml:space="preserve"> OD</w:t>
      </w:r>
      <w:r w:rsidR="006B2FFA">
        <w:rPr>
          <w:vertAlign w:val="subscript"/>
        </w:rPr>
        <w:t>600</w:t>
      </w:r>
      <w:r w:rsidR="006B2FFA">
        <w:t xml:space="preserve"> </w:t>
      </w:r>
      <w:r w:rsidR="00960B14">
        <w:t xml:space="preserve">of </w:t>
      </w:r>
      <w:r w:rsidR="006B2FFA">
        <w:t>0.</w:t>
      </w:r>
      <w:r w:rsidR="00D410D6">
        <w:t>2</w:t>
      </w:r>
      <w:r w:rsidR="006B2FFA">
        <w:t>-0.4</w:t>
      </w:r>
      <w:r w:rsidR="00C435EB">
        <w:t xml:space="preserve"> was reached</w:t>
      </w:r>
      <w:r w:rsidR="00813467">
        <w:t>,</w:t>
      </w:r>
      <w:r w:rsidR="00960B14">
        <w:t xml:space="preserve"> the </w:t>
      </w:r>
      <w:r w:rsidR="00873C36">
        <w:t>desired</w:t>
      </w:r>
      <w:r w:rsidR="00960B14">
        <w:t xml:space="preserve"> amount of antibiotic </w:t>
      </w:r>
      <w:r w:rsidR="00F603E8">
        <w:t xml:space="preserve">(as stated in </w:t>
      </w:r>
      <w:r w:rsidR="00F603E8">
        <w:fldChar w:fldCharType="begin"/>
      </w:r>
      <w:r w:rsidR="00F603E8">
        <w:instrText xml:space="preserve"> REF _Ref64275196 \h </w:instrText>
      </w:r>
      <w:r w:rsidR="00F603E8">
        <w:fldChar w:fldCharType="separate"/>
      </w:r>
      <w:r w:rsidR="00183CC8">
        <w:t xml:space="preserve">Table </w:t>
      </w:r>
      <w:r w:rsidR="00183CC8">
        <w:rPr>
          <w:noProof/>
        </w:rPr>
        <w:t>2</w:t>
      </w:r>
      <w:r w:rsidR="00183CC8">
        <w:t>.</w:t>
      </w:r>
      <w:r w:rsidR="00183CC8">
        <w:rPr>
          <w:noProof/>
        </w:rPr>
        <w:t>2</w:t>
      </w:r>
      <w:r w:rsidR="00F603E8">
        <w:fldChar w:fldCharType="end"/>
      </w:r>
      <w:r w:rsidR="00F603E8">
        <w:t xml:space="preserve"> and Chapter </w:t>
      </w:r>
      <w:r w:rsidR="00F603E8">
        <w:fldChar w:fldCharType="begin"/>
      </w:r>
      <w:r w:rsidR="00F603E8">
        <w:instrText xml:space="preserve"> REF _Ref88064267 \r \h </w:instrText>
      </w:r>
      <w:r w:rsidR="00F603E8">
        <w:fldChar w:fldCharType="separate"/>
      </w:r>
      <w:r w:rsidR="00183CC8">
        <w:t>5</w:t>
      </w:r>
      <w:r w:rsidR="00F603E8">
        <w:fldChar w:fldCharType="end"/>
      </w:r>
      <w:r w:rsidR="001A653E">
        <w:t xml:space="preserve"> and </w:t>
      </w:r>
      <w:r w:rsidR="001A653E">
        <w:fldChar w:fldCharType="begin"/>
      </w:r>
      <w:r w:rsidR="001A653E">
        <w:instrText xml:space="preserve"> REF _Ref88064913 \r \h </w:instrText>
      </w:r>
      <w:r w:rsidR="001A653E">
        <w:fldChar w:fldCharType="separate"/>
      </w:r>
      <w:r w:rsidR="00183CC8">
        <w:t>4</w:t>
      </w:r>
      <w:r w:rsidR="001A653E">
        <w:fldChar w:fldCharType="end"/>
      </w:r>
      <w:r w:rsidR="00F603E8">
        <w:t xml:space="preserve">) </w:t>
      </w:r>
      <w:r w:rsidR="00960B14">
        <w:t>was added</w:t>
      </w:r>
      <w:r w:rsidR="00774F9F">
        <w:t xml:space="preserve"> and</w:t>
      </w:r>
      <w:r w:rsidR="00813467">
        <w:t xml:space="preserve"> </w:t>
      </w:r>
      <w:r w:rsidR="00774F9F">
        <w:t>g</w:t>
      </w:r>
      <w:r w:rsidR="00813467">
        <w:t>rowth continued at 37 °</w:t>
      </w:r>
      <w:r w:rsidR="00813467" w:rsidRPr="008611FE">
        <w:t>C</w:t>
      </w:r>
      <w:r w:rsidR="00813467">
        <w:t xml:space="preserve"> shaking at 200 rpm. </w:t>
      </w:r>
      <w:r w:rsidR="00C60281">
        <w:t>Cells were harvest</w:t>
      </w:r>
      <w:r w:rsidR="001D326E">
        <w:t>ed</w:t>
      </w:r>
      <w:r w:rsidR="00C60281">
        <w:t xml:space="preserve"> at the necessary time </w:t>
      </w:r>
      <w:r w:rsidR="001D326E">
        <w:t>post-antibiotic treatment</w:t>
      </w:r>
      <w:r w:rsidR="00C60281">
        <w:t xml:space="preserve"> by centrifugation </w:t>
      </w:r>
      <w:r w:rsidR="001D326E">
        <w:t xml:space="preserve">for </w:t>
      </w:r>
      <w:r>
        <w:t>3</w:t>
      </w:r>
      <w:r w:rsidR="001D326E">
        <w:t> min</w:t>
      </w:r>
      <w:r w:rsidR="00C433FE">
        <w:t xml:space="preserve"> at the highest speed</w:t>
      </w:r>
      <w:r w:rsidR="001D326E">
        <w:t xml:space="preserve"> </w:t>
      </w:r>
      <w:r w:rsidR="00C60281">
        <w:t xml:space="preserve">(see </w:t>
      </w:r>
      <w:r w:rsidR="00302C14">
        <w:t xml:space="preserve">section </w:t>
      </w:r>
      <w:r w:rsidR="00302C14">
        <w:fldChar w:fldCharType="begin"/>
      </w:r>
      <w:r w:rsidR="00302C14">
        <w:instrText xml:space="preserve"> REF _Ref79424317 \r \h </w:instrText>
      </w:r>
      <w:r w:rsidR="00302C14">
        <w:fldChar w:fldCharType="separate"/>
      </w:r>
      <w:r w:rsidR="00183CC8">
        <w:t>2.12</w:t>
      </w:r>
      <w:r w:rsidR="00302C14">
        <w:fldChar w:fldCharType="end"/>
      </w:r>
      <w:r w:rsidR="00C60281" w:rsidRPr="00646869">
        <w:t>)</w:t>
      </w:r>
      <w:r w:rsidR="001D326E" w:rsidRPr="00646869">
        <w:t>. Cells were washed once with PBS buffer</w:t>
      </w:r>
      <w:r w:rsidR="00C2465B" w:rsidRPr="00646869">
        <w:t>, centrifuge</w:t>
      </w:r>
      <w:r w:rsidR="0020434F" w:rsidRPr="00646869">
        <w:t>d</w:t>
      </w:r>
      <w:r w:rsidR="00C2465B" w:rsidRPr="00646869">
        <w:t xml:space="preserve"> again and</w:t>
      </w:r>
      <w:r w:rsidR="00726907" w:rsidRPr="00646869">
        <w:t xml:space="preserve"> fixed in PFA, by</w:t>
      </w:r>
      <w:r w:rsidR="00C2465B" w:rsidRPr="00646869">
        <w:t xml:space="preserve"> re-suspend</w:t>
      </w:r>
      <w:r w:rsidR="00726907" w:rsidRPr="00646869">
        <w:t>ing</w:t>
      </w:r>
      <w:r w:rsidR="00C2465B" w:rsidRPr="00646869">
        <w:t xml:space="preserve"> in a 1:1 mix of PBS and freshly prepared </w:t>
      </w:r>
      <w:r w:rsidR="00B44C66" w:rsidRPr="00646869">
        <w:t xml:space="preserve">PFA fixative </w:t>
      </w:r>
      <w:r w:rsidR="001D326E" w:rsidRPr="00646869">
        <w:t xml:space="preserve">(section </w:t>
      </w:r>
      <w:r w:rsidR="001D326E" w:rsidRPr="00646869">
        <w:fldChar w:fldCharType="begin"/>
      </w:r>
      <w:r w:rsidR="001D326E" w:rsidRPr="00646869">
        <w:instrText xml:space="preserve"> REF _Ref78205833 \r \h </w:instrText>
      </w:r>
      <w:r w:rsidR="004C214C" w:rsidRPr="00646869">
        <w:instrText xml:space="preserve"> \* MERGEFORMAT </w:instrText>
      </w:r>
      <w:r w:rsidR="001D326E" w:rsidRPr="00646869">
        <w:fldChar w:fldCharType="separate"/>
      </w:r>
      <w:r w:rsidR="00183CC8">
        <w:t>2.4.1.2</w:t>
      </w:r>
      <w:r w:rsidR="001D326E" w:rsidRPr="00646869">
        <w:fldChar w:fldCharType="end"/>
      </w:r>
      <w:r w:rsidR="001D326E" w:rsidRPr="00646869">
        <w:t>)</w:t>
      </w:r>
      <w:r w:rsidR="00C2465B" w:rsidRPr="00646869">
        <w:t>.</w:t>
      </w:r>
      <w:r w:rsidR="001D326E" w:rsidRPr="00646869">
        <w:t xml:space="preserve"> </w:t>
      </w:r>
      <w:r w:rsidR="00B44C66" w:rsidRPr="00646869">
        <w:t xml:space="preserve">Cells were incubated </w:t>
      </w:r>
      <w:r w:rsidR="00F7556C" w:rsidRPr="00646869">
        <w:t xml:space="preserve">with </w:t>
      </w:r>
      <w:r w:rsidR="00726907" w:rsidRPr="00646869">
        <w:t>the</w:t>
      </w:r>
      <w:r w:rsidR="00F4346F" w:rsidRPr="00646869">
        <w:t xml:space="preserve"> </w:t>
      </w:r>
      <w:r w:rsidR="00B44C66" w:rsidRPr="00646869">
        <w:t xml:space="preserve">fixative </w:t>
      </w:r>
      <w:r w:rsidR="001D326E" w:rsidRPr="00646869">
        <w:t xml:space="preserve">for </w:t>
      </w:r>
      <w:r w:rsidR="004B71AC" w:rsidRPr="00646869">
        <w:t>3</w:t>
      </w:r>
      <w:r w:rsidR="001D326E" w:rsidRPr="00646869">
        <w:t>0 min</w:t>
      </w:r>
      <w:r w:rsidR="00C2465B" w:rsidRPr="00646869">
        <w:t xml:space="preserve"> on a rotary shaker</w:t>
      </w:r>
      <w:r w:rsidR="00ED341E" w:rsidRPr="00646869">
        <w:t xml:space="preserve"> in the dark</w:t>
      </w:r>
      <w:r w:rsidR="00B44C66" w:rsidRPr="00646869">
        <w:t>.</w:t>
      </w:r>
      <w:r w:rsidR="00F709F8" w:rsidRPr="00646869">
        <w:t xml:space="preserve"> The fixative was </w:t>
      </w:r>
      <w:r w:rsidR="00F92BDD">
        <w:t xml:space="preserve">removed by centrifugation and </w:t>
      </w:r>
      <w:r w:rsidR="00F709F8" w:rsidRPr="00646869">
        <w:t xml:space="preserve">washed off twice </w:t>
      </w:r>
      <w:r w:rsidR="004046BE" w:rsidRPr="00646869">
        <w:t xml:space="preserve">with </w:t>
      </w:r>
      <w:r w:rsidR="003740A2" w:rsidRPr="00646869">
        <w:t>PBS buffer</w:t>
      </w:r>
      <w:r w:rsidR="00F92BDD">
        <w:t>, before harvesting</w:t>
      </w:r>
      <w:r w:rsidR="003740A2" w:rsidRPr="00646869">
        <w:t xml:space="preserve"> cells </w:t>
      </w:r>
      <w:r w:rsidR="0000776A">
        <w:t>(</w:t>
      </w:r>
      <w:r w:rsidR="00F92BDD">
        <w:t xml:space="preserve">section </w:t>
      </w:r>
      <w:r w:rsidR="00F92BDD">
        <w:fldChar w:fldCharType="begin"/>
      </w:r>
      <w:r w:rsidR="00F92BDD">
        <w:instrText xml:space="preserve"> REF _Ref88064753 \r \h </w:instrText>
      </w:r>
      <w:r w:rsidR="00F92BDD">
        <w:fldChar w:fldCharType="separate"/>
      </w:r>
      <w:r w:rsidR="00183CC8">
        <w:t>2.12</w:t>
      </w:r>
      <w:r w:rsidR="00F92BDD">
        <w:fldChar w:fldCharType="end"/>
      </w:r>
      <w:r w:rsidR="0000776A">
        <w:t>)</w:t>
      </w:r>
      <w:r w:rsidR="00061B4D" w:rsidRPr="00646869">
        <w:t>.</w:t>
      </w:r>
    </w:p>
    <w:p w14:paraId="0828F8A1" w14:textId="499BAC2B" w:rsidR="003B68B0" w:rsidRDefault="00FB126D" w:rsidP="003B68B0">
      <w:pPr>
        <w:pStyle w:val="Heading2"/>
      </w:pPr>
      <w:bookmarkStart w:id="337" w:name="_Ref79424317"/>
      <w:bookmarkStart w:id="338" w:name="_Ref88064753"/>
      <w:bookmarkStart w:id="339" w:name="_Toc90216802"/>
      <w:r>
        <w:t>Harvest</w:t>
      </w:r>
      <w:r w:rsidR="00E01F03">
        <w:t>ing</w:t>
      </w:r>
      <w:r>
        <w:t xml:space="preserve"> </w:t>
      </w:r>
      <w:r w:rsidR="00E43AC9">
        <w:t xml:space="preserve">cells </w:t>
      </w:r>
      <w:r>
        <w:t>by c</w:t>
      </w:r>
      <w:r w:rsidR="003B68B0">
        <w:t>entrifugation</w:t>
      </w:r>
      <w:bookmarkEnd w:id="337"/>
      <w:r w:rsidR="007006CC">
        <w:t>.</w:t>
      </w:r>
      <w:bookmarkEnd w:id="338"/>
      <w:bookmarkEnd w:id="339"/>
    </w:p>
    <w:p w14:paraId="26D6E885" w14:textId="0980A3AF" w:rsidR="003B68B0" w:rsidRDefault="003B68B0" w:rsidP="005D395F">
      <w:r>
        <w:t>The following centrifuges were used to harvest bacterial samples:</w:t>
      </w:r>
    </w:p>
    <w:p w14:paraId="51C5D090" w14:textId="21D37393" w:rsidR="003C7425" w:rsidRDefault="003C7425" w:rsidP="005D395F">
      <w:pPr>
        <w:pStyle w:val="ListParagraph"/>
        <w:numPr>
          <w:ilvl w:val="0"/>
          <w:numId w:val="36"/>
        </w:numPr>
        <w:spacing w:line="360" w:lineRule="auto"/>
      </w:pPr>
      <w:r>
        <w:t>Eppendorf microcentrifuge 5424: capacity of 24</w:t>
      </w:r>
      <w:r w:rsidR="00641B1B">
        <w:t> </w:t>
      </w:r>
      <w:r>
        <w:t>x 1.5-2.0 ml microfuge tubes, maximum speed of 21130 x g / 1</w:t>
      </w:r>
      <w:r w:rsidR="0095249E">
        <w:t>48</w:t>
      </w:r>
      <w:r>
        <w:t>00 rpm</w:t>
      </w:r>
      <w:r w:rsidR="0095249E">
        <w:t>.</w:t>
      </w:r>
    </w:p>
    <w:p w14:paraId="7F93A8D8" w14:textId="6A3D8538" w:rsidR="00641B1B" w:rsidRDefault="00641B1B" w:rsidP="005D395F">
      <w:pPr>
        <w:pStyle w:val="ListParagraph"/>
        <w:numPr>
          <w:ilvl w:val="0"/>
          <w:numId w:val="36"/>
        </w:numPr>
        <w:spacing w:line="360" w:lineRule="auto"/>
      </w:pPr>
      <w:r>
        <w:t xml:space="preserve">Sigma centrifuge 4K15C: </w:t>
      </w:r>
      <w:r w:rsidR="007C7878">
        <w:t xml:space="preserve"> rotor 11150, </w:t>
      </w:r>
      <w:r>
        <w:t>capacity of 16 x 50 ml </w:t>
      </w:r>
      <w:r w:rsidR="007C7878">
        <w:t>F</w:t>
      </w:r>
      <w:r>
        <w:t>alcon tubes, maximum speed of 5525 x g / 5100 rpm.</w:t>
      </w:r>
    </w:p>
    <w:p w14:paraId="2BF6334C" w14:textId="77777777" w:rsidR="00784FE2" w:rsidRPr="007C7878" w:rsidRDefault="00784FE2" w:rsidP="005D395F">
      <w:pPr>
        <w:pStyle w:val="ListParagraph"/>
        <w:numPr>
          <w:ilvl w:val="0"/>
          <w:numId w:val="36"/>
        </w:numPr>
        <w:spacing w:line="360" w:lineRule="auto"/>
      </w:pPr>
      <w:r w:rsidRPr="007C7878">
        <w:t xml:space="preserve">Thermo Scientific™ Heraeus Multifuge™ X3R: </w:t>
      </w:r>
      <w:r>
        <w:t xml:space="preserve">rotor TX-750, capacity of 28 50 ml Falcon tubes, </w:t>
      </w:r>
      <w:r w:rsidRPr="007C7878">
        <w:t xml:space="preserve">maximum speed of </w:t>
      </w:r>
      <w:r>
        <w:t>4816 x g / 4700 rpm</w:t>
      </w:r>
    </w:p>
    <w:p w14:paraId="413A0BD9" w14:textId="7428D804" w:rsidR="004B0C7E" w:rsidRDefault="004B0C7E" w:rsidP="004B0C7E">
      <w:pPr>
        <w:pStyle w:val="Heading2"/>
      </w:pPr>
      <w:bookmarkStart w:id="340" w:name="_Toc64276334"/>
      <w:bookmarkStart w:id="341" w:name="_Toc64276638"/>
      <w:bookmarkStart w:id="342" w:name="_Toc64276850"/>
      <w:bookmarkStart w:id="343" w:name="_Toc90216803"/>
      <w:r w:rsidRPr="005B0F81">
        <w:t>Determination of bacterial density</w:t>
      </w:r>
      <w:bookmarkEnd w:id="340"/>
      <w:bookmarkEnd w:id="341"/>
      <w:bookmarkEnd w:id="342"/>
      <w:r w:rsidR="007006CC">
        <w:t>.</w:t>
      </w:r>
      <w:bookmarkEnd w:id="343"/>
    </w:p>
    <w:p w14:paraId="5BF477F3" w14:textId="5DF40EF5" w:rsidR="00C54DC5" w:rsidRDefault="00C54DC5" w:rsidP="00C54DC5">
      <w:pPr>
        <w:pStyle w:val="Heading3"/>
      </w:pPr>
      <w:bookmarkStart w:id="344" w:name="_Toc64276336"/>
      <w:bookmarkStart w:id="345" w:name="_Toc64276640"/>
      <w:bookmarkStart w:id="346" w:name="_Toc64276852"/>
      <w:bookmarkStart w:id="347" w:name="_Ref64387752"/>
      <w:bookmarkStart w:id="348" w:name="_Ref88062489"/>
      <w:bookmarkStart w:id="349" w:name="_Toc90216804"/>
      <w:r>
        <w:t>Optical density (OD</w:t>
      </w:r>
      <w:r>
        <w:rPr>
          <w:vertAlign w:val="subscript"/>
        </w:rPr>
        <w:t>600</w:t>
      </w:r>
      <w:r>
        <w:t>)</w:t>
      </w:r>
      <w:bookmarkEnd w:id="344"/>
      <w:bookmarkEnd w:id="345"/>
      <w:bookmarkEnd w:id="346"/>
      <w:bookmarkEnd w:id="347"/>
      <w:r w:rsidR="007006CC">
        <w:t>.</w:t>
      </w:r>
      <w:bookmarkEnd w:id="348"/>
      <w:bookmarkEnd w:id="349"/>
    </w:p>
    <w:p w14:paraId="4CAA8902" w14:textId="7F422A06" w:rsidR="00C54DC5" w:rsidRPr="0008402F" w:rsidRDefault="00C54DC5" w:rsidP="00C54DC5">
      <w:pPr>
        <w:pStyle w:val="BodyThesis"/>
      </w:pPr>
      <w:r w:rsidRPr="0008402F">
        <w:t xml:space="preserve">Samples of 1 ml </w:t>
      </w:r>
      <w:r>
        <w:t xml:space="preserve">were </w:t>
      </w:r>
      <w:r w:rsidRPr="0008402F">
        <w:t xml:space="preserve">analysed </w:t>
      </w:r>
      <w:r w:rsidR="00362BAF">
        <w:t>using</w:t>
      </w:r>
      <w:r w:rsidRPr="0008402F">
        <w:t xml:space="preserve"> </w:t>
      </w:r>
      <w:r>
        <w:t>a</w:t>
      </w:r>
      <w:r w:rsidRPr="0008402F">
        <w:t xml:space="preserve"> Biochrom WPA Biowave </w:t>
      </w:r>
      <w:r w:rsidR="002854F5" w:rsidRPr="0008402F">
        <w:t>Spectrophotometer</w:t>
      </w:r>
      <w:r w:rsidRPr="0008402F">
        <w:t xml:space="preserve"> (Biochrom</w:t>
      </w:r>
      <w:r w:rsidRPr="0008402F">
        <w:rPr>
          <w:vertAlign w:val="superscript"/>
        </w:rPr>
        <w:sym w:font="Symbol" w:char="F0D3"/>
      </w:r>
      <w:r w:rsidRPr="0008402F">
        <w:t>)</w:t>
      </w:r>
      <w:r>
        <w:t xml:space="preserve"> at 600 nm (OD</w:t>
      </w:r>
      <w:r>
        <w:rPr>
          <w:vertAlign w:val="subscript"/>
        </w:rPr>
        <w:t>600</w:t>
      </w:r>
      <w:r>
        <w:t>)</w:t>
      </w:r>
      <w:r w:rsidR="00362BAF">
        <w:t xml:space="preserve"> to the determine the bacterial yield of the culture</w:t>
      </w:r>
      <w:r w:rsidRPr="0008402F">
        <w:t>. Those samples with an OD</w:t>
      </w:r>
      <w:r w:rsidRPr="0008402F">
        <w:rPr>
          <w:vertAlign w:val="subscript"/>
        </w:rPr>
        <w:t>600</w:t>
      </w:r>
      <w:r w:rsidRPr="0008402F">
        <w:t xml:space="preserve"> &gt;</w:t>
      </w:r>
      <w:r w:rsidR="00F97DCF">
        <w:t> </w:t>
      </w:r>
      <w:r w:rsidRPr="0008402F">
        <w:t xml:space="preserve">2.5 were diluted 1:10 with </w:t>
      </w:r>
      <w:r>
        <w:t>growth media</w:t>
      </w:r>
      <w:r w:rsidRPr="0008402F">
        <w:t>.</w:t>
      </w:r>
      <w:r w:rsidR="00E61B4B">
        <w:t xml:space="preserve"> Measurements were obtained for three biological repeats, unless stated otherwise.</w:t>
      </w:r>
    </w:p>
    <w:p w14:paraId="4556E280" w14:textId="76EEB06E" w:rsidR="00C54DC5" w:rsidRDefault="00C54DC5" w:rsidP="00C54DC5">
      <w:pPr>
        <w:pStyle w:val="Heading3"/>
      </w:pPr>
      <w:bookmarkStart w:id="350" w:name="_Toc64276337"/>
      <w:bookmarkStart w:id="351" w:name="_Toc64276641"/>
      <w:bookmarkStart w:id="352" w:name="_Toc64276853"/>
      <w:bookmarkStart w:id="353" w:name="_Ref64387781"/>
      <w:bookmarkStart w:id="354" w:name="_Ref71568368"/>
      <w:bookmarkStart w:id="355" w:name="_Toc90216805"/>
      <w:r>
        <w:t>Colony-forming units (CFU)</w:t>
      </w:r>
      <w:bookmarkEnd w:id="350"/>
      <w:bookmarkEnd w:id="351"/>
      <w:bookmarkEnd w:id="352"/>
      <w:bookmarkEnd w:id="353"/>
      <w:bookmarkEnd w:id="354"/>
      <w:r w:rsidR="007006CC">
        <w:t>.</w:t>
      </w:r>
      <w:bookmarkEnd w:id="355"/>
    </w:p>
    <w:p w14:paraId="313C1AFF" w14:textId="1EAE17CB" w:rsidR="00C54DC5" w:rsidRPr="008611FE" w:rsidRDefault="00C54DC5" w:rsidP="00C54DC5">
      <w:pPr>
        <w:pStyle w:val="BodyThesis"/>
      </w:pPr>
      <w:r w:rsidRPr="008611FE">
        <w:t>Serial dilutions</w:t>
      </w:r>
      <w:r w:rsidR="00D40716">
        <w:t xml:space="preserve"> of bacterial culture samples</w:t>
      </w:r>
      <w:r w:rsidRPr="008611FE">
        <w:t xml:space="preserve"> were carried out </w:t>
      </w:r>
      <w:r w:rsidR="00D40716">
        <w:t>with 1:10 sterile</w:t>
      </w:r>
      <w:r w:rsidRPr="008611FE">
        <w:t xml:space="preserve"> PBS using ELISA plates and a multichannel pipette. </w:t>
      </w:r>
      <w:r w:rsidR="00D87CB0">
        <w:t xml:space="preserve">Three </w:t>
      </w:r>
      <w:r w:rsidR="00E61B4B">
        <w:t>technical replicates</w:t>
      </w:r>
      <w:r w:rsidR="00D87CB0">
        <w:t xml:space="preserve"> of </w:t>
      </w:r>
      <w:r w:rsidRPr="008611FE">
        <w:t>10</w:t>
      </w:r>
      <w:r w:rsidR="00D40716">
        <w:t> </w:t>
      </w:r>
      <w:r w:rsidRPr="008611FE">
        <w:t xml:space="preserve">µl </w:t>
      </w:r>
      <w:r w:rsidR="00D40716">
        <w:t>of the desired dilutions</w:t>
      </w:r>
      <w:r w:rsidRPr="008611FE">
        <w:t xml:space="preserve"> were </w:t>
      </w:r>
      <w:r w:rsidR="00F2292B">
        <w:t>spot–</w:t>
      </w:r>
      <w:r w:rsidRPr="008611FE">
        <w:t xml:space="preserve">plated on TSA plates with the corresponding antibiotics. </w:t>
      </w:r>
      <w:r w:rsidR="00D40716">
        <w:t xml:space="preserve">Plates were gently swirled </w:t>
      </w:r>
      <w:r w:rsidR="00D40716">
        <w:lastRenderedPageBreak/>
        <w:t>around to disperse the droplets. After drying,</w:t>
      </w:r>
      <w:r w:rsidRPr="008611FE">
        <w:t xml:space="preserve"> </w:t>
      </w:r>
      <w:r w:rsidR="00D40716">
        <w:t>they</w:t>
      </w:r>
      <w:r w:rsidRPr="008611FE">
        <w:t xml:space="preserve"> were </w:t>
      </w:r>
      <w:r w:rsidR="00D40716">
        <w:t>incubated</w:t>
      </w:r>
      <w:r w:rsidRPr="008611FE">
        <w:t xml:space="preserve"> overnight at 37</w:t>
      </w:r>
      <w:r w:rsidR="006F15E1">
        <w:t> °</w:t>
      </w:r>
      <w:r w:rsidRPr="008611FE">
        <w:t>C.</w:t>
      </w:r>
      <w:r w:rsidR="00E61B4B">
        <w:t xml:space="preserve"> Unless otherwise stated, three biological repeats were carried out.</w:t>
      </w:r>
    </w:p>
    <w:p w14:paraId="7E5A34E5" w14:textId="11EAE02E" w:rsidR="00C54DC5" w:rsidRPr="0008402F" w:rsidRDefault="00D40716" w:rsidP="00C54DC5">
      <w:pPr>
        <w:pStyle w:val="BodyThesis"/>
      </w:pPr>
      <w:r>
        <w:t>Colony-forming units (CFU)</w:t>
      </w:r>
      <w:r w:rsidR="00C54DC5" w:rsidRPr="0008402F">
        <w:t xml:space="preserve"> were counted </w:t>
      </w:r>
      <w:r>
        <w:t>the next day with the help of a</w:t>
      </w:r>
      <w:r w:rsidR="007F2065">
        <w:t xml:space="preserve"> Leica KL300</w:t>
      </w:r>
      <w:r>
        <w:t xml:space="preserve"> </w:t>
      </w:r>
      <w:r w:rsidRPr="007F2065">
        <w:t>stereo microscope.</w:t>
      </w:r>
      <w:r>
        <w:t xml:space="preserve"> T</w:t>
      </w:r>
      <w:r w:rsidR="00C54DC5" w:rsidRPr="0008402F">
        <w:t>he total number of CFU/ml was calculated as follows:</w:t>
      </w:r>
    </w:p>
    <w:p w14:paraId="74410773" w14:textId="72B5D4F6" w:rsidR="008C3B4C" w:rsidRPr="003250EB" w:rsidRDefault="003373BF" w:rsidP="00C54DC5">
      <w:pPr>
        <w:pStyle w:val="BodyThesis"/>
        <w:rPr>
          <w:rFonts w:asciiTheme="minorHAnsi" w:hAnsiTheme="minorHAnsi"/>
        </w:rPr>
      </w:pPr>
      <m:oMathPara>
        <m:oMath>
          <m:f>
            <m:fPr>
              <m:ctrlPr>
                <w:rPr>
                  <w:rFonts w:ascii="Cambria Math" w:hAnsi="Cambria Math"/>
                  <w:i/>
                </w:rPr>
              </m:ctrlPr>
            </m:fPr>
            <m:num>
              <m:r>
                <w:rPr>
                  <w:rFonts w:ascii="Cambria Math" w:hAnsi="Cambria Math"/>
                </w:rPr>
                <m:t>CFU</m:t>
              </m:r>
            </m:num>
            <m:den>
              <m:r>
                <w:rPr>
                  <w:rFonts w:ascii="Cambria Math" w:hAnsi="Cambria Math"/>
                </w:rPr>
                <m:t>ml</m:t>
              </m:r>
            </m:den>
          </m:f>
          <m:r>
            <w:rPr>
              <w:rFonts w:ascii="Cambria Math" w:hAnsi="Cambria Math"/>
            </w:rPr>
            <m:t>=</m:t>
          </m:r>
          <m:f>
            <m:fPr>
              <m:ctrlPr>
                <w:rPr>
                  <w:rFonts w:ascii="Cambria Math" w:hAnsi="Cambria Math"/>
                  <w:i/>
                </w:rPr>
              </m:ctrlPr>
            </m:fPr>
            <m:num>
              <m:r>
                <w:rPr>
                  <w:rFonts w:ascii="Cambria Math" w:hAnsi="Cambria Math"/>
                </w:rPr>
                <m:t>number of colonies</m:t>
              </m:r>
            </m:num>
            <m:den>
              <m:r>
                <w:rPr>
                  <w:rFonts w:ascii="Cambria Math" w:hAnsi="Cambria Math"/>
                </w:rPr>
                <m:t xml:space="preserve">0.01 x </m:t>
              </m:r>
              <m:sSup>
                <m:sSupPr>
                  <m:ctrlPr>
                    <w:rPr>
                      <w:rFonts w:ascii="Cambria Math" w:hAnsi="Cambria Math"/>
                      <w:b/>
                      <w:i/>
                    </w:rPr>
                  </m:ctrlPr>
                </m:sSupPr>
                <m:e>
                  <m:r>
                    <m:rPr>
                      <m:sty m:val="bi"/>
                    </m:rPr>
                    <w:rPr>
                      <w:rFonts w:ascii="Cambria Math" w:hAnsi="Cambria Math"/>
                    </w:rPr>
                    <m:t>10</m:t>
                  </m:r>
                </m:e>
                <m:sup>
                  <m:r>
                    <m:rPr>
                      <m:sty m:val="bi"/>
                    </m:rPr>
                    <w:rPr>
                      <w:rFonts w:ascii="Cambria Math" w:hAnsi="Cambria Math"/>
                    </w:rPr>
                    <m:t>-a</m:t>
                  </m:r>
                </m:sup>
              </m:sSup>
            </m:den>
          </m:f>
        </m:oMath>
      </m:oMathPara>
    </w:p>
    <w:p w14:paraId="5241C675" w14:textId="77777777" w:rsidR="00C54DC5" w:rsidRPr="00416DD1" w:rsidRDefault="00C54DC5" w:rsidP="00C54DC5">
      <w:pPr>
        <w:pStyle w:val="BodyThesis"/>
      </w:pPr>
      <w:r w:rsidRPr="0008402F">
        <w:t xml:space="preserve">…where </w:t>
      </w:r>
      <w:r w:rsidRPr="0008402F">
        <w:rPr>
          <w:b/>
        </w:rPr>
        <w:t>10</w:t>
      </w:r>
      <w:r w:rsidRPr="0008402F">
        <w:rPr>
          <w:b/>
          <w:vertAlign w:val="superscript"/>
        </w:rPr>
        <w:t>–</w:t>
      </w:r>
      <w:r w:rsidRPr="0008402F">
        <w:rPr>
          <w:b/>
          <w:i/>
          <w:vertAlign w:val="superscript"/>
        </w:rPr>
        <w:t>a</w:t>
      </w:r>
      <w:r w:rsidRPr="0008402F">
        <w:t xml:space="preserve"> corresponds to the dilution plated (</w:t>
      </w:r>
      <w:r w:rsidRPr="0008402F">
        <w:rPr>
          <w:i/>
        </w:rPr>
        <w:t>e.g.,</w:t>
      </w:r>
      <w:r w:rsidRPr="0008402F">
        <w:t xml:space="preserve"> 10</w:t>
      </w:r>
      <w:r w:rsidRPr="0008402F">
        <w:rPr>
          <w:vertAlign w:val="superscript"/>
        </w:rPr>
        <w:t>-6</w:t>
      </w:r>
      <w:r w:rsidRPr="0008402F">
        <w:t>).</w:t>
      </w:r>
    </w:p>
    <w:p w14:paraId="2AC53515" w14:textId="3DF36D96" w:rsidR="004B0C7E" w:rsidRDefault="004B0C7E" w:rsidP="004B0C7E">
      <w:pPr>
        <w:pStyle w:val="Heading2"/>
      </w:pPr>
      <w:bookmarkStart w:id="356" w:name="_Toc64276335"/>
      <w:bookmarkStart w:id="357" w:name="_Toc64276639"/>
      <w:bookmarkStart w:id="358" w:name="_Toc64276851"/>
      <w:bookmarkStart w:id="359" w:name="_Toc90216806"/>
      <w:r w:rsidRPr="005B0F81">
        <w:t>Growth curves</w:t>
      </w:r>
      <w:bookmarkEnd w:id="356"/>
      <w:bookmarkEnd w:id="357"/>
      <w:bookmarkEnd w:id="358"/>
      <w:r w:rsidR="007006CC">
        <w:t>.</w:t>
      </w:r>
      <w:bookmarkEnd w:id="359"/>
    </w:p>
    <w:p w14:paraId="5D22D2B4" w14:textId="39058745" w:rsidR="00D410D6" w:rsidRPr="00B93E4C" w:rsidRDefault="00BA0518" w:rsidP="00BA0518">
      <w:r>
        <w:t xml:space="preserve">A bacterial overnight growth was made as explained in section </w:t>
      </w:r>
      <w:r w:rsidR="00B93E4C">
        <w:fldChar w:fldCharType="begin"/>
      </w:r>
      <w:r w:rsidR="00B93E4C">
        <w:instrText xml:space="preserve"> REF _Ref64387542 \n \h </w:instrText>
      </w:r>
      <w:r w:rsidR="00B93E4C">
        <w:fldChar w:fldCharType="separate"/>
      </w:r>
      <w:r w:rsidR="00183CC8">
        <w:t>2.11</w:t>
      </w:r>
      <w:r w:rsidR="00B93E4C">
        <w:fldChar w:fldCharType="end"/>
      </w:r>
      <w:r w:rsidR="00B93E4C">
        <w:t xml:space="preserve">, and was used to inoculated 50 ml of pre-warmed TSB in a 250 ml conical flask to </w:t>
      </w:r>
      <w:r w:rsidR="00051EC9">
        <w:t>a starting</w:t>
      </w:r>
      <w:r w:rsidR="00B93E4C">
        <w:t xml:space="preserve"> OD</w:t>
      </w:r>
      <w:r w:rsidR="00B93E4C">
        <w:rPr>
          <w:vertAlign w:val="subscript"/>
        </w:rPr>
        <w:t>600</w:t>
      </w:r>
      <w:r w:rsidR="00B93E4C">
        <w:t xml:space="preserve"> of 0.05. </w:t>
      </w:r>
      <w:r w:rsidR="00051EC9">
        <w:t>Cultures were grown in a water bath (Julabo</w:t>
      </w:r>
      <w:r w:rsidR="00051EC9" w:rsidRPr="006F15E1">
        <w:rPr>
          <w:rFonts w:ascii="Calibri" w:hAnsi="Calibri"/>
        </w:rPr>
        <w:t>®</w:t>
      </w:r>
      <w:r w:rsidR="00051EC9">
        <w:t>) at 37 </w:t>
      </w:r>
      <w:r w:rsidR="00051EC9">
        <w:rPr>
          <w:rFonts w:ascii="Calibri" w:hAnsi="Calibri"/>
        </w:rPr>
        <w:t>°</w:t>
      </w:r>
      <w:r w:rsidR="00051EC9">
        <w:t xml:space="preserve">C and shaking at 200 rpm. </w:t>
      </w:r>
      <w:r w:rsidR="00B93E4C">
        <w:t xml:space="preserve">The growth profile of each strain was </w:t>
      </w:r>
      <w:r w:rsidR="00B93B6F">
        <w:t>established</w:t>
      </w:r>
      <w:r w:rsidR="00B93E4C">
        <w:t xml:space="preserve"> by measuring its OD</w:t>
      </w:r>
      <w:r w:rsidR="00B93E4C">
        <w:rPr>
          <w:vertAlign w:val="subscript"/>
        </w:rPr>
        <w:t>600</w:t>
      </w:r>
      <w:r w:rsidR="00B93E4C">
        <w:t xml:space="preserve"> and CFU/ml as explained in sections </w:t>
      </w:r>
      <w:r w:rsidR="00B93E4C">
        <w:fldChar w:fldCharType="begin"/>
      </w:r>
      <w:r w:rsidR="00B93E4C">
        <w:instrText xml:space="preserve"> REF _Ref64387752 \n \h </w:instrText>
      </w:r>
      <w:r w:rsidR="00B93E4C">
        <w:fldChar w:fldCharType="separate"/>
      </w:r>
      <w:r w:rsidR="00183CC8">
        <w:t>2.13.1</w:t>
      </w:r>
      <w:r w:rsidR="00B93E4C">
        <w:fldChar w:fldCharType="end"/>
      </w:r>
      <w:r w:rsidR="00B93E4C">
        <w:t xml:space="preserve"> and </w:t>
      </w:r>
      <w:r w:rsidR="00B93E4C">
        <w:fldChar w:fldCharType="begin"/>
      </w:r>
      <w:r w:rsidR="00B93E4C">
        <w:instrText xml:space="preserve"> REF _Ref64387781 \n \h </w:instrText>
      </w:r>
      <w:r w:rsidR="00B93E4C">
        <w:fldChar w:fldCharType="separate"/>
      </w:r>
      <w:r w:rsidR="00183CC8">
        <w:t>2.13.2</w:t>
      </w:r>
      <w:r w:rsidR="00B93E4C">
        <w:fldChar w:fldCharType="end"/>
      </w:r>
      <w:r w:rsidR="00B93E4C">
        <w:t xml:space="preserve"> respectively. OD</w:t>
      </w:r>
      <w:r w:rsidR="00B93E4C">
        <w:rPr>
          <w:vertAlign w:val="subscript"/>
        </w:rPr>
        <w:t>600</w:t>
      </w:r>
      <w:r w:rsidR="00B93E4C">
        <w:t xml:space="preserve"> was measured every 30 or 60 min, whereas samples for CFU counting were taken every hour, for a total of </w:t>
      </w:r>
      <w:r w:rsidR="00051EC9">
        <w:t xml:space="preserve">6 or </w:t>
      </w:r>
      <w:r w:rsidR="00B93E4C">
        <w:t>8 hours</w:t>
      </w:r>
      <w:r w:rsidR="00051EC9">
        <w:t xml:space="preserve"> (</w:t>
      </w:r>
      <w:r w:rsidR="00051EC9">
        <w:rPr>
          <w:i/>
          <w:iCs/>
        </w:rPr>
        <w:t>i.e.</w:t>
      </w:r>
      <w:r w:rsidR="00051EC9">
        <w:t>, stationary phase)</w:t>
      </w:r>
      <w:r w:rsidR="00B93E4C">
        <w:t xml:space="preserve">. All strains had at least 3 biological repeats, and the results were averaged, graphed and analysed for statistical differences using Prism </w:t>
      </w:r>
      <w:r w:rsidR="00B93E4C" w:rsidRPr="006B1184">
        <w:t>v.</w:t>
      </w:r>
      <w:r w:rsidR="008B757D" w:rsidRPr="006B1184">
        <w:t>9</w:t>
      </w:r>
      <w:r w:rsidR="00B93E4C" w:rsidRPr="006B1184">
        <w:t>.</w:t>
      </w:r>
      <w:r w:rsidR="008B757D" w:rsidRPr="006B1184">
        <w:t>1</w:t>
      </w:r>
      <w:r w:rsidR="00B93E4C">
        <w:t xml:space="preserve"> (GraphPad Software, Inc.)</w:t>
      </w:r>
    </w:p>
    <w:p w14:paraId="06DCC230" w14:textId="3EBFF69F" w:rsidR="004B0C7E" w:rsidRDefault="008B757D" w:rsidP="004B0C7E">
      <w:pPr>
        <w:pStyle w:val="Heading2"/>
      </w:pPr>
      <w:bookmarkStart w:id="360" w:name="_Toc64276338"/>
      <w:bookmarkStart w:id="361" w:name="_Toc64276642"/>
      <w:bookmarkStart w:id="362" w:name="_Toc64276854"/>
      <w:bookmarkStart w:id="363" w:name="_Ref71568363"/>
      <w:bookmarkStart w:id="364" w:name="_Toc90216807"/>
      <w:r>
        <w:t>Survival</w:t>
      </w:r>
      <w:r w:rsidR="004B0C7E" w:rsidRPr="005B0F81">
        <w:t xml:space="preserve"> curves</w:t>
      </w:r>
      <w:bookmarkEnd w:id="360"/>
      <w:bookmarkEnd w:id="361"/>
      <w:bookmarkEnd w:id="362"/>
      <w:bookmarkEnd w:id="363"/>
      <w:r w:rsidR="007006CC">
        <w:t>.</w:t>
      </w:r>
      <w:bookmarkEnd w:id="364"/>
    </w:p>
    <w:p w14:paraId="69D05745" w14:textId="4A968335" w:rsidR="001F28B3" w:rsidRPr="00D410D6" w:rsidRDefault="00D410D6" w:rsidP="00D410D6">
      <w:r>
        <w:t xml:space="preserve">For antibiotic survival curves, bacterial cultures were grown as described above (section </w:t>
      </w:r>
      <w:r>
        <w:fldChar w:fldCharType="begin"/>
      </w:r>
      <w:r>
        <w:instrText xml:space="preserve"> REF _Ref64391429 \r \h </w:instrText>
      </w:r>
      <w:r>
        <w:fldChar w:fldCharType="separate"/>
      </w:r>
      <w:r w:rsidR="00183CC8">
        <w:t>2.11.1</w:t>
      </w:r>
      <w:r>
        <w:fldChar w:fldCharType="end"/>
      </w:r>
      <w:r>
        <w:t>). Once an OD</w:t>
      </w:r>
      <w:r>
        <w:rPr>
          <w:vertAlign w:val="subscript"/>
        </w:rPr>
        <w:t>600</w:t>
      </w:r>
      <w:r>
        <w:t xml:space="preserve"> of 0.2-0.4 was reached, the </w:t>
      </w:r>
      <w:r w:rsidR="00873C36">
        <w:t>desired</w:t>
      </w:r>
      <w:r>
        <w:t xml:space="preserve"> amount of antibiotic </w:t>
      </w:r>
      <w:r w:rsidR="001D10CE">
        <w:t xml:space="preserve">(as stated in </w:t>
      </w:r>
      <w:r w:rsidR="001D10CE">
        <w:fldChar w:fldCharType="begin"/>
      </w:r>
      <w:r w:rsidR="001D10CE">
        <w:instrText xml:space="preserve"> REF _Ref64275196 \h </w:instrText>
      </w:r>
      <w:r w:rsidR="001D10CE">
        <w:fldChar w:fldCharType="separate"/>
      </w:r>
      <w:r w:rsidR="00183CC8">
        <w:t xml:space="preserve">Table </w:t>
      </w:r>
      <w:r w:rsidR="00183CC8">
        <w:rPr>
          <w:noProof/>
        </w:rPr>
        <w:t>2</w:t>
      </w:r>
      <w:r w:rsidR="00183CC8">
        <w:t>.</w:t>
      </w:r>
      <w:r w:rsidR="00183CC8">
        <w:rPr>
          <w:noProof/>
        </w:rPr>
        <w:t>2</w:t>
      </w:r>
      <w:r w:rsidR="001D10CE">
        <w:fldChar w:fldCharType="end"/>
      </w:r>
      <w:r w:rsidR="001D10CE">
        <w:t xml:space="preserve"> and Chapter </w:t>
      </w:r>
      <w:r w:rsidR="001D10CE">
        <w:fldChar w:fldCharType="begin"/>
      </w:r>
      <w:r w:rsidR="001D10CE">
        <w:instrText xml:space="preserve"> REF _Ref88064267 \r \h </w:instrText>
      </w:r>
      <w:r w:rsidR="001D10CE">
        <w:fldChar w:fldCharType="separate"/>
      </w:r>
      <w:r w:rsidR="00183CC8">
        <w:t>5</w:t>
      </w:r>
      <w:r w:rsidR="001D10CE">
        <w:fldChar w:fldCharType="end"/>
      </w:r>
      <w:r w:rsidR="001D10CE">
        <w:t xml:space="preserve">) </w:t>
      </w:r>
      <w:r>
        <w:t xml:space="preserve">was added and </w:t>
      </w:r>
      <w:r w:rsidR="00BE024D">
        <w:t>incubation</w:t>
      </w:r>
      <w:r>
        <w:t xml:space="preserve"> continued at 37 °</w:t>
      </w:r>
      <w:r w:rsidRPr="008611FE">
        <w:t>C</w:t>
      </w:r>
      <w:r>
        <w:t xml:space="preserve"> shaking at 200 rpm. </w:t>
      </w:r>
      <w:r w:rsidR="009A61E4">
        <w:t xml:space="preserve">Samples were taken </w:t>
      </w:r>
      <w:r w:rsidR="00BE163B">
        <w:t>at hourly timepoints</w:t>
      </w:r>
      <w:r w:rsidR="007E52D3">
        <w:t xml:space="preserve"> for a total of 6</w:t>
      </w:r>
      <w:r w:rsidR="007644F3">
        <w:t xml:space="preserve"> – </w:t>
      </w:r>
      <w:r w:rsidR="007E52D3">
        <w:t>8 hours</w:t>
      </w:r>
      <w:r w:rsidR="00BE163B">
        <w:t>, centrifuged</w:t>
      </w:r>
      <w:r w:rsidR="000A55A6">
        <w:t xml:space="preserve"> at a maximum speed for 3 min (see section </w:t>
      </w:r>
      <w:r w:rsidR="000A55A6">
        <w:fldChar w:fldCharType="begin"/>
      </w:r>
      <w:r w:rsidR="000A55A6">
        <w:instrText xml:space="preserve"> REF _Ref79424317 \r \h </w:instrText>
      </w:r>
      <w:r w:rsidR="000A55A6">
        <w:fldChar w:fldCharType="separate"/>
      </w:r>
      <w:r w:rsidR="00183CC8">
        <w:t>2.12</w:t>
      </w:r>
      <w:r w:rsidR="000A55A6">
        <w:fldChar w:fldCharType="end"/>
      </w:r>
      <w:r w:rsidR="000A55A6">
        <w:t>),</w:t>
      </w:r>
      <w:r w:rsidR="00BE163B">
        <w:t xml:space="preserve"> and resuspended in </w:t>
      </w:r>
      <w:r w:rsidR="000A55A6">
        <w:t xml:space="preserve">TSB to wash out any remains of </w:t>
      </w:r>
      <w:r w:rsidR="00F03F74">
        <w:t xml:space="preserve">the </w:t>
      </w:r>
      <w:r w:rsidR="000A55A6">
        <w:t>antibiotic. OD</w:t>
      </w:r>
      <w:r w:rsidR="000A55A6">
        <w:rPr>
          <w:vertAlign w:val="subscript"/>
        </w:rPr>
        <w:t>600</w:t>
      </w:r>
      <w:r w:rsidR="000A55A6">
        <w:t xml:space="preserve"> and CFU/ml measurements were carried out </w:t>
      </w:r>
      <w:r w:rsidR="009A61E4">
        <w:t xml:space="preserve">as described in sections </w:t>
      </w:r>
      <w:r w:rsidR="009A61E4">
        <w:fldChar w:fldCharType="begin"/>
      </w:r>
      <w:r w:rsidR="009A61E4">
        <w:instrText xml:space="preserve"> REF _Ref64387752 \n \h </w:instrText>
      </w:r>
      <w:r w:rsidR="009A61E4">
        <w:fldChar w:fldCharType="separate"/>
      </w:r>
      <w:r w:rsidR="00183CC8">
        <w:t>2.13.1</w:t>
      </w:r>
      <w:r w:rsidR="009A61E4">
        <w:fldChar w:fldCharType="end"/>
      </w:r>
      <w:r w:rsidR="009A61E4">
        <w:t xml:space="preserve"> and </w:t>
      </w:r>
      <w:r w:rsidR="009A61E4">
        <w:fldChar w:fldCharType="begin"/>
      </w:r>
      <w:r w:rsidR="009A61E4">
        <w:instrText xml:space="preserve"> REF _Ref64387781 \n \h </w:instrText>
      </w:r>
      <w:r w:rsidR="009A61E4">
        <w:fldChar w:fldCharType="separate"/>
      </w:r>
      <w:r w:rsidR="00183CC8">
        <w:t>2.13.2</w:t>
      </w:r>
      <w:r w:rsidR="009A61E4">
        <w:fldChar w:fldCharType="end"/>
      </w:r>
      <w:r w:rsidR="00CA301D">
        <w:t>.</w:t>
      </w:r>
    </w:p>
    <w:p w14:paraId="6CA4AABB" w14:textId="65651783" w:rsidR="00A13E0F" w:rsidRDefault="00E44926" w:rsidP="00A13E0F">
      <w:pPr>
        <w:pStyle w:val="Heading2"/>
      </w:pPr>
      <w:bookmarkStart w:id="365" w:name="_Ref75540707"/>
      <w:bookmarkStart w:id="366" w:name="_Toc90216808"/>
      <w:bookmarkStart w:id="367" w:name="_Toc64276339"/>
      <w:bookmarkStart w:id="368" w:name="_Toc64276643"/>
      <w:bookmarkStart w:id="369" w:name="_Toc64276855"/>
      <w:r>
        <w:t xml:space="preserve">Phage </w:t>
      </w:r>
      <w:r w:rsidR="00D77F0C">
        <w:t>t</w:t>
      </w:r>
      <w:r w:rsidR="00A13E0F">
        <w:t>ransduction</w:t>
      </w:r>
      <w:bookmarkEnd w:id="365"/>
      <w:r w:rsidR="007006CC">
        <w:t>.</w:t>
      </w:r>
      <w:bookmarkEnd w:id="366"/>
    </w:p>
    <w:p w14:paraId="2636587A" w14:textId="7243F00D" w:rsidR="00A13E0F" w:rsidRDefault="00A13E0F" w:rsidP="00A13E0F">
      <w:pPr>
        <w:pStyle w:val="Heading3"/>
      </w:pPr>
      <w:bookmarkStart w:id="370" w:name="_Toc90216809"/>
      <w:r>
        <w:t>Bacteriophage</w:t>
      </w:r>
      <w:r w:rsidR="007006CC">
        <w:t>.</w:t>
      </w:r>
      <w:bookmarkEnd w:id="370"/>
    </w:p>
    <w:p w14:paraId="7A6B5B21" w14:textId="314C9F01" w:rsidR="00E44926" w:rsidRPr="00E44926" w:rsidRDefault="00016258" w:rsidP="00E44926">
      <w:r>
        <w:t xml:space="preserve">For the transduction of </w:t>
      </w:r>
      <w:r>
        <w:rPr>
          <w:i/>
          <w:iCs/>
        </w:rPr>
        <w:t>S. aureus</w:t>
      </w:r>
      <w:r>
        <w:t xml:space="preserve">, </w:t>
      </w:r>
      <w:r w:rsidR="003C3E2B">
        <w:t>bacteriophage</w:t>
      </w:r>
      <w:r>
        <w:t xml:space="preserve"> </w:t>
      </w:r>
      <w:r>
        <w:rPr>
          <w:lang w:val="el-GR"/>
        </w:rPr>
        <w:t>φ</w:t>
      </w:r>
      <w:r>
        <w:t xml:space="preserve">11 was used </w:t>
      </w:r>
      <w:r>
        <w:fldChar w:fldCharType="begin" w:fldLock="1"/>
      </w:r>
      <w:r w:rsidR="0058736C">
        <w:instrText>ADDIN CSL_CITATION {"citationItems":[{"id":"ITEM-1","itemData":{"DOI":"10.1128/jb.175.5.1493-1499.1993","ISSN":"00219193","PMID":"8095258","abstract":"Two autolysis-defective mutants (Lyt-1 and Lyt-2) of Staphylococcus aureus have been isolated by transposon Tn917-lacZ mutagenesis. The mutants exhibited normal growth rate, cell division, cell size, and adaptive responses to environmental changes. No autolytic activities were detected in a crude autolytic enzyme preparation from the Lyt- mutants. The rate of autolysis of whole cells and cell walls in the mutants was negligible, but mutant cell wall preparations were degraded by crude enzyme preparations from the wild-type strain. Zymographic analyses of enzyme extracts from the mutants showed a single autolytic enzyme band, compared with more than 10 autolytic enzyme bands from the parent strain. Analyses of intracellular and exoprotein fractions gave results similar to those in experiments with total- cell extracts. Southern blot analysis indicated the insertion of a single copy of the transposon into the chromosome of Lyt mutants. Isogenic Lyt mutants constructed by phage φ11 transduction showed similar phenotypes. Because both Lyt- mutants had Tn917-lacZ inserted in the appropriate orientation, it was possible to determine gene activity under various conditions by measuring β-galactosidase activity. The gene activity was found to be induced by low pH, low temperature, and high sucrose and high sodium chloride concentrations. From these data, we propose that the mutation lies in either a master regulatory gene or a structural gene which is responsible for the synthesis or processing of a majority of the autolytic enzyme bands.","author":[{"dropping-particle":"","family":"Mani","given":"N","non-dropping-particle":"","parse-names":false,"suffix":""},{"dropping-particle":"","family":"Tobin","given":"P","non-dropping-particle":"","parse-names":false,"suffix":""},{"dropping-particle":"","family":"Jayaswal","given":"R K","non-dropping-particle":"","parse-names":false,"suffix":""}],"container-title":"Journal of Bacteriology","id":"ITEM-1","issue":"5","issued":{"date-parts":[["1993","3"]]},"page":"1493-1499","publisher":"J Bacteriol","title":"Isolation and characterization of autolysis-defective mutants of Staphylococcus aureus created by Tn917-lacZ mutagenesis","type":"article-journal","volume":"175"},"uris":["http://www.mendeley.com/documents/?uuid=1b6f0b60-fa2b-347b-b588-86a32ce261d6"]}],"mendeley":{"formattedCitation":"&lt;sup&gt;[237]&lt;/sup&gt;","plainTextFormattedCitation":"[237]","previouslyFormattedCitation":"&lt;sup&gt;[237]&lt;/sup&gt;"},"properties":{"noteIndex":0},"schema":"https://github.com/citation-style-language/schema/raw/master/csl-citation.json"}</w:instrText>
      </w:r>
      <w:r>
        <w:fldChar w:fldCharType="separate"/>
      </w:r>
      <w:r w:rsidR="002659E5" w:rsidRPr="002659E5">
        <w:rPr>
          <w:noProof/>
          <w:vertAlign w:val="superscript"/>
        </w:rPr>
        <w:t>[237]</w:t>
      </w:r>
      <w:r>
        <w:fldChar w:fldCharType="end"/>
      </w:r>
      <w:r>
        <w:t>.</w:t>
      </w:r>
    </w:p>
    <w:p w14:paraId="64A41403" w14:textId="335D1F68" w:rsidR="00A13E0F" w:rsidRDefault="00A13E0F" w:rsidP="00A13E0F">
      <w:pPr>
        <w:pStyle w:val="Heading3"/>
      </w:pPr>
      <w:bookmarkStart w:id="371" w:name="_Ref79588800"/>
      <w:bookmarkStart w:id="372" w:name="_Toc90216810"/>
      <w:r>
        <w:lastRenderedPageBreak/>
        <w:t>Preparation of phage lysate</w:t>
      </w:r>
      <w:bookmarkEnd w:id="371"/>
      <w:r w:rsidR="007006CC">
        <w:t>.</w:t>
      </w:r>
      <w:bookmarkEnd w:id="372"/>
    </w:p>
    <w:p w14:paraId="41E355BB" w14:textId="7B36868C" w:rsidR="003C3E2B" w:rsidRPr="003C3E2B" w:rsidRDefault="00A7723F" w:rsidP="003C3E2B">
      <w:r>
        <w:t xml:space="preserve">A bacterial overnight culture of the donor strain was grown as described in section </w:t>
      </w:r>
      <w:r>
        <w:fldChar w:fldCharType="begin"/>
      </w:r>
      <w:r>
        <w:instrText xml:space="preserve"> REF _Ref64391429 \r \h </w:instrText>
      </w:r>
      <w:r>
        <w:fldChar w:fldCharType="separate"/>
      </w:r>
      <w:r w:rsidR="00183CC8">
        <w:t>2.11.1</w:t>
      </w:r>
      <w:r>
        <w:fldChar w:fldCharType="end"/>
      </w:r>
      <w:r w:rsidR="00570C54">
        <w:t xml:space="preserve">, and 150-200 µl were taken and mixed with 5 ml of TSB, 5 ml of phage buffer </w:t>
      </w:r>
      <w:r w:rsidR="00414208">
        <w:t xml:space="preserve">(section </w:t>
      </w:r>
      <w:r w:rsidR="00414208">
        <w:fldChar w:fldCharType="begin"/>
      </w:r>
      <w:r w:rsidR="00414208">
        <w:instrText xml:space="preserve"> REF _Ref79585611 \r \h </w:instrText>
      </w:r>
      <w:r w:rsidR="00414208">
        <w:fldChar w:fldCharType="separate"/>
      </w:r>
      <w:r w:rsidR="00183CC8">
        <w:t>2.3.1</w:t>
      </w:r>
      <w:r w:rsidR="00414208">
        <w:fldChar w:fldCharType="end"/>
      </w:r>
      <w:r w:rsidR="00414208">
        <w:t xml:space="preserve">) </w:t>
      </w:r>
      <w:r w:rsidR="00570C54">
        <w:t xml:space="preserve">and 100 µl of a phage </w:t>
      </w:r>
      <w:r w:rsidR="00570C54">
        <w:rPr>
          <w:lang w:val="el-GR"/>
        </w:rPr>
        <w:t>φ</w:t>
      </w:r>
      <w:r w:rsidR="00570C54">
        <w:t>11 lysate stock.</w:t>
      </w:r>
      <w:r w:rsidR="00722B18">
        <w:t xml:space="preserve"> The mixture was incubated at 25 </w:t>
      </w:r>
      <w:r w:rsidR="00722B18">
        <w:rPr>
          <w:rFonts w:ascii="Calibri" w:hAnsi="Calibri" w:cs="Calibri"/>
        </w:rPr>
        <w:t>°</w:t>
      </w:r>
      <w:r w:rsidR="00722B18">
        <w:t>C overnight, until it appeared clear.</w:t>
      </w:r>
      <w:r w:rsidR="00E30E64">
        <w:t xml:space="preserve"> The lysate was sterilised with a 0.2 µm pore filter (Merck) and stored at 4 </w:t>
      </w:r>
      <w:r w:rsidR="00E30E64">
        <w:rPr>
          <w:rFonts w:ascii="Calibri" w:hAnsi="Calibri" w:cs="Calibri"/>
        </w:rPr>
        <w:t>°</w:t>
      </w:r>
      <w:r w:rsidR="00E30E64">
        <w:t>C.</w:t>
      </w:r>
    </w:p>
    <w:p w14:paraId="4CAA6092" w14:textId="168A95DA" w:rsidR="00A13E0F" w:rsidRDefault="00A13E0F" w:rsidP="00A13E0F">
      <w:pPr>
        <w:pStyle w:val="Heading3"/>
      </w:pPr>
      <w:bookmarkStart w:id="373" w:name="_Toc90216811"/>
      <w:r>
        <w:t>Phage transduction</w:t>
      </w:r>
      <w:r w:rsidR="007006CC">
        <w:t>.</w:t>
      </w:r>
      <w:bookmarkEnd w:id="373"/>
    </w:p>
    <w:p w14:paraId="1F484E05" w14:textId="23993C55" w:rsidR="00302A5C" w:rsidRPr="00A744B8" w:rsidRDefault="005D74B4" w:rsidP="00A744B8">
      <w:r>
        <w:t xml:space="preserve">The recipient strain was grown overnight </w:t>
      </w:r>
      <w:r w:rsidR="00BD269C">
        <w:t>in 50 ml of LK broth (</w:t>
      </w:r>
      <w:r w:rsidR="000E56B0">
        <w:t xml:space="preserve">LKB, </w:t>
      </w:r>
      <w:r w:rsidR="00BD269C">
        <w:t xml:space="preserve">section </w:t>
      </w:r>
      <w:r w:rsidR="00BD269C">
        <w:fldChar w:fldCharType="begin"/>
      </w:r>
      <w:r w:rsidR="00BD269C">
        <w:instrText xml:space="preserve"> REF _Ref79587367 \r \h </w:instrText>
      </w:r>
      <w:r w:rsidR="00BD269C">
        <w:fldChar w:fldCharType="separate"/>
      </w:r>
      <w:r w:rsidR="00183CC8">
        <w:t>2.2.4</w:t>
      </w:r>
      <w:r w:rsidR="00BD269C">
        <w:fldChar w:fldCharType="end"/>
      </w:r>
      <w:r w:rsidR="00BD269C">
        <w:t xml:space="preserve">) from a single colony. </w:t>
      </w:r>
      <w:r w:rsidR="003F7CA1">
        <w:t>Growth conditions were set</w:t>
      </w:r>
      <w:r w:rsidR="00BD269C">
        <w:t xml:space="preserve"> at 37 </w:t>
      </w:r>
      <w:r w:rsidR="00BD269C">
        <w:rPr>
          <w:rFonts w:ascii="Calibri" w:hAnsi="Calibri" w:cs="Calibri"/>
        </w:rPr>
        <w:t>°</w:t>
      </w:r>
      <w:r w:rsidR="00BD269C">
        <w:t>C with shaking at 200 rpm</w:t>
      </w:r>
      <w:r w:rsidR="00BD269C" w:rsidRPr="00BD269C">
        <w:t xml:space="preserve"> </w:t>
      </w:r>
      <w:r w:rsidR="00BD269C">
        <w:t>in a water bath (Julabo</w:t>
      </w:r>
      <w:r w:rsidR="00BD269C" w:rsidRPr="006F15E1">
        <w:rPr>
          <w:rFonts w:ascii="Calibri" w:hAnsi="Calibri"/>
        </w:rPr>
        <w:t>®</w:t>
      </w:r>
      <w:r w:rsidR="00BD269C">
        <w:t>).</w:t>
      </w:r>
      <w:r w:rsidR="000E56B0">
        <w:t xml:space="preserve"> Recipient cells were harvested by centrifugation at maximum speed (5000 rpm) for 10 min at room temperature, and resuspended in 3 ml of fresh LKB.</w:t>
      </w:r>
      <w:r w:rsidR="00BE76DA">
        <w:t xml:space="preserve"> 500 µl of the resuspension was combined with 1 ml of fresh LKB, 10 µl 1 M CaCl</w:t>
      </w:r>
      <w:r w:rsidR="00BE76DA">
        <w:rPr>
          <w:vertAlign w:val="subscript"/>
        </w:rPr>
        <w:t>2</w:t>
      </w:r>
      <w:r w:rsidR="00BE76DA">
        <w:t xml:space="preserve"> and 500 µl of phage lysate from the donor strain (section </w:t>
      </w:r>
      <w:r w:rsidR="00BE76DA">
        <w:fldChar w:fldCharType="begin"/>
      </w:r>
      <w:r w:rsidR="00BE76DA">
        <w:instrText xml:space="preserve"> REF _Ref79588800 \r \h </w:instrText>
      </w:r>
      <w:r w:rsidR="00BE76DA">
        <w:fldChar w:fldCharType="separate"/>
      </w:r>
      <w:r w:rsidR="00183CC8">
        <w:t>2.16.2</w:t>
      </w:r>
      <w:r w:rsidR="00BE76DA">
        <w:fldChar w:fldCharType="end"/>
      </w:r>
      <w:r w:rsidR="00BE76DA">
        <w:t>).</w:t>
      </w:r>
      <w:r w:rsidR="00B624BF">
        <w:t xml:space="preserve"> A control without the donor lysate was prepared using 500 µl of the recipient strain, 1.5 ml of LKB and 15 µl 1M CaCl</w:t>
      </w:r>
      <w:r w:rsidR="00B624BF">
        <w:rPr>
          <w:vertAlign w:val="subscript"/>
        </w:rPr>
        <w:t>2</w:t>
      </w:r>
      <w:r w:rsidR="00B624BF">
        <w:t>.</w:t>
      </w:r>
      <w:r w:rsidR="006503F8">
        <w:t xml:space="preserve"> The mixtures were incubated at 37 </w:t>
      </w:r>
      <w:r w:rsidR="006503F8">
        <w:rPr>
          <w:rFonts w:ascii="Calibri" w:hAnsi="Calibri" w:cs="Calibri"/>
        </w:rPr>
        <w:t>°</w:t>
      </w:r>
      <w:r w:rsidR="006503F8">
        <w:t>C for 25 min, followed by an additional 15 min shaking at 250 rpm at the same temperature.</w:t>
      </w:r>
      <w:r w:rsidR="003D5AF2">
        <w:t xml:space="preserve"> </w:t>
      </w:r>
      <w:r w:rsidR="00CC4729">
        <w:t xml:space="preserve">A </w:t>
      </w:r>
      <w:r w:rsidR="003D5AF2">
        <w:t xml:space="preserve">0.02 M solution </w:t>
      </w:r>
      <w:r w:rsidR="00CC4729">
        <w:t>of sodium citrate was prepared from the 0.1 M stock solution, and it</w:t>
      </w:r>
      <w:r w:rsidR="003D5AF2">
        <w:t xml:space="preserve"> was pre-cooled </w:t>
      </w:r>
      <w:r w:rsidR="00CC4729">
        <w:t>o</w:t>
      </w:r>
      <w:r w:rsidR="003D5AF2">
        <w:t>n ice</w:t>
      </w:r>
      <w:r w:rsidR="00CC4729">
        <w:t>.</w:t>
      </w:r>
      <w:r w:rsidR="003D5AF2">
        <w:t xml:space="preserve"> 1 ml </w:t>
      </w:r>
      <w:r w:rsidR="00CC4729">
        <w:t xml:space="preserve">of </w:t>
      </w:r>
      <w:r w:rsidR="001037C6">
        <w:t>the</w:t>
      </w:r>
      <w:r w:rsidR="00CC4729">
        <w:t xml:space="preserve"> solution </w:t>
      </w:r>
      <w:r w:rsidR="003D5AF2">
        <w:t xml:space="preserve">was added to </w:t>
      </w:r>
      <w:r w:rsidR="00D56306">
        <w:t>each</w:t>
      </w:r>
      <w:r w:rsidR="003D5AF2">
        <w:t xml:space="preserve"> mixture</w:t>
      </w:r>
      <w:r w:rsidR="00CC4729">
        <w:t xml:space="preserve"> and left incubating on ice for 5 min</w:t>
      </w:r>
      <w:r w:rsidR="00D56306">
        <w:t>. Cells were harvested by centrifugation at maximum speed for 10 min at 4 </w:t>
      </w:r>
      <w:r w:rsidR="00D56306">
        <w:rPr>
          <w:rFonts w:ascii="Calibri" w:hAnsi="Calibri" w:cs="Calibri"/>
        </w:rPr>
        <w:t>°</w:t>
      </w:r>
      <w:r w:rsidR="00D56306">
        <w:t>C, and supernatants were discarded. Pellets were resuspended in another 1 ml of ice-cold 0.02 M sodium citrate and left incubating for 45-90 min on ice.</w:t>
      </w:r>
      <w:r w:rsidR="00B60F22">
        <w:t xml:space="preserve"> Aliquots of 200 µl were spread onto LKA plates containing 0.05 % (w/v) sodium citrate and any antibiotics needed for selection</w:t>
      </w:r>
      <w:r w:rsidR="00B06E15">
        <w:t xml:space="preserve"> (section </w:t>
      </w:r>
      <w:r w:rsidR="00B06E15">
        <w:fldChar w:fldCharType="begin"/>
      </w:r>
      <w:r w:rsidR="00B06E15">
        <w:instrText xml:space="preserve"> REF _Ref79590121 \r \h </w:instrText>
      </w:r>
      <w:r w:rsidR="00B06E15">
        <w:fldChar w:fldCharType="separate"/>
      </w:r>
      <w:r w:rsidR="00183CC8">
        <w:t>2.2.5</w:t>
      </w:r>
      <w:r w:rsidR="00B06E15">
        <w:fldChar w:fldCharType="end"/>
      </w:r>
      <w:r w:rsidR="00B06E15">
        <w:t>)</w:t>
      </w:r>
      <w:r w:rsidR="00B60F22">
        <w:t>.</w:t>
      </w:r>
      <w:r w:rsidR="00865B3A">
        <w:t xml:space="preserve"> At least 3-5 plates were made for the transduced strain and the control. Plates were incubated at 37 </w:t>
      </w:r>
      <w:r w:rsidR="00865B3A">
        <w:rPr>
          <w:rFonts w:ascii="Calibri" w:hAnsi="Calibri" w:cs="Calibri"/>
        </w:rPr>
        <w:t>°</w:t>
      </w:r>
      <w:r w:rsidR="00865B3A">
        <w:t xml:space="preserve">C for 24-48 hours, until single colonies were apparent. These were picked and streaked onto </w:t>
      </w:r>
      <w:r w:rsidR="0077514C">
        <w:t>TSA plates containing the respective antibiotics needed for selection.</w:t>
      </w:r>
    </w:p>
    <w:p w14:paraId="5BE4F4D8" w14:textId="5DA38118" w:rsidR="00A13E0F" w:rsidRDefault="00A13E0F" w:rsidP="00A13E0F">
      <w:pPr>
        <w:pStyle w:val="Heading2"/>
      </w:pPr>
      <w:bookmarkStart w:id="374" w:name="_Ref75540764"/>
      <w:bookmarkStart w:id="375" w:name="_Toc90216812"/>
      <w:r>
        <w:t>DNA techniques</w:t>
      </w:r>
      <w:bookmarkEnd w:id="374"/>
      <w:r w:rsidR="007006CC">
        <w:t>.</w:t>
      </w:r>
      <w:bookmarkEnd w:id="375"/>
    </w:p>
    <w:p w14:paraId="13AA60C0" w14:textId="649C58B2" w:rsidR="00A13E0F" w:rsidRDefault="00A13E0F" w:rsidP="00A13E0F">
      <w:pPr>
        <w:pStyle w:val="Heading3"/>
      </w:pPr>
      <w:bookmarkStart w:id="376" w:name="_Toc90216813"/>
      <w:r>
        <w:t>Genomic DNA extraction</w:t>
      </w:r>
      <w:r w:rsidR="007006CC">
        <w:t>.</w:t>
      </w:r>
      <w:bookmarkEnd w:id="376"/>
    </w:p>
    <w:p w14:paraId="71A7708F" w14:textId="189EA450" w:rsidR="00097482" w:rsidRPr="00097482" w:rsidRDefault="00244D2A" w:rsidP="00097482">
      <w:r>
        <w:t>A bacterial overnight culture was grown as descri</w:t>
      </w:r>
      <w:r w:rsidR="00BC722C">
        <w:t>b</w:t>
      </w:r>
      <w:r>
        <w:t xml:space="preserve">ed in section </w:t>
      </w:r>
      <w:r>
        <w:fldChar w:fldCharType="begin"/>
      </w:r>
      <w:r>
        <w:instrText xml:space="preserve"> REF _Ref64391429 \r \h </w:instrText>
      </w:r>
      <w:r>
        <w:fldChar w:fldCharType="separate"/>
      </w:r>
      <w:r w:rsidR="00183CC8">
        <w:t>2.11.1</w:t>
      </w:r>
      <w:r>
        <w:fldChar w:fldCharType="end"/>
      </w:r>
      <w:r>
        <w:t>, and 1 ml was taken and centrifuged at maximum speed for 5 min</w:t>
      </w:r>
      <w:r w:rsidR="0029597F">
        <w:t xml:space="preserve"> </w:t>
      </w:r>
      <w:r w:rsidR="00A5505E">
        <w:t xml:space="preserve">(speeds stated in </w:t>
      </w:r>
      <w:r w:rsidR="0029597F">
        <w:t xml:space="preserve">section </w:t>
      </w:r>
      <w:r w:rsidR="0029597F">
        <w:fldChar w:fldCharType="begin"/>
      </w:r>
      <w:r w:rsidR="0029597F">
        <w:instrText xml:space="preserve"> REF _Ref88064753 \r \h </w:instrText>
      </w:r>
      <w:r w:rsidR="0029597F">
        <w:fldChar w:fldCharType="separate"/>
      </w:r>
      <w:r w:rsidR="00183CC8">
        <w:t>2.12</w:t>
      </w:r>
      <w:r w:rsidR="0029597F">
        <w:fldChar w:fldCharType="end"/>
      </w:r>
      <w:r w:rsidR="00A5505E">
        <w:t>)</w:t>
      </w:r>
      <w:r>
        <w:t>. The pellet was resuspended in 190 µl of dH</w:t>
      </w:r>
      <w:r>
        <w:rPr>
          <w:vertAlign w:val="subscript"/>
        </w:rPr>
        <w:t>2</w:t>
      </w:r>
      <w:r>
        <w:t>O</w:t>
      </w:r>
      <w:r w:rsidR="00693B5D">
        <w:t xml:space="preserve"> and 10 µl of </w:t>
      </w:r>
      <w:r w:rsidR="00851470">
        <w:t>l</w:t>
      </w:r>
      <w:r w:rsidR="00693B5D">
        <w:t>ysostaphin stock (5 mg/ml), and incubated at 37</w:t>
      </w:r>
      <w:r w:rsidR="009F11CB">
        <w:t> </w:t>
      </w:r>
      <w:r w:rsidR="00693B5D">
        <w:rPr>
          <w:rFonts w:ascii="Calibri" w:hAnsi="Calibri" w:cs="Calibri"/>
        </w:rPr>
        <w:t>°</w:t>
      </w:r>
      <w:r w:rsidR="00693B5D">
        <w:t xml:space="preserve">C </w:t>
      </w:r>
      <w:r w:rsidR="00693B5D">
        <w:lastRenderedPageBreak/>
        <w:t>until clear (~ 1 hour). Genomic DNA was purified with the Qiagen DNeasy Blood and Tissue kit following the manufacturer’s protocol.</w:t>
      </w:r>
    </w:p>
    <w:p w14:paraId="40BE973F" w14:textId="5D03A2D8" w:rsidR="00A13E0F" w:rsidRDefault="00A13E0F" w:rsidP="00A13E0F">
      <w:pPr>
        <w:pStyle w:val="Heading3"/>
      </w:pPr>
      <w:bookmarkStart w:id="377" w:name="_Toc90216814"/>
      <w:r>
        <w:t>Primer design</w:t>
      </w:r>
      <w:r w:rsidR="007006CC">
        <w:t>.</w:t>
      </w:r>
      <w:bookmarkEnd w:id="377"/>
    </w:p>
    <w:p w14:paraId="13D4A077" w14:textId="29997701" w:rsidR="00303D28" w:rsidRPr="00303D28" w:rsidRDefault="00A02B3B" w:rsidP="00303D28">
      <w:r>
        <w:t xml:space="preserve">The primers for PCR amplification, of 20 – 30 nucleotides long, were designed based on the genomic DNA sequence of </w:t>
      </w:r>
      <w:r>
        <w:rPr>
          <w:i/>
          <w:iCs/>
        </w:rPr>
        <w:t xml:space="preserve">S. aureus </w:t>
      </w:r>
      <w:r>
        <w:t>8325</w:t>
      </w:r>
      <w:r w:rsidR="00783734">
        <w:t xml:space="preserve"> and synthesised by Eurofins MWG Operon.</w:t>
      </w:r>
      <w:r w:rsidR="009F11CB">
        <w:t xml:space="preserve"> Primers were resuspended in sterile dH</w:t>
      </w:r>
      <w:r w:rsidR="009F11CB">
        <w:rPr>
          <w:vertAlign w:val="subscript"/>
        </w:rPr>
        <w:t>2</w:t>
      </w:r>
      <w:r w:rsidR="009F11CB">
        <w:t>O</w:t>
      </w:r>
      <w:r w:rsidR="00C76C5E">
        <w:t xml:space="preserve"> for preparation of 100 µ</w:t>
      </w:r>
      <w:r w:rsidR="00756867">
        <w:t>M and 10 µM stock and working solutions, respectively</w:t>
      </w:r>
      <w:r w:rsidR="006E3463">
        <w:t>, and stored at – 20 </w:t>
      </w:r>
      <w:r w:rsidR="006E3463">
        <w:rPr>
          <w:rFonts w:ascii="Calibri" w:hAnsi="Calibri" w:cs="Calibri"/>
        </w:rPr>
        <w:t>°</w:t>
      </w:r>
      <w:r w:rsidR="006E3463">
        <w:t xml:space="preserve">C. </w:t>
      </w:r>
      <w:r w:rsidR="00303D28">
        <w:t xml:space="preserve">The primers used in this study can be found in </w:t>
      </w:r>
      <w:r w:rsidR="00303D28">
        <w:fldChar w:fldCharType="begin"/>
      </w:r>
      <w:r w:rsidR="00303D28">
        <w:instrText xml:space="preserve"> REF _Ref74496496 \h </w:instrText>
      </w:r>
      <w:r w:rsidR="00303D28">
        <w:fldChar w:fldCharType="separate"/>
      </w:r>
      <w:r w:rsidR="00183CC8">
        <w:t xml:space="preserve">Table </w:t>
      </w:r>
      <w:r w:rsidR="00183CC8">
        <w:rPr>
          <w:noProof/>
        </w:rPr>
        <w:t>2</w:t>
      </w:r>
      <w:r w:rsidR="00183CC8">
        <w:t>.</w:t>
      </w:r>
      <w:r w:rsidR="00183CC8">
        <w:rPr>
          <w:noProof/>
        </w:rPr>
        <w:t>3</w:t>
      </w:r>
      <w:r w:rsidR="00303D28">
        <w:fldChar w:fldCharType="end"/>
      </w:r>
      <w:r w:rsidR="00303D28">
        <w:t>.</w:t>
      </w:r>
    </w:p>
    <w:p w14:paraId="0125CE92" w14:textId="6F8B0DCF" w:rsidR="00A13E0F" w:rsidRDefault="006831D0" w:rsidP="00A13E0F">
      <w:pPr>
        <w:pStyle w:val="Heading3"/>
      </w:pPr>
      <w:bookmarkStart w:id="378" w:name="_Toc90216815"/>
      <w:r>
        <w:t>Phusion</w:t>
      </w:r>
      <w:r w:rsidR="00A13E0F">
        <w:t xml:space="preserve"> polymerase </w:t>
      </w:r>
      <w:r w:rsidR="00E47D89">
        <w:t>– PCR amplification</w:t>
      </w:r>
      <w:r w:rsidR="007006CC">
        <w:t>.</w:t>
      </w:r>
      <w:bookmarkEnd w:id="378"/>
    </w:p>
    <w:p w14:paraId="45A0ACBC" w14:textId="429F45C7" w:rsidR="006831D0" w:rsidRPr="000645BD" w:rsidRDefault="00303B8F" w:rsidP="000645BD">
      <w:r>
        <w:t xml:space="preserve">The </w:t>
      </w:r>
      <w:r w:rsidR="00E47D89">
        <w:t>Phusion High Fidelity Master Mix (Thermo Scientific)</w:t>
      </w:r>
      <w:r>
        <w:t xml:space="preserve"> was used for PCR amplification</w:t>
      </w:r>
      <w:r w:rsidR="00E47D89">
        <w:t>.</w:t>
      </w:r>
      <w:r w:rsidR="000645BD">
        <w:t xml:space="preserve"> </w:t>
      </w:r>
      <w:r w:rsidR="002E3E18">
        <w:t xml:space="preserve">The primers used in this study can be found in </w:t>
      </w:r>
      <w:r w:rsidR="002E3E18">
        <w:fldChar w:fldCharType="begin"/>
      </w:r>
      <w:r w:rsidR="002E3E18">
        <w:instrText xml:space="preserve"> REF _Ref74496496 \h </w:instrText>
      </w:r>
      <w:r w:rsidR="002E3E18">
        <w:fldChar w:fldCharType="separate"/>
      </w:r>
      <w:r w:rsidR="00183CC8">
        <w:t xml:space="preserve">Table </w:t>
      </w:r>
      <w:r w:rsidR="00183CC8">
        <w:rPr>
          <w:noProof/>
        </w:rPr>
        <w:t>2</w:t>
      </w:r>
      <w:r w:rsidR="00183CC8">
        <w:t>.</w:t>
      </w:r>
      <w:r w:rsidR="00183CC8">
        <w:rPr>
          <w:noProof/>
        </w:rPr>
        <w:t>3</w:t>
      </w:r>
      <w:r w:rsidR="002E3E18">
        <w:fldChar w:fldCharType="end"/>
      </w:r>
      <w:r w:rsidR="002E3E18">
        <w:t xml:space="preserve">. </w:t>
      </w:r>
      <w:r w:rsidR="00A42AAD">
        <w:t>I</w:t>
      </w:r>
      <w:r w:rsidR="00517929">
        <w:t xml:space="preserve">ndividual </w:t>
      </w:r>
      <w:r w:rsidR="000645BD">
        <w:t>reaction volumes contained the following:</w:t>
      </w:r>
    </w:p>
    <w:tbl>
      <w:tblPr>
        <w:tblStyle w:val="TableGrid"/>
        <w:tblW w:w="7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2268"/>
      </w:tblGrid>
      <w:tr w:rsidR="006831D0" w:rsidRPr="000F31C9" w14:paraId="7D9DADFD" w14:textId="77777777" w:rsidTr="001755D1">
        <w:tc>
          <w:tcPr>
            <w:tcW w:w="5669" w:type="dxa"/>
          </w:tcPr>
          <w:p w14:paraId="56CE6EB3" w14:textId="7C4F8D5F" w:rsidR="006831D0" w:rsidRPr="000F31C9" w:rsidRDefault="006831D0" w:rsidP="001755D1">
            <w:pPr>
              <w:pStyle w:val="Tabletextnormal"/>
            </w:pPr>
            <w:r w:rsidRPr="006831D0">
              <w:rPr>
                <w:rFonts w:ascii="Calibri" w:eastAsia="Times New Roman" w:hAnsi="Calibri" w:cs="Calibri"/>
                <w:lang w:eastAsia="en-GB"/>
              </w:rPr>
              <w:t xml:space="preserve">2X Phusion </w:t>
            </w:r>
            <w:r>
              <w:rPr>
                <w:rFonts w:ascii="Calibri" w:eastAsia="Times New Roman" w:hAnsi="Calibri" w:cs="Calibri"/>
                <w:lang w:eastAsia="en-GB"/>
              </w:rPr>
              <w:t xml:space="preserve">High Fidelity </w:t>
            </w:r>
            <w:r w:rsidRPr="006831D0">
              <w:rPr>
                <w:rFonts w:ascii="Calibri" w:eastAsia="Times New Roman" w:hAnsi="Calibri" w:cs="Calibri"/>
                <w:lang w:eastAsia="en-GB"/>
              </w:rPr>
              <w:t>Master Mix</w:t>
            </w:r>
          </w:p>
        </w:tc>
        <w:tc>
          <w:tcPr>
            <w:tcW w:w="2268" w:type="dxa"/>
          </w:tcPr>
          <w:p w14:paraId="4879A437" w14:textId="695C99A8" w:rsidR="006831D0" w:rsidRPr="000F31C9" w:rsidRDefault="006831D0" w:rsidP="001755D1">
            <w:pPr>
              <w:pStyle w:val="Tabletextnormal"/>
            </w:pPr>
            <w:r>
              <w:t>25 µl</w:t>
            </w:r>
          </w:p>
        </w:tc>
      </w:tr>
      <w:tr w:rsidR="006831D0" w:rsidRPr="000F31C9" w14:paraId="4E3B9C74" w14:textId="77777777" w:rsidTr="001755D1">
        <w:tc>
          <w:tcPr>
            <w:tcW w:w="5669" w:type="dxa"/>
          </w:tcPr>
          <w:p w14:paraId="2528C536" w14:textId="5D4A9D3F" w:rsidR="006831D0" w:rsidRPr="00572A7B" w:rsidRDefault="0010059B" w:rsidP="001755D1">
            <w:pPr>
              <w:pStyle w:val="Tabletextnormal"/>
            </w:pPr>
            <w:r>
              <w:t>Forward primer (10 </w:t>
            </w:r>
            <w:r w:rsidR="00BB03B9">
              <w:t>µ</w:t>
            </w:r>
            <w:r>
              <w:t>M)</w:t>
            </w:r>
          </w:p>
        </w:tc>
        <w:tc>
          <w:tcPr>
            <w:tcW w:w="2268" w:type="dxa"/>
          </w:tcPr>
          <w:p w14:paraId="28227DAA" w14:textId="5C711055" w:rsidR="006831D0" w:rsidRPr="000F31C9" w:rsidRDefault="0010059B" w:rsidP="001755D1">
            <w:pPr>
              <w:pStyle w:val="Tabletextnormal"/>
            </w:pPr>
            <w:r>
              <w:t>1</w:t>
            </w:r>
            <w:r w:rsidR="006831D0">
              <w:t> µl</w:t>
            </w:r>
          </w:p>
        </w:tc>
      </w:tr>
      <w:tr w:rsidR="006831D0" w:rsidRPr="000F31C9" w14:paraId="1FE80B9B" w14:textId="77777777" w:rsidTr="001755D1">
        <w:tc>
          <w:tcPr>
            <w:tcW w:w="5669" w:type="dxa"/>
          </w:tcPr>
          <w:p w14:paraId="5FEDE2BC" w14:textId="39FDF545" w:rsidR="006831D0" w:rsidRPr="000F31C9" w:rsidRDefault="0010059B" w:rsidP="001755D1">
            <w:pPr>
              <w:pStyle w:val="Tabletextnormal"/>
            </w:pPr>
            <w:r>
              <w:t>Reverse primer (10 </w:t>
            </w:r>
            <w:r w:rsidR="00BB03B9">
              <w:t>µ</w:t>
            </w:r>
            <w:r>
              <w:t>M)</w:t>
            </w:r>
          </w:p>
        </w:tc>
        <w:tc>
          <w:tcPr>
            <w:tcW w:w="2268" w:type="dxa"/>
          </w:tcPr>
          <w:p w14:paraId="442022E9" w14:textId="2B254EA4" w:rsidR="006831D0" w:rsidRDefault="0010059B" w:rsidP="001755D1">
            <w:pPr>
              <w:pStyle w:val="Tabletextnormal"/>
            </w:pPr>
            <w:r>
              <w:t>1 µl</w:t>
            </w:r>
          </w:p>
        </w:tc>
      </w:tr>
      <w:tr w:rsidR="0010059B" w:rsidRPr="000F31C9" w14:paraId="4D4CA005" w14:textId="77777777" w:rsidTr="001755D1">
        <w:tc>
          <w:tcPr>
            <w:tcW w:w="5669" w:type="dxa"/>
          </w:tcPr>
          <w:p w14:paraId="2D620D91" w14:textId="50CB459F" w:rsidR="0010059B" w:rsidRDefault="0010059B" w:rsidP="001755D1">
            <w:pPr>
              <w:pStyle w:val="Tabletextnormal"/>
            </w:pPr>
            <w:r>
              <w:t>Template DNA</w:t>
            </w:r>
          </w:p>
        </w:tc>
        <w:tc>
          <w:tcPr>
            <w:tcW w:w="2268" w:type="dxa"/>
          </w:tcPr>
          <w:p w14:paraId="25AF3338" w14:textId="06D18858" w:rsidR="0010059B" w:rsidRDefault="00D43726" w:rsidP="001755D1">
            <w:pPr>
              <w:pStyle w:val="Tabletextnormal"/>
            </w:pPr>
            <w:r>
              <w:t>50-100 ng</w:t>
            </w:r>
          </w:p>
        </w:tc>
      </w:tr>
      <w:tr w:rsidR="0010059B" w:rsidRPr="000F31C9" w14:paraId="7D0D63EB" w14:textId="77777777" w:rsidTr="001755D1">
        <w:tc>
          <w:tcPr>
            <w:tcW w:w="5669" w:type="dxa"/>
          </w:tcPr>
          <w:p w14:paraId="289B68F3" w14:textId="52AC6D16" w:rsidR="0010059B" w:rsidRPr="0010059B" w:rsidRDefault="00A82F3F" w:rsidP="001755D1">
            <w:pPr>
              <w:pStyle w:val="Tabletextnormal"/>
            </w:pPr>
            <w:r>
              <w:t xml:space="preserve">Sterile </w:t>
            </w:r>
            <w:r w:rsidR="0010059B">
              <w:t>dH</w:t>
            </w:r>
            <w:r w:rsidR="0010059B">
              <w:rPr>
                <w:vertAlign w:val="subscript"/>
              </w:rPr>
              <w:t>2</w:t>
            </w:r>
            <w:r w:rsidR="0010059B">
              <w:t>O</w:t>
            </w:r>
          </w:p>
        </w:tc>
        <w:tc>
          <w:tcPr>
            <w:tcW w:w="2268" w:type="dxa"/>
          </w:tcPr>
          <w:p w14:paraId="6D15EC0B" w14:textId="1289B595" w:rsidR="0010059B" w:rsidRDefault="004B405A" w:rsidP="001755D1">
            <w:pPr>
              <w:pStyle w:val="Tabletextnormal"/>
            </w:pPr>
            <w:r>
              <w:t>up to 50 µl</w:t>
            </w:r>
          </w:p>
        </w:tc>
      </w:tr>
    </w:tbl>
    <w:p w14:paraId="03EABBC0" w14:textId="77777777" w:rsidR="00FF4E1F" w:rsidRDefault="00FF4E1F" w:rsidP="00B33E37">
      <w:pPr>
        <w:rPr>
          <w:lang w:eastAsia="en-GB"/>
        </w:rPr>
      </w:pPr>
    </w:p>
    <w:p w14:paraId="4D7858D6" w14:textId="29357C35" w:rsidR="00303B8F" w:rsidRDefault="00303B8F" w:rsidP="00B33E37">
      <w:pPr>
        <w:rPr>
          <w:lang w:eastAsia="en-GB"/>
        </w:rPr>
      </w:pPr>
      <w:r>
        <w:rPr>
          <w:lang w:eastAsia="en-GB"/>
        </w:rPr>
        <w:t>PCR amplification was carried out in the Veriti Thermal Cycler (Applied Biosynthesis) with its lid pre-heated to 105 °C. Cycling conditions were set as follows: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6"/>
        <w:gridCol w:w="4149"/>
        <w:gridCol w:w="2191"/>
        <w:gridCol w:w="1896"/>
      </w:tblGrid>
      <w:tr w:rsidR="00076F75" w:rsidRPr="000F31C9" w14:paraId="4D8FE8BB" w14:textId="77777777" w:rsidTr="0016439F">
        <w:tc>
          <w:tcPr>
            <w:tcW w:w="625" w:type="pct"/>
          </w:tcPr>
          <w:p w14:paraId="27AC5597" w14:textId="6DB7951C" w:rsidR="00076F75" w:rsidRDefault="00076F75" w:rsidP="001755D1">
            <w:pPr>
              <w:pStyle w:val="Tabletextnormal"/>
            </w:pPr>
            <w:r>
              <w:t>1x</w:t>
            </w:r>
          </w:p>
        </w:tc>
        <w:tc>
          <w:tcPr>
            <w:tcW w:w="2204" w:type="pct"/>
          </w:tcPr>
          <w:p w14:paraId="0E326D23" w14:textId="69777ABB" w:rsidR="00076F75" w:rsidRPr="000F31C9" w:rsidRDefault="00076F75" w:rsidP="001755D1">
            <w:pPr>
              <w:pStyle w:val="Tabletextnormal"/>
            </w:pPr>
            <w:r>
              <w:t>Initial denaturation</w:t>
            </w:r>
          </w:p>
        </w:tc>
        <w:tc>
          <w:tcPr>
            <w:tcW w:w="1164" w:type="pct"/>
          </w:tcPr>
          <w:p w14:paraId="287AB6E3" w14:textId="44BD7FAD" w:rsidR="00076F75" w:rsidRDefault="00076F75" w:rsidP="001755D1">
            <w:pPr>
              <w:pStyle w:val="Tabletextnormal"/>
            </w:pPr>
            <w:r>
              <w:t>98 </w:t>
            </w:r>
            <w:r>
              <w:rPr>
                <w:rFonts w:ascii="Times New Roman" w:eastAsia="Times New Roman" w:hAnsi="Times New Roman" w:cs="Times New Roman"/>
                <w:szCs w:val="24"/>
                <w:lang w:eastAsia="en-GB"/>
              </w:rPr>
              <w:t>°C</w:t>
            </w:r>
          </w:p>
        </w:tc>
        <w:tc>
          <w:tcPr>
            <w:tcW w:w="1008" w:type="pct"/>
          </w:tcPr>
          <w:p w14:paraId="3F918B0B" w14:textId="557DF8CD" w:rsidR="00076F75" w:rsidRPr="000F31C9" w:rsidRDefault="00076F75" w:rsidP="001755D1">
            <w:pPr>
              <w:pStyle w:val="Tabletextnormal"/>
            </w:pPr>
            <w:r>
              <w:t>30 x</w:t>
            </w:r>
          </w:p>
        </w:tc>
      </w:tr>
      <w:tr w:rsidR="00076F75" w:rsidRPr="000F31C9" w14:paraId="1E85F9F7" w14:textId="77777777" w:rsidTr="0016439F">
        <w:tc>
          <w:tcPr>
            <w:tcW w:w="625" w:type="pct"/>
          </w:tcPr>
          <w:p w14:paraId="04FA8713" w14:textId="59C5C026" w:rsidR="00076F75" w:rsidRDefault="00076F75" w:rsidP="001755D1">
            <w:pPr>
              <w:pStyle w:val="Tabletextnormal"/>
            </w:pPr>
            <w:r>
              <w:t>30x</w:t>
            </w:r>
          </w:p>
        </w:tc>
        <w:tc>
          <w:tcPr>
            <w:tcW w:w="2204" w:type="pct"/>
          </w:tcPr>
          <w:p w14:paraId="24E02F91" w14:textId="195C4CC9" w:rsidR="00076F75" w:rsidRPr="00572A7B" w:rsidRDefault="00076F75" w:rsidP="001755D1">
            <w:pPr>
              <w:pStyle w:val="Tabletextnormal"/>
            </w:pPr>
            <w:r>
              <w:t>Denaturation</w:t>
            </w:r>
          </w:p>
        </w:tc>
        <w:tc>
          <w:tcPr>
            <w:tcW w:w="1164" w:type="pct"/>
          </w:tcPr>
          <w:p w14:paraId="1AFAEBD0" w14:textId="7D9B9DD2" w:rsidR="00076F75" w:rsidRDefault="00076F75" w:rsidP="001755D1">
            <w:pPr>
              <w:pStyle w:val="Tabletextnormal"/>
            </w:pPr>
            <w:r>
              <w:t>98 </w:t>
            </w:r>
            <w:r>
              <w:rPr>
                <w:rFonts w:ascii="Times New Roman" w:eastAsia="Times New Roman" w:hAnsi="Times New Roman" w:cs="Times New Roman"/>
                <w:szCs w:val="24"/>
                <w:lang w:eastAsia="en-GB"/>
              </w:rPr>
              <w:t>°C</w:t>
            </w:r>
          </w:p>
        </w:tc>
        <w:tc>
          <w:tcPr>
            <w:tcW w:w="1008" w:type="pct"/>
          </w:tcPr>
          <w:p w14:paraId="478D9B27" w14:textId="41A5ECBE" w:rsidR="00076F75" w:rsidRPr="000F31C9" w:rsidRDefault="00076F75" w:rsidP="001755D1">
            <w:pPr>
              <w:pStyle w:val="Tabletextnormal"/>
            </w:pPr>
            <w:r>
              <w:t>10 s</w:t>
            </w:r>
          </w:p>
        </w:tc>
      </w:tr>
      <w:tr w:rsidR="00076F75" w:rsidRPr="000F31C9" w14:paraId="56355D94" w14:textId="77777777" w:rsidTr="0016439F">
        <w:tc>
          <w:tcPr>
            <w:tcW w:w="625" w:type="pct"/>
          </w:tcPr>
          <w:p w14:paraId="5801BDBA" w14:textId="77777777" w:rsidR="00076F75" w:rsidRDefault="00076F75" w:rsidP="001755D1">
            <w:pPr>
              <w:pStyle w:val="Tabletextnormal"/>
            </w:pPr>
          </w:p>
        </w:tc>
        <w:tc>
          <w:tcPr>
            <w:tcW w:w="2204" w:type="pct"/>
          </w:tcPr>
          <w:p w14:paraId="14D3478F" w14:textId="1A1CA564" w:rsidR="00076F75" w:rsidRPr="000F31C9" w:rsidRDefault="00076F75" w:rsidP="001755D1">
            <w:pPr>
              <w:pStyle w:val="Tabletextnormal"/>
            </w:pPr>
            <w:r>
              <w:t>Annealing</w:t>
            </w:r>
          </w:p>
        </w:tc>
        <w:tc>
          <w:tcPr>
            <w:tcW w:w="1164" w:type="pct"/>
          </w:tcPr>
          <w:p w14:paraId="41886C92" w14:textId="2C7CEEDC" w:rsidR="00076F75" w:rsidRDefault="00076F75" w:rsidP="001755D1">
            <w:pPr>
              <w:pStyle w:val="Tabletextnormal"/>
            </w:pPr>
            <w:r>
              <w:t>5</w:t>
            </w:r>
            <w:r w:rsidR="003800C5">
              <w:t>5-62</w:t>
            </w:r>
            <w:r>
              <w:t> </w:t>
            </w:r>
            <w:r>
              <w:rPr>
                <w:rFonts w:ascii="Times New Roman" w:eastAsia="Times New Roman" w:hAnsi="Times New Roman" w:cs="Times New Roman"/>
                <w:szCs w:val="24"/>
                <w:lang w:eastAsia="en-GB"/>
              </w:rPr>
              <w:t>°C</w:t>
            </w:r>
          </w:p>
        </w:tc>
        <w:tc>
          <w:tcPr>
            <w:tcW w:w="1008" w:type="pct"/>
          </w:tcPr>
          <w:p w14:paraId="086CEFBA" w14:textId="7B468DCB" w:rsidR="00076F75" w:rsidRDefault="00076F75" w:rsidP="001755D1">
            <w:pPr>
              <w:pStyle w:val="Tabletextnormal"/>
            </w:pPr>
            <w:r>
              <w:t>10 s</w:t>
            </w:r>
          </w:p>
        </w:tc>
      </w:tr>
      <w:tr w:rsidR="00076F75" w:rsidRPr="000F31C9" w14:paraId="742632EB" w14:textId="77777777" w:rsidTr="0016439F">
        <w:tc>
          <w:tcPr>
            <w:tcW w:w="625" w:type="pct"/>
          </w:tcPr>
          <w:p w14:paraId="68B18E69" w14:textId="77777777" w:rsidR="00076F75" w:rsidRDefault="00076F75" w:rsidP="001755D1">
            <w:pPr>
              <w:pStyle w:val="Tabletextnormal"/>
            </w:pPr>
          </w:p>
        </w:tc>
        <w:tc>
          <w:tcPr>
            <w:tcW w:w="2204" w:type="pct"/>
          </w:tcPr>
          <w:p w14:paraId="5853DAA5" w14:textId="55D85E96" w:rsidR="00076F75" w:rsidRDefault="00076F75" w:rsidP="001755D1">
            <w:pPr>
              <w:pStyle w:val="Tabletextnormal"/>
            </w:pPr>
            <w:r>
              <w:t>Extension</w:t>
            </w:r>
          </w:p>
        </w:tc>
        <w:tc>
          <w:tcPr>
            <w:tcW w:w="1164" w:type="pct"/>
          </w:tcPr>
          <w:p w14:paraId="5EAB42A0" w14:textId="1A00E272" w:rsidR="00076F75" w:rsidRDefault="00076F75" w:rsidP="001755D1">
            <w:pPr>
              <w:pStyle w:val="Tabletextnormal"/>
            </w:pPr>
            <w:r>
              <w:t>72 </w:t>
            </w:r>
            <w:r>
              <w:rPr>
                <w:rFonts w:ascii="Times New Roman" w:eastAsia="Times New Roman" w:hAnsi="Times New Roman" w:cs="Times New Roman"/>
                <w:szCs w:val="24"/>
                <w:lang w:eastAsia="en-GB"/>
              </w:rPr>
              <w:t>°C</w:t>
            </w:r>
          </w:p>
        </w:tc>
        <w:tc>
          <w:tcPr>
            <w:tcW w:w="1008" w:type="pct"/>
          </w:tcPr>
          <w:p w14:paraId="23F7CAA7" w14:textId="4AED6215" w:rsidR="00076F75" w:rsidRDefault="00076F75" w:rsidP="001755D1">
            <w:pPr>
              <w:pStyle w:val="Tabletextnormal"/>
            </w:pPr>
            <w:r>
              <w:t>30 s/kb</w:t>
            </w:r>
          </w:p>
        </w:tc>
      </w:tr>
      <w:tr w:rsidR="00076F75" w:rsidRPr="000F31C9" w14:paraId="3A0CADC8" w14:textId="77777777" w:rsidTr="0016439F">
        <w:tc>
          <w:tcPr>
            <w:tcW w:w="625" w:type="pct"/>
          </w:tcPr>
          <w:p w14:paraId="70A0354F" w14:textId="708CDC50" w:rsidR="00076F75" w:rsidRDefault="00076F75" w:rsidP="001755D1">
            <w:pPr>
              <w:pStyle w:val="Tabletextnormal"/>
            </w:pPr>
            <w:r>
              <w:t>1x</w:t>
            </w:r>
          </w:p>
        </w:tc>
        <w:tc>
          <w:tcPr>
            <w:tcW w:w="2204" w:type="pct"/>
          </w:tcPr>
          <w:p w14:paraId="787C61CC" w14:textId="7EB13DE3" w:rsidR="00076F75" w:rsidRPr="0010059B" w:rsidRDefault="00076F75" w:rsidP="001755D1">
            <w:pPr>
              <w:pStyle w:val="Tabletextnormal"/>
            </w:pPr>
            <w:r>
              <w:t>Final extension</w:t>
            </w:r>
          </w:p>
        </w:tc>
        <w:tc>
          <w:tcPr>
            <w:tcW w:w="1164" w:type="pct"/>
          </w:tcPr>
          <w:p w14:paraId="71296D7F" w14:textId="5E57233B" w:rsidR="00076F75" w:rsidRDefault="00076F75" w:rsidP="001755D1">
            <w:pPr>
              <w:pStyle w:val="Tabletextnormal"/>
            </w:pPr>
            <w:r>
              <w:t>72 </w:t>
            </w:r>
            <w:r>
              <w:rPr>
                <w:rFonts w:ascii="Times New Roman" w:eastAsia="Times New Roman" w:hAnsi="Times New Roman" w:cs="Times New Roman"/>
                <w:szCs w:val="24"/>
                <w:lang w:eastAsia="en-GB"/>
              </w:rPr>
              <w:t>°C</w:t>
            </w:r>
          </w:p>
        </w:tc>
        <w:tc>
          <w:tcPr>
            <w:tcW w:w="1008" w:type="pct"/>
          </w:tcPr>
          <w:p w14:paraId="56C0B5D6" w14:textId="2CD2BC62" w:rsidR="00076F75" w:rsidRDefault="00076F75" w:rsidP="001755D1">
            <w:pPr>
              <w:pStyle w:val="Tabletextnormal"/>
            </w:pPr>
            <w:r>
              <w:t>5 min</w:t>
            </w:r>
          </w:p>
        </w:tc>
      </w:tr>
      <w:tr w:rsidR="001F28B3" w:rsidRPr="000F31C9" w14:paraId="769C0795" w14:textId="77777777" w:rsidTr="0016439F">
        <w:tc>
          <w:tcPr>
            <w:tcW w:w="625" w:type="pct"/>
          </w:tcPr>
          <w:p w14:paraId="28B8AB21" w14:textId="48651F5A" w:rsidR="001F28B3" w:rsidRDefault="001F28B3" w:rsidP="001755D1">
            <w:pPr>
              <w:pStyle w:val="Tabletextnormal"/>
            </w:pPr>
          </w:p>
        </w:tc>
        <w:tc>
          <w:tcPr>
            <w:tcW w:w="2204" w:type="pct"/>
          </w:tcPr>
          <w:p w14:paraId="4F89E129" w14:textId="77777777" w:rsidR="001F28B3" w:rsidRDefault="001F28B3" w:rsidP="001755D1">
            <w:pPr>
              <w:pStyle w:val="Tabletextnormal"/>
            </w:pPr>
          </w:p>
        </w:tc>
        <w:tc>
          <w:tcPr>
            <w:tcW w:w="1164" w:type="pct"/>
          </w:tcPr>
          <w:p w14:paraId="778FC95E" w14:textId="77777777" w:rsidR="001F28B3" w:rsidRDefault="001F28B3" w:rsidP="001755D1">
            <w:pPr>
              <w:pStyle w:val="Tabletextnormal"/>
            </w:pPr>
          </w:p>
        </w:tc>
        <w:tc>
          <w:tcPr>
            <w:tcW w:w="1008" w:type="pct"/>
          </w:tcPr>
          <w:p w14:paraId="622D156E" w14:textId="77777777" w:rsidR="001F28B3" w:rsidRDefault="001F28B3" w:rsidP="001755D1">
            <w:pPr>
              <w:pStyle w:val="Tabletextnormal"/>
            </w:pPr>
          </w:p>
        </w:tc>
      </w:tr>
    </w:tbl>
    <w:p w14:paraId="7C773537" w14:textId="449DBA21" w:rsidR="00A13E0F" w:rsidRDefault="00A13E0F" w:rsidP="00A13E0F">
      <w:pPr>
        <w:pStyle w:val="Heading3"/>
      </w:pPr>
      <w:bookmarkStart w:id="379" w:name="_Toc90216816"/>
      <w:r>
        <w:lastRenderedPageBreak/>
        <w:t>Agarose gel electrophoresis</w:t>
      </w:r>
      <w:r w:rsidR="007006CC">
        <w:t>.</w:t>
      </w:r>
      <w:bookmarkEnd w:id="379"/>
    </w:p>
    <w:p w14:paraId="18AAEB0A" w14:textId="181E0E62" w:rsidR="00FB39D1" w:rsidRDefault="004D2D4A" w:rsidP="00FB39D1">
      <w:r>
        <w:t>A 2.5 % (w/v) agarose gel in 1x TAE was prepared to separate DNA fragments. Staining was achieved by the addition of 0.5 µg/ml ethidium bromide.</w:t>
      </w:r>
      <w:r w:rsidR="00C55F35">
        <w:t xml:space="preserve"> Before loading, DNA samples were mixed with 6x DNA Loading Dye (Thermo Scientific). Electrophoresis ran </w:t>
      </w:r>
      <w:r w:rsidR="00B221B6">
        <w:t>at</w:t>
      </w:r>
      <w:r w:rsidR="00C55F35">
        <w:t xml:space="preserve"> 12</w:t>
      </w:r>
      <w:r w:rsidR="00B221B6">
        <w:t>5</w:t>
      </w:r>
      <w:r w:rsidR="00C55F35">
        <w:t> V</w:t>
      </w:r>
      <w:r w:rsidR="00B221B6">
        <w:t xml:space="preserve"> for ~ </w:t>
      </w:r>
      <w:r w:rsidR="004F473F">
        <w:t>30</w:t>
      </w:r>
      <w:r w:rsidR="00B221B6">
        <w:t> min</w:t>
      </w:r>
      <w:r w:rsidR="00E3445C" w:rsidRPr="00E3445C">
        <w:t xml:space="preserve"> </w:t>
      </w:r>
      <w:r w:rsidR="00E3445C">
        <w:t>at room temperature.</w:t>
      </w:r>
      <w:r w:rsidR="00D87884">
        <w:t xml:space="preserve"> </w:t>
      </w:r>
      <w:r w:rsidR="00D87884" w:rsidRPr="00FB39D1">
        <w:t>DNA bands were visualised using a UV transilluminator and a photograph was taken using a UVi Tec Digital camera and UVi Doc Gel documentation system.</w:t>
      </w:r>
      <w:r w:rsidR="00445D45">
        <w:t xml:space="preserve"> Amplified PCR products were compared to one of two DNA ladders (</w:t>
      </w:r>
      <w:r w:rsidR="00741DF1">
        <w:fldChar w:fldCharType="begin"/>
      </w:r>
      <w:r w:rsidR="00741DF1">
        <w:instrText xml:space="preserve"> REF _Ref79581600 \h </w:instrText>
      </w:r>
      <w:r w:rsidR="00741DF1">
        <w:fldChar w:fldCharType="separate"/>
      </w:r>
      <w:r w:rsidR="00183CC8">
        <w:t xml:space="preserve">Table </w:t>
      </w:r>
      <w:r w:rsidR="00183CC8">
        <w:rPr>
          <w:noProof/>
        </w:rPr>
        <w:t>2</w:t>
      </w:r>
      <w:r w:rsidR="00183CC8">
        <w:t>.</w:t>
      </w:r>
      <w:r w:rsidR="00183CC8">
        <w:rPr>
          <w:noProof/>
        </w:rPr>
        <w:t>5</w:t>
      </w:r>
      <w:r w:rsidR="00741DF1">
        <w:fldChar w:fldCharType="end"/>
      </w:r>
      <w:r w:rsidR="00445D45">
        <w:t>) for an estimation of the DNA fragment size.</w:t>
      </w:r>
    </w:p>
    <w:p w14:paraId="296F45B6" w14:textId="77777777" w:rsidR="00511A73" w:rsidRPr="00FB39D1" w:rsidRDefault="00511A73" w:rsidP="00FB39D1"/>
    <w:tbl>
      <w:tblPr>
        <w:tblStyle w:val="GridTable1Light"/>
        <w:tblW w:w="0" w:type="auto"/>
        <w:jc w:val="center"/>
        <w:tblLook w:val="04A0" w:firstRow="1" w:lastRow="0" w:firstColumn="1" w:lastColumn="0" w:noHBand="0" w:noVBand="1"/>
      </w:tblPr>
      <w:tblGrid>
        <w:gridCol w:w="5838"/>
        <w:gridCol w:w="3526"/>
      </w:tblGrid>
      <w:tr w:rsidR="00271534" w:rsidRPr="00BA528B" w14:paraId="142EC4C0" w14:textId="77777777" w:rsidTr="004F473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bottom w:val="double" w:sz="4" w:space="0" w:color="auto"/>
            </w:tcBorders>
          </w:tcPr>
          <w:p w14:paraId="76E36CFE" w14:textId="6CB34BE3" w:rsidR="00271534" w:rsidRPr="00BA528B" w:rsidRDefault="00B45900" w:rsidP="001755D1">
            <w:pPr>
              <w:pStyle w:val="Tabletextnormal"/>
            </w:pPr>
            <w:r>
              <w:t>Marker</w:t>
            </w:r>
          </w:p>
        </w:tc>
        <w:tc>
          <w:tcPr>
            <w:tcW w:w="3526" w:type="dxa"/>
            <w:tcBorders>
              <w:bottom w:val="double" w:sz="4" w:space="0" w:color="auto"/>
            </w:tcBorders>
          </w:tcPr>
          <w:p w14:paraId="0DD942BD" w14:textId="1B2D8D51" w:rsidR="00271534" w:rsidRPr="00BA528B" w:rsidRDefault="00B45900" w:rsidP="001755D1">
            <w:pPr>
              <w:pStyle w:val="Tabletextnormal"/>
              <w:cnfStyle w:val="100000000000" w:firstRow="1" w:lastRow="0" w:firstColumn="0" w:lastColumn="0" w:oddVBand="0" w:evenVBand="0" w:oddHBand="0" w:evenHBand="0" w:firstRowFirstColumn="0" w:firstRowLastColumn="0" w:lastRowFirstColumn="0" w:lastRowLastColumn="0"/>
            </w:pPr>
            <w:r>
              <w:t>DNA fragment size (kb)</w:t>
            </w:r>
          </w:p>
        </w:tc>
      </w:tr>
      <w:tr w:rsidR="00B45900" w:rsidRPr="00BA528B" w14:paraId="2F7C0991" w14:textId="77777777" w:rsidTr="004F473F">
        <w:trPr>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double" w:sz="4" w:space="0" w:color="auto"/>
            </w:tcBorders>
            <w:vAlign w:val="center"/>
          </w:tcPr>
          <w:p w14:paraId="3E5FC688" w14:textId="361DD4D9" w:rsidR="00B45900" w:rsidRPr="005F2B27" w:rsidRDefault="00B45900" w:rsidP="001755D1">
            <w:pPr>
              <w:pStyle w:val="Tabletextnormal"/>
              <w:jc w:val="center"/>
              <w:rPr>
                <w:iCs/>
              </w:rPr>
            </w:pPr>
            <w:r>
              <w:rPr>
                <w:iCs/>
              </w:rPr>
              <w:t>Quick-Load® 1 kb DNA Ladder (New England BioLabs)</w:t>
            </w:r>
          </w:p>
        </w:tc>
        <w:tc>
          <w:tcPr>
            <w:tcW w:w="3526" w:type="dxa"/>
            <w:tcBorders>
              <w:top w:val="double" w:sz="4" w:space="0" w:color="auto"/>
            </w:tcBorders>
          </w:tcPr>
          <w:p w14:paraId="7B50377A" w14:textId="6CC5F98D" w:rsidR="00B45900" w:rsidRPr="00BA528B" w:rsidRDefault="00B45900" w:rsidP="001755D1">
            <w:pPr>
              <w:pStyle w:val="Tabletextnormal"/>
              <w:cnfStyle w:val="000000000000" w:firstRow="0" w:lastRow="0" w:firstColumn="0" w:lastColumn="0" w:oddVBand="0" w:evenVBand="0" w:oddHBand="0" w:evenHBand="0" w:firstRowFirstColumn="0" w:firstRowLastColumn="0" w:lastRowFirstColumn="0" w:lastRowLastColumn="0"/>
            </w:pPr>
            <w:r>
              <w:t>10</w:t>
            </w:r>
            <w:r w:rsidR="00FB6D17">
              <w:t>.0</w:t>
            </w:r>
          </w:p>
        </w:tc>
      </w:tr>
      <w:tr w:rsidR="00B45900" w:rsidRPr="00BA528B" w14:paraId="206057F7" w14:textId="77777777" w:rsidTr="004F473F">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281E2C3E" w14:textId="77777777" w:rsidR="00B45900" w:rsidRPr="00BA528B" w:rsidRDefault="00B45900" w:rsidP="001755D1">
            <w:pPr>
              <w:pStyle w:val="Tabletextnormal"/>
              <w:jc w:val="center"/>
            </w:pPr>
          </w:p>
        </w:tc>
        <w:tc>
          <w:tcPr>
            <w:tcW w:w="3526" w:type="dxa"/>
          </w:tcPr>
          <w:p w14:paraId="2894108E" w14:textId="5AEBB098" w:rsidR="00B45900" w:rsidRPr="00BA528B" w:rsidRDefault="00B45900" w:rsidP="001755D1">
            <w:pPr>
              <w:pStyle w:val="Tabletextnormal"/>
              <w:cnfStyle w:val="000000000000" w:firstRow="0" w:lastRow="0" w:firstColumn="0" w:lastColumn="0" w:oddVBand="0" w:evenVBand="0" w:oddHBand="0" w:evenHBand="0" w:firstRowFirstColumn="0" w:firstRowLastColumn="0" w:lastRowFirstColumn="0" w:lastRowLastColumn="0"/>
            </w:pPr>
            <w:r>
              <w:t>8</w:t>
            </w:r>
            <w:r w:rsidR="00FB6D17">
              <w:t>.0</w:t>
            </w:r>
          </w:p>
        </w:tc>
      </w:tr>
      <w:tr w:rsidR="00B45900" w:rsidRPr="00BA528B" w14:paraId="2CF607D2" w14:textId="77777777" w:rsidTr="004F473F">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754CAEA9" w14:textId="77777777" w:rsidR="00B45900" w:rsidRPr="00BA528B" w:rsidRDefault="00B45900" w:rsidP="001755D1">
            <w:pPr>
              <w:pStyle w:val="Tabletextnormal"/>
              <w:jc w:val="center"/>
            </w:pPr>
          </w:p>
        </w:tc>
        <w:tc>
          <w:tcPr>
            <w:tcW w:w="3526" w:type="dxa"/>
          </w:tcPr>
          <w:p w14:paraId="19D574FF" w14:textId="74BE76CD" w:rsidR="00B45900" w:rsidRPr="00BA528B" w:rsidRDefault="00B45900" w:rsidP="001755D1">
            <w:pPr>
              <w:pStyle w:val="Tabletextnormal"/>
              <w:cnfStyle w:val="000000000000" w:firstRow="0" w:lastRow="0" w:firstColumn="0" w:lastColumn="0" w:oddVBand="0" w:evenVBand="0" w:oddHBand="0" w:evenHBand="0" w:firstRowFirstColumn="0" w:firstRowLastColumn="0" w:lastRowFirstColumn="0" w:lastRowLastColumn="0"/>
            </w:pPr>
            <w:r>
              <w:t>6</w:t>
            </w:r>
            <w:r w:rsidR="00FB6D17">
              <w:t>.0</w:t>
            </w:r>
          </w:p>
        </w:tc>
      </w:tr>
      <w:tr w:rsidR="00B45900" w:rsidRPr="00BA528B" w14:paraId="50F2C79A" w14:textId="77777777" w:rsidTr="004F473F">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5ADED935" w14:textId="77777777" w:rsidR="00B45900" w:rsidRPr="00BA528B" w:rsidRDefault="00B45900" w:rsidP="001755D1">
            <w:pPr>
              <w:pStyle w:val="Tabletextnormal"/>
              <w:jc w:val="center"/>
            </w:pPr>
          </w:p>
        </w:tc>
        <w:tc>
          <w:tcPr>
            <w:tcW w:w="3526" w:type="dxa"/>
          </w:tcPr>
          <w:p w14:paraId="323FB440" w14:textId="48DBB2C4" w:rsidR="00B45900" w:rsidRPr="00BA528B" w:rsidRDefault="00B45900" w:rsidP="001755D1">
            <w:pPr>
              <w:pStyle w:val="Tabletextnormal"/>
              <w:cnfStyle w:val="000000000000" w:firstRow="0" w:lastRow="0" w:firstColumn="0" w:lastColumn="0" w:oddVBand="0" w:evenVBand="0" w:oddHBand="0" w:evenHBand="0" w:firstRowFirstColumn="0" w:firstRowLastColumn="0" w:lastRowFirstColumn="0" w:lastRowLastColumn="0"/>
            </w:pPr>
            <w:r>
              <w:t>5</w:t>
            </w:r>
            <w:r w:rsidR="00FB6D17">
              <w:t>.0</w:t>
            </w:r>
          </w:p>
        </w:tc>
      </w:tr>
      <w:tr w:rsidR="00B45900" w:rsidRPr="00BA528B" w14:paraId="67631423" w14:textId="77777777" w:rsidTr="004F473F">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05B1F88E" w14:textId="77777777" w:rsidR="00B45900" w:rsidRPr="00BA528B" w:rsidRDefault="00B45900" w:rsidP="001755D1">
            <w:pPr>
              <w:pStyle w:val="Tabletextnormal"/>
              <w:jc w:val="center"/>
            </w:pPr>
          </w:p>
        </w:tc>
        <w:tc>
          <w:tcPr>
            <w:tcW w:w="3526" w:type="dxa"/>
          </w:tcPr>
          <w:p w14:paraId="1799190F" w14:textId="72CC8E47" w:rsidR="00B45900" w:rsidRPr="00BA528B" w:rsidRDefault="00B45900" w:rsidP="001755D1">
            <w:pPr>
              <w:pStyle w:val="Tabletextnormal"/>
              <w:cnfStyle w:val="000000000000" w:firstRow="0" w:lastRow="0" w:firstColumn="0" w:lastColumn="0" w:oddVBand="0" w:evenVBand="0" w:oddHBand="0" w:evenHBand="0" w:firstRowFirstColumn="0" w:firstRowLastColumn="0" w:lastRowFirstColumn="0" w:lastRowLastColumn="0"/>
            </w:pPr>
            <w:r>
              <w:t>4</w:t>
            </w:r>
            <w:r w:rsidR="00FB6D17">
              <w:t>.0</w:t>
            </w:r>
          </w:p>
        </w:tc>
      </w:tr>
      <w:tr w:rsidR="00B45900" w:rsidRPr="00BA528B" w14:paraId="770EF150" w14:textId="77777777" w:rsidTr="004F473F">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773B9C47" w14:textId="77777777" w:rsidR="00B45900" w:rsidRPr="00BA528B" w:rsidRDefault="00B45900" w:rsidP="001755D1">
            <w:pPr>
              <w:pStyle w:val="Tabletextnormal"/>
              <w:jc w:val="center"/>
            </w:pPr>
          </w:p>
        </w:tc>
        <w:tc>
          <w:tcPr>
            <w:tcW w:w="3526" w:type="dxa"/>
          </w:tcPr>
          <w:p w14:paraId="44E74355" w14:textId="0C81336D" w:rsidR="00B45900" w:rsidRPr="00BA528B" w:rsidRDefault="00B45900" w:rsidP="001755D1">
            <w:pPr>
              <w:pStyle w:val="Tabletextnormal"/>
              <w:cnfStyle w:val="000000000000" w:firstRow="0" w:lastRow="0" w:firstColumn="0" w:lastColumn="0" w:oddVBand="0" w:evenVBand="0" w:oddHBand="0" w:evenHBand="0" w:firstRowFirstColumn="0" w:firstRowLastColumn="0" w:lastRowFirstColumn="0" w:lastRowLastColumn="0"/>
            </w:pPr>
            <w:r>
              <w:t>3</w:t>
            </w:r>
            <w:r w:rsidR="00FB6D17">
              <w:t>.0</w:t>
            </w:r>
          </w:p>
        </w:tc>
      </w:tr>
      <w:tr w:rsidR="00B45900" w:rsidRPr="00BA528B" w14:paraId="719C1401" w14:textId="77777777" w:rsidTr="004F473F">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002C69AC" w14:textId="77777777" w:rsidR="00B45900" w:rsidRPr="00BA528B" w:rsidRDefault="00B45900" w:rsidP="001755D1">
            <w:pPr>
              <w:pStyle w:val="Tabletextnormal"/>
              <w:jc w:val="center"/>
            </w:pPr>
          </w:p>
        </w:tc>
        <w:tc>
          <w:tcPr>
            <w:tcW w:w="3526" w:type="dxa"/>
          </w:tcPr>
          <w:p w14:paraId="42DE9F8F" w14:textId="071802E9" w:rsidR="00B45900" w:rsidRPr="00BA528B" w:rsidRDefault="00B45900" w:rsidP="001755D1">
            <w:pPr>
              <w:pStyle w:val="Tabletextnormal"/>
              <w:cnfStyle w:val="000000000000" w:firstRow="0" w:lastRow="0" w:firstColumn="0" w:lastColumn="0" w:oddVBand="0" w:evenVBand="0" w:oddHBand="0" w:evenHBand="0" w:firstRowFirstColumn="0" w:firstRowLastColumn="0" w:lastRowFirstColumn="0" w:lastRowLastColumn="0"/>
            </w:pPr>
            <w:r>
              <w:t>2</w:t>
            </w:r>
            <w:r w:rsidR="00FB6D17">
              <w:t>.0</w:t>
            </w:r>
          </w:p>
        </w:tc>
      </w:tr>
      <w:tr w:rsidR="00B45900" w:rsidRPr="00BA528B" w14:paraId="071A468F" w14:textId="77777777" w:rsidTr="004F473F">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1DA2155E" w14:textId="77777777" w:rsidR="00B45900" w:rsidRPr="00BA528B" w:rsidRDefault="00B45900" w:rsidP="001755D1">
            <w:pPr>
              <w:pStyle w:val="Tabletextnormal"/>
              <w:jc w:val="center"/>
            </w:pPr>
          </w:p>
        </w:tc>
        <w:tc>
          <w:tcPr>
            <w:tcW w:w="3526" w:type="dxa"/>
          </w:tcPr>
          <w:p w14:paraId="6E1A6ED1" w14:textId="3C9200B5" w:rsidR="00B45900" w:rsidRPr="00BA528B" w:rsidRDefault="00B45900" w:rsidP="001755D1">
            <w:pPr>
              <w:pStyle w:val="Tabletextnormal"/>
              <w:cnfStyle w:val="000000000000" w:firstRow="0" w:lastRow="0" w:firstColumn="0" w:lastColumn="0" w:oddVBand="0" w:evenVBand="0" w:oddHBand="0" w:evenHBand="0" w:firstRowFirstColumn="0" w:firstRowLastColumn="0" w:lastRowFirstColumn="0" w:lastRowLastColumn="0"/>
            </w:pPr>
            <w:r>
              <w:t>1.5</w:t>
            </w:r>
          </w:p>
        </w:tc>
      </w:tr>
      <w:tr w:rsidR="00B45900" w:rsidRPr="00BA528B" w14:paraId="41F52942" w14:textId="77777777" w:rsidTr="004F473F">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1887ABC5" w14:textId="77777777" w:rsidR="00B45900" w:rsidRPr="00BA528B" w:rsidRDefault="00B45900" w:rsidP="001755D1">
            <w:pPr>
              <w:pStyle w:val="Tabletextnormal"/>
              <w:jc w:val="center"/>
            </w:pPr>
          </w:p>
        </w:tc>
        <w:tc>
          <w:tcPr>
            <w:tcW w:w="3526" w:type="dxa"/>
          </w:tcPr>
          <w:p w14:paraId="27D56E4C" w14:textId="580B3914" w:rsidR="00B45900" w:rsidRPr="00BA528B" w:rsidRDefault="00B45900" w:rsidP="001755D1">
            <w:pPr>
              <w:pStyle w:val="Tabletextnormal"/>
              <w:cnfStyle w:val="000000000000" w:firstRow="0" w:lastRow="0" w:firstColumn="0" w:lastColumn="0" w:oddVBand="0" w:evenVBand="0" w:oddHBand="0" w:evenHBand="0" w:firstRowFirstColumn="0" w:firstRowLastColumn="0" w:lastRowFirstColumn="0" w:lastRowLastColumn="0"/>
            </w:pPr>
            <w:r>
              <w:t>1</w:t>
            </w:r>
            <w:r w:rsidR="00FB6D17">
              <w:t>.0</w:t>
            </w:r>
          </w:p>
        </w:tc>
      </w:tr>
      <w:tr w:rsidR="00B45900" w:rsidRPr="00BA528B" w14:paraId="2B6A36DF" w14:textId="77777777" w:rsidTr="004F473F">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644BD107" w14:textId="77777777" w:rsidR="00B45900" w:rsidRPr="00BA528B" w:rsidRDefault="00B45900" w:rsidP="001755D1">
            <w:pPr>
              <w:pStyle w:val="Tabletextnormal"/>
              <w:jc w:val="center"/>
            </w:pPr>
          </w:p>
        </w:tc>
        <w:tc>
          <w:tcPr>
            <w:tcW w:w="3526" w:type="dxa"/>
          </w:tcPr>
          <w:p w14:paraId="4B9EF001" w14:textId="354700AF" w:rsidR="00B45900" w:rsidRPr="00BA528B" w:rsidRDefault="00FB6D17" w:rsidP="001755D1">
            <w:pPr>
              <w:pStyle w:val="Tabletextnormal"/>
              <w:cnfStyle w:val="000000000000" w:firstRow="0" w:lastRow="0" w:firstColumn="0" w:lastColumn="0" w:oddVBand="0" w:evenVBand="0" w:oddHBand="0" w:evenHBand="0" w:firstRowFirstColumn="0" w:firstRowLastColumn="0" w:lastRowFirstColumn="0" w:lastRowLastColumn="0"/>
            </w:pPr>
            <w:r>
              <w:t>0.5</w:t>
            </w:r>
          </w:p>
        </w:tc>
      </w:tr>
      <w:tr w:rsidR="00B45900" w:rsidRPr="00BA528B" w14:paraId="19A80143" w14:textId="77777777" w:rsidTr="008849A8">
        <w:trPr>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14:paraId="55D6A2C4" w14:textId="3AAC25BB" w:rsidR="00B45900" w:rsidRPr="00BA528B" w:rsidRDefault="00B45900" w:rsidP="008849A8">
            <w:pPr>
              <w:pStyle w:val="Tabletextnormal"/>
              <w:jc w:val="center"/>
              <w:rPr>
                <w:i/>
              </w:rPr>
            </w:pPr>
            <w:r>
              <w:rPr>
                <w:iCs/>
              </w:rPr>
              <w:t>Quick-Load® Purple 100 bp DNA Ladder (New England BioLabs)</w:t>
            </w:r>
          </w:p>
        </w:tc>
        <w:tc>
          <w:tcPr>
            <w:tcW w:w="3526" w:type="dxa"/>
          </w:tcPr>
          <w:p w14:paraId="262F11D8" w14:textId="41267A8F" w:rsidR="00B45900" w:rsidRPr="00BA528B" w:rsidRDefault="00FB6D17" w:rsidP="005F2B27">
            <w:pPr>
              <w:pStyle w:val="Tabletextnormal"/>
              <w:cnfStyle w:val="000000000000" w:firstRow="0" w:lastRow="0" w:firstColumn="0" w:lastColumn="0" w:oddVBand="0" w:evenVBand="0" w:oddHBand="0" w:evenHBand="0" w:firstRowFirstColumn="0" w:firstRowLastColumn="0" w:lastRowFirstColumn="0" w:lastRowLastColumn="0"/>
            </w:pPr>
            <w:r>
              <w:t>1.5</w:t>
            </w:r>
          </w:p>
        </w:tc>
      </w:tr>
      <w:tr w:rsidR="00B45900" w:rsidRPr="00BA528B" w14:paraId="20D32B0F" w14:textId="77777777" w:rsidTr="004F473F">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4241B1A5" w14:textId="77777777" w:rsidR="00B45900" w:rsidRPr="00BA528B" w:rsidRDefault="00B45900" w:rsidP="001755D1">
            <w:pPr>
              <w:pStyle w:val="Tabletextnormal"/>
              <w:jc w:val="center"/>
            </w:pPr>
          </w:p>
        </w:tc>
        <w:tc>
          <w:tcPr>
            <w:tcW w:w="3526" w:type="dxa"/>
          </w:tcPr>
          <w:p w14:paraId="6D48E593" w14:textId="2A419922" w:rsidR="00B45900" w:rsidRPr="00BA528B" w:rsidRDefault="00FB6D17" w:rsidP="00F12B90">
            <w:pPr>
              <w:pStyle w:val="Tabletextnormal"/>
              <w:keepNext/>
              <w:cnfStyle w:val="000000000000" w:firstRow="0" w:lastRow="0" w:firstColumn="0" w:lastColumn="0" w:oddVBand="0" w:evenVBand="0" w:oddHBand="0" w:evenHBand="0" w:firstRowFirstColumn="0" w:firstRowLastColumn="0" w:lastRowFirstColumn="0" w:lastRowLastColumn="0"/>
            </w:pPr>
            <w:r>
              <w:t>1.2</w:t>
            </w:r>
          </w:p>
        </w:tc>
      </w:tr>
      <w:tr w:rsidR="00B45900" w:rsidRPr="00BA528B" w14:paraId="4EE5DB54" w14:textId="77777777" w:rsidTr="004F473F">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38BADCAB" w14:textId="77777777" w:rsidR="00B45900" w:rsidRPr="00BA528B" w:rsidRDefault="00B45900" w:rsidP="001755D1">
            <w:pPr>
              <w:pStyle w:val="Tabletextnormal"/>
              <w:jc w:val="center"/>
            </w:pPr>
          </w:p>
        </w:tc>
        <w:tc>
          <w:tcPr>
            <w:tcW w:w="3526" w:type="dxa"/>
          </w:tcPr>
          <w:p w14:paraId="73B05626" w14:textId="0DF94F1C" w:rsidR="00FB6D17" w:rsidRPr="00BA528B" w:rsidRDefault="00FB6D17" w:rsidP="00F12B90">
            <w:pPr>
              <w:pStyle w:val="Tabletextnormal"/>
              <w:keepNext/>
              <w:cnfStyle w:val="000000000000" w:firstRow="0" w:lastRow="0" w:firstColumn="0" w:lastColumn="0" w:oddVBand="0" w:evenVBand="0" w:oddHBand="0" w:evenHBand="0" w:firstRowFirstColumn="0" w:firstRowLastColumn="0" w:lastRowFirstColumn="0" w:lastRowLastColumn="0"/>
            </w:pPr>
            <w:r>
              <w:t>1.0</w:t>
            </w:r>
          </w:p>
        </w:tc>
      </w:tr>
      <w:tr w:rsidR="00B45900" w:rsidRPr="00BA528B" w14:paraId="6039540C" w14:textId="77777777" w:rsidTr="004F473F">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4DD26D91" w14:textId="77777777" w:rsidR="00B45900" w:rsidRPr="00BA528B" w:rsidRDefault="00B45900" w:rsidP="001755D1">
            <w:pPr>
              <w:pStyle w:val="Tabletextnormal"/>
              <w:jc w:val="center"/>
            </w:pPr>
          </w:p>
        </w:tc>
        <w:tc>
          <w:tcPr>
            <w:tcW w:w="3526" w:type="dxa"/>
          </w:tcPr>
          <w:p w14:paraId="1CC22CB1" w14:textId="0BFAF2E5" w:rsidR="00B45900" w:rsidRPr="00BA528B" w:rsidRDefault="006B6D21" w:rsidP="00F12B90">
            <w:pPr>
              <w:pStyle w:val="Tabletextnormal"/>
              <w:keepNext/>
              <w:cnfStyle w:val="000000000000" w:firstRow="0" w:lastRow="0" w:firstColumn="0" w:lastColumn="0" w:oddVBand="0" w:evenVBand="0" w:oddHBand="0" w:evenHBand="0" w:firstRowFirstColumn="0" w:firstRowLastColumn="0" w:lastRowFirstColumn="0" w:lastRowLastColumn="0"/>
            </w:pPr>
            <w:r>
              <w:t>0.9</w:t>
            </w:r>
          </w:p>
        </w:tc>
      </w:tr>
      <w:tr w:rsidR="00B45900" w:rsidRPr="00BA528B" w14:paraId="4B747870" w14:textId="77777777" w:rsidTr="004F473F">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44C25268" w14:textId="77777777" w:rsidR="00B45900" w:rsidRPr="00BA528B" w:rsidRDefault="00B45900" w:rsidP="001755D1">
            <w:pPr>
              <w:pStyle w:val="Tabletextnormal"/>
              <w:jc w:val="center"/>
            </w:pPr>
          </w:p>
        </w:tc>
        <w:tc>
          <w:tcPr>
            <w:tcW w:w="3526" w:type="dxa"/>
          </w:tcPr>
          <w:p w14:paraId="6DE0283C" w14:textId="2E5A6346" w:rsidR="00B45900" w:rsidRPr="00BA528B" w:rsidRDefault="006B6D21" w:rsidP="00F12B90">
            <w:pPr>
              <w:pStyle w:val="Tabletextnormal"/>
              <w:keepNext/>
              <w:cnfStyle w:val="000000000000" w:firstRow="0" w:lastRow="0" w:firstColumn="0" w:lastColumn="0" w:oddVBand="0" w:evenVBand="0" w:oddHBand="0" w:evenHBand="0" w:firstRowFirstColumn="0" w:firstRowLastColumn="0" w:lastRowFirstColumn="0" w:lastRowLastColumn="0"/>
            </w:pPr>
            <w:r>
              <w:t>0.8</w:t>
            </w:r>
          </w:p>
        </w:tc>
      </w:tr>
      <w:tr w:rsidR="00B45900" w:rsidRPr="00BA528B" w14:paraId="3B9863AD" w14:textId="77777777" w:rsidTr="004F473F">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51BBF8AE" w14:textId="77777777" w:rsidR="00B45900" w:rsidRPr="00BA528B" w:rsidRDefault="00B45900" w:rsidP="001755D1">
            <w:pPr>
              <w:pStyle w:val="Tabletextnormal"/>
              <w:jc w:val="center"/>
            </w:pPr>
          </w:p>
        </w:tc>
        <w:tc>
          <w:tcPr>
            <w:tcW w:w="3526" w:type="dxa"/>
          </w:tcPr>
          <w:p w14:paraId="33400F51" w14:textId="1A217C9E" w:rsidR="00B45900" w:rsidRPr="00BA528B" w:rsidRDefault="006B6D21" w:rsidP="00F12B90">
            <w:pPr>
              <w:pStyle w:val="Tabletextnormal"/>
              <w:keepNext/>
              <w:cnfStyle w:val="000000000000" w:firstRow="0" w:lastRow="0" w:firstColumn="0" w:lastColumn="0" w:oddVBand="0" w:evenVBand="0" w:oddHBand="0" w:evenHBand="0" w:firstRowFirstColumn="0" w:firstRowLastColumn="0" w:lastRowFirstColumn="0" w:lastRowLastColumn="0"/>
            </w:pPr>
            <w:r>
              <w:t>0.7</w:t>
            </w:r>
          </w:p>
        </w:tc>
      </w:tr>
      <w:tr w:rsidR="00B45900" w:rsidRPr="00BA528B" w14:paraId="0B09EBAE" w14:textId="77777777" w:rsidTr="004F473F">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25D3EADE" w14:textId="77777777" w:rsidR="00B45900" w:rsidRPr="00BA528B" w:rsidRDefault="00B45900" w:rsidP="001755D1">
            <w:pPr>
              <w:pStyle w:val="Tabletextnormal"/>
              <w:jc w:val="center"/>
            </w:pPr>
          </w:p>
        </w:tc>
        <w:tc>
          <w:tcPr>
            <w:tcW w:w="3526" w:type="dxa"/>
          </w:tcPr>
          <w:p w14:paraId="4DE5FC39" w14:textId="66052098" w:rsidR="00B45900" w:rsidRPr="00BA528B" w:rsidRDefault="006B6D21" w:rsidP="00F12B90">
            <w:pPr>
              <w:pStyle w:val="Tabletextnormal"/>
              <w:keepNext/>
              <w:cnfStyle w:val="000000000000" w:firstRow="0" w:lastRow="0" w:firstColumn="0" w:lastColumn="0" w:oddVBand="0" w:evenVBand="0" w:oddHBand="0" w:evenHBand="0" w:firstRowFirstColumn="0" w:firstRowLastColumn="0" w:lastRowFirstColumn="0" w:lastRowLastColumn="0"/>
            </w:pPr>
            <w:r>
              <w:t>0.6</w:t>
            </w:r>
          </w:p>
        </w:tc>
      </w:tr>
      <w:tr w:rsidR="00B45900" w:rsidRPr="00BA528B" w14:paraId="0B6779B3" w14:textId="77777777" w:rsidTr="004F473F">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4E4FF127" w14:textId="77777777" w:rsidR="00B45900" w:rsidRPr="00BA528B" w:rsidRDefault="00B45900" w:rsidP="001755D1">
            <w:pPr>
              <w:pStyle w:val="Tabletextnormal"/>
              <w:jc w:val="center"/>
            </w:pPr>
          </w:p>
        </w:tc>
        <w:tc>
          <w:tcPr>
            <w:tcW w:w="3526" w:type="dxa"/>
          </w:tcPr>
          <w:p w14:paraId="6BE35602" w14:textId="5AA12EE6" w:rsidR="00B45900" w:rsidRPr="00BA528B" w:rsidRDefault="006B6D21" w:rsidP="00F12B90">
            <w:pPr>
              <w:pStyle w:val="Tabletextnormal"/>
              <w:keepNext/>
              <w:cnfStyle w:val="000000000000" w:firstRow="0" w:lastRow="0" w:firstColumn="0" w:lastColumn="0" w:oddVBand="0" w:evenVBand="0" w:oddHBand="0" w:evenHBand="0" w:firstRowFirstColumn="0" w:firstRowLastColumn="0" w:lastRowFirstColumn="0" w:lastRowLastColumn="0"/>
            </w:pPr>
            <w:r>
              <w:t>0.5</w:t>
            </w:r>
          </w:p>
        </w:tc>
      </w:tr>
      <w:tr w:rsidR="00B45900" w:rsidRPr="00BA528B" w14:paraId="4CC5F619" w14:textId="77777777" w:rsidTr="004F473F">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159D3D82" w14:textId="77777777" w:rsidR="00B45900" w:rsidRPr="00BA528B" w:rsidRDefault="00B45900" w:rsidP="001755D1">
            <w:pPr>
              <w:pStyle w:val="Tabletextnormal"/>
              <w:jc w:val="center"/>
            </w:pPr>
          </w:p>
        </w:tc>
        <w:tc>
          <w:tcPr>
            <w:tcW w:w="3526" w:type="dxa"/>
          </w:tcPr>
          <w:p w14:paraId="4C4D4E69" w14:textId="1898A9E6" w:rsidR="00B45900" w:rsidRPr="00BA528B" w:rsidRDefault="006B6D21" w:rsidP="00F12B90">
            <w:pPr>
              <w:pStyle w:val="Tabletextnormal"/>
              <w:keepNext/>
              <w:cnfStyle w:val="000000000000" w:firstRow="0" w:lastRow="0" w:firstColumn="0" w:lastColumn="0" w:oddVBand="0" w:evenVBand="0" w:oddHBand="0" w:evenHBand="0" w:firstRowFirstColumn="0" w:firstRowLastColumn="0" w:lastRowFirstColumn="0" w:lastRowLastColumn="0"/>
            </w:pPr>
            <w:r>
              <w:t>0.4</w:t>
            </w:r>
          </w:p>
        </w:tc>
      </w:tr>
      <w:tr w:rsidR="00B45900" w:rsidRPr="00BA528B" w14:paraId="5919C5AB" w14:textId="77777777" w:rsidTr="004F473F">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045A02E6" w14:textId="77777777" w:rsidR="00B45900" w:rsidRPr="00BA528B" w:rsidRDefault="00B45900" w:rsidP="001755D1">
            <w:pPr>
              <w:pStyle w:val="Tabletextnormal"/>
              <w:jc w:val="center"/>
            </w:pPr>
          </w:p>
        </w:tc>
        <w:tc>
          <w:tcPr>
            <w:tcW w:w="3526" w:type="dxa"/>
          </w:tcPr>
          <w:p w14:paraId="0C2DEE40" w14:textId="5B6A3C07" w:rsidR="00B45900" w:rsidRPr="00BA528B" w:rsidRDefault="006B6D21" w:rsidP="00F12B90">
            <w:pPr>
              <w:pStyle w:val="Tabletextnormal"/>
              <w:keepNext/>
              <w:cnfStyle w:val="000000000000" w:firstRow="0" w:lastRow="0" w:firstColumn="0" w:lastColumn="0" w:oddVBand="0" w:evenVBand="0" w:oddHBand="0" w:evenHBand="0" w:firstRowFirstColumn="0" w:firstRowLastColumn="0" w:lastRowFirstColumn="0" w:lastRowLastColumn="0"/>
            </w:pPr>
            <w:r>
              <w:t>0.3</w:t>
            </w:r>
          </w:p>
        </w:tc>
      </w:tr>
      <w:tr w:rsidR="00B45900" w:rsidRPr="00BA528B" w14:paraId="26853907" w14:textId="77777777" w:rsidTr="004F473F">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1D39FC9E" w14:textId="77777777" w:rsidR="00B45900" w:rsidRPr="00BA528B" w:rsidRDefault="00B45900" w:rsidP="001755D1">
            <w:pPr>
              <w:pStyle w:val="Tabletextnormal"/>
              <w:jc w:val="center"/>
            </w:pPr>
          </w:p>
        </w:tc>
        <w:tc>
          <w:tcPr>
            <w:tcW w:w="3526" w:type="dxa"/>
          </w:tcPr>
          <w:p w14:paraId="549D02E7" w14:textId="6D171528" w:rsidR="00B45900" w:rsidRPr="00BA528B" w:rsidRDefault="006B6D21" w:rsidP="00F12B90">
            <w:pPr>
              <w:pStyle w:val="Tabletextnormal"/>
              <w:keepNext/>
              <w:cnfStyle w:val="000000000000" w:firstRow="0" w:lastRow="0" w:firstColumn="0" w:lastColumn="0" w:oddVBand="0" w:evenVBand="0" w:oddHBand="0" w:evenHBand="0" w:firstRowFirstColumn="0" w:firstRowLastColumn="0" w:lastRowFirstColumn="0" w:lastRowLastColumn="0"/>
            </w:pPr>
            <w:r>
              <w:t>0.2</w:t>
            </w:r>
          </w:p>
        </w:tc>
      </w:tr>
      <w:tr w:rsidR="00B45900" w:rsidRPr="00BA528B" w14:paraId="59D0D788" w14:textId="77777777" w:rsidTr="004F473F">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00772810" w14:textId="77777777" w:rsidR="00B45900" w:rsidRPr="00BA528B" w:rsidRDefault="00B45900" w:rsidP="001755D1">
            <w:pPr>
              <w:pStyle w:val="Tabletextnormal"/>
              <w:jc w:val="center"/>
            </w:pPr>
          </w:p>
        </w:tc>
        <w:tc>
          <w:tcPr>
            <w:tcW w:w="3526" w:type="dxa"/>
          </w:tcPr>
          <w:p w14:paraId="764896DF" w14:textId="04569EBB" w:rsidR="00B45900" w:rsidRPr="00BA528B" w:rsidRDefault="006B6D21" w:rsidP="00F12B90">
            <w:pPr>
              <w:pStyle w:val="Tabletextnormal"/>
              <w:keepNext/>
              <w:cnfStyle w:val="000000000000" w:firstRow="0" w:lastRow="0" w:firstColumn="0" w:lastColumn="0" w:oddVBand="0" w:evenVBand="0" w:oddHBand="0" w:evenHBand="0" w:firstRowFirstColumn="0" w:firstRowLastColumn="0" w:lastRowFirstColumn="0" w:lastRowLastColumn="0"/>
            </w:pPr>
            <w:r>
              <w:t>0.1</w:t>
            </w:r>
          </w:p>
        </w:tc>
      </w:tr>
    </w:tbl>
    <w:p w14:paraId="1C7518A3" w14:textId="583B076B" w:rsidR="00FB39D1" w:rsidRDefault="00F12B90" w:rsidP="00F12B90">
      <w:pPr>
        <w:pStyle w:val="Caption"/>
      </w:pPr>
      <w:bookmarkStart w:id="380" w:name="_Ref79581600"/>
      <w:bookmarkStart w:id="381" w:name="_Toc90217051"/>
      <w:r>
        <w:t xml:space="preserve">Table </w:t>
      </w:r>
      <w:r w:rsidR="003373BF">
        <w:fldChar w:fldCharType="begin"/>
      </w:r>
      <w:r w:rsidR="003373BF">
        <w:instrText xml:space="preserve"> STYLEREF 1 \s </w:instrText>
      </w:r>
      <w:r w:rsidR="003373BF">
        <w:fldChar w:fldCharType="separate"/>
      </w:r>
      <w:r w:rsidR="00183CC8">
        <w:rPr>
          <w:noProof/>
        </w:rPr>
        <w:t>2</w:t>
      </w:r>
      <w:r w:rsidR="003373BF">
        <w:rPr>
          <w:noProof/>
        </w:rPr>
        <w:fldChar w:fldCharType="end"/>
      </w:r>
      <w:r>
        <w:t>.</w:t>
      </w:r>
      <w:r w:rsidR="003373BF">
        <w:fldChar w:fldCharType="begin"/>
      </w:r>
      <w:r w:rsidR="003373BF">
        <w:instrText xml:space="preserve"> SEQ Table \* ARABIC \s 1 </w:instrText>
      </w:r>
      <w:r w:rsidR="003373BF">
        <w:fldChar w:fldCharType="separate"/>
      </w:r>
      <w:r w:rsidR="00183CC8">
        <w:rPr>
          <w:noProof/>
        </w:rPr>
        <w:t>5</w:t>
      </w:r>
      <w:r w:rsidR="003373BF">
        <w:rPr>
          <w:noProof/>
        </w:rPr>
        <w:fldChar w:fldCharType="end"/>
      </w:r>
      <w:bookmarkEnd w:id="380"/>
      <w:r>
        <w:t xml:space="preserve"> DNA fragments used as size markers for agarose gel electrophoresis.</w:t>
      </w:r>
      <w:bookmarkEnd w:id="381"/>
    </w:p>
    <w:p w14:paraId="270E28C6" w14:textId="71FA6E9C" w:rsidR="005A1A33" w:rsidRDefault="005A1A33" w:rsidP="00416DD1">
      <w:pPr>
        <w:pStyle w:val="Heading2"/>
      </w:pPr>
      <w:bookmarkStart w:id="382" w:name="_Toc90216817"/>
      <w:r>
        <w:lastRenderedPageBreak/>
        <w:t>Super resolution light microscopy</w:t>
      </w:r>
      <w:r w:rsidR="007006CC">
        <w:t>.</w:t>
      </w:r>
      <w:bookmarkEnd w:id="382"/>
    </w:p>
    <w:p w14:paraId="38998B17" w14:textId="2F7242B8" w:rsidR="00E64915" w:rsidRDefault="00E64915" w:rsidP="00E64915">
      <w:pPr>
        <w:pStyle w:val="Heading3"/>
      </w:pPr>
      <w:bookmarkStart w:id="383" w:name="_Ref79664316"/>
      <w:bookmarkStart w:id="384" w:name="_Toc90216818"/>
      <w:r>
        <w:t>Coverslip preparation</w:t>
      </w:r>
      <w:bookmarkEnd w:id="383"/>
      <w:r w:rsidR="007006CC">
        <w:t>.</w:t>
      </w:r>
      <w:bookmarkEnd w:id="384"/>
    </w:p>
    <w:p w14:paraId="75F0C18E" w14:textId="2E453963" w:rsidR="00311019" w:rsidRPr="00E64915" w:rsidRDefault="00E64915" w:rsidP="00E64915">
      <w:r>
        <w:t>High precision coverslips</w:t>
      </w:r>
      <w:r w:rsidR="00354624">
        <w:t xml:space="preserve"> (</w:t>
      </w:r>
      <w:r w:rsidR="0071791D" w:rsidRPr="0071791D">
        <w:t>CG15CH2,</w:t>
      </w:r>
      <w:r w:rsidR="00354624" w:rsidRPr="00E64915">
        <w:t xml:space="preserve"> 1.5H, 22 x 22 nm, 170±5 μm, Marienfeld)</w:t>
      </w:r>
      <w:r w:rsidR="00354624">
        <w:t xml:space="preserve"> were submerged in 1 M KOH </w:t>
      </w:r>
      <w:r w:rsidR="000E3B11">
        <w:t xml:space="preserve">and </w:t>
      </w:r>
      <w:r w:rsidR="00A86E07">
        <w:t>cleaned by sonication</w:t>
      </w:r>
      <w:r w:rsidR="000E3B11">
        <w:t xml:space="preserve"> </w:t>
      </w:r>
      <w:r w:rsidR="00354624">
        <w:t>for 15 min</w:t>
      </w:r>
      <w:r w:rsidR="00A86E07">
        <w:t xml:space="preserve"> using a VWR ultrasonic cleaner.</w:t>
      </w:r>
      <w:r w:rsidR="005969A8">
        <w:t xml:space="preserve"> After removal of the 1 M KOH solution, the coverslips were rinsed with dH</w:t>
      </w:r>
      <w:r w:rsidR="005969A8">
        <w:rPr>
          <w:vertAlign w:val="subscript"/>
        </w:rPr>
        <w:t>2</w:t>
      </w:r>
      <w:r w:rsidR="005969A8">
        <w:t>O, covered in 0.1 % (w/v) poly-L-lysine solution in H</w:t>
      </w:r>
      <w:r w:rsidR="005969A8">
        <w:rPr>
          <w:vertAlign w:val="subscript"/>
        </w:rPr>
        <w:t>2</w:t>
      </w:r>
      <w:r w:rsidR="005969A8">
        <w:t>O (Sigma) and incubated for 30 min at room temperature.</w:t>
      </w:r>
      <w:r w:rsidR="00DD3B51">
        <w:t xml:space="preserve"> Finally, the coverslips were washed with dH</w:t>
      </w:r>
      <w:r w:rsidR="00DD3B51">
        <w:rPr>
          <w:vertAlign w:val="subscript"/>
        </w:rPr>
        <w:t>2</w:t>
      </w:r>
      <w:r w:rsidR="00DD3B51">
        <w:t>O and dried with nitrogen</w:t>
      </w:r>
      <w:r w:rsidR="007E6BA2">
        <w:t xml:space="preserve"> gas</w:t>
      </w:r>
      <w:r w:rsidR="00DD3B51">
        <w:t>.</w:t>
      </w:r>
    </w:p>
    <w:p w14:paraId="26C4FEAE" w14:textId="4D7663FC" w:rsidR="005A1A33" w:rsidRDefault="005A1A33" w:rsidP="005A1A33">
      <w:pPr>
        <w:pStyle w:val="Heading3"/>
      </w:pPr>
      <w:bookmarkStart w:id="385" w:name="_Ref71568625"/>
      <w:bookmarkStart w:id="386" w:name="_Toc90216819"/>
      <w:r>
        <w:t>S</w:t>
      </w:r>
      <w:r w:rsidR="00DE3D92">
        <w:t>ample preparation for s</w:t>
      </w:r>
      <w:r>
        <w:t xml:space="preserve">tructured Illumination </w:t>
      </w:r>
      <w:r w:rsidR="00B15944">
        <w:t>microscopy (SIM)</w:t>
      </w:r>
      <w:bookmarkEnd w:id="385"/>
      <w:r w:rsidR="007006CC">
        <w:t>.</w:t>
      </w:r>
      <w:bookmarkEnd w:id="386"/>
    </w:p>
    <w:p w14:paraId="40DB3F0D" w14:textId="51E69DE7" w:rsidR="003B77A5" w:rsidRPr="003B77A5" w:rsidRDefault="003B77A5" w:rsidP="003B77A5">
      <w:pPr>
        <w:pStyle w:val="Heading4"/>
      </w:pPr>
      <w:bookmarkStart w:id="387" w:name="_Toc90216820"/>
      <w:r>
        <w:t>Labelling the cell surface with NHS-ester</w:t>
      </w:r>
      <w:r w:rsidR="007006CC">
        <w:t>.</w:t>
      </w:r>
      <w:bookmarkEnd w:id="387"/>
    </w:p>
    <w:p w14:paraId="38F2923E" w14:textId="58E7C0FB" w:rsidR="00746191" w:rsidRDefault="00301174" w:rsidP="00746191">
      <w:r>
        <w:t xml:space="preserve">Bacterial cultures were grown as previously described (section </w:t>
      </w:r>
      <w:r>
        <w:fldChar w:fldCharType="begin"/>
      </w:r>
      <w:r>
        <w:instrText xml:space="preserve"> REF _Ref64391429 \r \h </w:instrText>
      </w:r>
      <w:r>
        <w:fldChar w:fldCharType="separate"/>
      </w:r>
      <w:r w:rsidR="00183CC8">
        <w:t>2.11.1</w:t>
      </w:r>
      <w:r>
        <w:fldChar w:fldCharType="end"/>
      </w:r>
      <w:r>
        <w:t xml:space="preserve">), </w:t>
      </w:r>
      <w:r w:rsidR="00EB7847">
        <w:t>1-2 ml of sample was taken and cells were harvested by centrifugation at maximum speed.</w:t>
      </w:r>
      <w:r w:rsidR="001918E1">
        <w:t xml:space="preserve"> The pellet was washed in PBS, centrifuged again, and resuspended in 300 µl of PBS</w:t>
      </w:r>
      <w:r w:rsidR="00CE1D83">
        <w:t xml:space="preserve"> and 20 µl of 0.5 mg/ml NHS-ester</w:t>
      </w:r>
      <w:r w:rsidR="001918E1">
        <w:t xml:space="preserve"> </w:t>
      </w:r>
      <w:r w:rsidR="00154407" w:rsidRPr="00830ECD">
        <w:t>stock</w:t>
      </w:r>
      <w:r w:rsidR="00C33EB4">
        <w:t xml:space="preserve"> solution (</w:t>
      </w:r>
      <w:r w:rsidR="00154407">
        <w:rPr>
          <w:highlight w:val="yellow"/>
        </w:rPr>
        <w:fldChar w:fldCharType="begin"/>
      </w:r>
      <w:r w:rsidR="00154407">
        <w:instrText xml:space="preserve"> REF _Ref79660554 \h </w:instrText>
      </w:r>
      <w:r w:rsidR="00154407">
        <w:rPr>
          <w:highlight w:val="yellow"/>
        </w:rPr>
      </w:r>
      <w:r w:rsidR="00154407">
        <w:rPr>
          <w:highlight w:val="yellow"/>
        </w:rPr>
        <w:fldChar w:fldCharType="separate"/>
      </w:r>
      <w:r w:rsidR="00183CC8">
        <w:t xml:space="preserve">Table </w:t>
      </w:r>
      <w:r w:rsidR="00183CC8">
        <w:rPr>
          <w:noProof/>
        </w:rPr>
        <w:t>2</w:t>
      </w:r>
      <w:r w:rsidR="00183CC8">
        <w:t>.</w:t>
      </w:r>
      <w:r w:rsidR="00183CC8">
        <w:rPr>
          <w:noProof/>
        </w:rPr>
        <w:t>1</w:t>
      </w:r>
      <w:r w:rsidR="00154407">
        <w:rPr>
          <w:highlight w:val="yellow"/>
        </w:rPr>
        <w:fldChar w:fldCharType="end"/>
      </w:r>
      <w:r w:rsidR="00C33EB4">
        <w:t>).</w:t>
      </w:r>
      <w:r w:rsidR="00140163">
        <w:t xml:space="preserve"> The samples were covered from the light with foil and incubated for 5 min at room temperature on a rotary shaker.</w:t>
      </w:r>
      <w:r w:rsidR="00AD44DE">
        <w:t xml:space="preserve"> Labelled cells were collected by centrifugation</w:t>
      </w:r>
      <w:r w:rsidR="00210BDA">
        <w:t xml:space="preserve"> and</w:t>
      </w:r>
      <w:r w:rsidR="00AD44DE">
        <w:t xml:space="preserve"> </w:t>
      </w:r>
      <w:r w:rsidR="00E26BD5">
        <w:t>washed with PBS</w:t>
      </w:r>
      <w:r w:rsidR="00210BDA">
        <w:t xml:space="preserve"> before fixing</w:t>
      </w:r>
      <w:r w:rsidR="00E26BD5">
        <w:t>.</w:t>
      </w:r>
    </w:p>
    <w:p w14:paraId="30FEB6FE" w14:textId="17447B37" w:rsidR="004C214C" w:rsidRDefault="004C214C" w:rsidP="004C214C">
      <w:pPr>
        <w:pStyle w:val="Heading4"/>
      </w:pPr>
      <w:bookmarkStart w:id="388" w:name="_Toc90216821"/>
      <w:r>
        <w:t>Fixation</w:t>
      </w:r>
      <w:r w:rsidR="007006CC">
        <w:t>.</w:t>
      </w:r>
      <w:bookmarkEnd w:id="388"/>
    </w:p>
    <w:p w14:paraId="499A9710" w14:textId="23971243" w:rsidR="004C214C" w:rsidRPr="00E11B57" w:rsidRDefault="00B70A95" w:rsidP="00B70A95">
      <w:r>
        <w:t xml:space="preserve">Cells were harvested by centrifugation and resuspended in 500 µl of PBS and 500 µl of PFA </w:t>
      </w:r>
      <w:r w:rsidR="002A672A">
        <w:t>fixing</w:t>
      </w:r>
      <w:r>
        <w:t xml:space="preserve"> solution (</w:t>
      </w:r>
      <w:r>
        <w:fldChar w:fldCharType="begin"/>
      </w:r>
      <w:r>
        <w:instrText xml:space="preserve"> REF _Ref79662411 \r \h </w:instrText>
      </w:r>
      <w:r>
        <w:fldChar w:fldCharType="separate"/>
      </w:r>
      <w:r w:rsidR="00183CC8">
        <w:t>2.4.1.2</w:t>
      </w:r>
      <w:r>
        <w:fldChar w:fldCharType="end"/>
      </w:r>
      <w:r>
        <w:t>)</w:t>
      </w:r>
      <w:r w:rsidR="00ED341E">
        <w:t>.</w:t>
      </w:r>
      <w:r w:rsidR="00E11B57">
        <w:t xml:space="preserve"> Cells were incubated with the fixative for 30 min on rotary shaker in the dark</w:t>
      </w:r>
      <w:r w:rsidR="00236F46">
        <w:t xml:space="preserve"> (Stuart rotator SB2)</w:t>
      </w:r>
      <w:r w:rsidR="00E11B57">
        <w:t>. The fixative was washed off twice with dH</w:t>
      </w:r>
      <w:r w:rsidR="00E11B57">
        <w:rPr>
          <w:vertAlign w:val="subscript"/>
        </w:rPr>
        <w:t>2</w:t>
      </w:r>
      <w:r w:rsidR="00E11B57">
        <w:t>O and harvested by centrifugation.</w:t>
      </w:r>
    </w:p>
    <w:p w14:paraId="21694FE2" w14:textId="3937ADB8" w:rsidR="003B77A5" w:rsidRDefault="00E11B57" w:rsidP="00E11B57">
      <w:pPr>
        <w:pStyle w:val="Heading4"/>
      </w:pPr>
      <w:bookmarkStart w:id="389" w:name="_Toc90216822"/>
      <w:r>
        <w:t>Sample and microscope slide preparation</w:t>
      </w:r>
      <w:r w:rsidR="007006CC">
        <w:t>.</w:t>
      </w:r>
      <w:bookmarkEnd w:id="389"/>
    </w:p>
    <w:p w14:paraId="3264C8CD" w14:textId="3FAAF1D1" w:rsidR="00E11B57" w:rsidRDefault="005C10C2" w:rsidP="00E11B57">
      <w:r>
        <w:t>The fixed cells were resuspended in ~ 50-100 µl of dH</w:t>
      </w:r>
      <w:r>
        <w:rPr>
          <w:vertAlign w:val="subscript"/>
        </w:rPr>
        <w:t>2</w:t>
      </w:r>
      <w:r>
        <w:t>O, depending on the size of the pellet</w:t>
      </w:r>
      <w:r w:rsidR="0074392C">
        <w:t xml:space="preserve">, and 5 µl </w:t>
      </w:r>
      <w:r w:rsidR="00851470">
        <w:t>was</w:t>
      </w:r>
      <w:r w:rsidR="0074392C">
        <w:t xml:space="preserve"> applied onto a poly-L-lysin</w:t>
      </w:r>
      <w:r w:rsidR="00851470">
        <w:t>e</w:t>
      </w:r>
      <w:r w:rsidR="0074392C">
        <w:t xml:space="preserve"> coated coverslip (section </w:t>
      </w:r>
      <w:r w:rsidR="0074392C">
        <w:fldChar w:fldCharType="begin"/>
      </w:r>
      <w:r w:rsidR="0074392C">
        <w:instrText xml:space="preserve"> REF _Ref79664316 \r \h </w:instrText>
      </w:r>
      <w:r w:rsidR="0074392C">
        <w:fldChar w:fldCharType="separate"/>
      </w:r>
      <w:r w:rsidR="00183CC8">
        <w:t>2.18.1</w:t>
      </w:r>
      <w:r w:rsidR="0074392C">
        <w:fldChar w:fldCharType="end"/>
      </w:r>
      <w:r w:rsidR="0074392C">
        <w:t>).</w:t>
      </w:r>
      <w:r w:rsidR="00281ADF">
        <w:t xml:space="preserve"> The droplet of sample was dispersed and dried using nitrogen gas. The coverslip was washed once with dH</w:t>
      </w:r>
      <w:r w:rsidR="00281ADF">
        <w:rPr>
          <w:vertAlign w:val="subscript"/>
        </w:rPr>
        <w:t>2</w:t>
      </w:r>
      <w:r w:rsidR="00281ADF">
        <w:t xml:space="preserve">O and thoroughly dried with nitrogen gas. </w:t>
      </w:r>
      <w:r w:rsidR="00A97AB9">
        <w:t>A</w:t>
      </w:r>
      <w:r w:rsidR="00281ADF">
        <w:t xml:space="preserve"> drop of </w:t>
      </w:r>
      <w:r w:rsidR="00281ADF" w:rsidRPr="00281ADF">
        <w:rPr>
          <w:rFonts w:ascii="Calibri" w:hAnsi="Calibri" w:cs="Calibri"/>
          <w:color w:val="000000"/>
        </w:rPr>
        <w:t>SlowFade</w:t>
      </w:r>
      <w:r w:rsidR="00281ADF" w:rsidRPr="00281ADF">
        <w:rPr>
          <w:rFonts w:ascii="Calibri" w:hAnsi="Calibri" w:cs="Calibri"/>
          <w:color w:val="000000"/>
          <w:vertAlign w:val="superscript"/>
        </w:rPr>
        <w:t>TM</w:t>
      </w:r>
      <w:r w:rsidR="00281ADF" w:rsidRPr="00281ADF">
        <w:rPr>
          <w:rFonts w:ascii="Calibri" w:hAnsi="Calibri" w:cs="Calibri"/>
          <w:color w:val="000000"/>
        </w:rPr>
        <w:t xml:space="preserve"> Gold </w:t>
      </w:r>
      <w:r w:rsidR="00A97AB9">
        <w:rPr>
          <w:rFonts w:ascii="Calibri" w:hAnsi="Calibri" w:cs="Calibri"/>
          <w:color w:val="000000"/>
        </w:rPr>
        <w:t>A</w:t>
      </w:r>
      <w:r w:rsidR="00281ADF" w:rsidRPr="00281ADF">
        <w:rPr>
          <w:rFonts w:ascii="Calibri" w:hAnsi="Calibri" w:cs="Calibri"/>
          <w:color w:val="000000"/>
        </w:rPr>
        <w:t>nti</w:t>
      </w:r>
      <w:r w:rsidR="00281ADF">
        <w:rPr>
          <w:rFonts w:ascii="Calibri" w:hAnsi="Calibri" w:cs="Calibri"/>
          <w:color w:val="000000"/>
        </w:rPr>
        <w:t>f</w:t>
      </w:r>
      <w:r w:rsidR="00281ADF" w:rsidRPr="00281ADF">
        <w:rPr>
          <w:rFonts w:ascii="Calibri" w:hAnsi="Calibri" w:cs="Calibri"/>
          <w:color w:val="000000"/>
        </w:rPr>
        <w:t>a</w:t>
      </w:r>
      <w:r w:rsidR="00281ADF">
        <w:rPr>
          <w:rFonts w:ascii="Calibri" w:hAnsi="Calibri" w:cs="Calibri"/>
          <w:color w:val="000000"/>
        </w:rPr>
        <w:t>d</w:t>
      </w:r>
      <w:r w:rsidR="00281ADF" w:rsidRPr="00281ADF">
        <w:rPr>
          <w:rFonts w:ascii="Calibri" w:hAnsi="Calibri" w:cs="Calibri"/>
          <w:color w:val="000000"/>
        </w:rPr>
        <w:t xml:space="preserve">e </w:t>
      </w:r>
      <w:r w:rsidR="00A97AB9">
        <w:rPr>
          <w:rFonts w:ascii="Calibri" w:hAnsi="Calibri" w:cs="Calibri"/>
          <w:color w:val="000000"/>
        </w:rPr>
        <w:t>Mountant</w:t>
      </w:r>
      <w:r w:rsidR="00281ADF" w:rsidRPr="00281ADF">
        <w:rPr>
          <w:rFonts w:ascii="Calibri" w:hAnsi="Calibri" w:cs="Calibri"/>
          <w:color w:val="000000"/>
        </w:rPr>
        <w:t xml:space="preserve"> (Invitrogen</w:t>
      </w:r>
      <w:r w:rsidR="00A97AB9">
        <w:rPr>
          <w:rFonts w:ascii="Calibri" w:hAnsi="Calibri" w:cs="Calibri"/>
          <w:color w:val="000000"/>
        </w:rPr>
        <w:t xml:space="preserve"> S</w:t>
      </w:r>
      <w:r w:rsidR="00A97AB9" w:rsidRPr="00A97AB9">
        <w:rPr>
          <w:rFonts w:ascii="Calibri" w:hAnsi="Calibri" w:cs="Calibri"/>
          <w:color w:val="000000"/>
        </w:rPr>
        <w:t>36937</w:t>
      </w:r>
      <w:r w:rsidR="00A97AB9">
        <w:rPr>
          <w:rFonts w:ascii="Calibri" w:hAnsi="Calibri" w:cs="Calibri"/>
          <w:color w:val="000000"/>
        </w:rPr>
        <w:t>, Thermo Scientific</w:t>
      </w:r>
      <w:r w:rsidR="00281ADF" w:rsidRPr="00281ADF">
        <w:rPr>
          <w:rFonts w:ascii="Calibri" w:hAnsi="Calibri" w:cs="Calibri"/>
          <w:color w:val="000000"/>
        </w:rPr>
        <w:t>)</w:t>
      </w:r>
      <w:r w:rsidR="00281ADF">
        <w:t xml:space="preserve"> </w:t>
      </w:r>
      <w:r w:rsidR="00A97AB9">
        <w:t>was added to the centre of the coverslip (sample side), and the coverslip was mounted on the centre of a</w:t>
      </w:r>
      <w:r w:rsidR="007C0B2F">
        <w:t xml:space="preserve"> </w:t>
      </w:r>
      <w:r w:rsidR="007C0B2F" w:rsidRPr="00840883">
        <w:t>poly-L-lysine coated</w:t>
      </w:r>
      <w:r w:rsidR="00A97AB9" w:rsidRPr="00840883">
        <w:t xml:space="preserve"> glass microscope slide </w:t>
      </w:r>
      <w:r w:rsidR="00A97AB9" w:rsidRPr="00840883">
        <w:lastRenderedPageBreak/>
        <w:t>(</w:t>
      </w:r>
      <w:r w:rsidR="007C0B2F" w:rsidRPr="00840883">
        <w:t>P0425-72EA, Poly-prep slides,</w:t>
      </w:r>
      <w:r w:rsidR="007C0B2F">
        <w:t xml:space="preserve"> Sigma</w:t>
      </w:r>
      <w:r w:rsidR="00A97AB9">
        <w:t>). Clear nail polish was used to seal the sides of the coverslip.</w:t>
      </w:r>
    </w:p>
    <w:p w14:paraId="60A4F8A6" w14:textId="28104349" w:rsidR="003543F7" w:rsidRDefault="00A276BE" w:rsidP="008A2DB8">
      <w:pPr>
        <w:pStyle w:val="Heading3"/>
      </w:pPr>
      <w:bookmarkStart w:id="390" w:name="_Toc90216823"/>
      <w:r>
        <w:t>SIM</w:t>
      </w:r>
      <w:r w:rsidR="003543F7">
        <w:t xml:space="preserve"> </w:t>
      </w:r>
      <w:r w:rsidR="00D77F0C">
        <w:t>m</w:t>
      </w:r>
      <w:r w:rsidR="003543F7">
        <w:t>icroscop</w:t>
      </w:r>
      <w:r>
        <w:t>y</w:t>
      </w:r>
      <w:r w:rsidR="007006CC">
        <w:t>.</w:t>
      </w:r>
      <w:bookmarkEnd w:id="390"/>
    </w:p>
    <w:p w14:paraId="4215254C" w14:textId="75366390" w:rsidR="00DB09BB" w:rsidRDefault="00F74ECC" w:rsidP="002F1276">
      <w:pPr>
        <w:rPr>
          <w:rFonts w:ascii="Calibri" w:hAnsi="Calibri" w:cs="Calibri"/>
        </w:rPr>
      </w:pPr>
      <w:r>
        <w:t>Structured illumination microscopy (SIM) was carried out using a GE Healthcare Life Sciences DeltaVision OMX Blaze microscope in the Wolfson Light Microscopy Facility at the University of Sheffield.</w:t>
      </w:r>
      <w:r w:rsidR="00DB09BB">
        <w:t xml:space="preserve"> </w:t>
      </w:r>
      <w:r w:rsidR="001E1DA7">
        <w:t xml:space="preserve">This microscope is fitted with </w:t>
      </w:r>
      <w:r w:rsidR="002047D6">
        <w:t>four</w:t>
      </w:r>
      <w:r w:rsidR="001E1DA7">
        <w:t xml:space="preserve"> laser lines </w:t>
      </w:r>
      <w:r w:rsidR="002047D6">
        <w:t>(</w:t>
      </w:r>
      <w:r w:rsidR="001E1DA7">
        <w:t>405 nm, 488 nm, 568 nm and 642 nm</w:t>
      </w:r>
      <w:r w:rsidR="002047D6">
        <w:t>) and four filter sets (</w:t>
      </w:r>
      <w:r w:rsidR="002047D6" w:rsidRPr="00E64915">
        <w:t>436/31, 528/48, 609/37, 683/40</w:t>
      </w:r>
      <w:r w:rsidR="002047D6">
        <w:t>) for SIM.</w:t>
      </w:r>
      <w:r w:rsidR="00F2444F">
        <w:t xml:space="preserve"> </w:t>
      </w:r>
      <w:r w:rsidR="00DB09BB">
        <w:t>Images were acquired using the 1.51</w:t>
      </w:r>
      <w:r w:rsidR="001E1DA7">
        <w:t>6</w:t>
      </w:r>
      <w:r w:rsidR="00DB09BB">
        <w:t xml:space="preserve"> RI oil and a 60x 1.42 oil plan</w:t>
      </w:r>
      <w:r w:rsidR="003B119B">
        <w:t xml:space="preserve"> </w:t>
      </w:r>
      <w:r w:rsidR="00DB09BB">
        <w:t xml:space="preserve">apochromat </w:t>
      </w:r>
      <w:r w:rsidR="00EA0F96">
        <w:t>lens</w:t>
      </w:r>
      <w:r w:rsidR="002047D6">
        <w:t>, using channel A568</w:t>
      </w:r>
      <w:r w:rsidR="00DB09BB">
        <w:t>.</w:t>
      </w:r>
      <w:r w:rsidR="001E1DA7">
        <w:t xml:space="preserve"> The Z steps between slices were 0.125 nm. Images were reconstructed using the SoftWorX (v6.1.3) software</w:t>
      </w:r>
      <w:r w:rsidR="000F56E6">
        <w:t xml:space="preserve"> </w:t>
      </w:r>
      <w:r w:rsidR="000F56E6">
        <w:rPr>
          <w:rFonts w:ascii="Calibri" w:hAnsi="Calibri" w:cs="Calibri"/>
        </w:rPr>
        <w:t>and OTFs made according to GE recommendations.</w:t>
      </w:r>
    </w:p>
    <w:p w14:paraId="234DE325" w14:textId="12F22063" w:rsidR="00190239" w:rsidRPr="00DB09BB" w:rsidRDefault="00190239" w:rsidP="008A2DB8">
      <w:pPr>
        <w:pStyle w:val="Heading3"/>
      </w:pPr>
      <w:bookmarkStart w:id="391" w:name="_Ref79675080"/>
      <w:bookmarkStart w:id="392" w:name="_Toc90216824"/>
      <w:r>
        <w:t>SIM image processing</w:t>
      </w:r>
      <w:bookmarkEnd w:id="391"/>
      <w:r w:rsidR="007006CC">
        <w:t>.</w:t>
      </w:r>
      <w:bookmarkEnd w:id="392"/>
    </w:p>
    <w:p w14:paraId="100366C0" w14:textId="64F8CD29" w:rsidR="00E64915" w:rsidRPr="009576D0" w:rsidRDefault="008A2DB8" w:rsidP="009576D0">
      <w:r>
        <w:t>SIM</w:t>
      </w:r>
      <w:r w:rsidR="00190239">
        <w:t xml:space="preserve"> images were processed using Fiji </w:t>
      </w:r>
      <w:r w:rsidR="00C861D2">
        <w:t>(</w:t>
      </w:r>
      <w:r w:rsidR="00190239">
        <w:t>v2.1.0</w:t>
      </w:r>
      <w:r w:rsidR="00C861D2">
        <w:t>)</w:t>
      </w:r>
      <w:r w:rsidR="00190239">
        <w:t xml:space="preserve"> </w:t>
      </w:r>
      <w:r w:rsidR="00190239">
        <w:fldChar w:fldCharType="begin" w:fldLock="1"/>
      </w:r>
      <w:r w:rsidR="0058736C">
        <w:instrText>ADDIN CSL_CITATION {"citationItems":[{"id":"ITEM-1","itemData":{"DOI":"10.1038/nmeth.2019","ISSN":"15487091","PMID":"22743772","abstract":"Fiji is a distribution of the popular open-source software ImageJ focused on biological-image analysis. Fiji uses modern software engineering practices to combine powerful software libraries with a broad range of scripting languages to enable rapid prototyping of image-processing algorithms. Fiji facilitates the transformation of new algorithms into ImageJ plugins that can be shared with end users through an integrated update system. We propose Fiji as a platform for productive collaboration between computer science and biology research communities. © 2012 Nature America, Inc. All rights reserved.","author":[{"dropping-particle":"","family":"Schindelin","given":"Johannes","non-dropping-particle":"","parse-names":false,"suffix":""},{"dropping-particle":"","family":"Arganda-Carreras","given":"Ignacio","non-dropping-particle":"","parse-names":false,"suffix":""},{"dropping-particle":"","family":"Frise","given":"Erwin","non-dropping-particle":"","parse-names":false,"suffix":""},{"dropping-particle":"","family":"Kaynig","given":"Verena","non-dropping-particle":"","parse-names":false,"suffix":""},{"dropping-particle":"","family":"Longair","given":"Mark","non-dropping-particle":"","parse-names":false,"suffix":""},{"dropping-particle":"","family":"Pietzsch","given":"Tobias","non-dropping-particle":"","parse-names":false,"suffix":""},{"dropping-particle":"","family":"Preibisch","given":"Stephan","non-dropping-particle":"","parse-names":false,"suffix":""},{"dropping-particle":"","family":"Rueden","given":"Curtis","non-dropping-particle":"","parse-names":false,"suffix":""},{"dropping-particle":"","family":"Saalfeld","given":"Stephan","non-dropping-particle":"","parse-names":false,"suffix":""},{"dropping-particle":"","family":"Schmid","given":"Benjamin","non-dropping-particle":"","parse-names":false,"suffix":""},{"dropping-particle":"","family":"Tinevez","given":"Jean Yves","non-dropping-particle":"","parse-names":false,"suffix":""},{"dropping-particle":"","family":"White","given":"Daniel James","non-dropping-particle":"","parse-names":false,"suffix":""},{"dropping-particle":"","family":"Hartenstein","given":"Volker","non-dropping-particle":"","parse-names":false,"suffix":""},{"dropping-particle":"","family":"Eliceiri","given":"Kevin","non-dropping-particle":"","parse-names":false,"suffix":""},{"dropping-particle":"","family":"Tomancak","given":"Pavel","non-dropping-particle":"","parse-names":false,"suffix":""},{"dropping-particle":"","family":"Cardona","given":"Albert","non-dropping-particle":"","parse-names":false,"suffix":""}],"container-title":"Nature Methods","id":"ITEM-1","issue":"7","issued":{"date-parts":[["2012","7","28"]]},"page":"676-682","publisher":"Nature Publishing Group","title":"Fiji: An open-source platform for biological-image analysis","type":"article","volume":"9"},"uris":["http://www.mendeley.com/documents/?uuid=59429b62-8bc2-379d-b929-9570760f73c6"]}],"mendeley":{"formattedCitation":"&lt;sup&gt;[238]&lt;/sup&gt;","plainTextFormattedCitation":"[238]","previouslyFormattedCitation":"&lt;sup&gt;[238]&lt;/sup&gt;"},"properties":{"noteIndex":0},"schema":"https://github.com/citation-style-language/schema/raw/master/csl-citation.json"}</w:instrText>
      </w:r>
      <w:r w:rsidR="00190239">
        <w:fldChar w:fldCharType="separate"/>
      </w:r>
      <w:r w:rsidR="002659E5" w:rsidRPr="002659E5">
        <w:rPr>
          <w:noProof/>
          <w:vertAlign w:val="superscript"/>
        </w:rPr>
        <w:t>[238]</w:t>
      </w:r>
      <w:r w:rsidR="00190239">
        <w:fldChar w:fldCharType="end"/>
      </w:r>
      <w:r w:rsidR="00190239">
        <w:t xml:space="preserve">. </w:t>
      </w:r>
      <w:r w:rsidR="00840883">
        <w:t xml:space="preserve">Average intensity </w:t>
      </w:r>
      <w:r w:rsidR="00162CD5">
        <w:t>z-projections were carried out, and a threshold and 16-bit conversion was performed with</w:t>
      </w:r>
      <w:r w:rsidR="00190239">
        <w:t xml:space="preserve"> SIMCheck plugin.</w:t>
      </w:r>
    </w:p>
    <w:p w14:paraId="5CD452CA" w14:textId="6DD139C6" w:rsidR="00D67FCF" w:rsidRDefault="00D67FCF" w:rsidP="00D67FCF">
      <w:pPr>
        <w:pStyle w:val="Heading3"/>
      </w:pPr>
      <w:bookmarkStart w:id="393" w:name="_Ref71568732"/>
      <w:bookmarkStart w:id="394" w:name="_Toc90216825"/>
      <w:r>
        <w:t>Cell volume estimation</w:t>
      </w:r>
      <w:bookmarkEnd w:id="393"/>
      <w:r w:rsidR="007006CC">
        <w:t>.</w:t>
      </w:r>
      <w:bookmarkEnd w:id="394"/>
    </w:p>
    <w:p w14:paraId="1021512C" w14:textId="05DC29FC" w:rsidR="0052722A" w:rsidRDefault="000D2B20" w:rsidP="00D67FCF">
      <w:r>
        <w:t xml:space="preserve">Cell volume was estimated from </w:t>
      </w:r>
      <w:r w:rsidR="002815D0">
        <w:t xml:space="preserve">SIM images of NHS-ester labelled cells processed as described in section </w:t>
      </w:r>
      <w:r w:rsidR="002815D0">
        <w:fldChar w:fldCharType="begin"/>
      </w:r>
      <w:r w:rsidR="002815D0">
        <w:instrText xml:space="preserve"> REF _Ref79675080 \r \h </w:instrText>
      </w:r>
      <w:r w:rsidR="002815D0">
        <w:fldChar w:fldCharType="separate"/>
      </w:r>
      <w:r w:rsidR="00183CC8">
        <w:t>2.18.4</w:t>
      </w:r>
      <w:r w:rsidR="002815D0">
        <w:fldChar w:fldCharType="end"/>
      </w:r>
      <w:r w:rsidR="008A2DB8">
        <w:t>.</w:t>
      </w:r>
      <w:r w:rsidR="00227D61">
        <w:t xml:space="preserve"> This methodology was adapted from Zhou </w:t>
      </w:r>
      <w:r w:rsidR="00227D61">
        <w:rPr>
          <w:i/>
          <w:iCs/>
        </w:rPr>
        <w:t xml:space="preserve">et </w:t>
      </w:r>
      <w:r w:rsidR="00227D61" w:rsidRPr="00227D61">
        <w:rPr>
          <w:i/>
          <w:iCs/>
        </w:rPr>
        <w:t>al</w:t>
      </w:r>
      <w:r w:rsidR="00227D61">
        <w:t>.</w:t>
      </w:r>
      <w:r w:rsidR="004A7BD7">
        <w:t>,</w:t>
      </w:r>
      <w:r w:rsidR="00227D61">
        <w:t xml:space="preserve"> </w:t>
      </w:r>
      <w:r w:rsidR="00B049EB">
        <w:t>(</w:t>
      </w:r>
      <w:r w:rsidR="00227D61">
        <w:t xml:space="preserve">2015) </w:t>
      </w:r>
      <w:r w:rsidR="00227D61">
        <w:fldChar w:fldCharType="begin" w:fldLock="1"/>
      </w:r>
      <w:r w:rsidR="0058736C">
        <w:instrText>ADDIN CSL_CITATION {"citationItems":[{"id":"ITEM-1","itemData":{"DOI":"10.1126/science.aaa1511.Mechanical","author":[{"dropping-particle":"","family":"Zhou","given":"Xiaoxue","non-dropping-particle":"","parse-names":false,"suffix":""},{"dropping-particle":"","family":"Halladin","given":"David K","non-dropping-particle":"","parse-names":false,"suffix":""},{"dropping-particle":"","family":"Rojas","given":"Enrique R","non-dropping-particle":"","parse-names":false,"suffix":""},{"dropping-particle":"","family":"Koslover","given":"Elena F","non-dropping-particle":"","parse-names":false,"suffix":""},{"dropping-particle":"","family":"Lee","given":"Timothy K","non-dropping-particle":"","parse-names":false,"suffix":""},{"dropping-particle":"","family":"Huang","given":"Kerwyn Casey","non-dropping-particle":"","parse-names":false,"suffix":""},{"dropping-particle":"","family":"Theriot","given":"Julie A","non-dropping-particle":"","parse-names":false,"suffix":""}],"container-title":"Science","id":"ITEM-1","issue":"6234","issued":{"date-parts":[["2015"]]},"page":"574-578","title":"Bacterial division. Mechanical crack propagation drives millisecond daughter cell separation in Staphylococcus aureus.","type":"article-journal","volume":"348"},"uris":["http://www.mendeley.com/documents/?uuid=542c69a5-f711-4720-992f-66ae5118eec1"]}],"mendeley":{"formattedCitation":"&lt;sup&gt;[239]&lt;/sup&gt;","plainTextFormattedCitation":"[239]","previouslyFormattedCitation":"&lt;sup&gt;[239]&lt;/sup&gt;"},"properties":{"noteIndex":0},"schema":"https://github.com/citation-style-language/schema/raw/master/csl-citation.json"}</w:instrText>
      </w:r>
      <w:r w:rsidR="00227D61">
        <w:fldChar w:fldCharType="separate"/>
      </w:r>
      <w:r w:rsidR="002659E5" w:rsidRPr="002659E5">
        <w:rPr>
          <w:noProof/>
          <w:vertAlign w:val="superscript"/>
        </w:rPr>
        <w:t>[239]</w:t>
      </w:r>
      <w:r w:rsidR="00227D61">
        <w:fldChar w:fldCharType="end"/>
      </w:r>
      <w:r w:rsidR="00227D61">
        <w:t>.</w:t>
      </w:r>
    </w:p>
    <w:p w14:paraId="769E8ABF" w14:textId="7F0FBC24" w:rsidR="00227D61" w:rsidRDefault="0058335A" w:rsidP="00D67FCF">
      <w:r>
        <w:t>Only</w:t>
      </w:r>
      <w:r w:rsidR="00227D61">
        <w:t xml:space="preserve"> cells in clusters of 4 or less</w:t>
      </w:r>
      <w:r>
        <w:t xml:space="preserve"> were selected</w:t>
      </w:r>
      <w:r w:rsidR="00A96DEB">
        <w:t xml:space="preserve">, and </w:t>
      </w:r>
      <w:r w:rsidR="00405F56">
        <w:t>bigger clusters were ignored</w:t>
      </w:r>
      <w:r w:rsidR="00A96DEB">
        <w:t xml:space="preserve">. </w:t>
      </w:r>
      <w:r w:rsidR="00B325E5">
        <w:t xml:space="preserve">Measurements were taken using the software Fiji (v2.1.0) </w:t>
      </w:r>
      <w:r w:rsidR="00B325E5">
        <w:fldChar w:fldCharType="begin" w:fldLock="1"/>
      </w:r>
      <w:r w:rsidR="0058736C">
        <w:instrText>ADDIN CSL_CITATION {"citationItems":[{"id":"ITEM-1","itemData":{"DOI":"10.1038/nmeth.2019","ISSN":"15487091","PMID":"22743772","abstract":"Fiji is a distribution of the popular open-source software ImageJ focused on biological-image analysis. Fiji uses modern software engineering practices to combine powerful software libraries with a broad range of scripting languages to enable rapid prototyping of image-processing algorithms. Fiji facilitates the transformation of new algorithms into ImageJ plugins that can be shared with end users through an integrated update system. We propose Fiji as a platform for productive collaboration between computer science and biology research communities. © 2012 Nature America, Inc. All rights reserved.","author":[{"dropping-particle":"","family":"Schindelin","given":"Johannes","non-dropping-particle":"","parse-names":false,"suffix":""},{"dropping-particle":"","family":"Arganda-Carreras","given":"Ignacio","non-dropping-particle":"","parse-names":false,"suffix":""},{"dropping-particle":"","family":"Frise","given":"Erwin","non-dropping-particle":"","parse-names":false,"suffix":""},{"dropping-particle":"","family":"Kaynig","given":"Verena","non-dropping-particle":"","parse-names":false,"suffix":""},{"dropping-particle":"","family":"Longair","given":"Mark","non-dropping-particle":"","parse-names":false,"suffix":""},{"dropping-particle":"","family":"Pietzsch","given":"Tobias","non-dropping-particle":"","parse-names":false,"suffix":""},{"dropping-particle":"","family":"Preibisch","given":"Stephan","non-dropping-particle":"","parse-names":false,"suffix":""},{"dropping-particle":"","family":"Rueden","given":"Curtis","non-dropping-particle":"","parse-names":false,"suffix":""},{"dropping-particle":"","family":"Saalfeld","given":"Stephan","non-dropping-particle":"","parse-names":false,"suffix":""},{"dropping-particle":"","family":"Schmid","given":"Benjamin","non-dropping-particle":"","parse-names":false,"suffix":""},{"dropping-particle":"","family":"Tinevez","given":"Jean Yves","non-dropping-particle":"","parse-names":false,"suffix":""},{"dropping-particle":"","family":"White","given":"Daniel James","non-dropping-particle":"","parse-names":false,"suffix":""},{"dropping-particle":"","family":"Hartenstein","given":"Volker","non-dropping-particle":"","parse-names":false,"suffix":""},{"dropping-particle":"","family":"Eliceiri","given":"Kevin","non-dropping-particle":"","parse-names":false,"suffix":""},{"dropping-particle":"","family":"Tomancak","given":"Pavel","non-dropping-particle":"","parse-names":false,"suffix":""},{"dropping-particle":"","family":"Cardona","given":"Albert","non-dropping-particle":"","parse-names":false,"suffix":""}],"container-title":"Nature Methods","id":"ITEM-1","issue":"7","issued":{"date-parts":[["2012","7","28"]]},"page":"676-682","publisher":"Nature Publishing Group","title":"Fiji: An open-source platform for biological-image analysis","type":"article","volume":"9"},"uris":["http://www.mendeley.com/documents/?uuid=59429b62-8bc2-379d-b929-9570760f73c6"]}],"mendeley":{"formattedCitation":"&lt;sup&gt;[238]&lt;/sup&gt;","plainTextFormattedCitation":"[238]","previouslyFormattedCitation":"&lt;sup&gt;[238]&lt;/sup&gt;"},"properties":{"noteIndex":0},"schema":"https://github.com/citation-style-language/schema/raw/master/csl-citation.json"}</w:instrText>
      </w:r>
      <w:r w:rsidR="00B325E5">
        <w:fldChar w:fldCharType="separate"/>
      </w:r>
      <w:r w:rsidR="002659E5" w:rsidRPr="002659E5">
        <w:rPr>
          <w:noProof/>
          <w:vertAlign w:val="superscript"/>
        </w:rPr>
        <w:t>[238]</w:t>
      </w:r>
      <w:r w:rsidR="00B325E5">
        <w:fldChar w:fldCharType="end"/>
      </w:r>
      <w:r w:rsidR="00B325E5">
        <w:t xml:space="preserve">. </w:t>
      </w:r>
      <w:r w:rsidR="0018287E">
        <w:t>For each cell,</w:t>
      </w:r>
      <w:r w:rsidR="00A96DEB">
        <w:t xml:space="preserve"> measurements were taken by drawing a line across the </w:t>
      </w:r>
      <w:r w:rsidR="0018287E">
        <w:t xml:space="preserve">long axis of the </w:t>
      </w:r>
      <w:r w:rsidR="00A96DEB">
        <w:t>cell, generating a fluorescence plot profile, and calculating the distance between the fluorescent peaks</w:t>
      </w:r>
      <w:r w:rsidR="0018287E">
        <w:t xml:space="preserve">. This measurement corresponds to the polar diameter of </w:t>
      </w:r>
      <w:r w:rsidR="0018287E">
        <w:rPr>
          <w:i/>
          <w:iCs/>
        </w:rPr>
        <w:t>S. aureus</w:t>
      </w:r>
      <w:r w:rsidR="0018287E">
        <w:t xml:space="preserve"> prolate spheroid</w:t>
      </w:r>
      <w:r w:rsidR="00E57A43">
        <w:t xml:space="preserve">. The same method was repeated </w:t>
      </w:r>
      <w:r w:rsidR="00023F8B">
        <w:t>for</w:t>
      </w:r>
      <w:r w:rsidR="00E57A43">
        <w:t xml:space="preserve"> the </w:t>
      </w:r>
      <w:r w:rsidR="0018287E">
        <w:t>short axis</w:t>
      </w:r>
      <w:r w:rsidR="00023F8B">
        <w:t xml:space="preserve"> (equatorial diameter)</w:t>
      </w:r>
      <w:r w:rsidR="00E57A43">
        <w:t>, situated</w:t>
      </w:r>
      <w:r w:rsidR="0018287E">
        <w:t xml:space="preserve"> at a 90 </w:t>
      </w:r>
      <w:r w:rsidR="0018287E">
        <w:rPr>
          <w:rFonts w:ascii="Calibri" w:hAnsi="Calibri" w:cs="Calibri"/>
        </w:rPr>
        <w:t>° angle from the polar diameter</w:t>
      </w:r>
      <w:r w:rsidR="00023F8B">
        <w:rPr>
          <w:rFonts w:ascii="Calibri" w:hAnsi="Calibri" w:cs="Calibri"/>
        </w:rPr>
        <w:t>.</w:t>
      </w:r>
      <w:r w:rsidR="00D1410D">
        <w:t xml:space="preserve"> T</w:t>
      </w:r>
      <w:r w:rsidR="002815D0">
        <w:t xml:space="preserve">hese measurements were </w:t>
      </w:r>
      <w:r w:rsidR="00B83E17">
        <w:t xml:space="preserve">divided by two in order </w:t>
      </w:r>
      <w:r w:rsidR="00D1410D">
        <w:t xml:space="preserve">to </w:t>
      </w:r>
      <w:r w:rsidR="00B83E17">
        <w:t>calculate the radi</w:t>
      </w:r>
      <w:r w:rsidR="00151058">
        <w:t>i</w:t>
      </w:r>
      <w:r w:rsidR="00B83E17">
        <w:t>, and finally the cell volume was estimated as follows:</w:t>
      </w:r>
    </w:p>
    <w:p w14:paraId="09F639DF" w14:textId="62B3BB1E" w:rsidR="003250EB" w:rsidRDefault="007C50E2" w:rsidP="00D67FCF">
      <m:oMathPara>
        <m:oMath>
          <m:r>
            <m:rPr>
              <m:sty m:val="p"/>
            </m:rPr>
            <w:rPr>
              <w:rFonts w:ascii="Cambria Math" w:hAnsi="Cambria Math" w:cs="Calibri"/>
            </w:rPr>
            <m:t>cell volume</m:t>
          </m:r>
          <m:r>
            <w:rPr>
              <w:rFonts w:ascii="Cambria Math" w:hAnsi="Cambria Math" w:cs="Calibri"/>
            </w:rPr>
            <m:t xml:space="preserve">= </m:t>
          </m:r>
          <m:f>
            <m:fPr>
              <m:ctrlPr>
                <w:rPr>
                  <w:rFonts w:ascii="Cambria Math" w:hAnsi="Cambria Math" w:cs="Calibri"/>
                  <w:i/>
                </w:rPr>
              </m:ctrlPr>
            </m:fPr>
            <m:num>
              <m:r>
                <w:rPr>
                  <w:rFonts w:ascii="Cambria Math" w:hAnsi="Cambria Math" w:cs="Calibri"/>
                </w:rPr>
                <m:t>3</m:t>
              </m:r>
            </m:num>
            <m:den>
              <m:r>
                <w:rPr>
                  <w:rFonts w:ascii="Cambria Math" w:hAnsi="Cambria Math" w:cs="Calibri"/>
                </w:rPr>
                <m:t>4</m:t>
              </m:r>
            </m:den>
          </m:f>
          <m:r>
            <w:rPr>
              <w:rFonts w:ascii="Cambria Math" w:hAnsi="Cambria Math" w:cs="Calibri"/>
            </w:rPr>
            <m:t xml:space="preserve"> x  π x </m:t>
          </m:r>
          <m:sSub>
            <m:sSubPr>
              <m:ctrlPr>
                <w:rPr>
                  <w:rFonts w:ascii="Cambria Math" w:hAnsi="Cambria Math" w:cs="Calibri"/>
                  <w:b/>
                  <w:bCs/>
                  <w:i/>
                </w:rPr>
              </m:ctrlPr>
            </m:sSubPr>
            <m:e>
              <m:r>
                <m:rPr>
                  <m:sty m:val="bi"/>
                </m:rPr>
                <w:rPr>
                  <w:rFonts w:ascii="Cambria Math" w:hAnsi="Cambria Math" w:cs="Calibri"/>
                </w:rPr>
                <m:t>R</m:t>
              </m:r>
            </m:e>
            <m:sub>
              <m:r>
                <m:rPr>
                  <m:sty m:val="bi"/>
                </m:rPr>
                <w:rPr>
                  <w:rFonts w:ascii="Cambria Math" w:hAnsi="Cambria Math" w:cs="Calibri"/>
                </w:rPr>
                <m:t>1</m:t>
              </m:r>
            </m:sub>
          </m:sSub>
          <m:r>
            <w:rPr>
              <w:rFonts w:ascii="Cambria Math" w:hAnsi="Cambria Math" w:cs="Calibri"/>
            </w:rPr>
            <m:t xml:space="preserve"> x </m:t>
          </m:r>
          <m:sSup>
            <m:sSupPr>
              <m:ctrlPr>
                <w:rPr>
                  <w:rFonts w:ascii="Cambria Math" w:hAnsi="Cambria Math" w:cs="Calibri"/>
                  <w:i/>
                </w:rPr>
              </m:ctrlPr>
            </m:sSupPr>
            <m:e>
              <m:sSub>
                <m:sSubPr>
                  <m:ctrlPr>
                    <w:rPr>
                      <w:rFonts w:ascii="Cambria Math" w:hAnsi="Cambria Math" w:cs="Calibri"/>
                      <w:b/>
                      <w:bCs/>
                      <w:i/>
                    </w:rPr>
                  </m:ctrlPr>
                </m:sSubPr>
                <m:e>
                  <m:r>
                    <m:rPr>
                      <m:sty m:val="bi"/>
                    </m:rPr>
                    <w:rPr>
                      <w:rFonts w:ascii="Cambria Math" w:hAnsi="Cambria Math" w:cs="Calibri"/>
                    </w:rPr>
                    <m:t>(R</m:t>
                  </m:r>
                </m:e>
                <m:sub>
                  <m:r>
                    <m:rPr>
                      <m:sty m:val="bi"/>
                    </m:rPr>
                    <w:rPr>
                      <w:rFonts w:ascii="Cambria Math" w:hAnsi="Cambria Math" w:cs="Calibri"/>
                    </w:rPr>
                    <m:t>2</m:t>
                  </m:r>
                </m:sub>
              </m:sSub>
              <m:r>
                <w:rPr>
                  <w:rFonts w:ascii="Cambria Math" w:hAnsi="Cambria Math" w:cs="Calibri"/>
                </w:rPr>
                <m:t>)</m:t>
              </m:r>
            </m:e>
            <m:sup>
              <m:r>
                <w:rPr>
                  <w:rFonts w:ascii="Cambria Math" w:hAnsi="Cambria Math" w:cs="Calibri"/>
                </w:rPr>
                <m:t>2</m:t>
              </m:r>
            </m:sup>
          </m:sSup>
        </m:oMath>
      </m:oMathPara>
    </w:p>
    <w:p w14:paraId="60ABAE05" w14:textId="34B7A095" w:rsidR="00405F56" w:rsidRDefault="003250EB" w:rsidP="003D7C31">
      <w:pPr>
        <w:pStyle w:val="BodyThesis"/>
      </w:pPr>
      <w:r w:rsidRPr="0008402F">
        <w:lastRenderedPageBreak/>
        <w:t xml:space="preserve">…where </w:t>
      </w:r>
      <w:r w:rsidR="00782E32">
        <w:rPr>
          <w:b/>
        </w:rPr>
        <w:t>R</w:t>
      </w:r>
      <w:r w:rsidR="00782E32">
        <w:rPr>
          <w:b/>
          <w:vertAlign w:val="subscript"/>
        </w:rPr>
        <w:t>1</w:t>
      </w:r>
      <w:r w:rsidRPr="0008402F">
        <w:t xml:space="preserve"> </w:t>
      </w:r>
      <w:r w:rsidR="00782E32">
        <w:t xml:space="preserve">and </w:t>
      </w:r>
      <w:r w:rsidR="00782E32">
        <w:rPr>
          <w:b/>
        </w:rPr>
        <w:t>R</w:t>
      </w:r>
      <w:r w:rsidR="00782E32">
        <w:rPr>
          <w:b/>
          <w:vertAlign w:val="subscript"/>
        </w:rPr>
        <w:t xml:space="preserve">2 </w:t>
      </w:r>
      <w:r w:rsidRPr="0008402F">
        <w:t xml:space="preserve">corresponds to the </w:t>
      </w:r>
      <w:r w:rsidR="00782E32">
        <w:t>polar and equatorial radius, respectively.</w:t>
      </w:r>
      <w:r w:rsidR="00313D36">
        <w:t xml:space="preserve"> </w:t>
      </w:r>
      <w:r w:rsidR="00F32A70">
        <w:t>A</w:t>
      </w:r>
      <w:r w:rsidR="00405F56">
        <w:t xml:space="preserve"> total of &gt; 100 cells were measured</w:t>
      </w:r>
      <w:r w:rsidR="00F32A70">
        <w:t xml:space="preserve"> to obtain a mean value for cell volume.</w:t>
      </w:r>
    </w:p>
    <w:p w14:paraId="04CCEA7A" w14:textId="0EA24988" w:rsidR="00416DD1" w:rsidRDefault="00C56FC8" w:rsidP="00416DD1">
      <w:pPr>
        <w:pStyle w:val="Heading2"/>
      </w:pPr>
      <w:bookmarkStart w:id="395" w:name="_Toc90216826"/>
      <w:r>
        <w:t>Scanning e</w:t>
      </w:r>
      <w:r w:rsidR="00416DD1">
        <w:t xml:space="preserve">lectron </w:t>
      </w:r>
      <w:r w:rsidR="005A1A33">
        <w:t>m</w:t>
      </w:r>
      <w:r w:rsidR="00416DD1">
        <w:t>icroscopy</w:t>
      </w:r>
      <w:bookmarkEnd w:id="367"/>
      <w:bookmarkEnd w:id="368"/>
      <w:bookmarkEnd w:id="369"/>
      <w:r>
        <w:t xml:space="preserve"> (SEM)</w:t>
      </w:r>
      <w:r w:rsidR="007006CC">
        <w:t>.</w:t>
      </w:r>
      <w:bookmarkEnd w:id="395"/>
    </w:p>
    <w:p w14:paraId="643B77E0" w14:textId="02EBAFC4" w:rsidR="00AC7468" w:rsidRPr="00AC7468" w:rsidRDefault="00AC7468" w:rsidP="00AC7468">
      <w:pPr>
        <w:pStyle w:val="Heading3"/>
      </w:pPr>
      <w:bookmarkStart w:id="396" w:name="_Toc90216827"/>
      <w:r>
        <w:t>Sample preparation for SEM</w:t>
      </w:r>
      <w:r w:rsidR="007006CC">
        <w:t>.</w:t>
      </w:r>
      <w:bookmarkEnd w:id="396"/>
    </w:p>
    <w:p w14:paraId="0590861D" w14:textId="7B43A4E8" w:rsidR="00EA51A4" w:rsidRDefault="00EA51A4" w:rsidP="00EA51A4">
      <w:r>
        <w:t xml:space="preserve">Bacterial cultures were grown as previously described (section </w:t>
      </w:r>
      <w:r>
        <w:fldChar w:fldCharType="begin"/>
      </w:r>
      <w:r>
        <w:instrText xml:space="preserve"> REF _Ref64391429 \r \h </w:instrText>
      </w:r>
      <w:r>
        <w:fldChar w:fldCharType="separate"/>
      </w:r>
      <w:r w:rsidR="00183CC8">
        <w:t>2.11.1</w:t>
      </w:r>
      <w:r>
        <w:fldChar w:fldCharType="end"/>
      </w:r>
      <w:r>
        <w:t>) and harvested by centrifugation.</w:t>
      </w:r>
      <w:r w:rsidR="00184D76">
        <w:t xml:space="preserve"> Pellets were fixed in 2.5 % (v/v) glutaraldehyde (section </w:t>
      </w:r>
      <w:r w:rsidR="00184D76">
        <w:fldChar w:fldCharType="begin"/>
      </w:r>
      <w:r w:rsidR="00184D76">
        <w:instrText xml:space="preserve"> REF _Ref79680723 \r \h </w:instrText>
      </w:r>
      <w:r w:rsidR="00184D76">
        <w:fldChar w:fldCharType="separate"/>
      </w:r>
      <w:r w:rsidR="00183CC8">
        <w:t>2.4.2</w:t>
      </w:r>
      <w:r w:rsidR="00184D76">
        <w:fldChar w:fldCharType="end"/>
      </w:r>
      <w:r w:rsidR="00184D76">
        <w:t>)</w:t>
      </w:r>
      <w:r w:rsidR="004D44E6">
        <w:t xml:space="preserve"> and left overnight at 4 </w:t>
      </w:r>
      <w:r w:rsidR="004D44E6">
        <w:rPr>
          <w:rFonts w:ascii="Calibri" w:hAnsi="Calibri" w:cs="Calibri"/>
        </w:rPr>
        <w:t>°</w:t>
      </w:r>
      <w:r w:rsidR="004D44E6">
        <w:t>C.</w:t>
      </w:r>
      <w:r w:rsidR="001D5C90">
        <w:t xml:space="preserve"> The fixative was washed out twice with PBS buffer, and left for 30 min at 4 </w:t>
      </w:r>
      <w:r w:rsidR="001D5C90">
        <w:rPr>
          <w:rFonts w:ascii="Calibri" w:hAnsi="Calibri" w:cs="Calibri"/>
        </w:rPr>
        <w:t>°</w:t>
      </w:r>
      <w:r w:rsidR="001D5C90">
        <w:t>C each time.</w:t>
      </w:r>
      <w:r w:rsidR="00AC7468">
        <w:t xml:space="preserve"> S</w:t>
      </w:r>
      <w:r w:rsidR="0017468E">
        <w:t xml:space="preserve">econdary fixation was carried out by incubation with 2 % </w:t>
      </w:r>
      <w:r w:rsidR="00322D69">
        <w:t xml:space="preserve">(w/v) </w:t>
      </w:r>
      <w:r w:rsidR="003306FC">
        <w:t>aqueous</w:t>
      </w:r>
      <w:r w:rsidR="0017468E">
        <w:t xml:space="preserve"> OsO</w:t>
      </w:r>
      <w:r w:rsidR="0017468E">
        <w:rPr>
          <w:vertAlign w:val="subscript"/>
        </w:rPr>
        <w:t>4</w:t>
      </w:r>
      <w:r w:rsidR="0017468E">
        <w:t xml:space="preserve"> (section </w:t>
      </w:r>
      <w:r w:rsidR="0017468E">
        <w:fldChar w:fldCharType="begin"/>
      </w:r>
      <w:r w:rsidR="0017468E">
        <w:instrText xml:space="preserve"> REF _Ref79681068 \r \h </w:instrText>
      </w:r>
      <w:r w:rsidR="0017468E">
        <w:fldChar w:fldCharType="separate"/>
      </w:r>
      <w:r w:rsidR="00183CC8">
        <w:t>2.4.3</w:t>
      </w:r>
      <w:r w:rsidR="0017468E">
        <w:fldChar w:fldCharType="end"/>
      </w:r>
      <w:r w:rsidR="0017468E">
        <w:t>)</w:t>
      </w:r>
      <w:r w:rsidR="00694894">
        <w:t xml:space="preserve"> for 2 hours at room temperature. </w:t>
      </w:r>
      <w:r w:rsidR="00032CAF">
        <w:t>The fixative was washed twice for 30 min at 4 </w:t>
      </w:r>
      <w:r w:rsidR="00032CAF">
        <w:rPr>
          <w:rFonts w:ascii="Calibri" w:hAnsi="Calibri" w:cs="Calibri"/>
        </w:rPr>
        <w:t>°</w:t>
      </w:r>
      <w:r w:rsidR="00032CAF">
        <w:t>C with PBS buffer.</w:t>
      </w:r>
      <w:r w:rsidR="00E45A78">
        <w:t xml:space="preserve"> Dehydration was carried out </w:t>
      </w:r>
      <w:r w:rsidR="00450692">
        <w:t>at room temperature through</w:t>
      </w:r>
      <w:r w:rsidR="00E45A78">
        <w:t xml:space="preserve"> 15 min incubation</w:t>
      </w:r>
      <w:r w:rsidR="00450692">
        <w:t>s</w:t>
      </w:r>
      <w:r w:rsidR="00E45A78">
        <w:t xml:space="preserve"> with a graded series of ethanol </w:t>
      </w:r>
      <w:r w:rsidR="00450692">
        <w:t>solutions</w:t>
      </w:r>
      <w:r w:rsidR="00E45A78">
        <w:t>:</w:t>
      </w:r>
      <w:r w:rsidR="00686BB3">
        <w:t xml:space="preserve"> 75, 95, 100 and 100 % </w:t>
      </w:r>
      <w:r w:rsidR="00322D69">
        <w:t xml:space="preserve">(v/v) </w:t>
      </w:r>
      <w:r w:rsidR="00686BB3">
        <w:t>ethanol, and twice in 100 %</w:t>
      </w:r>
      <w:r w:rsidR="00655662">
        <w:t xml:space="preserve"> </w:t>
      </w:r>
      <w:r w:rsidR="00686BB3">
        <w:t xml:space="preserve">ethanol dried </w:t>
      </w:r>
      <w:r w:rsidR="00686BB3" w:rsidRPr="00686BB3">
        <w:t>over anhydrous Copper sulphate</w:t>
      </w:r>
      <w:r w:rsidR="00686BB3">
        <w:t>.</w:t>
      </w:r>
    </w:p>
    <w:p w14:paraId="7F5A9B4E" w14:textId="773ECD5F" w:rsidR="00083838" w:rsidRDefault="00FA1479" w:rsidP="00EA51A4">
      <w:r>
        <w:t>S</w:t>
      </w:r>
      <w:r w:rsidR="00CB4089">
        <w:t xml:space="preserve">pecimens were placed in </w:t>
      </w:r>
      <w:r w:rsidR="0017479E">
        <w:t xml:space="preserve">an </w:t>
      </w:r>
      <w:r w:rsidR="00CB4089">
        <w:t>intermediate solvent, Hexamethyldisilazane (HEX, Merck)</w:t>
      </w:r>
      <w:r w:rsidR="0017479E">
        <w:t xml:space="preserve">, diluted 1:1 in absolute ethanol for </w:t>
      </w:r>
      <w:r w:rsidR="00AB12BF">
        <w:t>3</w:t>
      </w:r>
      <w:r w:rsidR="0017479E">
        <w:t>0 min</w:t>
      </w:r>
      <w:r w:rsidR="0017479E" w:rsidRPr="0017479E">
        <w:t xml:space="preserve"> </w:t>
      </w:r>
      <w:r w:rsidR="0017479E">
        <w:t xml:space="preserve">at room temperature. An incubation in 100 % full HEX followed for another </w:t>
      </w:r>
      <w:r w:rsidR="00AB12BF">
        <w:t>3</w:t>
      </w:r>
      <w:r w:rsidR="0017479E">
        <w:t>0 min.</w:t>
      </w:r>
      <w:r w:rsidR="00991413">
        <w:t xml:space="preserve"> </w:t>
      </w:r>
      <w:r w:rsidR="00AD3E3C">
        <w:t>Most of</w:t>
      </w:r>
      <w:r w:rsidR="00991413">
        <w:t xml:space="preserve"> the solvent was removed, the pellet was </w:t>
      </w:r>
      <w:r w:rsidR="00620DC8">
        <w:t>loosened</w:t>
      </w:r>
      <w:r w:rsidR="00991413">
        <w:t xml:space="preserve"> with a toothpick and it was decanted into glass </w:t>
      </w:r>
      <w:r w:rsidR="00521D2D">
        <w:t>vials</w:t>
      </w:r>
      <w:r w:rsidR="00991413">
        <w:t xml:space="preserve"> </w:t>
      </w:r>
      <w:r w:rsidR="00521D2D">
        <w:t xml:space="preserve">(AGG284 or AGB793, Agar Scientific) </w:t>
      </w:r>
      <w:r w:rsidR="00991413">
        <w:t>and left uncovered overnight in the fume hood to dry-out.</w:t>
      </w:r>
      <w:r w:rsidR="00083838">
        <w:t xml:space="preserve"> </w:t>
      </w:r>
      <w:r w:rsidR="00717367">
        <w:t>F</w:t>
      </w:r>
      <w:r>
        <w:t xml:space="preserve">ully dried specimens were </w:t>
      </w:r>
      <w:r w:rsidR="00F6237B">
        <w:t xml:space="preserve">spread over </w:t>
      </w:r>
      <w:r w:rsidR="003C1997">
        <w:t xml:space="preserve">a </w:t>
      </w:r>
      <w:r w:rsidR="00F6237B">
        <w:t>filter paper</w:t>
      </w:r>
      <w:r w:rsidR="003C1997">
        <w:t xml:space="preserve"> </w:t>
      </w:r>
      <w:r w:rsidR="00F6237B">
        <w:t>and ground into</w:t>
      </w:r>
      <w:r w:rsidR="003C1997">
        <w:t xml:space="preserve"> a</w:t>
      </w:r>
      <w:r w:rsidR="00F6237B">
        <w:t xml:space="preserve"> fine power.</w:t>
      </w:r>
      <w:r w:rsidR="003C1997">
        <w:t xml:space="preserve"> </w:t>
      </w:r>
      <w:r w:rsidR="00F6237B">
        <w:t xml:space="preserve">A fine layer was </w:t>
      </w:r>
      <w:r>
        <w:t>mounted on</w:t>
      </w:r>
      <w:r w:rsidR="003C1997">
        <w:t>to</w:t>
      </w:r>
      <w:r>
        <w:t xml:space="preserve"> </w:t>
      </w:r>
      <w:r w:rsidR="003C1997">
        <w:t xml:space="preserve">Leit Adhesive Carbon Tabs (AGG3347N, Agar Scientific) attached </w:t>
      </w:r>
      <w:r w:rsidR="00CE1698">
        <w:t>to</w:t>
      </w:r>
      <w:r w:rsidR="003C1997">
        <w:t xml:space="preserve"> </w:t>
      </w:r>
      <w:r>
        <w:t>0.5 inch aluminium pin stubs (G301P, Agar Scientific)</w:t>
      </w:r>
      <w:r w:rsidR="003C1997">
        <w:t>.</w:t>
      </w:r>
    </w:p>
    <w:p w14:paraId="272EE1B4" w14:textId="26C29F03" w:rsidR="00CB4089" w:rsidRDefault="00694E0D" w:rsidP="00860C28">
      <w:pPr>
        <w:pStyle w:val="Heading3"/>
      </w:pPr>
      <w:bookmarkStart w:id="397" w:name="_Toc90216828"/>
      <w:r>
        <w:t xml:space="preserve">Au </w:t>
      </w:r>
      <w:r w:rsidR="00D77F0C">
        <w:t>s</w:t>
      </w:r>
      <w:r w:rsidR="00860C28">
        <w:t>putter coating</w:t>
      </w:r>
      <w:r w:rsidR="007006CC">
        <w:t>.</w:t>
      </w:r>
      <w:bookmarkEnd w:id="397"/>
    </w:p>
    <w:p w14:paraId="1D49B463" w14:textId="564107A5" w:rsidR="00991413" w:rsidRPr="0017468E" w:rsidRDefault="00E32633" w:rsidP="00EA51A4">
      <w:r>
        <w:t>Edwards S150B Sputter Coater was used to coat the specimen with approximately 25 nm of gold</w:t>
      </w:r>
      <w:r w:rsidR="00694E0D">
        <w:t xml:space="preserve"> (Au)</w:t>
      </w:r>
      <w:r>
        <w:t>.</w:t>
      </w:r>
    </w:p>
    <w:p w14:paraId="211BC4E1" w14:textId="135B0166" w:rsidR="0017468E" w:rsidRDefault="0017468E" w:rsidP="0017468E">
      <w:pPr>
        <w:pStyle w:val="Heading3"/>
      </w:pPr>
      <w:bookmarkStart w:id="398" w:name="_Toc90216829"/>
      <w:r>
        <w:t>SEM microscop</w:t>
      </w:r>
      <w:r w:rsidR="00A276BE">
        <w:t>y</w:t>
      </w:r>
      <w:r w:rsidR="007006CC">
        <w:t>.</w:t>
      </w:r>
      <w:bookmarkEnd w:id="398"/>
    </w:p>
    <w:p w14:paraId="5EFF039C" w14:textId="2FFE195C" w:rsidR="00E32633" w:rsidRPr="00E32633" w:rsidRDefault="00E41859" w:rsidP="00E32633">
      <w:r>
        <w:t xml:space="preserve">Specimens were examined with the </w:t>
      </w:r>
      <w:r w:rsidRPr="00E41859">
        <w:t xml:space="preserve">Tescan Vega3 LMU </w:t>
      </w:r>
      <w:r w:rsidR="006A38DA">
        <w:t>scanning electron microscope</w:t>
      </w:r>
      <w:r w:rsidR="002763F8">
        <w:t xml:space="preserve"> (EM Facility – The University of Sheffield)</w:t>
      </w:r>
      <w:r w:rsidRPr="00E41859">
        <w:t xml:space="preserve"> at </w:t>
      </w:r>
      <w:r>
        <w:t xml:space="preserve">a </w:t>
      </w:r>
      <w:r w:rsidRPr="00E41859">
        <w:t>30</w:t>
      </w:r>
      <w:r>
        <w:t> </w:t>
      </w:r>
      <w:r w:rsidR="003110B4">
        <w:t>kV</w:t>
      </w:r>
      <w:r w:rsidRPr="00E41859">
        <w:t xml:space="preserve"> operating voltage</w:t>
      </w:r>
      <w:r w:rsidR="0012614F">
        <w:t xml:space="preserve"> and micrographs were captured with the SE (Secondary Electron) detector.</w:t>
      </w:r>
    </w:p>
    <w:p w14:paraId="2EC20214" w14:textId="25515F3A" w:rsidR="00C56FC8" w:rsidRDefault="00C56FC8" w:rsidP="00C56FC8">
      <w:pPr>
        <w:pStyle w:val="Heading2"/>
      </w:pPr>
      <w:bookmarkStart w:id="399" w:name="_Toc90216830"/>
      <w:bookmarkStart w:id="400" w:name="_Toc64276341"/>
      <w:bookmarkStart w:id="401" w:name="_Toc64276645"/>
      <w:bookmarkStart w:id="402" w:name="_Toc64276857"/>
      <w:r>
        <w:lastRenderedPageBreak/>
        <w:t>Transmission-electron microscopy (TEM)</w:t>
      </w:r>
      <w:r w:rsidR="007006CC">
        <w:t>.</w:t>
      </w:r>
      <w:bookmarkEnd w:id="399"/>
    </w:p>
    <w:p w14:paraId="6B01BCA0" w14:textId="3DBEFE40" w:rsidR="004B0C7E" w:rsidRDefault="004B0C7E" w:rsidP="00C56FC8">
      <w:pPr>
        <w:pStyle w:val="Heading3"/>
      </w:pPr>
      <w:bookmarkStart w:id="403" w:name="_Ref68879315"/>
      <w:bookmarkStart w:id="404" w:name="_Ref79690659"/>
      <w:bookmarkStart w:id="405" w:name="_Toc90216831"/>
      <w:r w:rsidRPr="005B0F81">
        <w:t>Chemical fixation</w:t>
      </w:r>
      <w:bookmarkEnd w:id="400"/>
      <w:bookmarkEnd w:id="401"/>
      <w:bookmarkEnd w:id="402"/>
      <w:bookmarkEnd w:id="403"/>
      <w:r w:rsidR="00C56FC8">
        <w:t xml:space="preserve"> TEM</w:t>
      </w:r>
      <w:bookmarkEnd w:id="404"/>
      <w:r w:rsidR="007006CC">
        <w:t>.</w:t>
      </w:r>
      <w:bookmarkEnd w:id="405"/>
    </w:p>
    <w:p w14:paraId="4C8B4460" w14:textId="083794CE" w:rsidR="00C2117D" w:rsidRDefault="00C2117D" w:rsidP="00C2117D">
      <w:pPr>
        <w:pStyle w:val="Heading4"/>
      </w:pPr>
      <w:bookmarkStart w:id="406" w:name="_Toc90216832"/>
      <w:r w:rsidRPr="005B0F81">
        <w:t>Chemical fixation</w:t>
      </w:r>
      <w:r w:rsidR="007006CC">
        <w:t>.</w:t>
      </w:r>
      <w:bookmarkEnd w:id="406"/>
    </w:p>
    <w:p w14:paraId="76C46C45" w14:textId="2F658F5B" w:rsidR="00EA51A4" w:rsidRDefault="00EA51A4" w:rsidP="00D063D1">
      <w:r>
        <w:t xml:space="preserve">Bacterial cultures were grown as previously described (section </w:t>
      </w:r>
      <w:r>
        <w:fldChar w:fldCharType="begin"/>
      </w:r>
      <w:r>
        <w:instrText xml:space="preserve"> REF _Ref64391429 \r \h </w:instrText>
      </w:r>
      <w:r>
        <w:fldChar w:fldCharType="separate"/>
      </w:r>
      <w:r w:rsidR="00183CC8">
        <w:t>2.11.1</w:t>
      </w:r>
      <w:r>
        <w:fldChar w:fldCharType="end"/>
      </w:r>
      <w:r>
        <w:t>), and cells were harvested by centrifugation at the desired time point.</w:t>
      </w:r>
      <w:r w:rsidR="000D3671">
        <w:t xml:space="preserve"> The obtained pellet</w:t>
      </w:r>
      <w:r w:rsidR="00C02F25">
        <w:t>s</w:t>
      </w:r>
      <w:r w:rsidR="000D3671">
        <w:t xml:space="preserve"> w</w:t>
      </w:r>
      <w:r w:rsidR="00C02F25">
        <w:t xml:space="preserve">ere </w:t>
      </w:r>
      <w:r w:rsidR="000D3671">
        <w:t xml:space="preserve">fixed </w:t>
      </w:r>
      <w:r w:rsidR="00C02F25">
        <w:t>overnight at 4 </w:t>
      </w:r>
      <w:r w:rsidR="00C02F25">
        <w:rPr>
          <w:rFonts w:ascii="Calibri" w:hAnsi="Calibri" w:cs="Calibri"/>
        </w:rPr>
        <w:t>°</w:t>
      </w:r>
      <w:r w:rsidR="00C02F25">
        <w:t xml:space="preserve">C </w:t>
      </w:r>
      <w:r w:rsidR="000D3671">
        <w:t xml:space="preserve">with 2.5 % (v/v) glutaraldehyde (section </w:t>
      </w:r>
      <w:r w:rsidR="000D3671">
        <w:fldChar w:fldCharType="begin"/>
      </w:r>
      <w:r w:rsidR="000D3671">
        <w:instrText xml:space="preserve"> REF _Ref79685666 \r \h </w:instrText>
      </w:r>
      <w:r w:rsidR="000D3671">
        <w:fldChar w:fldCharType="separate"/>
      </w:r>
      <w:r w:rsidR="00183CC8">
        <w:t>2.4.2</w:t>
      </w:r>
      <w:r w:rsidR="000D3671">
        <w:fldChar w:fldCharType="end"/>
      </w:r>
      <w:r w:rsidR="000D3671">
        <w:t>)</w:t>
      </w:r>
      <w:r w:rsidR="00C02F25">
        <w:t>.</w:t>
      </w:r>
      <w:r w:rsidR="006B62AF">
        <w:t xml:space="preserve"> After a wash with PBS, </w:t>
      </w:r>
      <w:r w:rsidR="009C431B">
        <w:t xml:space="preserve">two additional </w:t>
      </w:r>
      <w:r w:rsidR="00B614BF">
        <w:t>incubations</w:t>
      </w:r>
      <w:r w:rsidR="009C431B">
        <w:t xml:space="preserve"> with this buffer for 20 min each at 4 </w:t>
      </w:r>
      <w:r w:rsidR="009C431B">
        <w:rPr>
          <w:rFonts w:ascii="Calibri" w:hAnsi="Calibri" w:cs="Calibri"/>
        </w:rPr>
        <w:t>°</w:t>
      </w:r>
      <w:r w:rsidR="009C431B">
        <w:t>C were carried out.</w:t>
      </w:r>
      <w:r w:rsidR="0010406D">
        <w:t xml:space="preserve"> A secondary fixation was executed with 2 % </w:t>
      </w:r>
      <w:r w:rsidR="00B614BF">
        <w:t xml:space="preserve">(w/v) </w:t>
      </w:r>
      <w:r w:rsidR="0010406D">
        <w:t>aqueous OsO</w:t>
      </w:r>
      <w:r w:rsidR="0010406D">
        <w:rPr>
          <w:vertAlign w:val="subscript"/>
        </w:rPr>
        <w:t>4</w:t>
      </w:r>
      <w:r w:rsidR="0010406D">
        <w:t xml:space="preserve"> (section </w:t>
      </w:r>
      <w:r w:rsidR="0010406D">
        <w:fldChar w:fldCharType="begin"/>
      </w:r>
      <w:r w:rsidR="0010406D">
        <w:instrText xml:space="preserve"> REF _Ref79685925 \r \h </w:instrText>
      </w:r>
      <w:r w:rsidR="0010406D">
        <w:fldChar w:fldCharType="separate"/>
      </w:r>
      <w:r w:rsidR="00183CC8">
        <w:t>2.4.3</w:t>
      </w:r>
      <w:r w:rsidR="0010406D">
        <w:fldChar w:fldCharType="end"/>
      </w:r>
      <w:r w:rsidR="0010406D">
        <w:t>)</w:t>
      </w:r>
      <w:r w:rsidR="00931423">
        <w:t xml:space="preserve"> for 2 hours at room temperature.</w:t>
      </w:r>
      <w:r w:rsidR="00D55DCD">
        <w:t xml:space="preserve"> The fixative was washed twice with PBS buffer for 10 min each time.</w:t>
      </w:r>
      <w:r w:rsidR="008D130C">
        <w:t xml:space="preserve"> </w:t>
      </w:r>
      <w:r w:rsidR="00D63641">
        <w:t xml:space="preserve">The dehydration process consisted </w:t>
      </w:r>
      <w:r w:rsidR="00B5249C">
        <w:t>of</w:t>
      </w:r>
      <w:r w:rsidR="00D63641">
        <w:t xml:space="preserve"> 15 min incubations with increasing graded solvent solutions: 75, 95, 100</w:t>
      </w:r>
      <w:r w:rsidR="002270A1">
        <w:t xml:space="preserve"> and</w:t>
      </w:r>
      <w:r w:rsidR="00D63641">
        <w:t xml:space="preserve"> 100 %</w:t>
      </w:r>
      <w:r w:rsidR="002270A1">
        <w:t xml:space="preserve"> </w:t>
      </w:r>
      <w:r w:rsidR="00B26641">
        <w:t xml:space="preserve">(v/v) </w:t>
      </w:r>
      <w:r w:rsidR="002270A1">
        <w:t xml:space="preserve">ethanol followed, by </w:t>
      </w:r>
      <w:r w:rsidR="00D63641">
        <w:t xml:space="preserve">two incubations with 100 % ethanol dried </w:t>
      </w:r>
      <w:r w:rsidR="00D63641" w:rsidRPr="00686BB3">
        <w:t>over anhydrous Copper sulphate</w:t>
      </w:r>
      <w:r w:rsidR="00540E44">
        <w:t>.</w:t>
      </w:r>
      <w:r w:rsidR="00127C3A">
        <w:t xml:space="preserve"> The dehydrated specimens were washed twice with an intermediate solvent, propylene oxide, for 15 min.</w:t>
      </w:r>
      <w:r w:rsidR="00F85359">
        <w:t xml:space="preserve"> At this point specimens were transferred into glass vials (AGG284 or AGB793, Agar Scientific), and the solvent was replaced by a 50:50 mixture of propylene oxide and Epon resin (</w:t>
      </w:r>
      <w:r w:rsidR="00F85359">
        <w:fldChar w:fldCharType="begin"/>
      </w:r>
      <w:r w:rsidR="00F85359">
        <w:instrText xml:space="preserve"> REF _Ref79686418 \r \h </w:instrText>
      </w:r>
      <w:r w:rsidR="00F85359">
        <w:fldChar w:fldCharType="separate"/>
      </w:r>
      <w:r w:rsidR="00183CC8">
        <w:t>2.6.2</w:t>
      </w:r>
      <w:r w:rsidR="00F85359">
        <w:fldChar w:fldCharType="end"/>
      </w:r>
      <w:r w:rsidR="00F85359">
        <w:t>).</w:t>
      </w:r>
      <w:r w:rsidR="00824AF2">
        <w:t xml:space="preserve"> Infiltration occurred overnight at room temperature on a</w:t>
      </w:r>
      <w:r w:rsidR="00B9381D">
        <w:t>n R050</w:t>
      </w:r>
      <w:r w:rsidR="00824AF2">
        <w:t xml:space="preserve"> 2 rpm TAAB Rotator</w:t>
      </w:r>
      <w:r w:rsidR="00DF4260">
        <w:t xml:space="preserve"> with an R072 head</w:t>
      </w:r>
      <w:r w:rsidR="00824AF2">
        <w:t>.</w:t>
      </w:r>
    </w:p>
    <w:p w14:paraId="1D2C0388" w14:textId="2410974F" w:rsidR="00C2117D" w:rsidRDefault="00EF2CF7" w:rsidP="00C2117D">
      <w:pPr>
        <w:pStyle w:val="Heading4"/>
      </w:pPr>
      <w:bookmarkStart w:id="407" w:name="_Ref79690711"/>
      <w:bookmarkStart w:id="408" w:name="_Toc90216833"/>
      <w:r>
        <w:t>Epon r</w:t>
      </w:r>
      <w:r w:rsidR="00C2117D">
        <w:t>esin embedding and polymerisation.</w:t>
      </w:r>
      <w:bookmarkEnd w:id="407"/>
      <w:bookmarkEnd w:id="408"/>
    </w:p>
    <w:p w14:paraId="3C90492E" w14:textId="439AE6D5" w:rsidR="00C2117D" w:rsidRDefault="00C2117D" w:rsidP="00C2117D">
      <w:r>
        <w:t xml:space="preserve">The majority of the 50:50 mixture was </w:t>
      </w:r>
      <w:r w:rsidR="00B5249C">
        <w:t>removed,</w:t>
      </w:r>
      <w:r>
        <w:t xml:space="preserve"> and the glass vials were left unopened for 1 hour in the fume hood to allow for the propylene oxide to evaporate. Any remain</w:t>
      </w:r>
      <w:r w:rsidR="00610F8C">
        <w:t>ing</w:t>
      </w:r>
      <w:r>
        <w:t xml:space="preserve"> mixture was discarded and replaced by full Epon resin (section </w:t>
      </w:r>
      <w:r>
        <w:fldChar w:fldCharType="begin"/>
      </w:r>
      <w:r>
        <w:instrText xml:space="preserve"> REF _Ref79687131 \r \h </w:instrText>
      </w:r>
      <w:r>
        <w:fldChar w:fldCharType="separate"/>
      </w:r>
      <w:r w:rsidR="00183CC8">
        <w:t>2.6.1</w:t>
      </w:r>
      <w:r>
        <w:fldChar w:fldCharType="end"/>
      </w:r>
      <w:r>
        <w:t>). For full resin embedding, the glass vials were left on the 2 rpm spinning wheel for 3-4 hours, time after which a change of resin was carried out and the specimens were left for the same amount of time spinning at 2 rpm.</w:t>
      </w:r>
    </w:p>
    <w:p w14:paraId="06543C36" w14:textId="3E14B4D7" w:rsidR="00C2117D" w:rsidRPr="00D063D1" w:rsidRDefault="00C2117D" w:rsidP="00C2117D">
      <w:r>
        <w:t>BEEM® capsules (size-00, AGG360-1, Agar Scientific) were used for resin block preparation. Freshly made Epon resin was added to the moulds and the specimen</w:t>
      </w:r>
      <w:r w:rsidR="00610F8C">
        <w:t>s</w:t>
      </w:r>
      <w:r>
        <w:t xml:space="preserve"> were carefully positioned at the bottom of the capsule with the help of a toothpick. Polymerisation occurred at 60 </w:t>
      </w:r>
      <w:r>
        <w:rPr>
          <w:rFonts w:ascii="Calibri" w:hAnsi="Calibri" w:cs="Calibri"/>
        </w:rPr>
        <w:t>°</w:t>
      </w:r>
      <w:r>
        <w:t>C for 48-72 hours in a TAAB Embedding Oven MKII.</w:t>
      </w:r>
    </w:p>
    <w:p w14:paraId="54F0161F" w14:textId="5754526A" w:rsidR="004B0C7E" w:rsidRDefault="004B0C7E" w:rsidP="00C56FC8">
      <w:pPr>
        <w:pStyle w:val="Heading3"/>
      </w:pPr>
      <w:bookmarkStart w:id="409" w:name="_Toc64276342"/>
      <w:bookmarkStart w:id="410" w:name="_Toc64276646"/>
      <w:bookmarkStart w:id="411" w:name="_Toc64276858"/>
      <w:bookmarkStart w:id="412" w:name="_Ref73105687"/>
      <w:bookmarkStart w:id="413" w:name="_Ref74170709"/>
      <w:bookmarkStart w:id="414" w:name="_Ref79699351"/>
      <w:bookmarkStart w:id="415" w:name="_Toc90216834"/>
      <w:r w:rsidRPr="005B0F81">
        <w:lastRenderedPageBreak/>
        <w:t>Freeze-substitution</w:t>
      </w:r>
      <w:bookmarkEnd w:id="409"/>
      <w:bookmarkEnd w:id="410"/>
      <w:bookmarkEnd w:id="411"/>
      <w:bookmarkEnd w:id="412"/>
      <w:bookmarkEnd w:id="413"/>
      <w:r w:rsidR="00C56FC8">
        <w:t xml:space="preserve"> TEM</w:t>
      </w:r>
      <w:bookmarkEnd w:id="414"/>
      <w:r w:rsidR="007006CC">
        <w:t>.</w:t>
      </w:r>
      <w:bookmarkEnd w:id="415"/>
    </w:p>
    <w:p w14:paraId="511F3512" w14:textId="58EA9375" w:rsidR="002E384E" w:rsidRPr="002E384E" w:rsidRDefault="002E384E" w:rsidP="002E384E">
      <w:pPr>
        <w:pStyle w:val="Heading4"/>
      </w:pPr>
      <w:bookmarkStart w:id="416" w:name="_Ref79787105"/>
      <w:bookmarkStart w:id="417" w:name="_Toc90216835"/>
      <w:r>
        <w:t>Sample preparation for freeze-substitution</w:t>
      </w:r>
      <w:bookmarkEnd w:id="416"/>
      <w:r w:rsidR="007006CC">
        <w:t>.</w:t>
      </w:r>
      <w:bookmarkEnd w:id="417"/>
    </w:p>
    <w:p w14:paraId="5437A3F0" w14:textId="7248069A" w:rsidR="00676790" w:rsidRPr="00EC740C" w:rsidRDefault="00F20535" w:rsidP="00676790">
      <w:r>
        <w:t xml:space="preserve">Bacterial cultures were grown in TSB with 10 % (v/v) glycerol, as previously described (section </w:t>
      </w:r>
      <w:r>
        <w:fldChar w:fldCharType="begin"/>
      </w:r>
      <w:r>
        <w:instrText xml:space="preserve"> REF _Ref72838362 \r \h </w:instrText>
      </w:r>
      <w:r>
        <w:fldChar w:fldCharType="separate"/>
      </w:r>
      <w:r w:rsidR="00183CC8">
        <w:t>2.11.3</w:t>
      </w:r>
      <w:r>
        <w:fldChar w:fldCharType="end"/>
      </w:r>
      <w:r>
        <w:t>)</w:t>
      </w:r>
      <w:r w:rsidR="00DE01F4">
        <w:t>. C</w:t>
      </w:r>
      <w:r>
        <w:t xml:space="preserve">ells </w:t>
      </w:r>
      <w:r w:rsidR="00DE01F4">
        <w:t>spun down</w:t>
      </w:r>
      <w:r w:rsidR="00676790">
        <w:t xml:space="preserve"> at maximum speed </w:t>
      </w:r>
      <w:r w:rsidR="00DE01F4">
        <w:t>and</w:t>
      </w:r>
      <w:r w:rsidR="005306B8">
        <w:t xml:space="preserve"> resuspended in 10 mM HEPE</w:t>
      </w:r>
      <w:r w:rsidR="0083774F">
        <w:t>S</w:t>
      </w:r>
      <w:r w:rsidR="005306B8">
        <w:t xml:space="preserve"> buffer with 10 % (v/v) glycerol (section </w:t>
      </w:r>
      <w:r w:rsidR="005306B8">
        <w:fldChar w:fldCharType="begin"/>
      </w:r>
      <w:r w:rsidR="005306B8">
        <w:instrText xml:space="preserve"> REF _Ref79701776 \r \h </w:instrText>
      </w:r>
      <w:r w:rsidR="005306B8">
        <w:fldChar w:fldCharType="separate"/>
      </w:r>
      <w:r w:rsidR="00183CC8">
        <w:t>2.3.6</w:t>
      </w:r>
      <w:r w:rsidR="005306B8">
        <w:fldChar w:fldCharType="end"/>
      </w:r>
      <w:r w:rsidR="005306B8">
        <w:t>)</w:t>
      </w:r>
      <w:r w:rsidR="009F3032">
        <w:t xml:space="preserve"> for 10 min at 4 </w:t>
      </w:r>
      <w:r w:rsidR="009F3032">
        <w:rPr>
          <w:rFonts w:ascii="Calibri" w:hAnsi="Calibri" w:cs="Calibri"/>
        </w:rPr>
        <w:t>°</w:t>
      </w:r>
      <w:r w:rsidR="009F3032">
        <w:t>C.</w:t>
      </w:r>
      <w:r w:rsidR="008D7164">
        <w:t xml:space="preserve"> This wash and incubation in buffer with cryoprotectant </w:t>
      </w:r>
      <w:r w:rsidR="00B5249C">
        <w:t>were</w:t>
      </w:r>
      <w:r w:rsidR="008D7164">
        <w:t xml:space="preserve"> repeated thre</w:t>
      </w:r>
      <w:r w:rsidR="004C3A00">
        <w:t>e</w:t>
      </w:r>
      <w:r w:rsidR="008D7164">
        <w:t xml:space="preserve"> times.</w:t>
      </w:r>
    </w:p>
    <w:p w14:paraId="43FD2B16" w14:textId="2D7219DB" w:rsidR="00DE01F4" w:rsidRPr="00F20535" w:rsidRDefault="00DE01F4" w:rsidP="00F20535">
      <w:r>
        <w:t>Finally, cells were harvested by centrifugation at maximum speed for 10 min</w:t>
      </w:r>
      <w:r w:rsidR="009C49FF">
        <w:t xml:space="preserve"> and the supernatant was discarded. An addition</w:t>
      </w:r>
      <w:r w:rsidR="00187542">
        <w:t>al</w:t>
      </w:r>
      <w:r w:rsidR="009C49FF">
        <w:t xml:space="preserve"> two centrifugations at full speed for 5 and 2 min respectively was carried out, and any excess supernatant was removed with a strip of filter paper.</w:t>
      </w:r>
    </w:p>
    <w:p w14:paraId="7B50968C" w14:textId="3A27DF5F" w:rsidR="00C56FC8" w:rsidRDefault="00C56FC8" w:rsidP="00C56FC8">
      <w:pPr>
        <w:pStyle w:val="Heading4"/>
      </w:pPr>
      <w:bookmarkStart w:id="418" w:name="_Ref79703910"/>
      <w:bookmarkStart w:id="419" w:name="_Toc90216836"/>
      <w:r>
        <w:t>High-pressure freezing (HPF)</w:t>
      </w:r>
      <w:r w:rsidR="00DA5360">
        <w:t xml:space="preserve"> flat carrier system</w:t>
      </w:r>
      <w:bookmarkEnd w:id="418"/>
      <w:r w:rsidR="007006CC">
        <w:t>.</w:t>
      </w:r>
      <w:bookmarkEnd w:id="419"/>
    </w:p>
    <w:p w14:paraId="452883A0" w14:textId="3428F1A8" w:rsidR="008941C8" w:rsidRDefault="008D62C1" w:rsidP="008D62C1">
      <w:r>
        <w:t>High-pressure freezing (HPF) was carried out with Leica EM PACT2 RTS (</w:t>
      </w:r>
      <w:r w:rsidR="008941C8">
        <w:t>Leica Microsystems</w:t>
      </w:r>
      <w:r>
        <w:t>). The flat specimen carrier system was chosen for loading samples.</w:t>
      </w:r>
      <w:r w:rsidR="007C0D09">
        <w:t xml:space="preserve"> The gold-plated copper carriers </w:t>
      </w:r>
      <w:r w:rsidR="00CC508C">
        <w:t>were coated with 0.05</w:t>
      </w:r>
      <w:r w:rsidR="00E3462B">
        <w:t>-</w:t>
      </w:r>
      <w:r w:rsidR="00CC508C">
        <w:t>0.1 % (w/v) egg lecithin</w:t>
      </w:r>
      <w:r w:rsidR="00C4391C">
        <w:t xml:space="preserve"> in chloroform (section </w:t>
      </w:r>
      <w:r w:rsidR="00C4391C">
        <w:fldChar w:fldCharType="begin"/>
      </w:r>
      <w:r w:rsidR="00C4391C">
        <w:instrText xml:space="preserve"> REF _Ref79750229 \r \h </w:instrText>
      </w:r>
      <w:r w:rsidR="00C4391C">
        <w:fldChar w:fldCharType="separate"/>
      </w:r>
      <w:r w:rsidR="00183CC8">
        <w:t>2.3.11</w:t>
      </w:r>
      <w:r w:rsidR="00C4391C">
        <w:fldChar w:fldCharType="end"/>
      </w:r>
      <w:r w:rsidR="00C4391C">
        <w:t>)</w:t>
      </w:r>
      <w:r w:rsidR="007560E8">
        <w:t xml:space="preserve"> </w:t>
      </w:r>
      <w:r w:rsidR="00CC508C">
        <w:t xml:space="preserve">for </w:t>
      </w:r>
      <w:r w:rsidR="00045142">
        <w:t xml:space="preserve">later </w:t>
      </w:r>
      <w:r w:rsidR="00CC508C">
        <w:t>facilitating specimen removal.</w:t>
      </w:r>
    </w:p>
    <w:p w14:paraId="5E411A47" w14:textId="15DB72E4" w:rsidR="00232AD5" w:rsidRDefault="006C5F1C" w:rsidP="008D62C1">
      <w:r>
        <w:t xml:space="preserve">The pellet of cells was mixed with 10 mM HEPES buffer with 20 % (w/v) BSA (section </w:t>
      </w:r>
      <w:r>
        <w:fldChar w:fldCharType="begin"/>
      </w:r>
      <w:r>
        <w:instrText xml:space="preserve"> REF _Ref79745440 \r \h </w:instrText>
      </w:r>
      <w:r>
        <w:fldChar w:fldCharType="separate"/>
      </w:r>
      <w:r w:rsidR="00183CC8">
        <w:t>2.3.7</w:t>
      </w:r>
      <w:r>
        <w:fldChar w:fldCharType="end"/>
      </w:r>
      <w:r>
        <w:t>)</w:t>
      </w:r>
      <w:r w:rsidR="00F26D5E">
        <w:t xml:space="preserve">, as required to obtain the </w:t>
      </w:r>
      <w:r w:rsidR="00504BE7">
        <w:t>best</w:t>
      </w:r>
      <w:r w:rsidR="00F26D5E">
        <w:t xml:space="preserve"> consistency for loading. The sample was carefully loaded into the flat carrier and vitrification was carried out following the manufacturer’s instructions.</w:t>
      </w:r>
    </w:p>
    <w:p w14:paraId="32664AC7" w14:textId="26B1209F" w:rsidR="00C56FC8" w:rsidRDefault="00C56FC8" w:rsidP="00C56FC8">
      <w:pPr>
        <w:pStyle w:val="Heading4"/>
      </w:pPr>
      <w:bookmarkStart w:id="420" w:name="_Ref79774749"/>
      <w:bookmarkStart w:id="421" w:name="_Ref79784175"/>
      <w:bookmarkStart w:id="422" w:name="_Toc90216837"/>
      <w:r>
        <w:t>Freeze-substitution</w:t>
      </w:r>
      <w:bookmarkEnd w:id="420"/>
      <w:r w:rsidR="00543EA8">
        <w:t xml:space="preserve"> (FS)</w:t>
      </w:r>
      <w:bookmarkEnd w:id="421"/>
      <w:r w:rsidR="007006CC">
        <w:t>.</w:t>
      </w:r>
      <w:bookmarkEnd w:id="422"/>
    </w:p>
    <w:p w14:paraId="6656DE01" w14:textId="0E30399B" w:rsidR="008941C8" w:rsidRPr="00F73021" w:rsidRDefault="008941C8" w:rsidP="008941C8">
      <w:pPr>
        <w:rPr>
          <w:rFonts w:ascii="Calibri" w:hAnsi="Calibri" w:cs="Calibri"/>
          <w:position w:val="-2"/>
          <w:sz w:val="16"/>
          <w:szCs w:val="16"/>
        </w:rPr>
      </w:pPr>
      <w:r>
        <w:t xml:space="preserve">Vitrified samples obtained by HPF (section </w:t>
      </w:r>
      <w:r>
        <w:fldChar w:fldCharType="begin"/>
      </w:r>
      <w:r>
        <w:instrText xml:space="preserve"> REF _Ref79703910 \r \h </w:instrText>
      </w:r>
      <w:r>
        <w:fldChar w:fldCharType="separate"/>
      </w:r>
      <w:r w:rsidR="00183CC8">
        <w:t>2.20.2.2</w:t>
      </w:r>
      <w:r>
        <w:fldChar w:fldCharType="end"/>
      </w:r>
      <w:r>
        <w:t xml:space="preserve">) were swiftly transferred into </w:t>
      </w:r>
      <w:r w:rsidR="00F73021">
        <w:t xml:space="preserve">pre-cooled </w:t>
      </w:r>
      <w:r>
        <w:t>cryo-</w:t>
      </w:r>
      <w:r w:rsidR="00F73021">
        <w:t xml:space="preserve">tubes containing 1 ml of </w:t>
      </w:r>
      <w:r w:rsidR="00F73021">
        <w:rPr>
          <w:rFonts w:ascii="Calibri" w:hAnsi="Calibri" w:cs="Calibri"/>
        </w:rPr>
        <w:t xml:space="preserve">1 % </w:t>
      </w:r>
      <w:r w:rsidR="00D674B0">
        <w:rPr>
          <w:rFonts w:ascii="Calibri" w:hAnsi="Calibri" w:cs="Calibri"/>
        </w:rPr>
        <w:t xml:space="preserve">(w/v) </w:t>
      </w:r>
      <w:r w:rsidR="00F73021">
        <w:rPr>
          <w:rFonts w:ascii="Calibri" w:hAnsi="Calibri" w:cs="Calibri"/>
        </w:rPr>
        <w:t>OsO</w:t>
      </w:r>
      <w:r w:rsidR="00F73021">
        <w:rPr>
          <w:rFonts w:ascii="Calibri" w:hAnsi="Calibri" w:cs="Calibri"/>
          <w:vertAlign w:val="subscript"/>
        </w:rPr>
        <w:t>4</w:t>
      </w:r>
      <w:r w:rsidR="00F73021">
        <w:rPr>
          <w:rFonts w:ascii="Calibri" w:hAnsi="Calibri" w:cs="Calibri"/>
        </w:rPr>
        <w:t xml:space="preserve"> with 2 % </w:t>
      </w:r>
      <w:r w:rsidR="00D674B0">
        <w:rPr>
          <w:rFonts w:ascii="Calibri" w:hAnsi="Calibri" w:cs="Calibri"/>
        </w:rPr>
        <w:t xml:space="preserve">(w/v) </w:t>
      </w:r>
      <w:r w:rsidR="00F73021">
        <w:rPr>
          <w:rFonts w:ascii="Calibri" w:hAnsi="Calibri" w:cs="Calibri"/>
        </w:rPr>
        <w:t xml:space="preserve">uranyl acetate in dried ethanol (section </w:t>
      </w:r>
      <w:r w:rsidR="00F73021">
        <w:rPr>
          <w:rFonts w:ascii="Calibri" w:hAnsi="Calibri" w:cs="Calibri"/>
        </w:rPr>
        <w:fldChar w:fldCharType="begin"/>
      </w:r>
      <w:r w:rsidR="00F73021">
        <w:rPr>
          <w:rFonts w:ascii="Calibri" w:hAnsi="Calibri" w:cs="Calibri"/>
        </w:rPr>
        <w:instrText xml:space="preserve"> REF _Ref79745976 \r \h </w:instrText>
      </w:r>
      <w:r w:rsidR="00F73021">
        <w:rPr>
          <w:rFonts w:ascii="Calibri" w:hAnsi="Calibri" w:cs="Calibri"/>
        </w:rPr>
      </w:r>
      <w:r w:rsidR="00F73021">
        <w:rPr>
          <w:rFonts w:ascii="Calibri" w:hAnsi="Calibri" w:cs="Calibri"/>
        </w:rPr>
        <w:fldChar w:fldCharType="separate"/>
      </w:r>
      <w:r w:rsidR="00183CC8">
        <w:rPr>
          <w:rFonts w:ascii="Calibri" w:hAnsi="Calibri" w:cs="Calibri"/>
        </w:rPr>
        <w:t>2.5.3</w:t>
      </w:r>
      <w:r w:rsidR="00F73021">
        <w:rPr>
          <w:rFonts w:ascii="Calibri" w:hAnsi="Calibri" w:cs="Calibri"/>
        </w:rPr>
        <w:fldChar w:fldCharType="end"/>
      </w:r>
      <w:r w:rsidR="00F73021">
        <w:rPr>
          <w:rFonts w:ascii="Calibri" w:hAnsi="Calibri" w:cs="Calibri"/>
        </w:rPr>
        <w:t xml:space="preserve">). This step was carried out in the liquid nitrogen bath of the Leica EM PACT2 RTS to avoid devitrification. The cryo-tubes with the </w:t>
      </w:r>
      <w:r w:rsidR="0037415E">
        <w:t>freeze-substitution</w:t>
      </w:r>
      <w:r w:rsidR="00F73021">
        <w:t xml:space="preserve"> (FS) cocktail and samples were </w:t>
      </w:r>
      <w:r w:rsidR="002A7CC3">
        <w:t xml:space="preserve">then </w:t>
      </w:r>
      <w:r w:rsidR="00F73021">
        <w:t>transferred into the FS</w:t>
      </w:r>
      <w:r w:rsidR="0037415E">
        <w:t xml:space="preserve"> instrument</w:t>
      </w:r>
      <w:r w:rsidR="002A7CC3">
        <w:t xml:space="preserve"> (pre-cooled at </w:t>
      </w:r>
      <w:r w:rsidR="00FF05B5">
        <w:t>–</w:t>
      </w:r>
      <w:r w:rsidR="00BF5BC1">
        <w:t> </w:t>
      </w:r>
      <w:r w:rsidR="002A7CC3">
        <w:t>90 </w:t>
      </w:r>
      <w:r w:rsidR="002A7CC3">
        <w:rPr>
          <w:rFonts w:ascii="Calibri" w:hAnsi="Calibri" w:cs="Calibri"/>
        </w:rPr>
        <w:t>°</w:t>
      </w:r>
      <w:r w:rsidR="002A7CC3">
        <w:t>C</w:t>
      </w:r>
      <w:r w:rsidR="00DB00E7">
        <w:t>)</w:t>
      </w:r>
      <w:r w:rsidR="0037415E">
        <w:t>.</w:t>
      </w:r>
    </w:p>
    <w:p w14:paraId="0D672531" w14:textId="136BA06D" w:rsidR="00C73CE0" w:rsidRPr="00D257B6" w:rsidRDefault="0037415E" w:rsidP="00D257B6">
      <w:r>
        <w:t>Freeze-substitution was carried out using the Leica EM AFS2 (Leica Microsystems)</w:t>
      </w:r>
      <w:r w:rsidR="00C73CE0">
        <w:t>. The FS programme consisted of:</w:t>
      </w:r>
      <w:r w:rsidR="00D257B6">
        <w:t xml:space="preserve"> 12 h at </w:t>
      </w:r>
      <w:r w:rsidR="00E3462B">
        <w:t>–</w:t>
      </w:r>
      <w:r w:rsidR="00BF5BC1">
        <w:t> </w:t>
      </w:r>
      <w:r w:rsidR="00D257B6">
        <w:t>90 </w:t>
      </w:r>
      <w:r w:rsidR="00D257B6">
        <w:rPr>
          <w:rFonts w:ascii="Calibri" w:hAnsi="Calibri" w:cs="Calibri"/>
        </w:rPr>
        <w:t>°</w:t>
      </w:r>
      <w:r w:rsidR="00D257B6">
        <w:t xml:space="preserve">C, and 8 h slow increment from </w:t>
      </w:r>
      <w:r w:rsidR="00E3462B">
        <w:t>–</w:t>
      </w:r>
      <w:r w:rsidR="00BF5BC1">
        <w:t> </w:t>
      </w:r>
      <w:r w:rsidR="00D257B6">
        <w:t>90 </w:t>
      </w:r>
      <w:r w:rsidR="00D257B6">
        <w:rPr>
          <w:rFonts w:ascii="Calibri" w:hAnsi="Calibri" w:cs="Calibri"/>
        </w:rPr>
        <w:t>°</w:t>
      </w:r>
      <w:r w:rsidR="00D257B6">
        <w:t>C to –</w:t>
      </w:r>
      <w:r w:rsidR="00BF5BC1">
        <w:t> </w:t>
      </w:r>
      <w:r w:rsidR="00D257B6">
        <w:t>60 </w:t>
      </w:r>
      <w:r w:rsidR="00D257B6">
        <w:rPr>
          <w:rFonts w:ascii="Calibri" w:hAnsi="Calibri" w:cs="Calibri"/>
        </w:rPr>
        <w:t>°</w:t>
      </w:r>
      <w:r w:rsidR="00D257B6">
        <w:t>C, 5 h at –</w:t>
      </w:r>
      <w:r w:rsidR="00BF5BC1">
        <w:t> </w:t>
      </w:r>
      <w:r w:rsidR="00D257B6">
        <w:t>60 </w:t>
      </w:r>
      <w:r w:rsidR="00D257B6">
        <w:rPr>
          <w:rFonts w:ascii="Calibri" w:hAnsi="Calibri" w:cs="Calibri"/>
        </w:rPr>
        <w:t>°</w:t>
      </w:r>
      <w:r w:rsidR="00D257B6">
        <w:t xml:space="preserve">C, a 7 h increment from </w:t>
      </w:r>
      <w:r w:rsidR="00E3462B">
        <w:t>–</w:t>
      </w:r>
      <w:r w:rsidR="00BF5BC1">
        <w:t> </w:t>
      </w:r>
      <w:r w:rsidR="00D257B6">
        <w:t>60 </w:t>
      </w:r>
      <w:r w:rsidR="00D257B6">
        <w:rPr>
          <w:rFonts w:ascii="Calibri" w:hAnsi="Calibri" w:cs="Calibri"/>
        </w:rPr>
        <w:t>°</w:t>
      </w:r>
      <w:r w:rsidR="00D257B6">
        <w:t>C to –</w:t>
      </w:r>
      <w:r w:rsidR="00BF5BC1">
        <w:t> </w:t>
      </w:r>
      <w:r w:rsidR="00D257B6">
        <w:t>30 </w:t>
      </w:r>
      <w:r w:rsidR="00D257B6">
        <w:rPr>
          <w:rFonts w:ascii="Calibri" w:hAnsi="Calibri" w:cs="Calibri"/>
        </w:rPr>
        <w:t>°</w:t>
      </w:r>
      <w:r w:rsidR="00D257B6">
        <w:t xml:space="preserve">C, 5 h at </w:t>
      </w:r>
      <w:r w:rsidR="00E3462B">
        <w:t>–</w:t>
      </w:r>
      <w:r w:rsidR="00BF5BC1">
        <w:t> </w:t>
      </w:r>
      <w:r w:rsidR="00D257B6">
        <w:t>30 </w:t>
      </w:r>
      <w:r w:rsidR="00D257B6">
        <w:rPr>
          <w:rFonts w:ascii="Calibri" w:hAnsi="Calibri" w:cs="Calibri"/>
        </w:rPr>
        <w:t>°</w:t>
      </w:r>
      <w:r w:rsidR="00D257B6">
        <w:t>C, and finally 5 h to reach 0 </w:t>
      </w:r>
      <w:r w:rsidR="00D257B6">
        <w:rPr>
          <w:rFonts w:ascii="Calibri" w:hAnsi="Calibri" w:cs="Calibri"/>
        </w:rPr>
        <w:t>°</w:t>
      </w:r>
      <w:r w:rsidR="00D257B6">
        <w:t>C. This programm</w:t>
      </w:r>
      <w:r w:rsidR="00D2607F">
        <w:t>e</w:t>
      </w:r>
      <w:r w:rsidR="00D257B6">
        <w:t xml:space="preserve"> was modified from Matias &amp; Beveridge (2006) </w:t>
      </w:r>
      <w:r w:rsidR="00D257B6">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e2b25489-46ff-4a6e-b016-855e621d8c6c"]}],"mendeley":{"formattedCitation":"&lt;sup&gt;[16]&lt;/sup&gt;","plainTextFormattedCitation":"[16]","previouslyFormattedCitation":"&lt;sup&gt;[16]&lt;/sup&gt;"},"properties":{"noteIndex":0},"schema":"https://github.com/citation-style-language/schema/raw/master/csl-citation.json"}</w:instrText>
      </w:r>
      <w:r w:rsidR="00D257B6">
        <w:fldChar w:fldCharType="separate"/>
      </w:r>
      <w:r w:rsidR="00DA0A83" w:rsidRPr="00DA0A83">
        <w:rPr>
          <w:noProof/>
          <w:vertAlign w:val="superscript"/>
        </w:rPr>
        <w:t>[16]</w:t>
      </w:r>
      <w:r w:rsidR="00D257B6">
        <w:fldChar w:fldCharType="end"/>
      </w:r>
      <w:r w:rsidR="00D257B6">
        <w:t xml:space="preserve"> with the help from Dr. </w:t>
      </w:r>
      <w:r w:rsidR="00D257B6" w:rsidRPr="00C73CE0">
        <w:t xml:space="preserve">Frédéric </w:t>
      </w:r>
      <w:r w:rsidR="00D257B6" w:rsidRPr="00C73CE0">
        <w:lastRenderedPageBreak/>
        <w:t>Leroux (Leica Microsystems)</w:t>
      </w:r>
      <w:r w:rsidR="00D257B6">
        <w:t>.</w:t>
      </w:r>
      <w:r w:rsidR="00BA6533">
        <w:t xml:space="preserve"> The samples then slowly reached room temperature before continuing processing</w:t>
      </w:r>
      <w:r w:rsidR="008D2C7C">
        <w:t xml:space="preserve"> (see section </w:t>
      </w:r>
      <w:r w:rsidR="008D2C7C">
        <w:fldChar w:fldCharType="begin"/>
      </w:r>
      <w:r w:rsidR="008D2C7C">
        <w:instrText xml:space="preserve"> REF _Ref79748595 \r \h </w:instrText>
      </w:r>
      <w:r w:rsidR="008D2C7C">
        <w:fldChar w:fldCharType="separate"/>
      </w:r>
      <w:r w:rsidR="00183CC8">
        <w:t>2.20.2.5</w:t>
      </w:r>
      <w:r w:rsidR="008D2C7C">
        <w:fldChar w:fldCharType="end"/>
      </w:r>
      <w:r w:rsidR="00F54777">
        <w:t>).</w:t>
      </w:r>
    </w:p>
    <w:p w14:paraId="1D1D3983" w14:textId="743D36D2" w:rsidR="00BA5B73" w:rsidRDefault="00256052" w:rsidP="009228AA">
      <w:pPr>
        <w:pStyle w:val="Heading4"/>
      </w:pPr>
      <w:bookmarkStart w:id="423" w:name="_Ref79784192"/>
      <w:bookmarkStart w:id="424" w:name="_Toc90216838"/>
      <w:r>
        <w:t>Super quick freeze-substitution (SQFS)</w:t>
      </w:r>
      <w:bookmarkEnd w:id="423"/>
      <w:r w:rsidR="007006CC">
        <w:t>.</w:t>
      </w:r>
      <w:bookmarkEnd w:id="424"/>
    </w:p>
    <w:p w14:paraId="433D1A47" w14:textId="658F7E21" w:rsidR="009412AD" w:rsidRPr="00167BE4" w:rsidRDefault="00201B86" w:rsidP="00167BE4">
      <w:r>
        <w:t xml:space="preserve">An alternative to </w:t>
      </w:r>
      <w:r w:rsidR="00346C9F">
        <w:t>the conventional</w:t>
      </w:r>
      <w:r w:rsidR="00661D0F">
        <w:t xml:space="preserve"> </w:t>
      </w:r>
      <w:r>
        <w:t xml:space="preserve">freeze-substitution (section </w:t>
      </w:r>
      <w:r>
        <w:fldChar w:fldCharType="begin"/>
      </w:r>
      <w:r>
        <w:instrText xml:space="preserve"> REF _Ref79774749 \r \h </w:instrText>
      </w:r>
      <w:r>
        <w:fldChar w:fldCharType="separate"/>
      </w:r>
      <w:r w:rsidR="00183CC8">
        <w:t>2.20.2.3</w:t>
      </w:r>
      <w:r>
        <w:fldChar w:fldCharType="end"/>
      </w:r>
      <w:r>
        <w:t>), that does</w:t>
      </w:r>
      <w:r w:rsidR="002A6160">
        <w:t xml:space="preserve"> not</w:t>
      </w:r>
      <w:r>
        <w:t xml:space="preserve"> require the use of a FS instrument, is the super </w:t>
      </w:r>
      <w:r w:rsidR="007D48E8">
        <w:t xml:space="preserve">quick </w:t>
      </w:r>
      <w:r>
        <w:t xml:space="preserve">freeze-substitution </w:t>
      </w:r>
      <w:r w:rsidR="007D48E8">
        <w:t xml:space="preserve">(SQFS) </w:t>
      </w:r>
      <w:r>
        <w:t xml:space="preserve">developed by Dr. Kent McDonald </w:t>
      </w:r>
      <w:r>
        <w:fldChar w:fldCharType="begin" w:fldLock="1"/>
      </w:r>
      <w:r w:rsidR="0058736C">
        <w:instrText>ADDIN CSL_CITATION {"citationItems":[{"id":"ITEM-1","itemData":{"DOI":"10.1111/j.1365-2818.2011.03526.x","author":[{"dropping-particle":"","family":"Mcdonald","given":"K L","non-dropping-particle":"","parse-names":false,"suffix":""},{"dropping-particle":"","family":"Webb","given":"R I","non-dropping-particle":"","parse-names":false,"suffix":""}],"container-title":"Journal of Microscopy","id":"ITEM-1","issue":"March","issued":{"date-parts":[["2011"]]},"page":"227-233","title":"Freeze substitution in 3 hours or less","type":"article-journal","volume":"243"},"uris":["http://www.mendeley.com/documents/?uuid=9ff483a3-13a9-477e-90cb-f250a2166d02"]}],"mendeley":{"formattedCitation":"&lt;sup&gt;[240]&lt;/sup&gt;","plainTextFormattedCitation":"[240]","previouslyFormattedCitation":"&lt;sup&gt;[240]&lt;/sup&gt;"},"properties":{"noteIndex":0},"schema":"https://github.com/citation-style-language/schema/raw/master/csl-citation.json"}</w:instrText>
      </w:r>
      <w:r>
        <w:fldChar w:fldCharType="separate"/>
      </w:r>
      <w:r w:rsidR="002659E5" w:rsidRPr="002659E5">
        <w:rPr>
          <w:noProof/>
          <w:vertAlign w:val="superscript"/>
        </w:rPr>
        <w:t>[240]</w:t>
      </w:r>
      <w:r>
        <w:fldChar w:fldCharType="end"/>
      </w:r>
      <w:r>
        <w:t>.</w:t>
      </w:r>
      <w:r w:rsidR="00B60BD2">
        <w:t xml:space="preserve"> This faster processing technique was carried out by taking the vitrified samples from HPF (section </w:t>
      </w:r>
      <w:r w:rsidR="00B60BD2">
        <w:fldChar w:fldCharType="begin"/>
      </w:r>
      <w:r w:rsidR="00B60BD2">
        <w:instrText xml:space="preserve"> REF _Ref79703910 \r \h </w:instrText>
      </w:r>
      <w:r w:rsidR="00B60BD2">
        <w:fldChar w:fldCharType="separate"/>
      </w:r>
      <w:r w:rsidR="00183CC8">
        <w:t>2.20.2.2</w:t>
      </w:r>
      <w:r w:rsidR="00B60BD2">
        <w:fldChar w:fldCharType="end"/>
      </w:r>
      <w:r w:rsidR="00B60BD2">
        <w:t xml:space="preserve">) and transferring them to a pre-cooled heat block in a </w:t>
      </w:r>
      <w:r w:rsidR="00B60BD2" w:rsidRPr="00B60BD2">
        <w:rPr>
          <w:rFonts w:ascii="Calibri" w:eastAsia="Times New Roman" w:hAnsi="Calibri" w:cs="Calibri"/>
          <w:szCs w:val="24"/>
          <w:lang w:eastAsia="en-GB"/>
        </w:rPr>
        <w:t xml:space="preserve">Styrofoam® box </w:t>
      </w:r>
      <w:r w:rsidR="00B60BD2">
        <w:rPr>
          <w:rFonts w:ascii="Calibri" w:eastAsia="Times New Roman" w:hAnsi="Calibri" w:cs="Calibri"/>
          <w:szCs w:val="24"/>
          <w:lang w:eastAsia="en-GB"/>
        </w:rPr>
        <w:t>filled with liquid nitrogen</w:t>
      </w:r>
      <w:r w:rsidR="00904E55">
        <w:rPr>
          <w:rFonts w:ascii="Calibri" w:eastAsia="Times New Roman" w:hAnsi="Calibri" w:cs="Calibri"/>
          <w:szCs w:val="24"/>
          <w:lang w:eastAsia="en-GB"/>
        </w:rPr>
        <w:t xml:space="preserve"> (LN</w:t>
      </w:r>
      <w:r w:rsidR="00904E55">
        <w:rPr>
          <w:rFonts w:ascii="Calibri" w:eastAsia="Times New Roman" w:hAnsi="Calibri" w:cs="Calibri"/>
          <w:szCs w:val="24"/>
          <w:vertAlign w:val="subscript"/>
          <w:lang w:eastAsia="en-GB"/>
        </w:rPr>
        <w:t>2</w:t>
      </w:r>
      <w:r w:rsidR="00904E55">
        <w:rPr>
          <w:rFonts w:ascii="Calibri" w:eastAsia="Times New Roman" w:hAnsi="Calibri" w:cs="Calibri"/>
          <w:szCs w:val="24"/>
          <w:lang w:eastAsia="en-GB"/>
        </w:rPr>
        <w:t>)</w:t>
      </w:r>
      <w:r w:rsidR="00B60BD2">
        <w:rPr>
          <w:rFonts w:ascii="Calibri" w:eastAsia="Times New Roman" w:hAnsi="Calibri" w:cs="Calibri"/>
          <w:szCs w:val="24"/>
          <w:lang w:eastAsia="en-GB"/>
        </w:rPr>
        <w:t>.</w:t>
      </w:r>
      <w:r w:rsidR="00904E55">
        <w:rPr>
          <w:rFonts w:ascii="Calibri" w:eastAsia="Times New Roman" w:hAnsi="Calibri" w:cs="Calibri"/>
          <w:szCs w:val="24"/>
          <w:lang w:eastAsia="en-GB"/>
        </w:rPr>
        <w:t xml:space="preserve"> The heat block was pre-cooled by submerging it in the LN</w:t>
      </w:r>
      <w:r w:rsidR="00904E55">
        <w:rPr>
          <w:rFonts w:ascii="Calibri" w:eastAsia="Times New Roman" w:hAnsi="Calibri" w:cs="Calibri"/>
          <w:szCs w:val="24"/>
          <w:vertAlign w:val="subscript"/>
          <w:lang w:eastAsia="en-GB"/>
        </w:rPr>
        <w:t>2</w:t>
      </w:r>
      <w:r w:rsidR="00904E55">
        <w:rPr>
          <w:rFonts w:ascii="Calibri" w:eastAsia="Times New Roman" w:hAnsi="Calibri" w:cs="Calibri"/>
          <w:szCs w:val="24"/>
          <w:lang w:eastAsia="en-GB"/>
        </w:rPr>
        <w:t xml:space="preserve"> for 5</w:t>
      </w:r>
      <w:r w:rsidR="00E3462B">
        <w:rPr>
          <w:rFonts w:ascii="Calibri" w:eastAsia="Times New Roman" w:hAnsi="Calibri" w:cs="Calibri"/>
          <w:szCs w:val="24"/>
          <w:lang w:eastAsia="en-GB"/>
        </w:rPr>
        <w:t>-</w:t>
      </w:r>
      <w:r w:rsidR="00904E55">
        <w:rPr>
          <w:rFonts w:ascii="Calibri" w:eastAsia="Times New Roman" w:hAnsi="Calibri" w:cs="Calibri"/>
          <w:szCs w:val="24"/>
          <w:lang w:eastAsia="en-GB"/>
        </w:rPr>
        <w:t>10 min.</w:t>
      </w:r>
      <w:r w:rsidR="0089018F">
        <w:rPr>
          <w:rFonts w:ascii="Calibri" w:eastAsia="Times New Roman" w:hAnsi="Calibri" w:cs="Calibri"/>
          <w:szCs w:val="24"/>
          <w:lang w:eastAsia="en-GB"/>
        </w:rPr>
        <w:t xml:space="preserve"> The box was placed on a mini orbital shaker (Stuart, SSM1) set at 100 rpm.</w:t>
      </w:r>
      <w:r w:rsidR="00C4085D">
        <w:rPr>
          <w:rFonts w:ascii="Calibri" w:eastAsia="Times New Roman" w:hAnsi="Calibri" w:cs="Calibri"/>
          <w:szCs w:val="24"/>
          <w:lang w:eastAsia="en-GB"/>
        </w:rPr>
        <w:t xml:space="preserve"> The temperature was recorded with</w:t>
      </w:r>
      <w:r w:rsidR="00207645">
        <w:rPr>
          <w:rFonts w:ascii="Calibri" w:eastAsia="Times New Roman" w:hAnsi="Calibri" w:cs="Calibri"/>
          <w:szCs w:val="24"/>
          <w:lang w:eastAsia="en-GB"/>
        </w:rPr>
        <w:t xml:space="preserve"> a</w:t>
      </w:r>
      <w:r w:rsidR="007B3374">
        <w:rPr>
          <w:rFonts w:ascii="Calibri" w:eastAsia="Times New Roman" w:hAnsi="Calibri" w:cs="Calibri"/>
          <w:szCs w:val="24"/>
          <w:lang w:eastAsia="en-GB"/>
        </w:rPr>
        <w:t xml:space="preserve"> dummy tube with a</w:t>
      </w:r>
      <w:r w:rsidR="00207645">
        <w:rPr>
          <w:rFonts w:ascii="Calibri" w:eastAsia="Times New Roman" w:hAnsi="Calibri" w:cs="Calibri"/>
          <w:szCs w:val="24"/>
          <w:lang w:eastAsia="en-GB"/>
        </w:rPr>
        <w:t xml:space="preserve"> Type T thermocouple and temperature datalogger</w:t>
      </w:r>
      <w:r w:rsidR="007B3374">
        <w:rPr>
          <w:rFonts w:ascii="Calibri" w:eastAsia="Times New Roman" w:hAnsi="Calibri" w:cs="Calibri"/>
          <w:szCs w:val="24"/>
          <w:lang w:eastAsia="en-GB"/>
        </w:rPr>
        <w:t>.</w:t>
      </w:r>
      <w:r w:rsidR="00207645">
        <w:rPr>
          <w:rFonts w:ascii="Calibri" w:eastAsia="Times New Roman" w:hAnsi="Calibri" w:cs="Calibri"/>
          <w:szCs w:val="24"/>
          <w:lang w:eastAsia="en-GB"/>
        </w:rPr>
        <w:t xml:space="preserve"> </w:t>
      </w:r>
      <w:r w:rsidR="007B3374">
        <w:rPr>
          <w:rFonts w:ascii="Calibri" w:eastAsia="Times New Roman" w:hAnsi="Calibri" w:cs="Calibri"/>
          <w:szCs w:val="24"/>
          <w:lang w:eastAsia="en-GB"/>
        </w:rPr>
        <w:t>O</w:t>
      </w:r>
      <w:r w:rsidR="00207645">
        <w:rPr>
          <w:rFonts w:ascii="Calibri" w:eastAsia="Times New Roman" w:hAnsi="Calibri" w:cs="Calibri"/>
          <w:szCs w:val="24"/>
          <w:lang w:eastAsia="en-GB"/>
        </w:rPr>
        <w:t xml:space="preserve">nce </w:t>
      </w:r>
      <w:r w:rsidR="007B3374">
        <w:rPr>
          <w:rFonts w:ascii="Calibri" w:eastAsia="Times New Roman" w:hAnsi="Calibri" w:cs="Calibri"/>
          <w:szCs w:val="24"/>
          <w:lang w:eastAsia="en-GB"/>
        </w:rPr>
        <w:t xml:space="preserve">at </w:t>
      </w:r>
      <w:r w:rsidR="00207645">
        <w:rPr>
          <w:rFonts w:ascii="Calibri" w:eastAsia="Times New Roman" w:hAnsi="Calibri" w:cs="Calibri"/>
          <w:szCs w:val="24"/>
          <w:lang w:eastAsia="en-GB"/>
        </w:rPr>
        <w:t>0 </w:t>
      </w:r>
      <w:r w:rsidR="00207645">
        <w:rPr>
          <w:rFonts w:ascii="Calibri" w:hAnsi="Calibri" w:cs="Calibri"/>
        </w:rPr>
        <w:t>°</w:t>
      </w:r>
      <w:r w:rsidR="00207645">
        <w:t>C</w:t>
      </w:r>
      <w:r w:rsidR="000C4133">
        <w:t>, the cryo-tubes were removed from the foam box and placed directly on the shaker until reaching room temperature.</w:t>
      </w:r>
      <w:r w:rsidR="00167BE4">
        <w:t xml:space="preserve"> A detailed protocol can be found in McDonald &amp; Webb (2011) </w:t>
      </w:r>
      <w:r w:rsidR="00167BE4">
        <w:fldChar w:fldCharType="begin" w:fldLock="1"/>
      </w:r>
      <w:r w:rsidR="0058736C">
        <w:instrText>ADDIN CSL_CITATION {"citationItems":[{"id":"ITEM-1","itemData":{"DOI":"10.1111/j.1365-2818.2011.03526.x","author":[{"dropping-particle":"","family":"Mcdonald","given":"K L","non-dropping-particle":"","parse-names":false,"suffix":""},{"dropping-particle":"","family":"Webb","given":"R I","non-dropping-particle":"","parse-names":false,"suffix":""}],"container-title":"Journal of Microscopy","id":"ITEM-1","issue":"March","issued":{"date-parts":[["2011"]]},"page":"227-233","title":"Freeze substitution in 3 hours or less","type":"article-journal","volume":"243"},"uris":["http://www.mendeley.com/documents/?uuid=9ff483a3-13a9-477e-90cb-f250a2166d02"]}],"mendeley":{"formattedCitation":"&lt;sup&gt;[240]&lt;/sup&gt;","plainTextFormattedCitation":"[240]","previouslyFormattedCitation":"&lt;sup&gt;[240]&lt;/sup&gt;"},"properties":{"noteIndex":0},"schema":"https://github.com/citation-style-language/schema/raw/master/csl-citation.json"}</w:instrText>
      </w:r>
      <w:r w:rsidR="00167BE4">
        <w:fldChar w:fldCharType="separate"/>
      </w:r>
      <w:r w:rsidR="002659E5" w:rsidRPr="002659E5">
        <w:rPr>
          <w:noProof/>
          <w:vertAlign w:val="superscript"/>
        </w:rPr>
        <w:t>[240]</w:t>
      </w:r>
      <w:r w:rsidR="00167BE4">
        <w:fldChar w:fldCharType="end"/>
      </w:r>
      <w:r w:rsidR="00167BE4">
        <w:t>.</w:t>
      </w:r>
    </w:p>
    <w:p w14:paraId="1DBA2644" w14:textId="6B6D05EE" w:rsidR="00D063D1" w:rsidRDefault="00D063D1" w:rsidP="00D063D1">
      <w:pPr>
        <w:pStyle w:val="Heading4"/>
      </w:pPr>
      <w:bookmarkStart w:id="425" w:name="_Ref79748595"/>
      <w:bookmarkStart w:id="426" w:name="_Toc90216839"/>
      <w:r>
        <w:t>Room temperature processing</w:t>
      </w:r>
      <w:bookmarkEnd w:id="425"/>
      <w:r w:rsidR="008D2C7C">
        <w:t xml:space="preserve"> of FS cells</w:t>
      </w:r>
      <w:r w:rsidR="007006CC">
        <w:t>.</w:t>
      </w:r>
      <w:bookmarkEnd w:id="426"/>
    </w:p>
    <w:p w14:paraId="42686E2C" w14:textId="32A1C295" w:rsidR="00847F07" w:rsidRDefault="00543EA8" w:rsidP="00847F07">
      <w:r>
        <w:t>Once reaching room temperature, the FS cocktail from freeze-substitut</w:t>
      </w:r>
      <w:r w:rsidR="007475BA">
        <w:t>ion</w:t>
      </w:r>
      <w:r>
        <w:t xml:space="preserve"> (section </w:t>
      </w:r>
      <w:r>
        <w:fldChar w:fldCharType="begin"/>
      </w:r>
      <w:r>
        <w:instrText xml:space="preserve"> REF _Ref79784175 \r \h </w:instrText>
      </w:r>
      <w:r>
        <w:fldChar w:fldCharType="separate"/>
      </w:r>
      <w:r w:rsidR="00183CC8">
        <w:t>2.20.2.3</w:t>
      </w:r>
      <w:r>
        <w:fldChar w:fldCharType="end"/>
      </w:r>
      <w:r>
        <w:t xml:space="preserve">) or SQFS (section </w:t>
      </w:r>
      <w:r>
        <w:fldChar w:fldCharType="begin"/>
      </w:r>
      <w:r>
        <w:instrText xml:space="preserve"> REF _Ref79784192 \r \h </w:instrText>
      </w:r>
      <w:r>
        <w:fldChar w:fldCharType="separate"/>
      </w:r>
      <w:r w:rsidR="00183CC8">
        <w:t>2.20.2.4</w:t>
      </w:r>
      <w:r>
        <w:fldChar w:fldCharType="end"/>
      </w:r>
      <w:r>
        <w:t>) samples was discarded and a quick wash</w:t>
      </w:r>
      <w:r w:rsidRPr="00543EA8">
        <w:t xml:space="preserve"> </w:t>
      </w:r>
      <w:r>
        <w:t xml:space="preserve">with acetone was carried out. The </w:t>
      </w:r>
      <w:r w:rsidR="00847F07">
        <w:t xml:space="preserve">specimens </w:t>
      </w:r>
      <w:r>
        <w:t xml:space="preserve">were then left </w:t>
      </w:r>
      <w:r w:rsidR="00847F07">
        <w:t xml:space="preserve">for 1 h in 1 % </w:t>
      </w:r>
      <w:r w:rsidR="00D674B0">
        <w:t xml:space="preserve">(w/v) </w:t>
      </w:r>
      <w:r w:rsidR="00847F07">
        <w:t>uranyl acetate in dried acetone</w:t>
      </w:r>
      <w:r w:rsidR="00D74CEC">
        <w:t xml:space="preserve"> (section </w:t>
      </w:r>
      <w:r w:rsidR="00D74CEC">
        <w:fldChar w:fldCharType="begin"/>
      </w:r>
      <w:r w:rsidR="00D74CEC">
        <w:instrText xml:space="preserve"> REF _Ref79750264 \r \h </w:instrText>
      </w:r>
      <w:r w:rsidR="00D74CEC">
        <w:fldChar w:fldCharType="separate"/>
      </w:r>
      <w:r w:rsidR="00183CC8">
        <w:t>2.3.10</w:t>
      </w:r>
      <w:r w:rsidR="00D74CEC">
        <w:fldChar w:fldCharType="end"/>
      </w:r>
      <w:r w:rsidR="00D74CEC">
        <w:t>)</w:t>
      </w:r>
      <w:r w:rsidR="00C852C4">
        <w:t xml:space="preserve">. Three further washes with 100 % dried </w:t>
      </w:r>
      <w:r w:rsidR="00BD4C7D">
        <w:t>acetone</w:t>
      </w:r>
      <w:r w:rsidR="00C852C4">
        <w:t xml:space="preserve"> for 30 min each were performed while decanting the contents into a glass vial (AGG284 or AGB793, Agar Scientific) and removing the specimen from the flat carriers.</w:t>
      </w:r>
    </w:p>
    <w:p w14:paraId="17DE7034" w14:textId="50896E2D" w:rsidR="00EF2CF7" w:rsidRDefault="00EF2CF7" w:rsidP="00EF2CF7">
      <w:pPr>
        <w:pStyle w:val="Heading4"/>
      </w:pPr>
      <w:bookmarkStart w:id="427" w:name="_Toc90216840"/>
      <w:r>
        <w:t>Spurr resin embedding and polymerisation</w:t>
      </w:r>
      <w:r w:rsidR="007006CC">
        <w:t>.</w:t>
      </w:r>
      <w:bookmarkEnd w:id="427"/>
    </w:p>
    <w:p w14:paraId="0F4468B5" w14:textId="05567B93" w:rsidR="00D24226" w:rsidRDefault="00D62F37" w:rsidP="00C42BCD">
      <w:r>
        <w:t xml:space="preserve">The loose specimen particles were washed once with dried acetone before infiltration with 30 % </w:t>
      </w:r>
      <w:r w:rsidR="00D674B0">
        <w:t xml:space="preserve">(v/v) </w:t>
      </w:r>
      <w:r>
        <w:t>Spurr resin in acetone</w:t>
      </w:r>
      <w:r w:rsidR="00BD4C7D">
        <w:t xml:space="preserve"> for 4 h (sectio</w:t>
      </w:r>
      <w:r w:rsidR="0076459E">
        <w:t xml:space="preserve">n </w:t>
      </w:r>
      <w:r w:rsidR="0076459E">
        <w:fldChar w:fldCharType="begin"/>
      </w:r>
      <w:r w:rsidR="0076459E">
        <w:instrText xml:space="preserve"> REF _Ref79752016 \r \h </w:instrText>
      </w:r>
      <w:r w:rsidR="0076459E">
        <w:fldChar w:fldCharType="separate"/>
      </w:r>
      <w:r w:rsidR="00183CC8">
        <w:t>2.6.4</w:t>
      </w:r>
      <w:r w:rsidR="0076459E">
        <w:fldChar w:fldCharType="end"/>
      </w:r>
      <w:r w:rsidR="00BD4C7D">
        <w:t xml:space="preserve">). </w:t>
      </w:r>
      <w:r w:rsidR="0086292F">
        <w:t xml:space="preserve">The glass vials were incubated on a 2 rpm TAAB Rotator </w:t>
      </w:r>
      <w:r w:rsidR="00670389">
        <w:t xml:space="preserve">(R050 </w:t>
      </w:r>
      <w:r w:rsidR="0086292F">
        <w:t>with an R072 head</w:t>
      </w:r>
      <w:r w:rsidR="00670389">
        <w:t>)</w:t>
      </w:r>
      <w:r w:rsidR="0086292F">
        <w:t xml:space="preserve">. </w:t>
      </w:r>
      <w:r w:rsidR="00BD4C7D">
        <w:t xml:space="preserve">The resin was then replaced by a 60 % </w:t>
      </w:r>
      <w:r w:rsidR="00D674B0">
        <w:t xml:space="preserve">(v/v) </w:t>
      </w:r>
      <w:r w:rsidR="00BD4C7D">
        <w:t xml:space="preserve">Spurr mixture in acetone </w:t>
      </w:r>
      <w:r w:rsidR="00AD7733">
        <w:t>and left overnight spinning at 2 rpm.</w:t>
      </w:r>
      <w:r w:rsidR="00C2117D">
        <w:t xml:space="preserve"> The following day, a 90 % </w:t>
      </w:r>
      <w:r w:rsidR="00D674B0">
        <w:t xml:space="preserve">(v/v) </w:t>
      </w:r>
      <w:r w:rsidR="00C2117D">
        <w:t>Spurr in acetone resin change was made and left incubating at 2 rpm for 4 h. For full resin embedding, two changes of 100 %</w:t>
      </w:r>
      <w:r w:rsidR="00D674B0">
        <w:t xml:space="preserve"> </w:t>
      </w:r>
      <w:r w:rsidR="00C2117D">
        <w:t>Spurr resin</w:t>
      </w:r>
      <w:r w:rsidR="0076459E">
        <w:t xml:space="preserve"> (section </w:t>
      </w:r>
      <w:r w:rsidR="0076459E">
        <w:fldChar w:fldCharType="begin"/>
      </w:r>
      <w:r w:rsidR="0076459E">
        <w:instrText xml:space="preserve"> REF _Ref79752039 \r \h </w:instrText>
      </w:r>
      <w:r w:rsidR="0076459E">
        <w:fldChar w:fldCharType="separate"/>
      </w:r>
      <w:r w:rsidR="00183CC8">
        <w:t>2.6.3</w:t>
      </w:r>
      <w:r w:rsidR="0076459E">
        <w:fldChar w:fldCharType="end"/>
      </w:r>
      <w:r w:rsidR="0076459E">
        <w:t>)</w:t>
      </w:r>
      <w:r w:rsidR="00C2117D">
        <w:t xml:space="preserve"> left for 2 h each</w:t>
      </w:r>
      <w:r w:rsidR="00032EBD">
        <w:t xml:space="preserve"> </w:t>
      </w:r>
      <w:r w:rsidR="00C2117D">
        <w:t>at 2 rpm</w:t>
      </w:r>
      <w:r w:rsidR="00032EBD">
        <w:t xml:space="preserve"> were carried out</w:t>
      </w:r>
      <w:r w:rsidR="00A354C8">
        <w:t>.</w:t>
      </w:r>
    </w:p>
    <w:p w14:paraId="4C16891E" w14:textId="3DA7B8B1" w:rsidR="00EF2CF7" w:rsidRDefault="00EF2CF7" w:rsidP="00C42BCD">
      <w:r>
        <w:lastRenderedPageBreak/>
        <w:t xml:space="preserve">Resin blocks were prepared in </w:t>
      </w:r>
      <w:r w:rsidRPr="00EF2CF7">
        <w:t>BEEM® capsules (size-00, AGG360-1, Agar Scientific)</w:t>
      </w:r>
      <w:r>
        <w:t>, with freshly made Spurr resin. Specimens were carefully positioned at the bottom of the mould with the help of a toothpick. Polymerisation occurred at 60 </w:t>
      </w:r>
      <w:r>
        <w:rPr>
          <w:rFonts w:ascii="Calibri" w:hAnsi="Calibri" w:cs="Calibri"/>
        </w:rPr>
        <w:t>°</w:t>
      </w:r>
      <w:r>
        <w:t>C for 1</w:t>
      </w:r>
      <w:r w:rsidR="000E01B0">
        <w:t>6</w:t>
      </w:r>
      <w:r>
        <w:t xml:space="preserve"> h </w:t>
      </w:r>
      <w:r w:rsidRPr="00EF2CF7">
        <w:t>in a TAAB Embedding Oven MKII.</w:t>
      </w:r>
    </w:p>
    <w:p w14:paraId="666527E1" w14:textId="45C88C45" w:rsidR="000B7CCB" w:rsidRDefault="000B7CCB" w:rsidP="00162945">
      <w:pPr>
        <w:pStyle w:val="Heading4"/>
      </w:pPr>
      <w:bookmarkStart w:id="428" w:name="_Toc90216841"/>
      <w:r w:rsidRPr="000B7CCB">
        <w:rPr>
          <w:bCs/>
        </w:rPr>
        <w:t>Rapid infiltration and polymerisation</w:t>
      </w:r>
      <w:r w:rsidR="007006CC">
        <w:rPr>
          <w:bCs/>
        </w:rPr>
        <w:t>.</w:t>
      </w:r>
      <w:bookmarkEnd w:id="428"/>
    </w:p>
    <w:p w14:paraId="23090802" w14:textId="5A70DE4E" w:rsidR="000B7CCB" w:rsidRPr="0005739A" w:rsidRDefault="0071578B" w:rsidP="000B7CCB">
      <w:r>
        <w:t xml:space="preserve">The rapid infiltration and polymerisation method was adapted from Dr. Kent McDonald’s protocol (2014) </w:t>
      </w:r>
      <w:r>
        <w:fldChar w:fldCharType="begin" w:fldLock="1"/>
      </w:r>
      <w:r w:rsidR="0058736C">
        <w:instrText>ADDIN CSL_CITATION {"citationItems":[{"id":"ITEM-1","itemData":{"DOI":"10.1017/S1431927613013846","ISSN":"14358115","PMID":"24252586","abstract":"A variety of specimens including bacteria, ciliates, choanoflagellates (Salpingoeca rosetta), zebrafish (Danio rerio) embryos, nematode worms (Caenorhabditis elegans), and leaves of white clover (Trifolium repens) plants were high pressure frozen, freeze-substituted, infiltrated with either Epon, Epon-Araldite, or LR White resins, and polymerized. Total processing time from freezing to blocks ready to section was about 6 h. For epoxy embedding the specimens were freeze-substituted in 1% osmium tetroxide plus 0.1% uranyl acetate in acetone. For embedding in LR White the freeze-substitution medium was 0.2% uranyl acetate in acetone. Rapid infiltration was achieved by centrifugation through increasing concentrations of resin followed by polymerization at 100°C for 1.5-2 h. The preservation of ultrastructure was comparable to standard freeze substitution and resin embedding methods that take days to complete. On-section immunolabeling results for actin and tubulin molecules were positive with very low background labeling. The LR White methods offer a safer, quicker, and less-expensive alternative to Lowicryl embedding of specimens processed for on-section immunolabeling without traditional aldehyde fixatives. © Microscopy Society of America 2014.","author":[{"dropping-particle":"","family":"McDonald","given":"Kent L.","non-dropping-particle":"","parse-names":false,"suffix":""}],"container-title":"Microscopy and Microanalysis","id":"ITEM-1","issue":"1","issued":{"date-parts":[["2014"]]},"page":"152-163","title":"Rapid embedding methods into epoxy and LR white resins for morphological and immunological analysis of cryofixed biological specimens","type":"article-journal","volume":"20"},"uris":["http://www.mendeley.com/documents/?uuid=8f6950fe-fd6b-4fc1-8c6e-9eae39ad1a5a"]}],"mendeley":{"formattedCitation":"&lt;sup&gt;[241]&lt;/sup&gt;","plainTextFormattedCitation":"[241]","previouslyFormattedCitation":"&lt;sup&gt;[241]&lt;/sup&gt;"},"properties":{"noteIndex":0},"schema":"https://github.com/citation-style-language/schema/raw/master/csl-citation.json"}</w:instrText>
      </w:r>
      <w:r>
        <w:fldChar w:fldCharType="separate"/>
      </w:r>
      <w:r w:rsidR="002659E5" w:rsidRPr="002659E5">
        <w:rPr>
          <w:noProof/>
          <w:vertAlign w:val="superscript"/>
        </w:rPr>
        <w:t>[241]</w:t>
      </w:r>
      <w:r>
        <w:fldChar w:fldCharType="end"/>
      </w:r>
      <w:r>
        <w:t>. For a faster infiltration, increasing concentrations o</w:t>
      </w:r>
      <w:r w:rsidR="00454B68">
        <w:t>f</w:t>
      </w:r>
      <w:r>
        <w:t xml:space="preserve"> resin in acetone of 25, 50, 75 and 100 % (v/v) were successively added to the </w:t>
      </w:r>
      <w:r w:rsidR="0005739A">
        <w:t>specimen. For each incubation, the sample was re-suspended in the resin/acetone mixture and spun down at 6000 rpm (~ 2000 </w:t>
      </w:r>
      <w:r w:rsidR="0005739A">
        <w:rPr>
          <w:i/>
          <w:iCs/>
        </w:rPr>
        <w:t>g</w:t>
      </w:r>
      <w:r w:rsidR="0005739A">
        <w:t>) for 30-60 s.</w:t>
      </w:r>
      <w:r w:rsidR="00742F8A">
        <w:t xml:space="preserve"> Embedding with 100 % </w:t>
      </w:r>
      <w:r w:rsidR="007121BE">
        <w:t xml:space="preserve">full </w:t>
      </w:r>
      <w:r w:rsidR="00742F8A">
        <w:t>resin was repeated three times before final polymerisation at 100 </w:t>
      </w:r>
      <w:r w:rsidR="00742F8A">
        <w:rPr>
          <w:rFonts w:ascii="Calibri" w:hAnsi="Calibri" w:cs="Calibri"/>
        </w:rPr>
        <w:t>°</w:t>
      </w:r>
      <w:r w:rsidR="00742F8A">
        <w:t>C for 2 h.</w:t>
      </w:r>
    </w:p>
    <w:p w14:paraId="294034AA" w14:textId="39BA1599" w:rsidR="00DA5360" w:rsidRDefault="00DA5360" w:rsidP="00DA5360">
      <w:pPr>
        <w:pStyle w:val="Heading3"/>
      </w:pPr>
      <w:bookmarkStart w:id="429" w:name="_Ref72661560"/>
      <w:bookmarkStart w:id="430" w:name="_Toc90216842"/>
      <w:r>
        <w:t>TEM grid preparation</w:t>
      </w:r>
      <w:bookmarkEnd w:id="429"/>
      <w:r w:rsidR="007006CC">
        <w:t>.</w:t>
      </w:r>
      <w:bookmarkEnd w:id="430"/>
    </w:p>
    <w:p w14:paraId="6E9DF801" w14:textId="294EA83C" w:rsidR="00B63CA2" w:rsidRPr="0085386D" w:rsidRDefault="0085386D" w:rsidP="00B63CA2">
      <w:r>
        <w:t>A glass container was filled with dH</w:t>
      </w:r>
      <w:r>
        <w:rPr>
          <w:vertAlign w:val="subscript"/>
        </w:rPr>
        <w:t>2</w:t>
      </w:r>
      <w:r>
        <w:t xml:space="preserve">O and </w:t>
      </w:r>
      <w:r w:rsidR="00FD42EB" w:rsidRPr="00FD42EB">
        <w:t>PELCO</w:t>
      </w:r>
      <w:r w:rsidR="00004735">
        <w:rPr>
          <w:vertAlign w:val="superscript"/>
        </w:rPr>
        <w:t>®</w:t>
      </w:r>
      <w:r w:rsidR="00FD42EB" w:rsidRPr="00FD42EB">
        <w:t> Optical Lens Tissue</w:t>
      </w:r>
      <w:r w:rsidR="00FD42EB">
        <w:t xml:space="preserve"> (TED PELLA, Inc) </w:t>
      </w:r>
      <w:r w:rsidR="00943542">
        <w:t xml:space="preserve">was carefully placed and tapped on top of the water surface to drag out any dust particles. </w:t>
      </w:r>
      <w:r>
        <w:t xml:space="preserve">10 µl of 1.5 % </w:t>
      </w:r>
      <w:r w:rsidR="00797D46">
        <w:t>(w/v) p</w:t>
      </w:r>
      <w:r>
        <w:t xml:space="preserve">yroxylin in amyl acetate was dropped </w:t>
      </w:r>
      <w:r w:rsidR="00943542">
        <w:t>from ~ 10 cm high to form a</w:t>
      </w:r>
      <w:r>
        <w:t xml:space="preserve"> film over the surface of the water</w:t>
      </w:r>
      <w:r w:rsidR="00943542">
        <w:t xml:space="preserve">. TEM </w:t>
      </w:r>
      <w:r>
        <w:t xml:space="preserve">200-mesh copper grids (AGG2200C, 3.05mm, 200-square mesh, Agar Scientific) were carefully placed on top of </w:t>
      </w:r>
      <w:r w:rsidR="00443537">
        <w:t>the Pyroxylin film</w:t>
      </w:r>
      <w:r w:rsidR="0085684E">
        <w:t>.</w:t>
      </w:r>
      <w:r w:rsidR="00AC792C">
        <w:t xml:space="preserve"> The plastic-coated side of a Bench Guard paper was submerged into the container to lift the grids out.</w:t>
      </w:r>
      <w:r w:rsidR="00B26987">
        <w:t xml:space="preserve"> The grids on the Bench Guard paper were weighed down and left to dry overnight at 20-25 </w:t>
      </w:r>
      <w:r w:rsidR="00B26987">
        <w:rPr>
          <w:rFonts w:ascii="Calibri" w:hAnsi="Calibri" w:cs="Calibri"/>
        </w:rPr>
        <w:t>°</w:t>
      </w:r>
      <w:r w:rsidR="00B26987">
        <w:t>C.</w:t>
      </w:r>
    </w:p>
    <w:p w14:paraId="5AF66330" w14:textId="32DB62F4" w:rsidR="00C44E0B" w:rsidRPr="001868D9" w:rsidRDefault="00C44E0B" w:rsidP="001868D9">
      <w:pPr>
        <w:pStyle w:val="Heading3"/>
      </w:pPr>
      <w:bookmarkStart w:id="431" w:name="_Ref79689351"/>
      <w:bookmarkStart w:id="432" w:name="_Toc90216843"/>
      <w:r w:rsidRPr="001868D9">
        <w:t>Glass knife</w:t>
      </w:r>
      <w:r w:rsidR="00E70079" w:rsidRPr="001868D9">
        <w:t>making</w:t>
      </w:r>
      <w:bookmarkEnd w:id="431"/>
      <w:r w:rsidR="007006CC">
        <w:t>.</w:t>
      </w:r>
      <w:bookmarkEnd w:id="432"/>
    </w:p>
    <w:p w14:paraId="14C7F49F" w14:textId="0E5EBDE0" w:rsidR="00AB3088" w:rsidRPr="00AB3088" w:rsidRDefault="00AB3088" w:rsidP="00AB3088">
      <w:r>
        <w:t>Glass kni</w:t>
      </w:r>
      <w:r w:rsidR="003B29D2">
        <w:t>v</w:t>
      </w:r>
      <w:r>
        <w:t>es were made using the LKB2178 KnifeMaker II following the manufacturer’s instructions.</w:t>
      </w:r>
    </w:p>
    <w:p w14:paraId="6FD74FFA" w14:textId="256FF259" w:rsidR="009228AA" w:rsidRPr="00171D72" w:rsidRDefault="00743C77" w:rsidP="00171D72">
      <w:pPr>
        <w:pStyle w:val="Heading3"/>
      </w:pPr>
      <w:bookmarkStart w:id="433" w:name="_Ref68881712"/>
      <w:bookmarkStart w:id="434" w:name="_Ref79690581"/>
      <w:bookmarkStart w:id="435" w:name="_Toc90216844"/>
      <w:r w:rsidRPr="00171D72">
        <w:t>Thin</w:t>
      </w:r>
      <w:r w:rsidR="00D46FEE" w:rsidRPr="00171D72">
        <w:t>-sectioning</w:t>
      </w:r>
      <w:bookmarkEnd w:id="433"/>
      <w:r w:rsidRPr="00171D72">
        <w:t xml:space="preserve"> at room temperature</w:t>
      </w:r>
      <w:bookmarkEnd w:id="434"/>
      <w:r w:rsidR="007006CC">
        <w:t>.</w:t>
      </w:r>
      <w:bookmarkEnd w:id="435"/>
    </w:p>
    <w:p w14:paraId="662776A1" w14:textId="6CEACDBE" w:rsidR="002836D9" w:rsidRDefault="00E70079" w:rsidP="00C44E0B">
      <w:r>
        <w:t>TEM resin block</w:t>
      </w:r>
      <w:r w:rsidR="00A5742B">
        <w:t xml:space="preserve">s </w:t>
      </w:r>
      <w:r>
        <w:t>from both chemically fixed</w:t>
      </w:r>
      <w:r w:rsidR="00A5742B">
        <w:t xml:space="preserve"> </w:t>
      </w:r>
      <w:r w:rsidR="00B5249C">
        <w:t>and</w:t>
      </w:r>
      <w:r>
        <w:t xml:space="preserve"> freeze-substituted samples were thin-sectioned using the Ultracut E Ultramicrotome (Reichert-Jung)</w:t>
      </w:r>
      <w:r w:rsidR="00D66BDA">
        <w:t xml:space="preserve">. </w:t>
      </w:r>
    </w:p>
    <w:p w14:paraId="45A43430" w14:textId="5316A06C" w:rsidR="00AC634E" w:rsidRDefault="002836D9" w:rsidP="002306C8">
      <w:r>
        <w:t xml:space="preserve">The section of the resin block holding the sample was cut into a trapezoid shape using a razor blade, and excess resin was trimmed down until the specimen was exposed. Once mounted onto the cantilever arm of the ultramicrotome, a glass knife (section </w:t>
      </w:r>
      <w:r>
        <w:fldChar w:fldCharType="begin"/>
      </w:r>
      <w:r>
        <w:instrText xml:space="preserve"> REF _Ref79689351 \r \h </w:instrText>
      </w:r>
      <w:r>
        <w:fldChar w:fldCharType="separate"/>
      </w:r>
      <w:r w:rsidR="00183CC8">
        <w:t>2.20.4</w:t>
      </w:r>
      <w:r>
        <w:fldChar w:fldCharType="end"/>
      </w:r>
      <w:r>
        <w:t>)</w:t>
      </w:r>
      <w:r w:rsidR="00D53B60">
        <w:t xml:space="preserve"> was used to face </w:t>
      </w:r>
      <w:r w:rsidR="00D53B60">
        <w:lastRenderedPageBreak/>
        <w:t>the surface of the block</w:t>
      </w:r>
      <w:r w:rsidR="00EA3D5C">
        <w:t xml:space="preserve"> and obtain a smooth and reflective surface.</w:t>
      </w:r>
      <w:r>
        <w:t xml:space="preserve"> </w:t>
      </w:r>
      <w:r w:rsidR="001E6AF2">
        <w:t>Ultra-t</w:t>
      </w:r>
      <w:r w:rsidR="00D66BDA">
        <w:t>hin</w:t>
      </w:r>
      <w:r w:rsidR="001E6AF2">
        <w:t xml:space="preserve"> </w:t>
      </w:r>
      <w:r w:rsidR="00D66BDA">
        <w:t>sections of 7</w:t>
      </w:r>
      <w:r w:rsidR="008D4CAC">
        <w:t>0</w:t>
      </w:r>
      <w:r w:rsidR="00D66BDA">
        <w:t>-85 nm</w:t>
      </w:r>
      <w:r w:rsidR="00743C77">
        <w:t xml:space="preserve"> </w:t>
      </w:r>
      <w:r w:rsidR="00FA7727">
        <w:t xml:space="preserve">with a cutting speed of 0.8-1.1 mm/s </w:t>
      </w:r>
      <w:r w:rsidR="00743C77">
        <w:t xml:space="preserve">were obtained </w:t>
      </w:r>
      <w:r w:rsidR="00F5185A">
        <w:t>using</w:t>
      </w:r>
      <w:r w:rsidR="00743C77">
        <w:t xml:space="preserve"> a</w:t>
      </w:r>
      <w:r w:rsidR="00F5185A">
        <w:t>n</w:t>
      </w:r>
      <w:r w:rsidR="00743C77">
        <w:t xml:space="preserve"> </w:t>
      </w:r>
      <w:r w:rsidR="000F7CA1">
        <w:t>ultra 45 </w:t>
      </w:r>
      <w:r w:rsidR="000F7CA1">
        <w:rPr>
          <w:rFonts w:ascii="Calibri" w:hAnsi="Calibri" w:cs="Calibri"/>
        </w:rPr>
        <w:t>°</w:t>
      </w:r>
      <w:r w:rsidR="000F7CA1">
        <w:t xml:space="preserve"> diamond knife with standard boat (</w:t>
      </w:r>
      <w:r w:rsidR="00743C77">
        <w:t>D</w:t>
      </w:r>
      <w:r w:rsidR="000F7CA1">
        <w:t>iATOME)</w:t>
      </w:r>
      <w:r w:rsidR="00F5185A">
        <w:t xml:space="preserve">. Sections </w:t>
      </w:r>
      <w:r w:rsidR="00D44A43">
        <w:t>were floated onto dH</w:t>
      </w:r>
      <w:r w:rsidR="00D44A43">
        <w:rPr>
          <w:vertAlign w:val="subscript"/>
        </w:rPr>
        <w:t>2</w:t>
      </w:r>
      <w:r w:rsidR="00D44A43">
        <w:t>O</w:t>
      </w:r>
      <w:r w:rsidR="00F5185A">
        <w:t xml:space="preserve">, </w:t>
      </w:r>
      <w:r w:rsidR="007F4A62">
        <w:t xml:space="preserve">flattened with chloroform vapour and mounted onto </w:t>
      </w:r>
      <w:r w:rsidR="00AC634E">
        <w:t xml:space="preserve">200-mesh copper TEM grids (AGG2200C, </w:t>
      </w:r>
      <w:r w:rsidR="009E3D56">
        <w:t xml:space="preserve">3.05mm, 200-square mesh, </w:t>
      </w:r>
      <w:r w:rsidR="00AC634E">
        <w:t>Agar Scientific)</w:t>
      </w:r>
      <w:r w:rsidR="009004FE">
        <w:t xml:space="preserve"> with a </w:t>
      </w:r>
      <w:r w:rsidR="006730D9">
        <w:t>nitrocellulose</w:t>
      </w:r>
      <w:r w:rsidR="009004FE">
        <w:t xml:space="preserve"> support film (section </w:t>
      </w:r>
      <w:r w:rsidR="009004FE">
        <w:fldChar w:fldCharType="begin"/>
      </w:r>
      <w:r w:rsidR="009004FE">
        <w:instrText xml:space="preserve"> REF _Ref72661560 \r \h </w:instrText>
      </w:r>
      <w:r w:rsidR="009004FE">
        <w:fldChar w:fldCharType="separate"/>
      </w:r>
      <w:r w:rsidR="00183CC8">
        <w:t>2.20.3</w:t>
      </w:r>
      <w:r w:rsidR="009004FE">
        <w:fldChar w:fldCharType="end"/>
      </w:r>
      <w:r w:rsidR="009004FE">
        <w:t>).</w:t>
      </w:r>
    </w:p>
    <w:p w14:paraId="3CB8A27D" w14:textId="52B113A7" w:rsidR="0009069B" w:rsidRDefault="0009069B" w:rsidP="0009069B">
      <w:pPr>
        <w:pStyle w:val="Heading3"/>
      </w:pPr>
      <w:bookmarkStart w:id="436" w:name="_Ref64373177"/>
      <w:bookmarkStart w:id="437" w:name="_Ref73184761"/>
      <w:bookmarkStart w:id="438" w:name="_Toc90216845"/>
      <w:r>
        <w:t>TEM grid staining</w:t>
      </w:r>
      <w:bookmarkEnd w:id="436"/>
      <w:bookmarkEnd w:id="437"/>
      <w:r w:rsidR="007006CC">
        <w:t>.</w:t>
      </w:r>
      <w:bookmarkEnd w:id="438"/>
    </w:p>
    <w:p w14:paraId="16434227" w14:textId="78D9FA2F" w:rsidR="00C127A7" w:rsidRDefault="00FF45CA" w:rsidP="00C127A7">
      <w:r>
        <w:t xml:space="preserve">Specimen TEM grids (section </w:t>
      </w:r>
      <w:r>
        <w:fldChar w:fldCharType="begin"/>
      </w:r>
      <w:r>
        <w:instrText xml:space="preserve"> REF _Ref79690581 \r \h </w:instrText>
      </w:r>
      <w:r>
        <w:fldChar w:fldCharType="separate"/>
      </w:r>
      <w:r w:rsidR="00183CC8">
        <w:t>2.20.5</w:t>
      </w:r>
      <w:r>
        <w:fldChar w:fldCharType="end"/>
      </w:r>
      <w:r>
        <w:t xml:space="preserve">) were post-stained </w:t>
      </w:r>
      <w:r w:rsidR="0056048F">
        <w:t>with 3 % (w/v) uranyl acetate</w:t>
      </w:r>
      <w:r>
        <w:t xml:space="preserve"> </w:t>
      </w:r>
      <w:r w:rsidR="0056048F">
        <w:t xml:space="preserve">(section </w:t>
      </w:r>
      <w:r w:rsidR="0056048F">
        <w:fldChar w:fldCharType="begin"/>
      </w:r>
      <w:r w:rsidR="0056048F">
        <w:instrText xml:space="preserve"> REF _Ref79696979 \r \h </w:instrText>
      </w:r>
      <w:r w:rsidR="0056048F">
        <w:fldChar w:fldCharType="separate"/>
      </w:r>
      <w:r w:rsidR="00183CC8">
        <w:t>2.7.2</w:t>
      </w:r>
      <w:r w:rsidR="0056048F">
        <w:fldChar w:fldCharType="end"/>
      </w:r>
      <w:r w:rsidR="0056048F">
        <w:t>)</w:t>
      </w:r>
      <w:r w:rsidR="001C3F5E">
        <w:t xml:space="preserve"> for 25 min.</w:t>
      </w:r>
      <w:r w:rsidR="004C5EED">
        <w:t xml:space="preserve"> </w:t>
      </w:r>
      <w:r w:rsidR="00C717E8">
        <w:t>Grids were blotted on filter paper</w:t>
      </w:r>
      <w:r w:rsidR="00751FDB">
        <w:t>, submerged in dH</w:t>
      </w:r>
      <w:r w:rsidR="00751FDB">
        <w:rPr>
          <w:vertAlign w:val="subscript"/>
        </w:rPr>
        <w:t>2</w:t>
      </w:r>
      <w:r w:rsidR="00751FDB">
        <w:t>O,</w:t>
      </w:r>
      <w:r w:rsidR="00C717E8">
        <w:t xml:space="preserve"> and </w:t>
      </w:r>
      <w:r w:rsidR="00751FDB">
        <w:t>left</w:t>
      </w:r>
      <w:r w:rsidR="00C717E8">
        <w:t xml:space="preserve"> for </w:t>
      </w:r>
      <w:r w:rsidR="001C3F5E">
        <w:t>25 min with dH</w:t>
      </w:r>
      <w:r w:rsidR="001C3F5E">
        <w:rPr>
          <w:vertAlign w:val="subscript"/>
        </w:rPr>
        <w:t>2</w:t>
      </w:r>
      <w:r w:rsidR="001C3F5E">
        <w:t>O.</w:t>
      </w:r>
      <w:r w:rsidR="004C5EED">
        <w:t xml:space="preserve"> A</w:t>
      </w:r>
      <w:r w:rsidR="00751FDB">
        <w:t>fter</w:t>
      </w:r>
      <w:r w:rsidR="004C5EED">
        <w:t xml:space="preserve"> 5 min staining with Reynold’s lead citrate </w:t>
      </w:r>
      <w:r w:rsidR="004C5EED">
        <w:fldChar w:fldCharType="begin" w:fldLock="1"/>
      </w:r>
      <w:r w:rsidR="0058736C">
        <w:instrText>ADDIN CSL_CITATION {"citationItems":[{"id":"ITEM-1","itemData":{"DOI":"10.1083/jcb.17.1.208","ISBN":"0021-9525 (Print)\\r0021-9525 (Linking)","ISSN":"00219525","PMID":"13986422","abstract":"Aqueous solutions of lead salts (1, 2) and saturated solutions of lead hydroxide (1) have been used as stains to enhance the electron-scattering properties of components of biological materials examined in the electron microscope. Saturated solutions of lead hydroxide (1), while staining more intensely than either lead acetate or monobasic lead acetate (l, 2), form insoluble lead carbonate upon exposure to air. The avoidance of such precipitates which contaminate surfaces of sections during staining has been the stimulus for the development of elaborate procedures for exclusion of air or carbon dioxide (3, 4). Several modifications of Watson's lead hydroxide stain (1) have recently appeared (5-7). All utilize relatively high pH (approximately 12) and one contains small amounts of tartrate (6), a relatively weak complexing agent (8), in addition to lead. These modified lead stains are less liable to contaminate the surface of the section with precipitated stain products. The stain reported here differs from previous alkaline lead stains in that the chelating agent, citrate, is in sufficient excess to sequester all lead present. Lead citrate, soluble in high concentrations in basic solutions, is a chelate compound with an apparent association constant (log Ka) between ligand and lead ion of 6.5 (9). Tissue binding sites, presumably organophosphates, and other anionic species present in biological components following fixation, dehydration, and plastic embedding apparently have a greater affinity for this cation than lead citrate inasmuch as cellular and extracellular structures in the section sequester lead from the staining solution. Alkaline lead citrate solutions are less likely to contaminate sections, as no precipitates form when droplets of fresh staining solution are exposed to air for periods of up to 30 minutes. The resultant staining of the sections is of high intensity in sections of Araldite- or Epon-embedded material. Cytoplasmic membranes, ribosomes, glycogen, and nuclear material are stained (Figs. 1 to 3).","author":[{"dropping-particle":"","family":"Reynolds","given":"E. S.","non-dropping-particle":"","parse-names":false,"suffix":""}],"container-title":"The Journal of cell biology","id":"ITEM-1","issue":"1","issued":{"date-parts":[["1963"]]},"page":"208-212","title":"The use of lead citrate at high pH as an electron-opaque stain in electron microscopy.","type":"article-journal","volume":"17"},"uris":["http://www.mendeley.com/documents/?uuid=746afc7c-7d7f-40c0-83b9-eaabe050cff6"]}],"mendeley":{"formattedCitation":"&lt;sup&gt;[230]&lt;/sup&gt;","plainTextFormattedCitation":"[230]","previouslyFormattedCitation":"&lt;sup&gt;[230]&lt;/sup&gt;"},"properties":{"noteIndex":0},"schema":"https://github.com/citation-style-language/schema/raw/master/csl-citation.json"}</w:instrText>
      </w:r>
      <w:r w:rsidR="004C5EED">
        <w:fldChar w:fldCharType="separate"/>
      </w:r>
      <w:r w:rsidR="002659E5" w:rsidRPr="002659E5">
        <w:rPr>
          <w:noProof/>
          <w:vertAlign w:val="superscript"/>
        </w:rPr>
        <w:t>[230]</w:t>
      </w:r>
      <w:r w:rsidR="004C5EED">
        <w:fldChar w:fldCharType="end"/>
      </w:r>
      <w:r w:rsidR="004C5EED">
        <w:t xml:space="preserve"> (section </w:t>
      </w:r>
      <w:r w:rsidR="004C5EED">
        <w:fldChar w:fldCharType="begin"/>
      </w:r>
      <w:r w:rsidR="004C5EED">
        <w:instrText xml:space="preserve"> REF _Ref79697292 \r \h </w:instrText>
      </w:r>
      <w:r w:rsidR="004C5EED">
        <w:fldChar w:fldCharType="separate"/>
      </w:r>
      <w:r w:rsidR="00183CC8">
        <w:t>2.7.1</w:t>
      </w:r>
      <w:r w:rsidR="004C5EED">
        <w:fldChar w:fldCharType="end"/>
      </w:r>
      <w:r w:rsidR="004C5EED">
        <w:t xml:space="preserve">), </w:t>
      </w:r>
      <w:r w:rsidR="00751FDB">
        <w:t xml:space="preserve">the grids were </w:t>
      </w:r>
      <w:r w:rsidR="00AB3C01">
        <w:t xml:space="preserve">blotted and </w:t>
      </w:r>
      <w:r w:rsidR="00751FDB">
        <w:t>submerged in dH</w:t>
      </w:r>
      <w:r w:rsidR="00751FDB">
        <w:rPr>
          <w:vertAlign w:val="subscript"/>
        </w:rPr>
        <w:t>2</w:t>
      </w:r>
      <w:r w:rsidR="00751FDB">
        <w:t xml:space="preserve">O </w:t>
      </w:r>
      <w:r w:rsidR="004C5EED">
        <w:t xml:space="preserve">before </w:t>
      </w:r>
      <w:r w:rsidR="00C717E8">
        <w:t xml:space="preserve">a </w:t>
      </w:r>
      <w:r w:rsidR="004C5EED">
        <w:t>final</w:t>
      </w:r>
      <w:r w:rsidR="00C717E8">
        <w:t xml:space="preserve"> 10 min </w:t>
      </w:r>
      <w:r w:rsidR="004C5EED">
        <w:t xml:space="preserve">rinse </w:t>
      </w:r>
      <w:r w:rsidR="00133A05">
        <w:t>with</w:t>
      </w:r>
      <w:r w:rsidR="004C5EED">
        <w:t xml:space="preserve"> </w:t>
      </w:r>
      <w:r w:rsidR="00133A05">
        <w:t>dH</w:t>
      </w:r>
      <w:r w:rsidR="00133A05">
        <w:rPr>
          <w:vertAlign w:val="subscript"/>
        </w:rPr>
        <w:t>2</w:t>
      </w:r>
      <w:r w:rsidR="00133A05">
        <w:t>O</w:t>
      </w:r>
      <w:r w:rsidR="004C5EED">
        <w:t>.</w:t>
      </w:r>
      <w:r w:rsidR="00C127A7">
        <w:t xml:space="preserve"> </w:t>
      </w:r>
      <w:r w:rsidR="004D1ADC">
        <w:t>Stained specimen grids were left to dry and stored in TEM grid storage boxes (</w:t>
      </w:r>
      <w:r w:rsidR="00531BCE">
        <w:t xml:space="preserve">TSB100, </w:t>
      </w:r>
      <w:r w:rsidR="004D1ADC">
        <w:t>EM Resolutions).</w:t>
      </w:r>
    </w:p>
    <w:p w14:paraId="63311F06" w14:textId="5BD790E8" w:rsidR="00C127A7" w:rsidRPr="001C3F5E" w:rsidRDefault="001C3F5E" w:rsidP="00FF45CA">
      <w:r>
        <w:t xml:space="preserve">All staining steps were carried out </w:t>
      </w:r>
      <w:r w:rsidR="00C127A7">
        <w:t xml:space="preserve">by placing drops of water/stain onto a </w:t>
      </w:r>
      <w:r w:rsidR="00715C7A">
        <w:t>silicone rubber staining dis</w:t>
      </w:r>
      <w:r w:rsidR="003755F4">
        <w:t>c</w:t>
      </w:r>
      <w:r w:rsidR="00715C7A">
        <w:t xml:space="preserve"> inside a blacked out petri dish.</w:t>
      </w:r>
      <w:r w:rsidR="009059C5">
        <w:t xml:space="preserve"> </w:t>
      </w:r>
      <w:r w:rsidR="003755F4">
        <w:t>P</w:t>
      </w:r>
      <w:r w:rsidR="003755F4" w:rsidRPr="00C127A7">
        <w:t xml:space="preserve">ellets of NaOH </w:t>
      </w:r>
      <w:r w:rsidR="003755F4">
        <w:t>were</w:t>
      </w:r>
      <w:r w:rsidR="003755F4" w:rsidRPr="00C127A7">
        <w:t xml:space="preserve"> added to the </w:t>
      </w:r>
      <w:r w:rsidR="003755F4">
        <w:t xml:space="preserve">corners of the </w:t>
      </w:r>
      <w:r w:rsidR="003755F4" w:rsidRPr="00C127A7">
        <w:t>staining dish to exclude atmospheric CO</w:t>
      </w:r>
      <w:r w:rsidR="003755F4" w:rsidRPr="00C127A7">
        <w:rPr>
          <w:vertAlign w:val="subscript"/>
        </w:rPr>
        <w:t>2</w:t>
      </w:r>
      <w:r w:rsidR="003755F4">
        <w:t xml:space="preserve">, and the </w:t>
      </w:r>
      <w:r w:rsidR="009059C5">
        <w:t>water used for rinsing and stain preparation was</w:t>
      </w:r>
      <w:r>
        <w:t xml:space="preserve"> CO</w:t>
      </w:r>
      <w:r>
        <w:rPr>
          <w:vertAlign w:val="subscript"/>
        </w:rPr>
        <w:t>2</w:t>
      </w:r>
      <w:r>
        <w:t>-free dH</w:t>
      </w:r>
      <w:r>
        <w:rPr>
          <w:vertAlign w:val="subscript"/>
        </w:rPr>
        <w:t>2</w:t>
      </w:r>
      <w:r>
        <w:t>O</w:t>
      </w:r>
      <w:r w:rsidR="003755F4">
        <w:t>. Shelter from light and CO</w:t>
      </w:r>
      <w:r w:rsidR="003755F4">
        <w:rPr>
          <w:vertAlign w:val="subscript"/>
        </w:rPr>
        <w:t>2</w:t>
      </w:r>
      <w:r w:rsidR="003755F4">
        <w:t xml:space="preserve"> exposure helped</w:t>
      </w:r>
      <w:r w:rsidR="00C127A7">
        <w:t xml:space="preserve"> avoid stain precipitation.</w:t>
      </w:r>
    </w:p>
    <w:p w14:paraId="7E533208" w14:textId="6E4BC6E8" w:rsidR="0009069B" w:rsidRDefault="0009069B" w:rsidP="0009069B">
      <w:pPr>
        <w:pStyle w:val="Heading3"/>
      </w:pPr>
      <w:bookmarkStart w:id="439" w:name="_Ref68881841"/>
      <w:bookmarkStart w:id="440" w:name="_Toc90216846"/>
      <w:r>
        <w:t xml:space="preserve">TEM </w:t>
      </w:r>
      <w:bookmarkEnd w:id="439"/>
      <w:r>
        <w:t>microscop</w:t>
      </w:r>
      <w:r w:rsidR="00A276BE">
        <w:t>y</w:t>
      </w:r>
      <w:r w:rsidR="007006CC">
        <w:t>.</w:t>
      </w:r>
      <w:bookmarkEnd w:id="440"/>
    </w:p>
    <w:p w14:paraId="6E20A67C" w14:textId="5376A1F4" w:rsidR="00793194" w:rsidRPr="00793194" w:rsidRDefault="0009069B" w:rsidP="00793194">
      <w:r>
        <w:t>TEM micrographs</w:t>
      </w:r>
      <w:r w:rsidRPr="00C54DC5">
        <w:t xml:space="preserve"> were obtained using the FEI Tecnai T12 Spirit TEM</w:t>
      </w:r>
      <w:r w:rsidR="002763F8">
        <w:t xml:space="preserve"> (EM Facility – The University of Sheffield)</w:t>
      </w:r>
      <w:r w:rsidRPr="00C54DC5">
        <w:t xml:space="preserve"> operating at 80 kV, and captured on a GATAN ORIUS</w:t>
      </w:r>
      <w:r w:rsidRPr="00C54DC5">
        <w:rPr>
          <w:vertAlign w:val="superscript"/>
        </w:rPr>
        <w:t>TM</w:t>
      </w:r>
      <w:r w:rsidRPr="00C54DC5">
        <w:t xml:space="preserve"> SC1000B bottom-mounted CCD camera.</w:t>
      </w:r>
    </w:p>
    <w:p w14:paraId="759FC6EC" w14:textId="6C1A98EE" w:rsidR="00793194" w:rsidRDefault="00E30D15" w:rsidP="00793194">
      <w:pPr>
        <w:pStyle w:val="Heading3"/>
      </w:pPr>
      <w:bookmarkStart w:id="441" w:name="_Ref71579152"/>
      <w:bookmarkStart w:id="442" w:name="_Ref74746790"/>
      <w:bookmarkStart w:id="443" w:name="_Toc90216847"/>
      <w:r>
        <w:t>Measuring c</w:t>
      </w:r>
      <w:r w:rsidR="00793194">
        <w:t>ell wall thickness</w:t>
      </w:r>
      <w:bookmarkEnd w:id="441"/>
      <w:r w:rsidR="00793194">
        <w:t xml:space="preserve"> </w:t>
      </w:r>
      <w:r>
        <w:t>from</w:t>
      </w:r>
      <w:r w:rsidR="00793194">
        <w:t xml:space="preserve"> TEM</w:t>
      </w:r>
      <w:bookmarkEnd w:id="442"/>
      <w:r>
        <w:t xml:space="preserve"> micrographs</w:t>
      </w:r>
      <w:r w:rsidR="007006CC">
        <w:t>.</w:t>
      </w:r>
      <w:bookmarkEnd w:id="443"/>
    </w:p>
    <w:p w14:paraId="0BD92835" w14:textId="2BEDA820" w:rsidR="00EF1065" w:rsidRPr="00A92108" w:rsidRDefault="00177C74" w:rsidP="004F5DAC">
      <w:r>
        <w:t>Cell wall measurements from TEM micrographs were taken using Fiji (v2.1.0)</w:t>
      </w:r>
      <w:r w:rsidRPr="00177C74">
        <w:t xml:space="preserve"> </w:t>
      </w:r>
      <w:r>
        <w:fldChar w:fldCharType="begin" w:fldLock="1"/>
      </w:r>
      <w:r w:rsidR="0058736C">
        <w:instrText>ADDIN CSL_CITATION {"citationItems":[{"id":"ITEM-1","itemData":{"DOI":"10.1038/nmeth.2019","ISSN":"15487091","PMID":"22743772","abstract":"Fiji is a distribution of the popular open-source software ImageJ focused on biological-image analysis. Fiji uses modern software engineering practices to combine powerful software libraries with a broad range of scripting languages to enable rapid prototyping of image-processing algorithms. Fiji facilitates the transformation of new algorithms into ImageJ plugins that can be shared with end users through an integrated update system. We propose Fiji as a platform for productive collaboration between computer science and biology research communities. © 2012 Nature America, Inc. All rights reserved.","author":[{"dropping-particle":"","family":"Schindelin","given":"Johannes","non-dropping-particle":"","parse-names":false,"suffix":""},{"dropping-particle":"","family":"Arganda-Carreras","given":"Ignacio","non-dropping-particle":"","parse-names":false,"suffix":""},{"dropping-particle":"","family":"Frise","given":"Erwin","non-dropping-particle":"","parse-names":false,"suffix":""},{"dropping-particle":"","family":"Kaynig","given":"Verena","non-dropping-particle":"","parse-names":false,"suffix":""},{"dropping-particle":"","family":"Longair","given":"Mark","non-dropping-particle":"","parse-names":false,"suffix":""},{"dropping-particle":"","family":"Pietzsch","given":"Tobias","non-dropping-particle":"","parse-names":false,"suffix":""},{"dropping-particle":"","family":"Preibisch","given":"Stephan","non-dropping-particle":"","parse-names":false,"suffix":""},{"dropping-particle":"","family":"Rueden","given":"Curtis","non-dropping-particle":"","parse-names":false,"suffix":""},{"dropping-particle":"","family":"Saalfeld","given":"Stephan","non-dropping-particle":"","parse-names":false,"suffix":""},{"dropping-particle":"","family":"Schmid","given":"Benjamin","non-dropping-particle":"","parse-names":false,"suffix":""},{"dropping-particle":"","family":"Tinevez","given":"Jean Yves","non-dropping-particle":"","parse-names":false,"suffix":""},{"dropping-particle":"","family":"White","given":"Daniel James","non-dropping-particle":"","parse-names":false,"suffix":""},{"dropping-particle":"","family":"Hartenstein","given":"Volker","non-dropping-particle":"","parse-names":false,"suffix":""},{"dropping-particle":"","family":"Eliceiri","given":"Kevin","non-dropping-particle":"","parse-names":false,"suffix":""},{"dropping-particle":"","family":"Tomancak","given":"Pavel","non-dropping-particle":"","parse-names":false,"suffix":""},{"dropping-particle":"","family":"Cardona","given":"Albert","non-dropping-particle":"","parse-names":false,"suffix":""}],"container-title":"Nature Methods","id":"ITEM-1","issue":"7","issued":{"date-parts":[["2012","7","28"]]},"page":"676-682","publisher":"Nature Publishing Group","title":"Fiji: An open-source platform for biological-image analysis","type":"article","volume":"9"},"uris":["http://www.mendeley.com/documents/?uuid=59429b62-8bc2-379d-b929-9570760f73c6"]}],"mendeley":{"formattedCitation":"&lt;sup&gt;[238]&lt;/sup&gt;","plainTextFormattedCitation":"[238]","previouslyFormattedCitation":"&lt;sup&gt;[238]&lt;/sup&gt;"},"properties":{"noteIndex":0},"schema":"https://github.com/citation-style-language/schema/raw/master/csl-citation.json"}</w:instrText>
      </w:r>
      <w:r>
        <w:fldChar w:fldCharType="separate"/>
      </w:r>
      <w:r w:rsidR="002659E5" w:rsidRPr="002659E5">
        <w:rPr>
          <w:noProof/>
          <w:vertAlign w:val="superscript"/>
        </w:rPr>
        <w:t>[238]</w:t>
      </w:r>
      <w:r>
        <w:fldChar w:fldCharType="end"/>
      </w:r>
      <w:r>
        <w:t>.</w:t>
      </w:r>
      <w:r w:rsidR="00A200CB">
        <w:t xml:space="preserve"> For each cell, &gt; 4 equidistant measurements of the cell wall were acquired.</w:t>
      </w:r>
      <w:r w:rsidR="00A92108">
        <w:t xml:space="preserve"> If a mutant presented a visible variation of the cell wall thickness, additional measurements </w:t>
      </w:r>
      <w:r w:rsidR="00A92108">
        <w:rPr>
          <w:i/>
          <w:iCs/>
        </w:rPr>
        <w:t xml:space="preserve">per </w:t>
      </w:r>
      <w:r w:rsidR="00A92108">
        <w:t xml:space="preserve">cell were taken. All measurements for each cell were averaged to obtain only one final mean cell wall value </w:t>
      </w:r>
      <w:r w:rsidR="00A92108">
        <w:rPr>
          <w:i/>
          <w:iCs/>
        </w:rPr>
        <w:t>per</w:t>
      </w:r>
      <w:r w:rsidR="00A92108">
        <w:t xml:space="preserve"> cell.</w:t>
      </w:r>
      <w:r w:rsidR="00955132">
        <w:t xml:space="preserve"> </w:t>
      </w:r>
      <w:r w:rsidR="00EF1065">
        <w:t xml:space="preserve">Over 100 cells </w:t>
      </w:r>
      <w:r w:rsidR="00EF1065">
        <w:rPr>
          <w:i/>
          <w:iCs/>
        </w:rPr>
        <w:t>per</w:t>
      </w:r>
      <w:r w:rsidR="00EF1065">
        <w:t xml:space="preserve"> strain, across at least two biological repeats were measured.</w:t>
      </w:r>
    </w:p>
    <w:p w14:paraId="47CAFE3A" w14:textId="5369DCF8" w:rsidR="00B9795B" w:rsidRDefault="00E30D15" w:rsidP="00B9795B">
      <w:pPr>
        <w:pStyle w:val="Heading3"/>
      </w:pPr>
      <w:bookmarkStart w:id="444" w:name="_Ref71511245"/>
      <w:bookmarkStart w:id="445" w:name="_Ref74746808"/>
      <w:bookmarkStart w:id="446" w:name="_Toc90216848"/>
      <w:r>
        <w:lastRenderedPageBreak/>
        <w:t>P</w:t>
      </w:r>
      <w:r w:rsidR="00B9795B">
        <w:t>henotype analysis and morphological quantification</w:t>
      </w:r>
      <w:bookmarkEnd w:id="444"/>
      <w:bookmarkEnd w:id="445"/>
      <w:r>
        <w:t xml:space="preserve"> from TEM micrographs</w:t>
      </w:r>
      <w:r w:rsidR="007006CC">
        <w:t>.</w:t>
      </w:r>
      <w:bookmarkEnd w:id="446"/>
    </w:p>
    <w:p w14:paraId="336C951C" w14:textId="2599E25F" w:rsidR="00B36D7C" w:rsidRDefault="00B9795B" w:rsidP="009B4399">
      <w:r>
        <w:t xml:space="preserve">Over 300 cells </w:t>
      </w:r>
      <w:r w:rsidR="00E930CC">
        <w:t xml:space="preserve">from </w:t>
      </w:r>
      <w:r>
        <w:t xml:space="preserve">TEM micrographs were counted and analysed using the software Fiji </w:t>
      </w:r>
      <w:r w:rsidR="00E930CC">
        <w:t xml:space="preserve">(v2.1.0) </w:t>
      </w:r>
      <w:r>
        <w:fldChar w:fldCharType="begin" w:fldLock="1"/>
      </w:r>
      <w:r w:rsidR="0058736C">
        <w:instrText>ADDIN CSL_CITATION {"citationItems":[{"id":"ITEM-1","itemData":{"DOI":"10.1038/nmeth.2019","ISSN":"15487091","PMID":"22743772","abstract":"Fiji is a distribution of the popular open-source software ImageJ focused on biological-image analysis. Fiji uses modern software engineering practices to combine powerful software libraries with a broad range of scripting languages to enable rapid prototyping of image-processing algorithms. Fiji facilitates the transformation of new algorithms into ImageJ plugins that can be shared with end users through an integrated update system. We propose Fiji as a platform for productive collaboration between computer science and biology research communities. © 2012 Nature America, Inc. All rights reserved.","author":[{"dropping-particle":"","family":"Schindelin","given":"Johannes","non-dropping-particle":"","parse-names":false,"suffix":""},{"dropping-particle":"","family":"Arganda-Carreras","given":"Ignacio","non-dropping-particle":"","parse-names":false,"suffix":""},{"dropping-particle":"","family":"Frise","given":"Erwin","non-dropping-particle":"","parse-names":false,"suffix":""},{"dropping-particle":"","family":"Kaynig","given":"Verena","non-dropping-particle":"","parse-names":false,"suffix":""},{"dropping-particle":"","family":"Longair","given":"Mark","non-dropping-particle":"","parse-names":false,"suffix":""},{"dropping-particle":"","family":"Pietzsch","given":"Tobias","non-dropping-particle":"","parse-names":false,"suffix":""},{"dropping-particle":"","family":"Preibisch","given":"Stephan","non-dropping-particle":"","parse-names":false,"suffix":""},{"dropping-particle":"","family":"Rueden","given":"Curtis","non-dropping-particle":"","parse-names":false,"suffix":""},{"dropping-particle":"","family":"Saalfeld","given":"Stephan","non-dropping-particle":"","parse-names":false,"suffix":""},{"dropping-particle":"","family":"Schmid","given":"Benjamin","non-dropping-particle":"","parse-names":false,"suffix":""},{"dropping-particle":"","family":"Tinevez","given":"Jean Yves","non-dropping-particle":"","parse-names":false,"suffix":""},{"dropping-particle":"","family":"White","given":"Daniel James","non-dropping-particle":"","parse-names":false,"suffix":""},{"dropping-particle":"","family":"Hartenstein","given":"Volker","non-dropping-particle":"","parse-names":false,"suffix":""},{"dropping-particle":"","family":"Eliceiri","given":"Kevin","non-dropping-particle":"","parse-names":false,"suffix":""},{"dropping-particle":"","family":"Tomancak","given":"Pavel","non-dropping-particle":"","parse-names":false,"suffix":""},{"dropping-particle":"","family":"Cardona","given":"Albert","non-dropping-particle":"","parse-names":false,"suffix":""}],"container-title":"Nature Methods","id":"ITEM-1","issue":"7","issued":{"date-parts":[["2012","7","28"]]},"page":"676-682","publisher":"Nature Publishing Group","title":"Fiji: An open-source platform for biological-image analysis","type":"article","volume":"9"},"uris":["http://www.mendeley.com/documents/?uuid=59429b62-8bc2-379d-b929-9570760f73c6"]}],"mendeley":{"formattedCitation":"&lt;sup&gt;[238]&lt;/sup&gt;","plainTextFormattedCitation":"[238]","previouslyFormattedCitation":"&lt;sup&gt;[238]&lt;/sup&gt;"},"properties":{"noteIndex":0},"schema":"https://github.com/citation-style-language/schema/raw/master/csl-citation.json"}</w:instrText>
      </w:r>
      <w:r>
        <w:fldChar w:fldCharType="separate"/>
      </w:r>
      <w:r w:rsidR="002659E5" w:rsidRPr="002659E5">
        <w:rPr>
          <w:noProof/>
          <w:vertAlign w:val="superscript"/>
        </w:rPr>
        <w:t>[238]</w:t>
      </w:r>
      <w:r>
        <w:fldChar w:fldCharType="end"/>
      </w:r>
      <w:r>
        <w:t xml:space="preserve">. Most samples and treatments had </w:t>
      </w:r>
      <w:r w:rsidR="00B97225">
        <w:t>over three</w:t>
      </w:r>
      <w:r>
        <w:t xml:space="preserve"> independent biological repeats, </w:t>
      </w:r>
      <w:r w:rsidR="00B97225">
        <w:t>unless otherwise stated</w:t>
      </w:r>
      <w:r>
        <w:t>. Cells were categorised for their division stage under “no sept</w:t>
      </w:r>
      <w:r w:rsidR="00FA5648">
        <w:t>um</w:t>
      </w:r>
      <w:r>
        <w:t>” (non-dividing), “incomplete sept</w:t>
      </w:r>
      <w:r w:rsidR="00FA5648">
        <w:t>um</w:t>
      </w:r>
      <w:r>
        <w:t>” (dividing) and “complete sept</w:t>
      </w:r>
      <w:r w:rsidR="00FA5648">
        <w:t>um</w:t>
      </w:r>
      <w:r>
        <w:t>” (final stage of division). Aberrant cells were classified as “growth defects</w:t>
      </w:r>
      <w:r w:rsidR="00EF0BBA">
        <w:t xml:space="preserve">”. Whenever a specific phenotype was of interest, </w:t>
      </w:r>
      <w:r w:rsidR="004B3FF4">
        <w:t xml:space="preserve">for example “plasmolysis”, </w:t>
      </w:r>
      <w:r w:rsidR="00BC7FB6">
        <w:t>it</w:t>
      </w:r>
      <w:r w:rsidR="00EF0BBA">
        <w:t xml:space="preserve"> was </w:t>
      </w:r>
      <w:r w:rsidR="001C3670">
        <w:t>quantified separately</w:t>
      </w:r>
      <w:r w:rsidR="00EF0BBA">
        <w:t xml:space="preserve"> and characterised </w:t>
      </w:r>
      <w:r w:rsidR="001C3670">
        <w:t>as stated</w:t>
      </w:r>
      <w:r>
        <w:t xml:space="preserve">. </w:t>
      </w:r>
      <w:r w:rsidR="006F5E9C">
        <w:t xml:space="preserve">This standard </w:t>
      </w:r>
      <w:r>
        <w:t xml:space="preserve">quantification criteria </w:t>
      </w:r>
      <w:r w:rsidR="00B5249C">
        <w:t>are</w:t>
      </w:r>
      <w:r>
        <w:t xml:space="preserve"> shown in </w:t>
      </w:r>
      <w:r>
        <w:rPr>
          <w:highlight w:val="yellow"/>
        </w:rPr>
        <w:fldChar w:fldCharType="begin"/>
      </w:r>
      <w:r>
        <w:instrText xml:space="preserve"> REF _Ref71923409 \h </w:instrText>
      </w:r>
      <w:r>
        <w:rPr>
          <w:highlight w:val="yellow"/>
        </w:rPr>
      </w:r>
      <w:r>
        <w:rPr>
          <w:highlight w:val="yellow"/>
        </w:rPr>
        <w:fldChar w:fldCharType="separate"/>
      </w:r>
      <w:r w:rsidR="00183CC8">
        <w:t xml:space="preserve">Figure </w:t>
      </w:r>
      <w:r w:rsidR="00183CC8">
        <w:rPr>
          <w:noProof/>
        </w:rPr>
        <w:t>2</w:t>
      </w:r>
      <w:r w:rsidR="00183CC8">
        <w:t>.</w:t>
      </w:r>
      <w:r w:rsidR="00183CC8">
        <w:rPr>
          <w:noProof/>
        </w:rPr>
        <w:t>1</w:t>
      </w:r>
      <w:r>
        <w:rPr>
          <w:highlight w:val="yellow"/>
        </w:rPr>
        <w:fldChar w:fldCharType="end"/>
      </w:r>
      <w:r>
        <w:t xml:space="preserve">. </w:t>
      </w:r>
    </w:p>
    <w:p w14:paraId="406004FE" w14:textId="773E7DCA" w:rsidR="00B9795B" w:rsidRDefault="00B9795B" w:rsidP="00B36D7C">
      <w:pPr>
        <w:jc w:val="center"/>
      </w:pPr>
      <w:r>
        <w:rPr>
          <w:noProof/>
        </w:rPr>
        <w:drawing>
          <wp:inline distT="0" distB="0" distL="0" distR="0" wp14:anchorId="037C3025" wp14:editId="6AED07DF">
            <wp:extent cx="5926044" cy="4851873"/>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26044" cy="4851873"/>
                    </a:xfrm>
                    <a:prstGeom prst="rect">
                      <a:avLst/>
                    </a:prstGeom>
                  </pic:spPr>
                </pic:pic>
              </a:graphicData>
            </a:graphic>
          </wp:inline>
        </w:drawing>
      </w:r>
    </w:p>
    <w:p w14:paraId="3EAC6934" w14:textId="598456D8" w:rsidR="00B9795B" w:rsidRDefault="00B9795B" w:rsidP="00B9795B">
      <w:pPr>
        <w:pStyle w:val="Caption"/>
      </w:pPr>
      <w:bookmarkStart w:id="447" w:name="_Ref71923409"/>
      <w:bookmarkStart w:id="448" w:name="_Toc90216935"/>
      <w:r>
        <w:t xml:space="preserve">Figure </w:t>
      </w:r>
      <w:r w:rsidR="003373BF">
        <w:fldChar w:fldCharType="begin"/>
      </w:r>
      <w:r w:rsidR="003373BF">
        <w:instrText xml:space="preserve"> STYLEREF 1 \s </w:instrText>
      </w:r>
      <w:r w:rsidR="003373BF">
        <w:fldChar w:fldCharType="separate"/>
      </w:r>
      <w:r w:rsidR="00183CC8">
        <w:rPr>
          <w:noProof/>
        </w:rPr>
        <w:t>2</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w:t>
      </w:r>
      <w:r w:rsidR="003373BF">
        <w:rPr>
          <w:noProof/>
        </w:rPr>
        <w:fldChar w:fldCharType="end"/>
      </w:r>
      <w:bookmarkEnd w:id="447"/>
      <w:r>
        <w:t xml:space="preserve"> </w:t>
      </w:r>
      <w:r w:rsidR="00E800B1">
        <w:t>Standard m</w:t>
      </w:r>
      <w:r>
        <w:t>orphological quantification criteria.</w:t>
      </w:r>
      <w:bookmarkEnd w:id="448"/>
    </w:p>
    <w:p w14:paraId="1EF7556D" w14:textId="6453D6A1" w:rsidR="00A55FC7" w:rsidRDefault="00E800B1" w:rsidP="00B9795B">
      <w:pPr>
        <w:pStyle w:val="NoSpacing"/>
        <w:sectPr w:rsidR="00A55FC7" w:rsidSect="00FF5585">
          <w:pgSz w:w="11906" w:h="16838"/>
          <w:pgMar w:top="1191" w:right="1247" w:bottom="1191" w:left="1247" w:header="709" w:footer="709" w:gutter="0"/>
          <w:cols w:space="708"/>
          <w:titlePg/>
          <w:docGrid w:linePitch="360"/>
        </w:sectPr>
      </w:pPr>
      <w:r>
        <w:t>Schema showing the standard criteria for quantifying bacterial the division stages and morphologies of interest for each strain. Dark green– no sept</w:t>
      </w:r>
      <w:r w:rsidR="00CC6143">
        <w:t>um</w:t>
      </w:r>
      <w:r>
        <w:t>; Mid-green– incomplete sept</w:t>
      </w:r>
      <w:r w:rsidR="00CC6143">
        <w:t>um</w:t>
      </w:r>
      <w:r>
        <w:t>; Light green– complete sept</w:t>
      </w:r>
      <w:r w:rsidR="00CC6143">
        <w:t>um</w:t>
      </w:r>
      <w:r>
        <w:t>; Yellow– growth defects; Orange–</w:t>
      </w:r>
      <w:r w:rsidR="002D520E">
        <w:t xml:space="preserve"> </w:t>
      </w:r>
      <w:r>
        <w:t>any specific morphology of interest</w:t>
      </w:r>
      <w:r w:rsidR="002D520E">
        <w:t>, for example in this case we are showing plasmolysed cells regardless of their division stage</w:t>
      </w:r>
      <w:r>
        <w:t>.</w:t>
      </w:r>
    </w:p>
    <w:p w14:paraId="5BBD97F0" w14:textId="1F4EEF56" w:rsidR="00D46FEE" w:rsidRDefault="00FD473E" w:rsidP="00DA5360">
      <w:pPr>
        <w:pStyle w:val="Heading2"/>
      </w:pPr>
      <w:bookmarkStart w:id="449" w:name="_Ref74391660"/>
      <w:bookmarkStart w:id="450" w:name="_Ref79699317"/>
      <w:bookmarkStart w:id="451" w:name="_Toc90216849"/>
      <w:r>
        <w:lastRenderedPageBreak/>
        <w:t>C</w:t>
      </w:r>
      <w:r w:rsidR="0002374C">
        <w:t>ryo</w:t>
      </w:r>
      <w:r w:rsidR="00451D27">
        <w:t>-</w:t>
      </w:r>
      <w:r w:rsidR="00CC235C">
        <w:t xml:space="preserve">transmission </w:t>
      </w:r>
      <w:r w:rsidR="0002374C">
        <w:t>electron microscopy</w:t>
      </w:r>
      <w:bookmarkEnd w:id="449"/>
      <w:bookmarkEnd w:id="450"/>
      <w:r w:rsidR="00CC235C">
        <w:t xml:space="preserve"> (cryo-TEM)</w:t>
      </w:r>
      <w:r w:rsidR="007006CC">
        <w:t>.</w:t>
      </w:r>
      <w:bookmarkEnd w:id="451"/>
    </w:p>
    <w:p w14:paraId="25063310" w14:textId="32407688" w:rsidR="00DA5360" w:rsidRDefault="00DA5360" w:rsidP="00DA5360">
      <w:pPr>
        <w:pStyle w:val="Heading3"/>
      </w:pPr>
      <w:bookmarkStart w:id="452" w:name="_Ref79791763"/>
      <w:bookmarkStart w:id="453" w:name="_Toc90216850"/>
      <w:r>
        <w:t>Cryo-</w:t>
      </w:r>
      <w:r w:rsidR="00F013EC">
        <w:t>T</w:t>
      </w:r>
      <w:r>
        <w:t>EM grid preparation</w:t>
      </w:r>
      <w:bookmarkEnd w:id="452"/>
      <w:r w:rsidR="007006CC">
        <w:t>.</w:t>
      </w:r>
      <w:bookmarkEnd w:id="453"/>
    </w:p>
    <w:p w14:paraId="79A387DE" w14:textId="017BC6B0" w:rsidR="00AC3451" w:rsidRDefault="00AC3451" w:rsidP="00AC3451">
      <w:r>
        <w:t xml:space="preserve">For cryo-TEM of vitrified sections, </w:t>
      </w:r>
      <w:r w:rsidR="00230EC6">
        <w:t xml:space="preserve">fine </w:t>
      </w:r>
      <w:r>
        <w:t>1500</w:t>
      </w:r>
      <w:r w:rsidR="00230EC6">
        <w:t>-</w:t>
      </w:r>
      <w:r>
        <w:t>mesh copper grids were selected</w:t>
      </w:r>
      <w:r w:rsidR="00BA6B9E">
        <w:t xml:space="preserve"> (G1500HH-C3, Gilder Grids).</w:t>
      </w:r>
      <w:r w:rsidR="00920CBF">
        <w:t xml:space="preserve"> </w:t>
      </w:r>
      <w:r w:rsidR="006A69DA">
        <w:t>Grids were carbon-coated using the Quorum Q150T ES</w:t>
      </w:r>
      <w:r w:rsidR="005C7766">
        <w:t xml:space="preserve"> and following the protocol </w:t>
      </w:r>
      <w:r w:rsidR="00696956">
        <w:t>described</w:t>
      </w:r>
      <w:r w:rsidR="005C7766">
        <w:t xml:space="preserve"> by Harris (2007) </w:t>
      </w:r>
      <w:r w:rsidR="005C7766">
        <w:fldChar w:fldCharType="begin" w:fldLock="1"/>
      </w:r>
      <w:r w:rsidR="0058736C">
        <w:instrText>ADDIN CSL_CITATION {"citationItems":[{"id":"ITEM-1","itemData":{"DOI":"10.1007/978-1-59745-294-6_7","ISBN":"978-1-58829-573-6","ISSN":"1064-3745","abstract":"Negative staining is widely applicable to isolated viruses, protein molecules, macro-molecular assemblies and fibrils, subcellular membrane fractions, liposomes and artificial membranes, synthetic DNA arrays, and also to polymer solutions. In this chapter, techniques are provided for the preparation of the necessary support films (continuous carbon and holey/perforated carbon). The range of suitable negative stains is presented, with some emphasis on the benefit of using ammonium molybdate and of negative stain-trehalose combinations. Protocols are provided for the single-droplet negative staining technique (on continuous and holey carbon support films), the negative staining-carbon film technique, for randomly dispersed fragile molecules, 2D crystallization of proteins, and for cleavage of cells and organelles. The newly developed cryonegative staining procedure also is included. Immunonegative staining and negative staining of affinity labeled complexes (e.g., biotin-streptavidin) are discussed in some detail. The formation of immune complexes in solution for droplet negative staining is presented, as is the use of carbon-plastic support films as an adsorption surface on which to perform immunolabeling or affinity experiments, before negative staining. Dynamic biological systems can be investigated by negative staining, where the time period is in excess of a few minutes, but there are possibilities to greatly reduce the time by rapid stabilization of molecular systems with uranyl acetate or tannic acid.","author":[{"dropping-particle":"","family":"Harris","given":"J. Robin","non-dropping-particle":"","parse-names":false,"suffix":""}],"container-title":"Electron Microscopy. Methods in Molecular Biology™","edition":"369","editor":[{"dropping-particle":"","family":"Kuo","given":"John","non-dropping-particle":"","parse-names":false,"suffix":""}],"id":"ITEM-1","issued":{"date-parts":[["2007"]]},"page":"107-142","publisher":"Humana Press","title":"Negative Staining of Thinly Spread Biological Samples","type":"chapter"},"uris":["http://www.mendeley.com/documents/?uuid=45b4f35d-02c3-337a-a873-49dcea6a4e10"]}],"mendeley":{"formattedCitation":"&lt;sup&gt;[242]&lt;/sup&gt;","plainTextFormattedCitation":"[242]","previouslyFormattedCitation":"&lt;sup&gt;[242]&lt;/sup&gt;"},"properties":{"noteIndex":0},"schema":"https://github.com/citation-style-language/schema/raw/master/csl-citation.json"}</w:instrText>
      </w:r>
      <w:r w:rsidR="005C7766">
        <w:fldChar w:fldCharType="separate"/>
      </w:r>
      <w:r w:rsidR="002659E5" w:rsidRPr="002659E5">
        <w:rPr>
          <w:noProof/>
          <w:vertAlign w:val="superscript"/>
        </w:rPr>
        <w:t>[242]</w:t>
      </w:r>
      <w:r w:rsidR="005C7766">
        <w:fldChar w:fldCharType="end"/>
      </w:r>
      <w:r w:rsidR="005C7766">
        <w:t>.</w:t>
      </w:r>
    </w:p>
    <w:p w14:paraId="5DE9EC9C" w14:textId="7AAA3055" w:rsidR="00C1487F" w:rsidRDefault="00A775FE" w:rsidP="00AC3451">
      <w:r>
        <w:t>H</w:t>
      </w:r>
      <w:r w:rsidR="00C1487F">
        <w:t xml:space="preserve">igh purity carbon </w:t>
      </w:r>
      <w:r w:rsidR="00230EC6">
        <w:t xml:space="preserve">rods </w:t>
      </w:r>
      <w:r w:rsidR="00C1487F">
        <w:t>(Agar Scientific) w</w:t>
      </w:r>
      <w:r w:rsidR="00230EC6">
        <w:t>ere</w:t>
      </w:r>
      <w:r w:rsidR="00C1487F">
        <w:t xml:space="preserve"> evaporated onto a freshly exposed sheet of mica (Agar Scientific) on filter paper, using the Quorum Q150T</w:t>
      </w:r>
      <w:r w:rsidR="006A69DA">
        <w:t xml:space="preserve"> ES</w:t>
      </w:r>
      <w:r w:rsidR="00920CBF">
        <w:t xml:space="preserve"> under high vacuum (~ 10</w:t>
      </w:r>
      <w:r w:rsidR="00920CBF">
        <w:rPr>
          <w:vertAlign w:val="superscript"/>
        </w:rPr>
        <w:t>-5</w:t>
      </w:r>
      <w:r w:rsidR="00920CBF">
        <w:t> mbar and lower).</w:t>
      </w:r>
    </w:p>
    <w:p w14:paraId="2D47CDEF" w14:textId="0AD4ECF6" w:rsidR="0057725E" w:rsidRDefault="00893C52" w:rsidP="0057725E">
      <w:r>
        <w:t>The copper grids were</w:t>
      </w:r>
      <w:r w:rsidR="0057725E">
        <w:t xml:space="preserve"> then place</w:t>
      </w:r>
      <w:r w:rsidR="00A775FE">
        <w:t>d</w:t>
      </w:r>
      <w:r w:rsidR="0057725E">
        <w:t xml:space="preserve"> onto filter paper submerged under a dH</w:t>
      </w:r>
      <w:r w:rsidR="0057725E">
        <w:rPr>
          <w:vertAlign w:val="subscript"/>
        </w:rPr>
        <w:t>2</w:t>
      </w:r>
      <w:r w:rsidR="0057725E">
        <w:t>O bath.</w:t>
      </w:r>
      <w:r w:rsidR="0057725E" w:rsidRPr="0057725E">
        <w:t xml:space="preserve"> </w:t>
      </w:r>
      <w:r w:rsidR="0057725E">
        <w:t>The carbon layer was then floated onto the surface of dH</w:t>
      </w:r>
      <w:r w:rsidR="0057725E">
        <w:rPr>
          <w:vertAlign w:val="subscript"/>
        </w:rPr>
        <w:t>2</w:t>
      </w:r>
      <w:r w:rsidR="0057725E">
        <w:t>O</w:t>
      </w:r>
      <w:r w:rsidR="00C66719">
        <w:t>, over the EM grids, and the water was slowly drained until the carbon layer was lowered and deposited onto the EM grids.</w:t>
      </w:r>
      <w:r w:rsidR="005C7766">
        <w:t xml:space="preserve"> </w:t>
      </w:r>
      <w:r w:rsidR="00696956">
        <w:t>Grids were left to dry overnight before use.</w:t>
      </w:r>
    </w:p>
    <w:p w14:paraId="6548E82A" w14:textId="6E101366" w:rsidR="00CC235C" w:rsidRDefault="00CC235C" w:rsidP="00CC235C">
      <w:pPr>
        <w:pStyle w:val="Heading3"/>
      </w:pPr>
      <w:bookmarkStart w:id="454" w:name="_Toc90216851"/>
      <w:r>
        <w:t>Cryo-electron microscopy of vitreous sections (CEMOVIS)</w:t>
      </w:r>
      <w:r w:rsidR="007006CC">
        <w:t>.</w:t>
      </w:r>
      <w:bookmarkEnd w:id="454"/>
    </w:p>
    <w:p w14:paraId="01084198" w14:textId="00DADDB6" w:rsidR="00CC235C" w:rsidRPr="00CC235C" w:rsidRDefault="00CC235C" w:rsidP="00CC235C">
      <w:r>
        <w:t xml:space="preserve">Bacterial cultures were grown in TSB with 10 % (v/v) glycerol and harvested as previously described (section </w:t>
      </w:r>
      <w:r>
        <w:fldChar w:fldCharType="begin"/>
      </w:r>
      <w:r>
        <w:instrText xml:space="preserve"> REF _Ref72838362 \r \h </w:instrText>
      </w:r>
      <w:r>
        <w:fldChar w:fldCharType="separate"/>
      </w:r>
      <w:r w:rsidR="00183CC8">
        <w:t>2.11.3</w:t>
      </w:r>
      <w:r>
        <w:fldChar w:fldCharType="end"/>
      </w:r>
      <w:r>
        <w:t xml:space="preserve"> and </w:t>
      </w:r>
      <w:r>
        <w:fldChar w:fldCharType="begin"/>
      </w:r>
      <w:r>
        <w:instrText xml:space="preserve"> REF _Ref79787105 \r \h </w:instrText>
      </w:r>
      <w:r>
        <w:fldChar w:fldCharType="separate"/>
      </w:r>
      <w:r w:rsidR="00183CC8">
        <w:t>2.20.2.1</w:t>
      </w:r>
      <w:r>
        <w:fldChar w:fldCharType="end"/>
      </w:r>
      <w:r>
        <w:t>).</w:t>
      </w:r>
    </w:p>
    <w:p w14:paraId="19617975" w14:textId="79C521A5" w:rsidR="00DA5360" w:rsidRDefault="00DA5360" w:rsidP="003E724A">
      <w:pPr>
        <w:pStyle w:val="Heading4"/>
      </w:pPr>
      <w:bookmarkStart w:id="455" w:name="_Toc90216852"/>
      <w:r>
        <w:t>High-pressure freezing (HPF) copper tube system</w:t>
      </w:r>
      <w:r w:rsidR="007006CC">
        <w:t>.</w:t>
      </w:r>
      <w:bookmarkEnd w:id="455"/>
    </w:p>
    <w:p w14:paraId="4D3C521F" w14:textId="339E5EE3" w:rsidR="00CE31E8" w:rsidRPr="00CE31E8" w:rsidRDefault="00CE31E8" w:rsidP="00CE31E8">
      <w:r>
        <w:t>High-pressure freezing (HPF) was performed with Leica EM PACT2 RTS (Leica Microsystems)</w:t>
      </w:r>
      <w:r w:rsidR="00745123">
        <w:t xml:space="preserve"> using the specimen </w:t>
      </w:r>
      <w:r w:rsidR="00D73D49">
        <w:t xml:space="preserve">copper (Cu) </w:t>
      </w:r>
      <w:r w:rsidR="00745123">
        <w:t>tube system.</w:t>
      </w:r>
    </w:p>
    <w:p w14:paraId="44F8B440" w14:textId="1CD358B0" w:rsidR="00195459" w:rsidRDefault="00745123" w:rsidP="00AA22CC">
      <w:r>
        <w:t>The sample was</w:t>
      </w:r>
      <w:r w:rsidR="00BC7B44">
        <w:t xml:space="preserve"> re-suspended in 2.3 M sucrose solution </w:t>
      </w:r>
      <w:r w:rsidR="004739F0">
        <w:t>to help reach the ideal</w:t>
      </w:r>
      <w:r w:rsidR="00BC7B44">
        <w:t xml:space="preserve"> density for loading into the specimen tube. The amount added depended on the size of the pellet. </w:t>
      </w:r>
      <w:r w:rsidR="004739F0">
        <w:t>The end of a 200 µl pipette tip was cut using a razor blade so as to fit the 650 µm diameter of the specimen tube. The cut pipette tip was then attached to a 1 ml syringe and was used to collect the sample suspension.</w:t>
      </w:r>
      <w:r w:rsidR="00C958BA">
        <w:t xml:space="preserve"> The specimen tube, already fixed in the tube holder, was attached to the cut pipette tip and the sample was pushed through until sample came out the other end of the tube.</w:t>
      </w:r>
      <w:r w:rsidR="00C123F4">
        <w:t xml:space="preserve"> </w:t>
      </w:r>
      <w:r w:rsidR="00471E26">
        <w:t xml:space="preserve">Vitrification was carried out following the manufacturer’s instructions. Once frozen, </w:t>
      </w:r>
      <w:r w:rsidR="0046044A">
        <w:t>the tubes were quickly transferred to an insulated container filled with liquid nitrogen</w:t>
      </w:r>
      <w:r w:rsidR="00462851">
        <w:t xml:space="preserve"> (LN</w:t>
      </w:r>
      <w:r w:rsidR="00462851">
        <w:rPr>
          <w:vertAlign w:val="subscript"/>
        </w:rPr>
        <w:t>2</w:t>
      </w:r>
      <w:r w:rsidR="00462851" w:rsidRPr="00462851">
        <w:t>)</w:t>
      </w:r>
      <w:r w:rsidR="00C123F4">
        <w:t>,</w:t>
      </w:r>
      <w:r w:rsidR="00E651AA">
        <w:t xml:space="preserve"> </w:t>
      </w:r>
      <w:r w:rsidR="00E651AA">
        <w:lastRenderedPageBreak/>
        <w:t>where they were punched-out of the tube holder with the punching tool provided (Leica). The cut vitrified tubes were then stored in cryo-tubes with LN</w:t>
      </w:r>
      <w:r w:rsidR="00E651AA">
        <w:rPr>
          <w:vertAlign w:val="subscript"/>
        </w:rPr>
        <w:t>2</w:t>
      </w:r>
      <w:r w:rsidR="00E651AA">
        <w:t xml:space="preserve"> in a LN</w:t>
      </w:r>
      <w:r w:rsidR="00E651AA">
        <w:rPr>
          <w:vertAlign w:val="subscript"/>
        </w:rPr>
        <w:t>2</w:t>
      </w:r>
      <w:r w:rsidR="00E651AA">
        <w:t xml:space="preserve"> Dewar.</w:t>
      </w:r>
    </w:p>
    <w:p w14:paraId="7F104644" w14:textId="1AA89EDF" w:rsidR="00770D74" w:rsidRPr="00EE1F03" w:rsidRDefault="00770D74" w:rsidP="003E724A">
      <w:pPr>
        <w:pStyle w:val="Heading4"/>
      </w:pPr>
      <w:bookmarkStart w:id="456" w:name="_Toc90216853"/>
      <w:r w:rsidRPr="00EE1F03">
        <w:t>Cryo-sectioning</w:t>
      </w:r>
      <w:r w:rsidR="003E724A">
        <w:t xml:space="preserve"> of frozen-hydrated samples</w:t>
      </w:r>
      <w:r w:rsidR="007006CC">
        <w:t>.</w:t>
      </w:r>
      <w:bookmarkEnd w:id="456"/>
    </w:p>
    <w:p w14:paraId="353DBB73" w14:textId="21F2F524" w:rsidR="00EC462B" w:rsidRDefault="00BD7FA8" w:rsidP="00EC462B">
      <w:pPr>
        <w:rPr>
          <w:rFonts w:ascii="Calibri" w:eastAsia="Times New Roman" w:hAnsi="Calibri" w:cs="Calibri"/>
          <w:szCs w:val="24"/>
          <w:lang w:eastAsia="en-GB"/>
        </w:rPr>
      </w:pPr>
      <w:r>
        <w:t>Cryo-sectioning</w:t>
      </w:r>
      <w:r w:rsidR="00781D1C">
        <w:t xml:space="preserve"> was carried out using the </w:t>
      </w:r>
      <w:r w:rsidR="00781D1C" w:rsidRPr="00781D1C">
        <w:t xml:space="preserve">Leica EM UC6/FC6 cryo- ultramicrotome </w:t>
      </w:r>
      <w:r w:rsidR="00781D1C">
        <w:t>(Leica Microsystems)</w:t>
      </w:r>
      <w:r w:rsidR="00EF16FB">
        <w:t xml:space="preserve"> in a humidity controlled room.</w:t>
      </w:r>
      <w:r w:rsidR="00EC462B">
        <w:t xml:space="preserve"> The temperature of the knife, specimen and</w:t>
      </w:r>
      <w:r w:rsidR="00C40296">
        <w:t xml:space="preserve"> cryo-</w:t>
      </w:r>
      <w:r w:rsidR="00EC462B">
        <w:t xml:space="preserve"> chamber was set to –</w:t>
      </w:r>
      <w:r w:rsidR="00011674">
        <w:t> </w:t>
      </w:r>
      <w:r w:rsidR="00EC462B">
        <w:t>120 </w:t>
      </w:r>
      <w:r w:rsidR="00EC462B" w:rsidRPr="00EC462B">
        <w:rPr>
          <w:rFonts w:ascii="Calibri" w:eastAsia="Times New Roman" w:hAnsi="Calibri" w:cs="Calibri"/>
          <w:szCs w:val="24"/>
          <w:lang w:eastAsia="en-GB"/>
        </w:rPr>
        <w:t>°C</w:t>
      </w:r>
      <w:r w:rsidR="00EC462B">
        <w:rPr>
          <w:rFonts w:ascii="Calibri" w:eastAsia="Times New Roman" w:hAnsi="Calibri" w:cs="Calibri"/>
          <w:szCs w:val="24"/>
          <w:lang w:eastAsia="en-GB"/>
        </w:rPr>
        <w:t>.</w:t>
      </w:r>
      <w:r w:rsidR="000155B1">
        <w:rPr>
          <w:rFonts w:ascii="Calibri" w:eastAsia="Times New Roman" w:hAnsi="Calibri" w:cs="Calibri"/>
          <w:szCs w:val="24"/>
          <w:lang w:eastAsia="en-GB"/>
        </w:rPr>
        <w:t xml:space="preserve"> The </w:t>
      </w:r>
      <w:r w:rsidR="00C204E3">
        <w:rPr>
          <w:rFonts w:ascii="Calibri" w:eastAsia="Times New Roman" w:hAnsi="Calibri" w:cs="Calibri"/>
          <w:szCs w:val="24"/>
          <w:lang w:eastAsia="en-GB"/>
        </w:rPr>
        <w:t xml:space="preserve">diamond knives </w:t>
      </w:r>
      <w:r w:rsidR="000155B1">
        <w:rPr>
          <w:rFonts w:ascii="Calibri" w:eastAsia="Times New Roman" w:hAnsi="Calibri" w:cs="Calibri"/>
          <w:szCs w:val="24"/>
          <w:lang w:eastAsia="en-GB"/>
        </w:rPr>
        <w:t>cryotrim 45 ° (</w:t>
      </w:r>
      <w:r w:rsidR="000155B1" w:rsidRPr="000155B1">
        <w:rPr>
          <w:rFonts w:ascii="Calibri" w:eastAsia="Times New Roman" w:hAnsi="Calibri" w:cs="Calibri"/>
          <w:szCs w:val="24"/>
          <w:lang w:eastAsia="en-GB"/>
        </w:rPr>
        <w:t>CT600</w:t>
      </w:r>
      <w:r w:rsidR="000155B1">
        <w:rPr>
          <w:rFonts w:ascii="Calibri" w:eastAsia="Times New Roman" w:hAnsi="Calibri" w:cs="Calibri"/>
          <w:szCs w:val="24"/>
          <w:lang w:eastAsia="en-GB"/>
        </w:rPr>
        <w:t>, DiATOME) and cryo 25 ° (</w:t>
      </w:r>
      <w:r w:rsidR="000155B1" w:rsidRPr="000155B1">
        <w:rPr>
          <w:rFonts w:ascii="Calibri" w:eastAsia="Times New Roman" w:hAnsi="Calibri" w:cs="Calibri"/>
          <w:szCs w:val="24"/>
          <w:lang w:eastAsia="en-GB"/>
        </w:rPr>
        <w:t>MT16094</w:t>
      </w:r>
      <w:r w:rsidR="000155B1">
        <w:rPr>
          <w:rFonts w:ascii="Calibri" w:eastAsia="Times New Roman" w:hAnsi="Calibri" w:cs="Calibri"/>
          <w:szCs w:val="24"/>
          <w:lang w:eastAsia="en-GB"/>
        </w:rPr>
        <w:t xml:space="preserve">, DiATOME) were chosen for trimming the </w:t>
      </w:r>
      <w:r w:rsidR="00D73D49">
        <w:rPr>
          <w:rFonts w:ascii="Calibri" w:eastAsia="Times New Roman" w:hAnsi="Calibri" w:cs="Calibri"/>
          <w:szCs w:val="24"/>
          <w:lang w:eastAsia="en-GB"/>
        </w:rPr>
        <w:t>Cu</w:t>
      </w:r>
      <w:r w:rsidR="000155B1">
        <w:rPr>
          <w:rFonts w:ascii="Calibri" w:eastAsia="Times New Roman" w:hAnsi="Calibri" w:cs="Calibri"/>
          <w:szCs w:val="24"/>
          <w:lang w:eastAsia="en-GB"/>
        </w:rPr>
        <w:t xml:space="preserve"> tube and sectioning the sample, respectively.</w:t>
      </w:r>
      <w:r w:rsidR="00FA78EC">
        <w:rPr>
          <w:rFonts w:ascii="Calibri" w:eastAsia="Times New Roman" w:hAnsi="Calibri" w:cs="Calibri"/>
          <w:szCs w:val="24"/>
          <w:lang w:eastAsia="en-GB"/>
        </w:rPr>
        <w:t xml:space="preserve"> An ioniser antistatic device was setup and used both for trimming and sectioning</w:t>
      </w:r>
      <w:r w:rsidR="00C80D99">
        <w:rPr>
          <w:rFonts w:ascii="Calibri" w:eastAsia="Times New Roman" w:hAnsi="Calibri" w:cs="Calibri"/>
          <w:szCs w:val="24"/>
          <w:lang w:eastAsia="en-GB"/>
        </w:rPr>
        <w:t>.</w:t>
      </w:r>
    </w:p>
    <w:p w14:paraId="3C382A8E" w14:textId="49730A50" w:rsidR="001D2548" w:rsidRPr="001D2548" w:rsidRDefault="001D2548" w:rsidP="00EC462B">
      <w:r>
        <w:rPr>
          <w:rFonts w:ascii="Calibri" w:eastAsia="Times New Roman" w:hAnsi="Calibri" w:cs="Calibri"/>
          <w:szCs w:val="24"/>
          <w:lang w:eastAsia="en-GB"/>
        </w:rPr>
        <w:t xml:space="preserve">The cryo-sectioning protocol was modified from Ng </w:t>
      </w:r>
      <w:r>
        <w:rPr>
          <w:rFonts w:ascii="Calibri" w:eastAsia="Times New Roman" w:hAnsi="Calibri" w:cs="Calibri"/>
          <w:i/>
          <w:iCs/>
          <w:szCs w:val="24"/>
          <w:lang w:eastAsia="en-GB"/>
        </w:rPr>
        <w:t>et al.</w:t>
      </w:r>
      <w:r w:rsidR="004A7BD7">
        <w:rPr>
          <w:rFonts w:ascii="Calibri" w:eastAsia="Times New Roman" w:hAnsi="Calibri" w:cs="Calibri"/>
          <w:i/>
          <w:iCs/>
          <w:szCs w:val="24"/>
          <w:lang w:eastAsia="en-GB"/>
        </w:rPr>
        <w:t>,</w:t>
      </w:r>
      <w:r>
        <w:rPr>
          <w:rFonts w:ascii="Calibri" w:eastAsia="Times New Roman" w:hAnsi="Calibri" w:cs="Calibri"/>
          <w:szCs w:val="24"/>
          <w:lang w:eastAsia="en-GB"/>
        </w:rPr>
        <w:t xml:space="preserve"> (2020) </w:t>
      </w:r>
      <w:r>
        <w:rPr>
          <w:rFonts w:ascii="Calibri" w:eastAsia="Times New Roman" w:hAnsi="Calibri" w:cs="Calibri"/>
          <w:szCs w:val="24"/>
          <w:lang w:eastAsia="en-GB"/>
        </w:rPr>
        <w:fldChar w:fldCharType="begin" w:fldLock="1"/>
      </w:r>
      <w:r w:rsidR="0058736C">
        <w:rPr>
          <w:rFonts w:ascii="Calibri" w:eastAsia="Times New Roman" w:hAnsi="Calibri" w:cs="Calibri"/>
          <w:szCs w:val="24"/>
          <w:lang w:eastAsia="en-GB"/>
        </w:rPr>
        <w:instrText>ADDIN CSL_CITATION {"citationItems":[{"id":"ITEM-1","itemData":{"DOI":"10.21769/bioprotoc.3831","ISSN":"2331-8325","author":[{"dropping-particle":"","family":"Ng","given":"Cai Tong","non-dropping-particle":"","parse-names":false,"suffix":""},{"dropping-particle":"","family":"Ladinsky","given":"Mark","non-dropping-particle":"","parse-names":false,"suffix":""},{"dropping-particle":"","family":"Gan","given":"Lu","non-dropping-particle":"","parse-names":false,"suffix":""}],"container-title":"Bio-Protocol","id":"ITEM-1","issue":"22","issued":{"date-parts":[["2020"]]},"page":"1-15","title":"Serial Cryomicrotomy of Saccharomyces cerevisiae for Serial Electron Cryotomography","type":"article-journal","volume":"10"},"uris":["http://www.mendeley.com/documents/?uuid=a9514d30-8a7c-405e-a337-b5325669a8d1"]}],"mendeley":{"formattedCitation":"&lt;sup&gt;[243]&lt;/sup&gt;","plainTextFormattedCitation":"[243]","previouslyFormattedCitation":"&lt;sup&gt;[243]&lt;/sup&gt;"},"properties":{"noteIndex":0},"schema":"https://github.com/citation-style-language/schema/raw/master/csl-citation.json"}</w:instrText>
      </w:r>
      <w:r>
        <w:rPr>
          <w:rFonts w:ascii="Calibri" w:eastAsia="Times New Roman" w:hAnsi="Calibri" w:cs="Calibri"/>
          <w:szCs w:val="24"/>
          <w:lang w:eastAsia="en-GB"/>
        </w:rPr>
        <w:fldChar w:fldCharType="separate"/>
      </w:r>
      <w:r w:rsidR="002659E5" w:rsidRPr="002659E5">
        <w:rPr>
          <w:rFonts w:ascii="Calibri" w:eastAsia="Times New Roman" w:hAnsi="Calibri" w:cs="Calibri"/>
          <w:noProof/>
          <w:szCs w:val="24"/>
          <w:vertAlign w:val="superscript"/>
          <w:lang w:eastAsia="en-GB"/>
        </w:rPr>
        <w:t>[243]</w:t>
      </w:r>
      <w:r>
        <w:rPr>
          <w:rFonts w:ascii="Calibri" w:eastAsia="Times New Roman" w:hAnsi="Calibri" w:cs="Calibri"/>
          <w:szCs w:val="24"/>
          <w:lang w:eastAsia="en-GB"/>
        </w:rPr>
        <w:fldChar w:fldCharType="end"/>
      </w:r>
      <w:r>
        <w:rPr>
          <w:rFonts w:ascii="Calibri" w:eastAsia="Times New Roman" w:hAnsi="Calibri" w:cs="Calibri"/>
          <w:szCs w:val="24"/>
          <w:lang w:eastAsia="en-GB"/>
        </w:rPr>
        <w:t>.</w:t>
      </w:r>
      <w:r w:rsidR="00D73D49">
        <w:rPr>
          <w:rFonts w:ascii="Calibri" w:eastAsia="Times New Roman" w:hAnsi="Calibri" w:cs="Calibri"/>
          <w:szCs w:val="24"/>
          <w:lang w:eastAsia="en-GB"/>
        </w:rPr>
        <w:t xml:space="preserve"> The </w:t>
      </w:r>
      <w:r w:rsidR="00EF6CE7">
        <w:rPr>
          <w:rFonts w:ascii="Calibri" w:eastAsia="Times New Roman" w:hAnsi="Calibri" w:cs="Calibri"/>
          <w:szCs w:val="24"/>
          <w:lang w:eastAsia="en-GB"/>
        </w:rPr>
        <w:t xml:space="preserve">face of the </w:t>
      </w:r>
      <w:r w:rsidR="00D73D49">
        <w:rPr>
          <w:rFonts w:ascii="Calibri" w:eastAsia="Times New Roman" w:hAnsi="Calibri" w:cs="Calibri"/>
          <w:szCs w:val="24"/>
          <w:lang w:eastAsia="en-GB"/>
        </w:rPr>
        <w:t xml:space="preserve">Cu tube was trimmed </w:t>
      </w:r>
      <w:r w:rsidR="00EF6CE7">
        <w:rPr>
          <w:rFonts w:ascii="Calibri" w:eastAsia="Times New Roman" w:hAnsi="Calibri" w:cs="Calibri"/>
          <w:szCs w:val="24"/>
          <w:lang w:eastAsia="en-GB"/>
        </w:rPr>
        <w:t>to expose the sample</w:t>
      </w:r>
      <w:r w:rsidR="00D73D49">
        <w:rPr>
          <w:rFonts w:ascii="Calibri" w:eastAsia="Times New Roman" w:hAnsi="Calibri" w:cs="Calibri"/>
          <w:szCs w:val="24"/>
          <w:lang w:eastAsia="en-GB"/>
        </w:rPr>
        <w:t xml:space="preserve">. </w:t>
      </w:r>
      <w:r w:rsidR="00EF6CE7">
        <w:rPr>
          <w:rFonts w:ascii="Calibri" w:eastAsia="Times New Roman" w:hAnsi="Calibri" w:cs="Calibri"/>
          <w:szCs w:val="24"/>
          <w:lang w:eastAsia="en-GB"/>
        </w:rPr>
        <w:t>Trimming</w:t>
      </w:r>
      <w:r w:rsidR="00D73D49">
        <w:rPr>
          <w:rFonts w:ascii="Calibri" w:eastAsia="Times New Roman" w:hAnsi="Calibri" w:cs="Calibri"/>
          <w:szCs w:val="24"/>
          <w:lang w:eastAsia="en-GB"/>
        </w:rPr>
        <w:t xml:space="preserve"> was carried out with the cryotrim 45 ° </w:t>
      </w:r>
      <w:r w:rsidR="00BB0C81">
        <w:rPr>
          <w:rFonts w:ascii="Calibri" w:eastAsia="Times New Roman" w:hAnsi="Calibri" w:cs="Calibri"/>
          <w:szCs w:val="24"/>
          <w:lang w:eastAsia="en-GB"/>
        </w:rPr>
        <w:t xml:space="preserve">diamond </w:t>
      </w:r>
      <w:r w:rsidR="00D73D49">
        <w:rPr>
          <w:rFonts w:ascii="Calibri" w:eastAsia="Times New Roman" w:hAnsi="Calibri" w:cs="Calibri"/>
          <w:szCs w:val="24"/>
          <w:lang w:eastAsia="en-GB"/>
        </w:rPr>
        <w:t>knife with a speed of 50 mm/s and a 500 nm feed with medium return speed. The las</w:t>
      </w:r>
      <w:r w:rsidR="00E63C3A">
        <w:rPr>
          <w:rFonts w:ascii="Calibri" w:eastAsia="Times New Roman" w:hAnsi="Calibri" w:cs="Calibri"/>
          <w:szCs w:val="24"/>
          <w:lang w:eastAsia="en-GB"/>
        </w:rPr>
        <w:t>t</w:t>
      </w:r>
      <w:r w:rsidR="00D73D49">
        <w:rPr>
          <w:rFonts w:ascii="Calibri" w:eastAsia="Times New Roman" w:hAnsi="Calibri" w:cs="Calibri"/>
          <w:szCs w:val="24"/>
          <w:lang w:eastAsia="en-GB"/>
        </w:rPr>
        <w:t xml:space="preserve"> 1 µm trim was done at 25 mm/s speed and 200 nm feed with medium return speed.</w:t>
      </w:r>
      <w:r w:rsidR="00EF6CE7">
        <w:rPr>
          <w:rFonts w:ascii="Calibri" w:eastAsia="Times New Roman" w:hAnsi="Calibri" w:cs="Calibri"/>
          <w:szCs w:val="24"/>
          <w:lang w:eastAsia="en-GB"/>
        </w:rPr>
        <w:t xml:space="preserve"> The tube was then trimmed at the sides to </w:t>
      </w:r>
      <w:r w:rsidR="00D871F1">
        <w:rPr>
          <w:rFonts w:ascii="Calibri" w:eastAsia="Times New Roman" w:hAnsi="Calibri" w:cs="Calibri"/>
          <w:szCs w:val="24"/>
          <w:lang w:eastAsia="en-GB"/>
        </w:rPr>
        <w:t xml:space="preserve">expose the specimen from the sides and </w:t>
      </w:r>
      <w:r w:rsidR="00EF6CE7">
        <w:rPr>
          <w:rFonts w:ascii="Calibri" w:eastAsia="Times New Roman" w:hAnsi="Calibri" w:cs="Calibri"/>
          <w:szCs w:val="24"/>
          <w:lang w:eastAsia="en-GB"/>
        </w:rPr>
        <w:t>create a square mesa</w:t>
      </w:r>
      <w:r w:rsidR="00D871F1">
        <w:rPr>
          <w:rFonts w:ascii="Calibri" w:eastAsia="Times New Roman" w:hAnsi="Calibri" w:cs="Calibri"/>
          <w:szCs w:val="24"/>
          <w:lang w:eastAsia="en-GB"/>
        </w:rPr>
        <w:t xml:space="preserve">. This mesa was trimmed with the </w:t>
      </w:r>
      <w:r w:rsidR="00EF6CE7">
        <w:rPr>
          <w:rFonts w:ascii="Calibri" w:eastAsia="Times New Roman" w:hAnsi="Calibri" w:cs="Calibri"/>
          <w:szCs w:val="24"/>
          <w:lang w:eastAsia="en-GB"/>
        </w:rPr>
        <w:t xml:space="preserve">cryotrim 45 ° knife at a 25-50 nm/s </w:t>
      </w:r>
      <w:r w:rsidR="003D3BAB">
        <w:rPr>
          <w:rFonts w:ascii="Calibri" w:eastAsia="Times New Roman" w:hAnsi="Calibri" w:cs="Calibri"/>
          <w:szCs w:val="24"/>
          <w:lang w:eastAsia="en-GB"/>
        </w:rPr>
        <w:t xml:space="preserve">cutting </w:t>
      </w:r>
      <w:r w:rsidR="00EF6CE7">
        <w:rPr>
          <w:rFonts w:ascii="Calibri" w:eastAsia="Times New Roman" w:hAnsi="Calibri" w:cs="Calibri"/>
          <w:szCs w:val="24"/>
          <w:lang w:eastAsia="en-GB"/>
        </w:rPr>
        <w:t>speed and a 200 nm feed with medium return speed.</w:t>
      </w:r>
    </w:p>
    <w:p w14:paraId="46EFA6E4" w14:textId="0CCD6551" w:rsidR="00BD7FA8" w:rsidRDefault="003D3BAB" w:rsidP="00AA22CC">
      <w:r>
        <w:t xml:space="preserve">Sectioning of the vitrified specimen was carried out with the cryo </w:t>
      </w:r>
      <w:r>
        <w:rPr>
          <w:rFonts w:ascii="Calibri" w:eastAsia="Times New Roman" w:hAnsi="Calibri" w:cs="Calibri"/>
          <w:szCs w:val="24"/>
          <w:lang w:eastAsia="en-GB"/>
        </w:rPr>
        <w:t>25 ° diamond knife at a 1 mm/s speed and a 50 nm feed with a slow return speed.</w:t>
      </w:r>
      <w:r w:rsidR="001A4210">
        <w:rPr>
          <w:rFonts w:ascii="Calibri" w:eastAsia="Times New Roman" w:hAnsi="Calibri" w:cs="Calibri"/>
          <w:szCs w:val="24"/>
          <w:lang w:eastAsia="en-GB"/>
        </w:rPr>
        <w:t xml:space="preserve"> An eyelash was used to extend the obtained ribbon of sections.</w:t>
      </w:r>
      <w:r w:rsidR="00BB7411">
        <w:rPr>
          <w:rFonts w:ascii="Calibri" w:eastAsia="Times New Roman" w:hAnsi="Calibri" w:cs="Calibri"/>
          <w:szCs w:val="24"/>
          <w:lang w:eastAsia="en-GB"/>
        </w:rPr>
        <w:t xml:space="preserve"> The grid holder provided with the FC6 was used to place a </w:t>
      </w:r>
      <w:r w:rsidR="00AC3451">
        <w:rPr>
          <w:rFonts w:ascii="Calibri" w:eastAsia="Times New Roman" w:hAnsi="Calibri" w:cs="Calibri"/>
          <w:szCs w:val="24"/>
          <w:lang w:eastAsia="en-GB"/>
        </w:rPr>
        <w:t>1500-mesh carbon-coated copper</w:t>
      </w:r>
      <w:r w:rsidR="00BB7411">
        <w:rPr>
          <w:rFonts w:ascii="Calibri" w:eastAsia="Times New Roman" w:hAnsi="Calibri" w:cs="Calibri"/>
          <w:szCs w:val="24"/>
          <w:lang w:eastAsia="en-GB"/>
        </w:rPr>
        <w:t xml:space="preserve"> grid (section </w:t>
      </w:r>
      <w:r w:rsidR="00BB7411">
        <w:rPr>
          <w:rFonts w:ascii="Calibri" w:eastAsia="Times New Roman" w:hAnsi="Calibri" w:cs="Calibri"/>
          <w:szCs w:val="24"/>
          <w:lang w:eastAsia="en-GB"/>
        </w:rPr>
        <w:fldChar w:fldCharType="begin"/>
      </w:r>
      <w:r w:rsidR="00BB7411">
        <w:rPr>
          <w:rFonts w:ascii="Calibri" w:eastAsia="Times New Roman" w:hAnsi="Calibri" w:cs="Calibri"/>
          <w:szCs w:val="24"/>
          <w:lang w:eastAsia="en-GB"/>
        </w:rPr>
        <w:instrText xml:space="preserve"> REF _Ref79791763 \r \h </w:instrText>
      </w:r>
      <w:r w:rsidR="00BB7411">
        <w:rPr>
          <w:rFonts w:ascii="Calibri" w:eastAsia="Times New Roman" w:hAnsi="Calibri" w:cs="Calibri"/>
          <w:szCs w:val="24"/>
          <w:lang w:eastAsia="en-GB"/>
        </w:rPr>
      </w:r>
      <w:r w:rsidR="00BB7411">
        <w:rPr>
          <w:rFonts w:ascii="Calibri" w:eastAsia="Times New Roman" w:hAnsi="Calibri" w:cs="Calibri"/>
          <w:szCs w:val="24"/>
          <w:lang w:eastAsia="en-GB"/>
        </w:rPr>
        <w:fldChar w:fldCharType="separate"/>
      </w:r>
      <w:r w:rsidR="00183CC8">
        <w:rPr>
          <w:rFonts w:ascii="Calibri" w:eastAsia="Times New Roman" w:hAnsi="Calibri" w:cs="Calibri"/>
          <w:szCs w:val="24"/>
          <w:lang w:eastAsia="en-GB"/>
        </w:rPr>
        <w:t>2.21.1</w:t>
      </w:r>
      <w:r w:rsidR="00BB7411">
        <w:rPr>
          <w:rFonts w:ascii="Calibri" w:eastAsia="Times New Roman" w:hAnsi="Calibri" w:cs="Calibri"/>
          <w:szCs w:val="24"/>
          <w:lang w:eastAsia="en-GB"/>
        </w:rPr>
        <w:fldChar w:fldCharType="end"/>
      </w:r>
      <w:r w:rsidR="00BB7411">
        <w:rPr>
          <w:rFonts w:ascii="Calibri" w:eastAsia="Times New Roman" w:hAnsi="Calibri" w:cs="Calibri"/>
          <w:szCs w:val="24"/>
          <w:lang w:eastAsia="en-GB"/>
        </w:rPr>
        <w:t>) underneath the ribbon.</w:t>
      </w:r>
      <w:r w:rsidR="005162FA">
        <w:rPr>
          <w:rFonts w:ascii="Calibri" w:eastAsia="Times New Roman" w:hAnsi="Calibri" w:cs="Calibri"/>
          <w:szCs w:val="24"/>
          <w:lang w:eastAsia="en-GB"/>
        </w:rPr>
        <w:t xml:space="preserve"> The sections were mounted onto the grid, and the grid press was used to flatten the sections.</w:t>
      </w:r>
      <w:r w:rsidR="002318F8">
        <w:rPr>
          <w:rFonts w:ascii="Calibri" w:eastAsia="Times New Roman" w:hAnsi="Calibri" w:cs="Calibri"/>
          <w:szCs w:val="24"/>
          <w:lang w:eastAsia="en-GB"/>
        </w:rPr>
        <w:t xml:space="preserve"> The obtained grid was stored in a cryo grid box in the </w:t>
      </w:r>
      <w:r w:rsidR="002318F8">
        <w:t>LN</w:t>
      </w:r>
      <w:r w:rsidR="002318F8">
        <w:rPr>
          <w:vertAlign w:val="subscript"/>
        </w:rPr>
        <w:t>2</w:t>
      </w:r>
      <w:r w:rsidR="002318F8">
        <w:t xml:space="preserve"> Dewar.</w:t>
      </w:r>
    </w:p>
    <w:p w14:paraId="681978C3" w14:textId="51E38217" w:rsidR="00770D74" w:rsidRDefault="00770D74" w:rsidP="00EE1F03">
      <w:pPr>
        <w:pStyle w:val="Heading3"/>
      </w:pPr>
      <w:bookmarkStart w:id="457" w:name="_Toc90216854"/>
      <w:r>
        <w:t>Cryo-</w:t>
      </w:r>
      <w:r w:rsidR="007834F8">
        <w:t>T</w:t>
      </w:r>
      <w:r>
        <w:t>EM</w:t>
      </w:r>
      <w:r w:rsidR="0009069B">
        <w:t xml:space="preserve"> microscop</w:t>
      </w:r>
      <w:r w:rsidR="00A775FE">
        <w:t>y</w:t>
      </w:r>
      <w:r w:rsidR="007006CC">
        <w:t>.</w:t>
      </w:r>
      <w:bookmarkEnd w:id="457"/>
    </w:p>
    <w:p w14:paraId="498B3468" w14:textId="1A3EF790" w:rsidR="00A402B0" w:rsidRPr="002763F8" w:rsidRDefault="00A402B0" w:rsidP="002763F8">
      <w:r>
        <w:t xml:space="preserve">Cryo-EM of vitrified sections was carried out with the FEI Tecnai Arctica cryo-EM microscope situated at the EM Facility in the University of Sheffield. The field emission gun operated at 200 kV and TEM micrographs were captured </w:t>
      </w:r>
      <w:r w:rsidR="00B3090B">
        <w:t xml:space="preserve">with </w:t>
      </w:r>
      <w:r>
        <w:t>a Falcon III direct electron detector (Thermo Fisher Scientific). CEMOVIS images were collected by Dr. Svet</w:t>
      </w:r>
      <w:r w:rsidR="00B52000">
        <w:t>omir</w:t>
      </w:r>
      <w:r>
        <w:t xml:space="preserve"> Tzokov.</w:t>
      </w:r>
    </w:p>
    <w:p w14:paraId="4D6EDDD2" w14:textId="20028539" w:rsidR="00D67FCF" w:rsidRDefault="00766C25" w:rsidP="00D67FCF">
      <w:pPr>
        <w:pStyle w:val="Heading3"/>
      </w:pPr>
      <w:bookmarkStart w:id="458" w:name="_Ref74392355"/>
      <w:bookmarkStart w:id="459" w:name="_Toc90216855"/>
      <w:bookmarkStart w:id="460" w:name="_Toc64276343"/>
      <w:bookmarkStart w:id="461" w:name="_Toc64276647"/>
      <w:bookmarkStart w:id="462" w:name="_Toc64276859"/>
      <w:r>
        <w:lastRenderedPageBreak/>
        <w:t xml:space="preserve">Cell envelope measurements </w:t>
      </w:r>
      <w:bookmarkEnd w:id="458"/>
      <w:r w:rsidR="0057563E">
        <w:t>from cryo-TEM</w:t>
      </w:r>
      <w:r w:rsidR="007006CC">
        <w:t>.</w:t>
      </w:r>
      <w:bookmarkEnd w:id="459"/>
    </w:p>
    <w:p w14:paraId="54981F46" w14:textId="1B9E13A3" w:rsidR="00343296" w:rsidRPr="00343296" w:rsidRDefault="00451D27" w:rsidP="00613E21">
      <w:r>
        <w:t xml:space="preserve">Cryo-TEM micrographs were analysed using the software Fiji (v2.1.0) </w:t>
      </w:r>
      <w:r>
        <w:fldChar w:fldCharType="begin" w:fldLock="1"/>
      </w:r>
      <w:r w:rsidR="0058736C">
        <w:instrText>ADDIN CSL_CITATION {"citationItems":[{"id":"ITEM-1","itemData":{"DOI":"10.1038/nmeth.2019","ISSN":"15487091","PMID":"22743772","abstract":"Fiji is a distribution of the popular open-source software ImageJ focused on biological-image analysis. Fiji uses modern software engineering practices to combine powerful software libraries with a broad range of scripting languages to enable rapid prototyping of image-processing algorithms. Fiji facilitates the transformation of new algorithms into ImageJ plugins that can be shared with end users through an integrated update system. We propose Fiji as a platform for productive collaboration between computer science and biology research communities. © 2012 Nature America, Inc. All rights reserved.","author":[{"dropping-particle":"","family":"Schindelin","given":"Johannes","non-dropping-particle":"","parse-names":false,"suffix":""},{"dropping-particle":"","family":"Arganda-Carreras","given":"Ignacio","non-dropping-particle":"","parse-names":false,"suffix":""},{"dropping-particle":"","family":"Frise","given":"Erwin","non-dropping-particle":"","parse-names":false,"suffix":""},{"dropping-particle":"","family":"Kaynig","given":"Verena","non-dropping-particle":"","parse-names":false,"suffix":""},{"dropping-particle":"","family":"Longair","given":"Mark","non-dropping-particle":"","parse-names":false,"suffix":""},{"dropping-particle":"","family":"Pietzsch","given":"Tobias","non-dropping-particle":"","parse-names":false,"suffix":""},{"dropping-particle":"","family":"Preibisch","given":"Stephan","non-dropping-particle":"","parse-names":false,"suffix":""},{"dropping-particle":"","family":"Rueden","given":"Curtis","non-dropping-particle":"","parse-names":false,"suffix":""},{"dropping-particle":"","family":"Saalfeld","given":"Stephan","non-dropping-particle":"","parse-names":false,"suffix":""},{"dropping-particle":"","family":"Schmid","given":"Benjamin","non-dropping-particle":"","parse-names":false,"suffix":""},{"dropping-particle":"","family":"Tinevez","given":"Jean Yves","non-dropping-particle":"","parse-names":false,"suffix":""},{"dropping-particle":"","family":"White","given":"Daniel James","non-dropping-particle":"","parse-names":false,"suffix":""},{"dropping-particle":"","family":"Hartenstein","given":"Volker","non-dropping-particle":"","parse-names":false,"suffix":""},{"dropping-particle":"","family":"Eliceiri","given":"Kevin","non-dropping-particle":"","parse-names":false,"suffix":""},{"dropping-particle":"","family":"Tomancak","given":"Pavel","non-dropping-particle":"","parse-names":false,"suffix":""},{"dropping-particle":"","family":"Cardona","given":"Albert","non-dropping-particle":"","parse-names":false,"suffix":""}],"container-title":"Nature Methods","id":"ITEM-1","issue":"7","issued":{"date-parts":[["2012","7","28"]]},"page":"676-682","publisher":"Nature Publishing Group","title":"Fiji: An open-source platform for biological-image analysis","type":"article","volume":"9"},"uris":["http://www.mendeley.com/documents/?uuid=59429b62-8bc2-379d-b929-9570760f73c6"]}],"mendeley":{"formattedCitation":"&lt;sup&gt;[238]&lt;/sup&gt;","plainTextFormattedCitation":"[238]","previouslyFormattedCitation":"&lt;sup&gt;[238]&lt;/sup&gt;"},"properties":{"noteIndex":0},"schema":"https://github.com/citation-style-language/schema/raw/master/csl-citation.json"}</w:instrText>
      </w:r>
      <w:r>
        <w:fldChar w:fldCharType="separate"/>
      </w:r>
      <w:r w:rsidR="002659E5" w:rsidRPr="002659E5">
        <w:rPr>
          <w:noProof/>
          <w:vertAlign w:val="superscript"/>
        </w:rPr>
        <w:t>[238]</w:t>
      </w:r>
      <w:r>
        <w:fldChar w:fldCharType="end"/>
      </w:r>
      <w:r>
        <w:t>.</w:t>
      </w:r>
      <w:r w:rsidR="00C204E3">
        <w:t xml:space="preserve"> </w:t>
      </w:r>
      <w:r w:rsidR="00E64FDA">
        <w:t>M</w:t>
      </w:r>
      <w:r w:rsidR="00C204E3">
        <w:t xml:space="preserve">easurements were taken on the least-deformed regions of the cell, as </w:t>
      </w:r>
      <w:r w:rsidR="00F62BC3">
        <w:t>described</w:t>
      </w:r>
      <w:r w:rsidR="00BB65F9">
        <w:t xml:space="preserve"> by Matias </w:t>
      </w:r>
      <w:r w:rsidR="00BB65F9">
        <w:rPr>
          <w:i/>
          <w:iCs/>
        </w:rPr>
        <w:t>et al.,</w:t>
      </w:r>
      <w:r w:rsidR="00BB65F9">
        <w:t xml:space="preserve"> (2003) and Matias &amp; Beveridge (2005)</w:t>
      </w:r>
      <w:r w:rsidR="00F62BC3">
        <w:t xml:space="preserve"> </w:t>
      </w:r>
      <w:r w:rsidR="00F62BC3">
        <w:fldChar w:fldCharType="begin" w:fldLock="1"/>
      </w:r>
      <w:r w:rsidR="0058736C">
        <w:instrText xml:space="preserve">ADDIN CSL_CITATION {"citationItems":[{"id":"ITEM-1","itemData":{"DOI":"10.1128/JB.185.20.6112-6118.2003","ISSN":"00219193","PMID":"14526023","abstract":"High-pressure freezing of Escherichia coli K-12 and Pseudomonas aeruginosa PAO1 in the presence of cryoprotectants provided consistent vitrification of cells so that frozen-hydrated sections could be cut, providing </w:instrText>
      </w:r>
      <w:r w:rsidR="0058736C">
        <w:rPr>
          <w:rFonts w:ascii="Cambria Math" w:hAnsi="Cambria Math" w:cs="Cambria Math"/>
        </w:rPr>
        <w:instrText>∼</w:instrText>
      </w:r>
      <w:r w:rsidR="0058736C">
        <w:instrText>2-nm resolution of structure. The size and shape of the bacteria, as well as their surface and cytoplasmic constituents, were nicely preserved and compared well with other published high-resolution techniques. Cells possessed a rich cytoplasm containing a diffuse dispersion of ribosomes and genetic material. Close examination of cells revealed that the periplasmic space was compressed during cryosectioning, a finding which provided supporting evidence that this space is filled by a compressible gel. Since the outer membrane and peptidoglycan layer are bonded together via lipoproteins, the space between them (although still part of the periplasmic space) was not as compacted. Even when this cryosectioning compression was taken into account, there was still substantial variability in the width of the periplasmic space. It is possible that the protoplast has some capacity to float freely within the periplasm.","author":[{"dropping-particle":"","family":"Matias","given":"Valério R.F.","non-dropping-particle":"","parse-names":false,"suffix":""},{"dropping-particle":"","family":"Al-Amoudi","given":"Ashraf","non-dropping-particle":"","parse-names":false,"suffix":""},{"dropping-particle":"","family":"Dubochet","given":"Jacques","non-dropping-particle":"","parse-names":false,"suffix":""},{"dropping-particle":"","family":"Beveridge","given":"Terry J.","non-dropping-particle":"","parse-names":false,"suffix":""}],"container-title":"Journal of Bacteriology","id":"ITEM-1","issue":"20","issued":{"date-parts":[["2003"]]},"page":"6112-6118","title":"Cryo-transmission electron microscopy of frozen-hydrated sections of Escherichia coli and Pseudomonas aeruginosa","type":"article-journal","volume":"185"},"uris":["http://www.mendeley.com/documents/?uuid=c0849687-6705-45d0-9abe-4c9c0ddcf145"]},{"id":"ITEM-2","itemData":{"DOI":"10.1111/j.1365-2958.2005.04535.x","ISBN":"0950-382X (Print)\\r0950-382X (Linking)","ISSN":"0950382X","PMID":"15773993","abstract":"Ultrarapid freezing of bacteria (i.e. vitrification) results in optimal preservation of native structure. In this study, cryo-transmission electron microscopy of frozen-hydrated sections was used to gain insight into the organization of the Bacillus subtilis 168 cell envelope. A bipartite structure was seen above the plasma membrane consisting of a low-density 22 nm region above which a higher-density 33 nm region or outer wall zone (OWZ) resided. The interface between these two regions appeared to possess the most mass. In intact and in teichoic acid-extracted wall fragments, only a single region was seen but the mass distribution varied from being dense on the inside to less dense on the outside (i.e. similar to the OWZ). In plasmolysed cells, the inner wall zone (IWZ)'s thickness expanded in size but the OWZ's thickness remained constant. As the IWZ expanded it became filled with plasma membrane vesicles indicating that the IWZ had little substance and was empty of the wall's polymeric network of peptidoglycan and teichoic acid. Together these results strongly suggest that the inner zone actually represents a periplasmic space confined between the plasma membrane and the wall matrix and that the OWZ is the peptidoglycan-teichoic acid polymeric network of the wall.","author":[{"dropping-particle":"","family":"Matias","given":"V. R F","non-dropping-particle":"","parse-names":false,"suffix":""},{"dropping-particle":"","family":"Beveridge","given":"Terry J.","non-dropping-particle":"","parse-names":false,"suffix":""}],"container-title":"Molecular Microbiology","id":"ITEM-2","issue":"1","issued":{"date-parts":[["2005"]]},"page":"240-251","title":"Cryo-electron microscopy reveals native polymeric cell wall structure in Bacillus subtilis 168 and the existence of a periplasmic space","type":"article-journal","volume":"56"},"uris":["http://www.mendeley.com/documents/?uuid=3274a9ad-3640-4744-a55b-e8277897fa77"]}],"mendeley":{"formattedCitation":"&lt;sup&gt;[164,244]&lt;/sup&gt;","plainTextFormattedCitation":"[164,244]","previouslyFormattedCitation":"&lt;sup&gt;[164,244]&lt;/sup&gt;"},"properties":{"noteIndex":0},"schema":"https://github.com/citation-style-language/schema/raw/master/csl-citation.json"}</w:instrText>
      </w:r>
      <w:r w:rsidR="00F62BC3">
        <w:fldChar w:fldCharType="separate"/>
      </w:r>
      <w:r w:rsidR="002659E5" w:rsidRPr="002659E5">
        <w:rPr>
          <w:noProof/>
          <w:vertAlign w:val="superscript"/>
        </w:rPr>
        <w:t>[164,244]</w:t>
      </w:r>
      <w:r w:rsidR="00F62BC3">
        <w:fldChar w:fldCharType="end"/>
      </w:r>
      <w:r w:rsidR="00F62BC3">
        <w:t xml:space="preserve">. </w:t>
      </w:r>
      <w:r w:rsidR="00E64FDA">
        <w:t xml:space="preserve">Density traces were obtained </w:t>
      </w:r>
      <w:r w:rsidR="009A0123">
        <w:t>by drawing a rectangle across the bacterial envelope and</w:t>
      </w:r>
      <w:r w:rsidR="00CE4AC3">
        <w:t xml:space="preserve"> analysing the</w:t>
      </w:r>
      <w:r w:rsidR="001F512E">
        <w:t xml:space="preserve"> intensity</w:t>
      </w:r>
      <w:r w:rsidR="00CE4AC3">
        <w:t xml:space="preserve"> plot profile</w:t>
      </w:r>
      <w:r w:rsidR="001F512E">
        <w:t xml:space="preserve"> of </w:t>
      </w:r>
      <w:r w:rsidR="00DD5FEC">
        <w:t>that</w:t>
      </w:r>
      <w:r w:rsidR="001F512E">
        <w:t xml:space="preserve"> area</w:t>
      </w:r>
      <w:r w:rsidR="00CE4AC3">
        <w:t>. The distance between peaks was used for obtaining length measurements of the different components of the bacterial envelope.</w:t>
      </w:r>
      <w:r w:rsidR="0090772D">
        <w:t xml:space="preserve"> </w:t>
      </w:r>
      <w:r w:rsidR="00343296">
        <w:t>At least 28 cells were analysed</w:t>
      </w:r>
      <w:r w:rsidR="00D26E88">
        <w:t>,</w:t>
      </w:r>
      <w:r w:rsidR="00343296">
        <w:t xml:space="preserve"> </w:t>
      </w:r>
      <w:r w:rsidR="00A62EE7">
        <w:t>with</w:t>
      </w:r>
      <w:r w:rsidR="00664DEB">
        <w:t xml:space="preserve"> </w:t>
      </w:r>
      <w:r w:rsidR="00343296">
        <w:t>various measurements</w:t>
      </w:r>
      <w:r w:rsidR="00D26E88">
        <w:t xml:space="preserve"> taken</w:t>
      </w:r>
      <w:r w:rsidR="00343296">
        <w:t xml:space="preserve"> </w:t>
      </w:r>
      <w:r w:rsidR="00343296">
        <w:rPr>
          <w:i/>
          <w:iCs/>
        </w:rPr>
        <w:t>per</w:t>
      </w:r>
      <w:r w:rsidR="00343296">
        <w:t xml:space="preserve"> cell.</w:t>
      </w:r>
    </w:p>
    <w:p w14:paraId="7277CA89" w14:textId="1BBD9F85" w:rsidR="00783AC8" w:rsidRPr="00783AC8" w:rsidRDefault="0035088A" w:rsidP="00C77417">
      <w:pPr>
        <w:pStyle w:val="Heading2"/>
      </w:pPr>
      <w:bookmarkStart w:id="463" w:name="_Toc90216856"/>
      <w:bookmarkEnd w:id="460"/>
      <w:bookmarkEnd w:id="461"/>
      <w:bookmarkEnd w:id="462"/>
      <w:r>
        <w:t>Whole cell c</w:t>
      </w:r>
      <w:r w:rsidR="00783AC8">
        <w:t>ryo-</w:t>
      </w:r>
      <w:r w:rsidR="00C77417">
        <w:t>TEM</w:t>
      </w:r>
      <w:r>
        <w:t xml:space="preserve"> and </w:t>
      </w:r>
      <w:r w:rsidR="00C6752C">
        <w:t>cryo-electron tomography</w:t>
      </w:r>
      <w:r>
        <w:t xml:space="preserve"> (cryo-ET)</w:t>
      </w:r>
      <w:r w:rsidR="007006CC">
        <w:t>.</w:t>
      </w:r>
      <w:bookmarkEnd w:id="463"/>
    </w:p>
    <w:p w14:paraId="0B4A9514" w14:textId="79DF6447" w:rsidR="00936731" w:rsidRPr="00936731" w:rsidRDefault="009E0DE4" w:rsidP="00936731">
      <w:r>
        <w:t>Cryo-transmission electron microscopy (</w:t>
      </w:r>
      <w:r w:rsidR="00194E7F">
        <w:t>c</w:t>
      </w:r>
      <w:r>
        <w:t>ryo</w:t>
      </w:r>
      <w:r w:rsidR="0035088A">
        <w:t>-</w:t>
      </w:r>
      <w:r>
        <w:t xml:space="preserve">TEM) </w:t>
      </w:r>
      <w:r w:rsidR="00194E7F">
        <w:t xml:space="preserve">of whole cells and </w:t>
      </w:r>
      <w:r w:rsidR="00C6752C">
        <w:t>cryo-electron tomography</w:t>
      </w:r>
      <w:r w:rsidR="00194E7F">
        <w:t xml:space="preserve"> (cryo-ET) </w:t>
      </w:r>
      <w:r w:rsidR="00936731">
        <w:t>w</w:t>
      </w:r>
      <w:r w:rsidR="00194E7F">
        <w:t>ere</w:t>
      </w:r>
      <w:r w:rsidR="00936731">
        <w:t xml:space="preserve"> carried out by Dr. Danyil Grybchuk from </w:t>
      </w:r>
      <w:r w:rsidR="00B5249C">
        <w:t>Dr. Pavel</w:t>
      </w:r>
      <w:r w:rsidR="00936731">
        <w:t xml:space="preserve"> Plevka’s laboratory </w:t>
      </w:r>
      <w:r w:rsidR="0047452E">
        <w:t xml:space="preserve">at </w:t>
      </w:r>
      <w:r w:rsidR="00936731">
        <w:t>the C</w:t>
      </w:r>
      <w:r w:rsidR="00936731" w:rsidRPr="00936731">
        <w:t xml:space="preserve">entral European Institute of Technology, Masaryk University, Brno, Czech Republic. </w:t>
      </w:r>
    </w:p>
    <w:p w14:paraId="7DC484E0" w14:textId="2ED9FA13" w:rsidR="00BC3BD0" w:rsidRDefault="00797C65" w:rsidP="00E84769">
      <w:r>
        <w:t>Bacterial cultures</w:t>
      </w:r>
      <w:r w:rsidR="000E7793">
        <w:t xml:space="preserve"> were grown as previously described (section </w:t>
      </w:r>
      <w:r w:rsidR="000E7793">
        <w:fldChar w:fldCharType="begin"/>
      </w:r>
      <w:r w:rsidR="000E7793">
        <w:instrText xml:space="preserve"> REF _Ref64391429 \r \h </w:instrText>
      </w:r>
      <w:r w:rsidR="000E7793">
        <w:fldChar w:fldCharType="separate"/>
      </w:r>
      <w:r w:rsidR="00183CC8">
        <w:t>2.11.1</w:t>
      </w:r>
      <w:r w:rsidR="000E7793">
        <w:fldChar w:fldCharType="end"/>
      </w:r>
      <w:r w:rsidR="000E7793">
        <w:t xml:space="preserve">), harvested by centrifugation and washed with PBS buffer. </w:t>
      </w:r>
      <w:r>
        <w:t xml:space="preserve">Cells were then concentrated by centrifugation and resuspended in </w:t>
      </w:r>
      <w:r w:rsidR="00CF5AB9">
        <w:t xml:space="preserve">ice-cold </w:t>
      </w:r>
      <w:r>
        <w:t>PBS to an OD</w:t>
      </w:r>
      <w:r>
        <w:rPr>
          <w:vertAlign w:val="subscript"/>
        </w:rPr>
        <w:t>600</w:t>
      </w:r>
      <w:r>
        <w:t> = 10</w:t>
      </w:r>
      <w:r w:rsidR="00E84769">
        <w:t xml:space="preserve"> and stored at 4 </w:t>
      </w:r>
      <w:r w:rsidR="00E84769">
        <w:rPr>
          <w:rFonts w:ascii="Calibri" w:hAnsi="Calibri" w:cs="Calibri"/>
        </w:rPr>
        <w:t>°</w:t>
      </w:r>
      <w:r w:rsidR="00E84769">
        <w:t>C.</w:t>
      </w:r>
      <w:r w:rsidR="001731BF">
        <w:t xml:space="preserve"> 4 µl of the cell suspension was loaded onto a 200-mesh copper grid (R1/2, QUANTIFOIL™)</w:t>
      </w:r>
      <w:r w:rsidR="00BC1CA0">
        <w:t>, blotted with filter paper and vitrified in a liquid ethane-propane mixture using the FEI Vitrobot</w:t>
      </w:r>
      <w:r w:rsidR="00902B98">
        <w:t>™ (Thermo Fischer Scientific)</w:t>
      </w:r>
      <w:r w:rsidR="00BC1CA0">
        <w:t xml:space="preserve"> with a 0 blot force, 8 s blot time and 10 s wait time.</w:t>
      </w:r>
    </w:p>
    <w:p w14:paraId="20AA41BF" w14:textId="14EE66FB" w:rsidR="00BC3BD0" w:rsidRDefault="00864698" w:rsidP="00E84769">
      <w:r>
        <w:t xml:space="preserve">Cryo-TEM and Cryo-ET were carried out </w:t>
      </w:r>
      <w:r w:rsidR="00AE2C94">
        <w:t xml:space="preserve">with a FEI Titan Krios </w:t>
      </w:r>
      <w:r w:rsidR="00B361E0">
        <w:t>TEM operating at 300 kV with in-column energy filter</w:t>
      </w:r>
      <w:r>
        <w:t>, and micrographs were captured with a GATAN K2 Summit camera in counting mode at 33000x nominal magnification (</w:t>
      </w:r>
      <w:r>
        <w:rPr>
          <w:shd w:val="clear" w:color="auto" w:fill="FFFFFF"/>
        </w:rPr>
        <w:t xml:space="preserve">angpix = 4.23 </w:t>
      </w:r>
      <w:r>
        <w:rPr>
          <w:rFonts w:ascii="Calibri" w:hAnsi="Calibri" w:cs="Calibri"/>
          <w:shd w:val="clear" w:color="auto" w:fill="FFFFFF"/>
        </w:rPr>
        <w:t>Å</w:t>
      </w:r>
      <w:r>
        <w:rPr>
          <w:shd w:val="clear" w:color="auto" w:fill="FFFFFF"/>
        </w:rPr>
        <w:t xml:space="preserve">), at a </w:t>
      </w:r>
      <w:r w:rsidR="001B231E">
        <w:rPr>
          <w:shd w:val="clear" w:color="auto" w:fill="FFFFFF"/>
        </w:rPr>
        <w:t>– </w:t>
      </w:r>
      <w:r>
        <w:rPr>
          <w:shd w:val="clear" w:color="auto" w:fill="FFFFFF"/>
        </w:rPr>
        <w:t>8 µm defocus.</w:t>
      </w:r>
      <w:r w:rsidR="00022C76">
        <w:rPr>
          <w:shd w:val="clear" w:color="auto" w:fill="FFFFFF"/>
        </w:rPr>
        <w:t xml:space="preserve"> A dose-symmetric tilt scheme was employed to acquire the tomographic tilt-series</w:t>
      </w:r>
      <w:r w:rsidR="00F753C2">
        <w:rPr>
          <w:shd w:val="clear" w:color="auto" w:fill="FFFFFF"/>
        </w:rPr>
        <w:t xml:space="preserve">, with a range from </w:t>
      </w:r>
      <w:r w:rsidR="0061325A">
        <w:rPr>
          <w:shd w:val="clear" w:color="auto" w:fill="FFFFFF"/>
        </w:rPr>
        <w:t>–</w:t>
      </w:r>
      <w:r w:rsidR="001B231E">
        <w:rPr>
          <w:shd w:val="clear" w:color="auto" w:fill="FFFFFF"/>
        </w:rPr>
        <w:t> </w:t>
      </w:r>
      <w:r w:rsidR="00F753C2">
        <w:rPr>
          <w:shd w:val="clear" w:color="auto" w:fill="FFFFFF"/>
        </w:rPr>
        <w:t>60</w:t>
      </w:r>
      <w:r w:rsidR="00F753C2">
        <w:rPr>
          <w:rFonts w:ascii="Calibri" w:hAnsi="Calibri" w:cs="Calibri"/>
          <w:shd w:val="clear" w:color="auto" w:fill="FFFFFF"/>
        </w:rPr>
        <w:t>°</w:t>
      </w:r>
      <w:r w:rsidR="00F753C2">
        <w:rPr>
          <w:shd w:val="clear" w:color="auto" w:fill="FFFFFF"/>
        </w:rPr>
        <w:t> to 60 </w:t>
      </w:r>
      <w:r w:rsidR="00F753C2">
        <w:rPr>
          <w:rFonts w:ascii="Calibri" w:hAnsi="Calibri" w:cs="Calibri"/>
          <w:shd w:val="clear" w:color="auto" w:fill="FFFFFF"/>
        </w:rPr>
        <w:t>°</w:t>
      </w:r>
      <w:r w:rsidR="007E43F8">
        <w:rPr>
          <w:rFonts w:ascii="Calibri" w:hAnsi="Calibri" w:cs="Calibri"/>
          <w:shd w:val="clear" w:color="auto" w:fill="FFFFFF"/>
        </w:rPr>
        <w:t xml:space="preserve"> and a 3 ° step (41 images).</w:t>
      </w:r>
      <w:r w:rsidR="00AD2B64">
        <w:rPr>
          <w:rFonts w:ascii="Calibri" w:hAnsi="Calibri" w:cs="Calibri"/>
          <w:shd w:val="clear" w:color="auto" w:fill="FFFFFF"/>
        </w:rPr>
        <w:t xml:space="preserve"> For each image, a 5-frames movie was recorded and corrected for drift and beam-induced motion with the MotionCor2 </w:t>
      </w:r>
      <w:r w:rsidR="00AD2B64">
        <w:rPr>
          <w:rFonts w:ascii="Calibri" w:hAnsi="Calibri" w:cs="Calibri"/>
          <w:shd w:val="clear" w:color="auto" w:fill="FFFFFF"/>
        </w:rPr>
        <w:fldChar w:fldCharType="begin" w:fldLock="1"/>
      </w:r>
      <w:r w:rsidR="0058736C">
        <w:rPr>
          <w:rFonts w:ascii="Calibri" w:hAnsi="Calibri" w:cs="Calibri"/>
          <w:shd w:val="clear" w:color="auto" w:fill="FFFFFF"/>
        </w:rPr>
        <w:instrText>ADDIN CSL_CITATION {"citationItems":[{"id":"ITEM-1","itemData":{"DOI":"10.1038/nmeth.4193","ISSN":"15487105","PMID":"28250466","abstract":"MotionCor2 software corrects for beam-induced sample motion, improving the resolution of cryo-EM reconstructions.","author":[{"dropping-particle":"","family":"Zheng","given":"Shawn Q","non-dropping-particle":"","parse-names":false,"suffix":""},{"dropping-particle":"","family":"Palovcak","given":"Eugene","non-dropping-particle":"","parse-names":false,"suffix":""},{"dropping-particle":"","family":"Armache","given":"Jean Paul","non-dropping-particle":"","parse-names":false,"suffix":""},{"dropping-particle":"","family":"Verba","given":"Kliment A","non-dropping-particle":"","parse-names":false,"suffix":""},{"dropping-particle":"","family":"Cheng","given":"Yifan","non-dropping-particle":"","parse-names":false,"suffix":""},{"dropping-particle":"","family":"Agard","given":"David A","non-dropping-particle":"","parse-names":false,"suffix":""}],"container-title":"Nature Methods","id":"ITEM-1","issue":"4","issued":{"date-parts":[["2017","4","27"]]},"page":"331-332","publisher":"Nature Publishing Group","title":"MotionCor2: Anisotropic correction of beam-induced motion for improved cryo-electron microscopy","type":"article","volume":"14"},"uris":["http://www.mendeley.com/documents/?uuid=ed96c304-ab7d-3a10-bbc1-febf0af8568e"]}],"mendeley":{"formattedCitation":"&lt;sup&gt;[245]&lt;/sup&gt;","plainTextFormattedCitation":"[245]","previouslyFormattedCitation":"&lt;sup&gt;[245]&lt;/sup&gt;"},"properties":{"noteIndex":0},"schema":"https://github.com/citation-style-language/schema/raw/master/csl-citation.json"}</w:instrText>
      </w:r>
      <w:r w:rsidR="00AD2B64">
        <w:rPr>
          <w:rFonts w:ascii="Calibri" w:hAnsi="Calibri" w:cs="Calibri"/>
          <w:shd w:val="clear" w:color="auto" w:fill="FFFFFF"/>
        </w:rPr>
        <w:fldChar w:fldCharType="separate"/>
      </w:r>
      <w:r w:rsidR="002659E5" w:rsidRPr="002659E5">
        <w:rPr>
          <w:rFonts w:ascii="Calibri" w:hAnsi="Calibri" w:cs="Calibri"/>
          <w:noProof/>
          <w:shd w:val="clear" w:color="auto" w:fill="FFFFFF"/>
          <w:vertAlign w:val="superscript"/>
        </w:rPr>
        <w:t>[245]</w:t>
      </w:r>
      <w:r w:rsidR="00AD2B64">
        <w:rPr>
          <w:rFonts w:ascii="Calibri" w:hAnsi="Calibri" w:cs="Calibri"/>
          <w:shd w:val="clear" w:color="auto" w:fill="FFFFFF"/>
        </w:rPr>
        <w:fldChar w:fldCharType="end"/>
      </w:r>
      <w:r w:rsidR="00AD2B64">
        <w:rPr>
          <w:rFonts w:ascii="Calibri" w:hAnsi="Calibri" w:cs="Calibri"/>
          <w:shd w:val="clear" w:color="auto" w:fill="FFFFFF"/>
        </w:rPr>
        <w:t xml:space="preserve"> software.</w:t>
      </w:r>
      <w:r w:rsidR="00AD2B64">
        <w:t xml:space="preserve"> </w:t>
      </w:r>
      <w:r w:rsidR="00BC3BD0">
        <w:rPr>
          <w:shd w:val="clear" w:color="auto" w:fill="FFFFFF"/>
        </w:rPr>
        <w:t>The total dose was</w:t>
      </w:r>
      <w:r w:rsidR="00AD2B64">
        <w:rPr>
          <w:shd w:val="clear" w:color="auto" w:fill="FFFFFF"/>
        </w:rPr>
        <w:t xml:space="preserve"> of</w:t>
      </w:r>
      <w:r w:rsidR="00BC3BD0">
        <w:rPr>
          <w:shd w:val="clear" w:color="auto" w:fill="FFFFFF"/>
        </w:rPr>
        <w:t xml:space="preserve"> </w:t>
      </w:r>
      <w:r w:rsidR="00AD2B64">
        <w:rPr>
          <w:shd w:val="clear" w:color="auto" w:fill="FFFFFF"/>
        </w:rPr>
        <w:t>~ </w:t>
      </w:r>
      <w:r w:rsidR="00BC3BD0">
        <w:rPr>
          <w:shd w:val="clear" w:color="auto" w:fill="FFFFFF"/>
        </w:rPr>
        <w:t xml:space="preserve">75-80 electrons </w:t>
      </w:r>
      <w:r w:rsidR="00BC3BD0" w:rsidRPr="00AD2B64">
        <w:rPr>
          <w:i/>
          <w:iCs/>
          <w:shd w:val="clear" w:color="auto" w:fill="FFFFFF"/>
        </w:rPr>
        <w:t>per</w:t>
      </w:r>
      <w:r w:rsidR="00BC3BD0">
        <w:rPr>
          <w:shd w:val="clear" w:color="auto" w:fill="FFFFFF"/>
        </w:rPr>
        <w:t xml:space="preserve"> tomogram. Tilt series alignment and tomogram calculation were performed using IMOD </w:t>
      </w:r>
      <w:r w:rsidR="00EE4425">
        <w:rPr>
          <w:shd w:val="clear" w:color="auto" w:fill="FFFFFF"/>
        </w:rPr>
        <w:t>(v</w:t>
      </w:r>
      <w:r w:rsidR="00BC3BD0">
        <w:rPr>
          <w:shd w:val="clear" w:color="auto" w:fill="FFFFFF"/>
        </w:rPr>
        <w:t>4.1.10</w:t>
      </w:r>
      <w:r w:rsidR="00EE4425">
        <w:rPr>
          <w:shd w:val="clear" w:color="auto" w:fill="FFFFFF"/>
        </w:rPr>
        <w:t>)</w:t>
      </w:r>
      <w:r w:rsidR="00623241">
        <w:rPr>
          <w:shd w:val="clear" w:color="auto" w:fill="FFFFFF"/>
        </w:rPr>
        <w:t xml:space="preserve"> </w:t>
      </w:r>
      <w:r w:rsidR="00623241">
        <w:rPr>
          <w:shd w:val="clear" w:color="auto" w:fill="FFFFFF"/>
        </w:rPr>
        <w:fldChar w:fldCharType="begin" w:fldLock="1"/>
      </w:r>
      <w:r w:rsidR="0058736C">
        <w:rPr>
          <w:shd w:val="clear" w:color="auto" w:fill="FFFFFF"/>
        </w:rPr>
        <w:instrText>ADDIN CSL_CITATION {"citationItems":[{"id":"ITEM-1","itemData":{"DOI":"10.1006/jsbi.1996.0013","ISSN":"10478477","PMID":"8742726","abstract":"We have developed a computer software package, IMOD, as a tool for analyzing and viewing three-dimensional biological image data. IMOD is useful for studying and modeling data from tomographic, serial section, and optical section reconstructions. The software allows image data to be visualized by several different methods. Models of the image data can be visualized by volume or contour surface rendering and can yield quantitative information.","author":[{"dropping-particle":"","family":"Kremer","given":"James R.","non-dropping-particle":"","parse-names":false,"suffix":""},{"dropping-particle":"","family":"Mastronarde","given":"David N.","non-dropping-particle":"","parse-names":false,"suffix":""},{"dropping-particle":"","family":"McIntosh","given":"J. Richard","non-dropping-particle":"","parse-names":false,"suffix":""}],"container-title":"Journal of Structural Biology","id":"ITEM-1","issue":"1","issued":{"date-parts":[["1996"]]},"page":"71-76","title":"Computer visualization of three-dimensional image data using IMOD","type":"article-journal","volume":"116"},"uris":["http://www.mendeley.com/documents/?uuid=e58dc21a-c3fa-34d5-bd6f-3139e76b974f"]}],"mendeley":{"formattedCitation":"&lt;sup&gt;[246]&lt;/sup&gt;","plainTextFormattedCitation":"[246]","previouslyFormattedCitation":"&lt;sup&gt;[246]&lt;/sup&gt;"},"properties":{"noteIndex":0},"schema":"https://github.com/citation-style-language/schema/raw/master/csl-citation.json"}</w:instrText>
      </w:r>
      <w:r w:rsidR="00623241">
        <w:rPr>
          <w:shd w:val="clear" w:color="auto" w:fill="FFFFFF"/>
        </w:rPr>
        <w:fldChar w:fldCharType="separate"/>
      </w:r>
      <w:r w:rsidR="002659E5" w:rsidRPr="002659E5">
        <w:rPr>
          <w:noProof/>
          <w:shd w:val="clear" w:color="auto" w:fill="FFFFFF"/>
          <w:vertAlign w:val="superscript"/>
        </w:rPr>
        <w:t>[246]</w:t>
      </w:r>
      <w:r w:rsidR="00623241">
        <w:rPr>
          <w:shd w:val="clear" w:color="auto" w:fill="FFFFFF"/>
        </w:rPr>
        <w:fldChar w:fldCharType="end"/>
      </w:r>
      <w:r w:rsidR="00EE4425">
        <w:rPr>
          <w:shd w:val="clear" w:color="auto" w:fill="FFFFFF"/>
        </w:rPr>
        <w:t xml:space="preserve"> software</w:t>
      </w:r>
      <w:r w:rsidR="00BC3BD0">
        <w:rPr>
          <w:shd w:val="clear" w:color="auto" w:fill="FFFFFF"/>
        </w:rPr>
        <w:t>.</w:t>
      </w:r>
    </w:p>
    <w:p w14:paraId="6BF49E3C" w14:textId="15098383" w:rsidR="00607B4D" w:rsidRDefault="00607B4D" w:rsidP="00607B4D">
      <w:pPr>
        <w:pStyle w:val="Heading2"/>
      </w:pPr>
      <w:bookmarkStart w:id="464" w:name="_Toc90216857"/>
      <w:r>
        <w:t>Statistics</w:t>
      </w:r>
      <w:r w:rsidR="007006CC">
        <w:t>.</w:t>
      </w:r>
      <w:bookmarkEnd w:id="464"/>
    </w:p>
    <w:p w14:paraId="395257E7" w14:textId="46BC4916" w:rsidR="001A3536" w:rsidRDefault="00173424" w:rsidP="001A3536">
      <w:r>
        <w:t xml:space="preserve">All statistical analysis was performed using Prism version 9.1.0 (GraphPad). Gaussian distribution was analysed by histogram plotting and by running the Shapiro-Wilks / Kolmogorov-Smirnov </w:t>
      </w:r>
      <w:r>
        <w:lastRenderedPageBreak/>
        <w:t xml:space="preserve">test. </w:t>
      </w:r>
      <w:r w:rsidR="00210852">
        <w:t xml:space="preserve">For comparative statistic between two groups </w:t>
      </w:r>
      <w:r w:rsidR="001030F5">
        <w:t>Student</w:t>
      </w:r>
      <w:r w:rsidR="00210852">
        <w:t xml:space="preserve"> t-test with Welch</w:t>
      </w:r>
      <w:r w:rsidR="000B568B">
        <w:t>’s</w:t>
      </w:r>
      <w:r w:rsidR="00210852">
        <w:t xml:space="preserve"> correction </w:t>
      </w:r>
      <w:r w:rsidR="001030F5">
        <w:t xml:space="preserve">was carried out, </w:t>
      </w:r>
      <w:r w:rsidR="00210852">
        <w:t>taking into consideration a non-equal standard deviation</w:t>
      </w:r>
      <w:r w:rsidR="001030F5">
        <w:t>.</w:t>
      </w:r>
      <w:r w:rsidR="001A3536">
        <w:t xml:space="preserve"> For comparisons of more than two groups, a two-way ANOVA was carried out with Tukey’s multiple comparisons test, with individual variances computed for each comparison.</w:t>
      </w:r>
    </w:p>
    <w:p w14:paraId="03A70F4D" w14:textId="7F770BB8" w:rsidR="00607B4D" w:rsidRDefault="00607B4D" w:rsidP="00607B4D">
      <w:pPr>
        <w:pStyle w:val="Heading2"/>
      </w:pPr>
      <w:bookmarkStart w:id="465" w:name="_Toc90216858"/>
      <w:r>
        <w:t>Collaborative work</w:t>
      </w:r>
      <w:r w:rsidR="007006CC">
        <w:t>.</w:t>
      </w:r>
      <w:bookmarkEnd w:id="465"/>
    </w:p>
    <w:p w14:paraId="71A4E663" w14:textId="77777777" w:rsidR="000B3C51" w:rsidRDefault="007766C2" w:rsidP="00B3090B">
      <w:pPr>
        <w:rPr>
          <w:b/>
          <w:bCs/>
        </w:rPr>
      </w:pPr>
      <w:r>
        <w:rPr>
          <w:b/>
          <w:bCs/>
        </w:rPr>
        <w:t xml:space="preserve">– </w:t>
      </w:r>
      <w:r w:rsidR="00A96A80" w:rsidRPr="007766C2">
        <w:rPr>
          <w:b/>
          <w:bCs/>
        </w:rPr>
        <w:t>Chapter 3 and 5</w:t>
      </w:r>
      <w:r>
        <w:rPr>
          <w:b/>
          <w:bCs/>
        </w:rPr>
        <w:t xml:space="preserve"> –</w:t>
      </w:r>
    </w:p>
    <w:p w14:paraId="2483DE90" w14:textId="5A6862D8" w:rsidR="00B3090B" w:rsidRPr="007766C2" w:rsidRDefault="00B3090B" w:rsidP="00B3090B">
      <w:pPr>
        <w:rPr>
          <w:b/>
          <w:bCs/>
        </w:rPr>
      </w:pPr>
      <w:r>
        <w:t>Cryo-EM micrographs of vitrified sections (CEMOVIS) were acquired by Dr. Svet</w:t>
      </w:r>
      <w:r w:rsidR="00B52000">
        <w:t>omir</w:t>
      </w:r>
      <w:r>
        <w:t xml:space="preserve"> Tzokov (EM Facility, The University of Sheffield).</w:t>
      </w:r>
    </w:p>
    <w:p w14:paraId="5ED014DD" w14:textId="77777777" w:rsidR="000B3C51" w:rsidRDefault="007766C2" w:rsidP="005F2B40">
      <w:pPr>
        <w:rPr>
          <w:b/>
          <w:bCs/>
        </w:rPr>
      </w:pPr>
      <w:r>
        <w:rPr>
          <w:b/>
          <w:bCs/>
        </w:rPr>
        <w:t xml:space="preserve">– </w:t>
      </w:r>
      <w:r w:rsidRPr="007766C2">
        <w:rPr>
          <w:b/>
          <w:bCs/>
        </w:rPr>
        <w:t xml:space="preserve">Chapter </w:t>
      </w:r>
      <w:r>
        <w:rPr>
          <w:b/>
          <w:bCs/>
        </w:rPr>
        <w:t>4 –</w:t>
      </w:r>
    </w:p>
    <w:p w14:paraId="69F9A2E7" w14:textId="115C5DA3" w:rsidR="005F2B40" w:rsidRDefault="0085151E" w:rsidP="005F2B40">
      <w:r>
        <w:t>Some a</w:t>
      </w:r>
      <w:r w:rsidR="005F2B40">
        <w:t xml:space="preserve">dditional structured illumination microscopy (OMX SIM) images from my prepared samples were </w:t>
      </w:r>
      <w:r w:rsidR="005E4CBE">
        <w:t>acquired</w:t>
      </w:r>
      <w:r w:rsidR="005F2B40">
        <w:t xml:space="preserve"> by Dr. Mariana Tinajero-Trejo and Dr. Joshua A. F. Sutton (The University of Sheffield)</w:t>
      </w:r>
      <w:r>
        <w:t>.</w:t>
      </w:r>
    </w:p>
    <w:p w14:paraId="1F80FAB4" w14:textId="729A4570" w:rsidR="00E52C56" w:rsidRPr="00974476" w:rsidRDefault="00E52C56" w:rsidP="005F2B40">
      <w:pPr>
        <w:rPr>
          <w:b/>
          <w:bCs/>
        </w:rPr>
      </w:pPr>
      <w:r>
        <w:t>Survival curve experiments with tunicamycin and Congo red were carried out by Dr. Oliver Carnell (The University of Sheffield).</w:t>
      </w:r>
    </w:p>
    <w:p w14:paraId="298D872B" w14:textId="5EF47A72" w:rsidR="00D712A1" w:rsidRPr="007766C2" w:rsidRDefault="007766C2" w:rsidP="007766C2">
      <w:pPr>
        <w:rPr>
          <w:b/>
          <w:bCs/>
        </w:rPr>
      </w:pPr>
      <w:r>
        <w:rPr>
          <w:b/>
          <w:bCs/>
        </w:rPr>
        <w:t xml:space="preserve">– </w:t>
      </w:r>
      <w:r w:rsidRPr="007766C2">
        <w:rPr>
          <w:b/>
          <w:bCs/>
        </w:rPr>
        <w:t>Chapter 5</w:t>
      </w:r>
      <w:r>
        <w:rPr>
          <w:b/>
          <w:bCs/>
        </w:rPr>
        <w:t xml:space="preserve"> – </w:t>
      </w:r>
    </w:p>
    <w:p w14:paraId="24BB8BB6" w14:textId="6DECA8BF" w:rsidR="00FD1D2D" w:rsidRDefault="00F507E9" w:rsidP="00633B24">
      <w:r>
        <w:t>Survival curve</w:t>
      </w:r>
      <w:r w:rsidR="00500049">
        <w:t xml:space="preserve"> experiments with antibiotics were carried out by Dr. Bartlomiej Salamaga </w:t>
      </w:r>
      <w:r w:rsidR="005E5DD6">
        <w:t xml:space="preserve">(The University of Sheffield) </w:t>
      </w:r>
      <w:r w:rsidR="00500049">
        <w:t xml:space="preserve">as part of a collaborative </w:t>
      </w:r>
      <w:r w:rsidR="00D131DF">
        <w:t>project</w:t>
      </w:r>
      <w:r w:rsidR="009A4796">
        <w:t xml:space="preserve"> </w:t>
      </w:r>
      <w:r w:rsidR="009A4796">
        <w:fldChar w:fldCharType="begin" w:fldLock="1"/>
      </w:r>
      <w:r w:rsidR="004F7E11">
        <w:instrText>ADDIN CSL_CITATION {"citationItems":[{"id":"ITEM-1","itemData":{"DOI":"10.1073/pnas.2106022118","ISSN":"1091-6490","PMID":"34716264","abstract":"Bacterial cell wall peptidoglycan is essential, maintaining both cellular integrity and morphology, in the face of internal turgor pressure. Peptidoglycan synthesis is important, as it is targeted by cell wall antibiotics, including methicillin and vancomycin. Here, we have used the major human pathogen Staphylococcus aureus to elucidate both the cell wall dynamic processes essential for growth (life) and the bactericidal effects of cell wall antibiotics (death) based on the principle of coordinated peptidoglycan synthesis and hydrolysis. The death of S. aureus due to depletion of the essential, two-component and positive regulatory system for peptidoglycan hydrolase activity (WalKR) is prevented by addition of otherwise bactericidal cell wall antibiotics, resulting in stasis. In contrast, cell wall antibiotics kill via the activity of peptidoglycan hydrolases in the absence of concomitant synthesis. Both methicillin and vancomycin treatment lead to the appearance of perforating holes throughout the cell wall due to peptidoglycan hydrolases. Methicillin alone also results in plasmolysis and misshapen septa with the involvement of the major peptidoglycan hydrolase Atl, a process that is inhibited by vancomycin. The bactericidal effect of vancomycin involves the peptidoglycan hydrolase SagB. In the presence of cell wall antibiotics, the inhibition of peptidoglycan hydrolase activity using the inhibitor complestatin results in reduced killing, while, conversely, the deregulation of hydrolase activity via loss of wall teichoic acids increases the death rate. For S. aureus, the independent regulation of cell wall synthesis and hydrolysis can lead to cell growth, death, or stasis, with implications for the development of new control regimes for this important pathogen.","author":[{"dropping-particle":"","family":"Salamaga","given":"Bartłomiej","non-dropping-particle":"","parse-names":false,"suffix":""},{"dropping-particle":"","family":"Kong","given":"Lingyuan","non-dropping-particle":"","parse-names":false,"suffix":""},{"dropping-particle":"","family":"Pasquina-Lemonche","given":"Laia","non-dropping-particle":"","parse-names":false,"suffix":""},{"dropping-particle":"","family":"Lafage","given":"Lucia","non-dropping-particle":"","parse-names":false,"suffix":""},{"dropping-particle":"","family":"Und Zur Muhlen","given":"Milena","non-dropping-particle":"von","parse-names":false,"suffix":""},{"dropping-particle":"","family":"Gibson","given":"Josie F","non-dropping-particle":"","parse-names":false,"suffix":""},{"dropping-particle":"","family":"Grybchuk","given":"Danyil","non-dropping-particle":"","parse-names":false,"suffix":""},{"dropping-particle":"","family":"Tooke","given":"Amy K","non-dropping-particle":"","parse-names":false,"suffix":""},{"dropping-particle":"","family":"Panchal","given":"Viralkumar","non-dropping-particle":"","parse-names":false,"suffix":""},{"dropping-particle":"","family":"Culp","given":"Elizabeth J","non-dropping-particle":"","parse-names":false,"suffix":""},{"dropping-particle":"","family":"Tatham","given":"Elizabeth","non-dropping-particle":"","parse-names":false,"suffix":""},{"dropping-particle":"","family":"O'Kane","given":"Mary E","non-dropping-particle":"","parse-names":false,"suffix":""},{"dropping-particle":"","family":"Catley","given":"Thomas E","non-dropping-particle":"","parse-names":false,"suffix":""},{"dropping-particle":"","family":"Renshaw","given":"Stephen A","non-dropping-particle":"","parse-names":false,"suffix":""},{"dropping-particle":"","family":"Wright","given":"Gerard D","non-dropping-particle":"","parse-names":false,"suffix":""},{"dropping-particle":"","family":"Plevka","given":"Pavel","non-dropping-particle":"","parse-names":false,"suffix":""},{"dropping-particle":"","family":"Bullough","given":"Per A","non-dropping-particle":"","parse-names":false,"suffix":""},{"dropping-particle":"","family":"Han","given":"Aidong","non-dropping-particle":"","parse-names":false,"suffix":""},{"dropping-particle":"","family":"Hobbs","given":"Jamie K","non-dropping-particle":"","parse-names":false,"suffix":""},{"dropping-particle":"","family":"Foster","given":"Simon J","non-dropping-particle":"","parse-names":false,"suffix":""}],"container-title":"Proceedings of the National Academy of Sciences of the United States of America","id":"ITEM-1","issue":"44","issued":{"date-parts":[["2021","11","2"]]},"page":"1-8","publisher":"National Academy of Sciences","title":"Demonstration of the role of cell wall homeostasis in Staphylococcus aureus growth and the action of bactericidal antibiotics.","type":"article-journal","volume":"118"},"uris":["http://www.mendeley.com/documents/?uuid=9f3bf1ae-65de-4943-a7a8-62e0e140e346"]}],"mendeley":{"formattedCitation":"&lt;sup&gt;[247]&lt;/sup&gt;","plainTextFormattedCitation":"[247]","previouslyFormattedCitation":"&lt;sup&gt;[247]&lt;/sup&gt;"},"properties":{"noteIndex":0},"schema":"https://github.com/citation-style-language/schema/raw/master/csl-citation.json"}</w:instrText>
      </w:r>
      <w:r w:rsidR="009A4796">
        <w:fldChar w:fldCharType="separate"/>
      </w:r>
      <w:r w:rsidR="002659E5" w:rsidRPr="002659E5">
        <w:rPr>
          <w:noProof/>
          <w:vertAlign w:val="superscript"/>
        </w:rPr>
        <w:t>[247]</w:t>
      </w:r>
      <w:r w:rsidR="009A4796">
        <w:fldChar w:fldCharType="end"/>
      </w:r>
      <w:r w:rsidR="00500049">
        <w:t>.</w:t>
      </w:r>
    </w:p>
    <w:p w14:paraId="4E00AAEF" w14:textId="17503E10" w:rsidR="00D43BCC" w:rsidRDefault="00411236" w:rsidP="00633B24">
      <w:r>
        <w:t>Similarly, structured illumination microscopy (OMX SIM)</w:t>
      </w:r>
      <w:r w:rsidR="00D43BCC">
        <w:t xml:space="preserve"> images and cell volume estimation of methicillin and vancomycin treated cells </w:t>
      </w:r>
      <w:r w:rsidR="00647662">
        <w:t xml:space="preserve">for this chapter </w:t>
      </w:r>
      <w:r w:rsidR="00D43BCC">
        <w:t>w</w:t>
      </w:r>
      <w:r w:rsidR="00647662">
        <w:t>ere</w:t>
      </w:r>
      <w:r w:rsidR="00D43BCC">
        <w:t xml:space="preserve"> carried out</w:t>
      </w:r>
      <w:r w:rsidR="00500049">
        <w:t xml:space="preserve"> in totality</w:t>
      </w:r>
      <w:r w:rsidR="00D43BCC">
        <w:t xml:space="preserve"> by Dr. </w:t>
      </w:r>
      <w:r w:rsidR="00D43BCC" w:rsidRPr="008301EC">
        <w:t xml:space="preserve">Milena von und zur Mühlen </w:t>
      </w:r>
      <w:r w:rsidR="00D43BCC">
        <w:t>as part of her PhD thesis</w:t>
      </w:r>
      <w:r w:rsidR="001441D6">
        <w:t xml:space="preserve"> </w:t>
      </w:r>
      <w:r w:rsidR="001441D6">
        <w:fldChar w:fldCharType="begin" w:fldLock="1"/>
      </w:r>
      <w:r w:rsidR="00260ACA">
        <w:instrText>ADDIN CSL_CITATION {"citationItems":[{"id":"ITEM-1","itemData":{"author":[{"dropping-particle":"","family":"und zur Mühlen","given":"Milena Louise","non-dropping-particle":"von","parse-names":false,"suffix":""}],"id":"ITEM-1","issued":{"date-parts":[["2019"]]},"publisher":"The University of Sheffield","title":"Life and Death: Cell Wall Antibiotic killing of Staphylococcus aureus","type":"thesis"},"uris":["http://www.mendeley.com/documents/?uuid=940981bd-d042-4bac-9611-160139e29821"]}],"mendeley":{"formattedCitation":"&lt;sup&gt;[71]&lt;/sup&gt;","plainTextFormattedCitation":"[71]","previouslyFormattedCitation":"&lt;sup&gt;[71]&lt;/sup&gt;"},"properties":{"noteIndex":0},"schema":"https://github.com/citation-style-language/schema/raw/master/csl-citation.json"}</w:instrText>
      </w:r>
      <w:r w:rsidR="001441D6">
        <w:fldChar w:fldCharType="separate"/>
      </w:r>
      <w:r w:rsidR="00C825F9" w:rsidRPr="00C825F9">
        <w:rPr>
          <w:noProof/>
          <w:vertAlign w:val="superscript"/>
        </w:rPr>
        <w:t>[71]</w:t>
      </w:r>
      <w:r w:rsidR="001441D6">
        <w:fldChar w:fldCharType="end"/>
      </w:r>
      <w:r w:rsidR="001441D6">
        <w:t xml:space="preserve"> and a collaborative </w:t>
      </w:r>
      <w:r w:rsidR="00D131DF">
        <w:t>project</w:t>
      </w:r>
      <w:r w:rsidR="009A4796">
        <w:t xml:space="preserve"> </w:t>
      </w:r>
      <w:r w:rsidR="009A4796">
        <w:fldChar w:fldCharType="begin" w:fldLock="1"/>
      </w:r>
      <w:r w:rsidR="004F7E11">
        <w:instrText>ADDIN CSL_CITATION {"citationItems":[{"id":"ITEM-1","itemData":{"DOI":"10.1073/pnas.2106022118","ISSN":"1091-6490","PMID":"34716264","abstract":"Bacterial cell wall peptidoglycan is essential, maintaining both cellular integrity and morphology, in the face of internal turgor pressure. Peptidoglycan synthesis is important, as it is targeted by cell wall antibiotics, including methicillin and vancomycin. Here, we have used the major human pathogen Staphylococcus aureus to elucidate both the cell wall dynamic processes essential for growth (life) and the bactericidal effects of cell wall antibiotics (death) based on the principle of coordinated peptidoglycan synthesis and hydrolysis. The death of S. aureus due to depletion of the essential, two-component and positive regulatory system for peptidoglycan hydrolase activity (WalKR) is prevented by addition of otherwise bactericidal cell wall antibiotics, resulting in stasis. In contrast, cell wall antibiotics kill via the activity of peptidoglycan hydrolases in the absence of concomitant synthesis. Both methicillin and vancomycin treatment lead to the appearance of perforating holes throughout the cell wall due to peptidoglycan hydrolases. Methicillin alone also results in plasmolysis and misshapen septa with the involvement of the major peptidoglycan hydrolase Atl, a process that is inhibited by vancomycin. The bactericidal effect of vancomycin involves the peptidoglycan hydrolase SagB. In the presence of cell wall antibiotics, the inhibition of peptidoglycan hydrolase activity using the inhibitor complestatin results in reduced killing, while, conversely, the deregulation of hydrolase activity via loss of wall teichoic acids increases the death rate. For S. aureus, the independent regulation of cell wall synthesis and hydrolysis can lead to cell growth, death, or stasis, with implications for the development of new control regimes for this important pathogen.","author":[{"dropping-particle":"","family":"Salamaga","given":"Bartłomiej","non-dropping-particle":"","parse-names":false,"suffix":""},{"dropping-particle":"","family":"Kong","given":"Lingyuan","non-dropping-particle":"","parse-names":false,"suffix":""},{"dropping-particle":"","family":"Pasquina-Lemonche","given":"Laia","non-dropping-particle":"","parse-names":false,"suffix":""},{"dropping-particle":"","family":"Lafage","given":"Lucia","non-dropping-particle":"","parse-names":false,"suffix":""},{"dropping-particle":"","family":"Und Zur Muhlen","given":"Milena","non-dropping-particle":"von","parse-names":false,"suffix":""},{"dropping-particle":"","family":"Gibson","given":"Josie F","non-dropping-particle":"","parse-names":false,"suffix":""},{"dropping-particle":"","family":"Grybchuk","given":"Danyil","non-dropping-particle":"","parse-names":false,"suffix":""},{"dropping-particle":"","family":"Tooke","given":"Amy K","non-dropping-particle":"","parse-names":false,"suffix":""},{"dropping-particle":"","family":"Panchal","given":"Viralkumar","non-dropping-particle":"","parse-names":false,"suffix":""},{"dropping-particle":"","family":"Culp","given":"Elizabeth J","non-dropping-particle":"","parse-names":false,"suffix":""},{"dropping-particle":"","family":"Tatham","given":"Elizabeth","non-dropping-particle":"","parse-names":false,"suffix":""},{"dropping-particle":"","family":"O'Kane","given":"Mary E","non-dropping-particle":"","parse-names":false,"suffix":""},{"dropping-particle":"","family":"Catley","given":"Thomas E","non-dropping-particle":"","parse-names":false,"suffix":""},{"dropping-particle":"","family":"Renshaw","given":"Stephen A","non-dropping-particle":"","parse-names":false,"suffix":""},{"dropping-particle":"","family":"Wright","given":"Gerard D","non-dropping-particle":"","parse-names":false,"suffix":""},{"dropping-particle":"","family":"Plevka","given":"Pavel","non-dropping-particle":"","parse-names":false,"suffix":""},{"dropping-particle":"","family":"Bullough","given":"Per A","non-dropping-particle":"","parse-names":false,"suffix":""},{"dropping-particle":"","family":"Han","given":"Aidong","non-dropping-particle":"","parse-names":false,"suffix":""},{"dropping-particle":"","family":"Hobbs","given":"Jamie K","non-dropping-particle":"","parse-names":false,"suffix":""},{"dropping-particle":"","family":"Foster","given":"Simon J","non-dropping-particle":"","parse-names":false,"suffix":""}],"container-title":"Proceedings of the National Academy of Sciences of the United States of America","id":"ITEM-1","issue":"44","issued":{"date-parts":[["2021","11","2"]]},"page":"1-8","publisher":"National Academy of Sciences","title":"Demonstration of the role of cell wall homeostasis in Staphylococcus aureus growth and the action of bactericidal antibiotics.","type":"article-journal","volume":"118"},"uris":["http://www.mendeley.com/documents/?uuid=9f3bf1ae-65de-4943-a7a8-62e0e140e346"]}],"mendeley":{"formattedCitation":"&lt;sup&gt;[247]&lt;/sup&gt;","plainTextFormattedCitation":"[247]","previouslyFormattedCitation":"&lt;sup&gt;[247]&lt;/sup&gt;"},"properties":{"noteIndex":0},"schema":"https://github.com/citation-style-language/schema/raw/master/csl-citation.json"}</w:instrText>
      </w:r>
      <w:r w:rsidR="009A4796">
        <w:fldChar w:fldCharType="separate"/>
      </w:r>
      <w:r w:rsidR="002659E5" w:rsidRPr="002659E5">
        <w:rPr>
          <w:noProof/>
          <w:vertAlign w:val="superscript"/>
        </w:rPr>
        <w:t>[247]</w:t>
      </w:r>
      <w:r w:rsidR="009A4796">
        <w:fldChar w:fldCharType="end"/>
      </w:r>
      <w:r w:rsidR="00D43BCC">
        <w:t>.</w:t>
      </w:r>
    </w:p>
    <w:p w14:paraId="45CD163C" w14:textId="1CC41491" w:rsidR="00500049" w:rsidRDefault="00B364A8" w:rsidP="00633B24">
      <w:r>
        <w:t>A</w:t>
      </w:r>
      <w:r w:rsidR="00411236">
        <w:t>tomic force microscopy (AFM)</w:t>
      </w:r>
      <w:r w:rsidR="00500049">
        <w:t xml:space="preserve"> images and analysis was carried out in totality by Dr. Laia Pasquina-Lemonche</w:t>
      </w:r>
      <w:r w:rsidR="00693494">
        <w:t xml:space="preserve"> as part of a</w:t>
      </w:r>
      <w:r w:rsidR="001441D6">
        <w:t xml:space="preserve"> her PhD thesis </w:t>
      </w:r>
      <w:r w:rsidR="001441D6">
        <w:fldChar w:fldCharType="begin" w:fldLock="1"/>
      </w:r>
      <w:r w:rsidR="0058736C">
        <w:instrText>ADDIN CSL_CITATION {"citationItems":[{"id":"ITEM-1","itemData":{"author":[{"dropping-particle":"","family":"Pasquina Lemonche","given":"Laia","non-dropping-particle":"","parse-names":false,"suffix":""}],"id":"ITEM-1","issue":"August","issued":{"date-parts":[["2020"]]},"publisher":"The University of Sheffield","title":"The molecular architecture of the Gram-positive bacterial cell wall and how it is disrupted by antibiotics","type":"thesis"},"uris":["http://www.mendeley.com/documents/?uuid=7155e0a8-ffca-4ddc-ab1a-a19f15567396"]}],"mendeley":{"formattedCitation":"&lt;sup&gt;[248]&lt;/sup&gt;","plainTextFormattedCitation":"[248]","previouslyFormattedCitation":"&lt;sup&gt;[248]&lt;/sup&gt;"},"properties":{"noteIndex":0},"schema":"https://github.com/citation-style-language/schema/raw/master/csl-citation.json"}</w:instrText>
      </w:r>
      <w:r w:rsidR="001441D6">
        <w:fldChar w:fldCharType="separate"/>
      </w:r>
      <w:r w:rsidR="002659E5" w:rsidRPr="002659E5">
        <w:rPr>
          <w:noProof/>
          <w:vertAlign w:val="superscript"/>
        </w:rPr>
        <w:t>[248]</w:t>
      </w:r>
      <w:r w:rsidR="001441D6">
        <w:fldChar w:fldCharType="end"/>
      </w:r>
      <w:r w:rsidR="001441D6">
        <w:t xml:space="preserve"> and a collaborative </w:t>
      </w:r>
      <w:r w:rsidR="00D131DF">
        <w:t>project</w:t>
      </w:r>
      <w:r w:rsidR="009A4796">
        <w:t xml:space="preserve"> </w:t>
      </w:r>
      <w:r w:rsidR="009A4796">
        <w:fldChar w:fldCharType="begin" w:fldLock="1"/>
      </w:r>
      <w:r w:rsidR="004F7E11">
        <w:instrText>ADDIN CSL_CITATION {"citationItems":[{"id":"ITEM-1","itemData":{"DOI":"10.1073/pnas.2106022118","ISSN":"1091-6490","PMID":"34716264","abstract":"Bacterial cell wall peptidoglycan is essential, maintaining both cellular integrity and morphology, in the face of internal turgor pressure. Peptidoglycan synthesis is important, as it is targeted by cell wall antibiotics, including methicillin and vancomycin. Here, we have used the major human pathogen Staphylococcus aureus to elucidate both the cell wall dynamic processes essential for growth (life) and the bactericidal effects of cell wall antibiotics (death) based on the principle of coordinated peptidoglycan synthesis and hydrolysis. The death of S. aureus due to depletion of the essential, two-component and positive regulatory system for peptidoglycan hydrolase activity (WalKR) is prevented by addition of otherwise bactericidal cell wall antibiotics, resulting in stasis. In contrast, cell wall antibiotics kill via the activity of peptidoglycan hydrolases in the absence of concomitant synthesis. Both methicillin and vancomycin treatment lead to the appearance of perforating holes throughout the cell wall due to peptidoglycan hydrolases. Methicillin alone also results in plasmolysis and misshapen septa with the involvement of the major peptidoglycan hydrolase Atl, a process that is inhibited by vancomycin. The bactericidal effect of vancomycin involves the peptidoglycan hydrolase SagB. In the presence of cell wall antibiotics, the inhibition of peptidoglycan hydrolase activity using the inhibitor complestatin results in reduced killing, while, conversely, the deregulation of hydrolase activity via loss of wall teichoic acids increases the death rate. For S. aureus, the independent regulation of cell wall synthesis and hydrolysis can lead to cell growth, death, or stasis, with implications for the development of new control regimes for this important pathogen.","author":[{"dropping-particle":"","family":"Salamaga","given":"Bartłomiej","non-dropping-particle":"","parse-names":false,"suffix":""},{"dropping-particle":"","family":"Kong","given":"Lingyuan","non-dropping-particle":"","parse-names":false,"suffix":""},{"dropping-particle":"","family":"Pasquina-Lemonche","given":"Laia","non-dropping-particle":"","parse-names":false,"suffix":""},{"dropping-particle":"","family":"Lafage","given":"Lucia","non-dropping-particle":"","parse-names":false,"suffix":""},{"dropping-particle":"","family":"Und Zur Muhlen","given":"Milena","non-dropping-particle":"von","parse-names":false,"suffix":""},{"dropping-particle":"","family":"Gibson","given":"Josie F","non-dropping-particle":"","parse-names":false,"suffix":""},{"dropping-particle":"","family":"Grybchuk","given":"Danyil","non-dropping-particle":"","parse-names":false,"suffix":""},{"dropping-particle":"","family":"Tooke","given":"Amy K","non-dropping-particle":"","parse-names":false,"suffix":""},{"dropping-particle":"","family":"Panchal","given":"Viralkumar","non-dropping-particle":"","parse-names":false,"suffix":""},{"dropping-particle":"","family":"Culp","given":"Elizabeth J","non-dropping-particle":"","parse-names":false,"suffix":""},{"dropping-particle":"","family":"Tatham","given":"Elizabeth","non-dropping-particle":"","parse-names":false,"suffix":""},{"dropping-particle":"","family":"O'Kane","given":"Mary E","non-dropping-particle":"","parse-names":false,"suffix":""},{"dropping-particle":"","family":"Catley","given":"Thomas E","non-dropping-particle":"","parse-names":false,"suffix":""},{"dropping-particle":"","family":"Renshaw","given":"Stephen A","non-dropping-particle":"","parse-names":false,"suffix":""},{"dropping-particle":"","family":"Wright","given":"Gerard D","non-dropping-particle":"","parse-names":false,"suffix":""},{"dropping-particle":"","family":"Plevka","given":"Pavel","non-dropping-particle":"","parse-names":false,"suffix":""},{"dropping-particle":"","family":"Bullough","given":"Per A","non-dropping-particle":"","parse-names":false,"suffix":""},{"dropping-particle":"","family":"Han","given":"Aidong","non-dropping-particle":"","parse-names":false,"suffix":""},{"dropping-particle":"","family":"Hobbs","given":"Jamie K","non-dropping-particle":"","parse-names":false,"suffix":""},{"dropping-particle":"","family":"Foster","given":"Simon J","non-dropping-particle":"","parse-names":false,"suffix":""}],"container-title":"Proceedings of the National Academy of Sciences of the United States of America","id":"ITEM-1","issue":"44","issued":{"date-parts":[["2021","11","2"]]},"page":"1-8","publisher":"National Academy of Sciences","title":"Demonstration of the role of cell wall homeostasis in Staphylococcus aureus growth and the action of bactericidal antibiotics.","type":"article-journal","volume":"118"},"uris":["http://www.mendeley.com/documents/?uuid=9f3bf1ae-65de-4943-a7a8-62e0e140e346"]}],"mendeley":{"formattedCitation":"&lt;sup&gt;[247]&lt;/sup&gt;","plainTextFormattedCitation":"[247]","previouslyFormattedCitation":"&lt;sup&gt;[247]&lt;/sup&gt;"},"properties":{"noteIndex":0},"schema":"https://github.com/citation-style-language/schema/raw/master/csl-citation.json"}</w:instrText>
      </w:r>
      <w:r w:rsidR="009A4796">
        <w:fldChar w:fldCharType="separate"/>
      </w:r>
      <w:r w:rsidR="002659E5" w:rsidRPr="002659E5">
        <w:rPr>
          <w:noProof/>
          <w:vertAlign w:val="superscript"/>
        </w:rPr>
        <w:t>[247]</w:t>
      </w:r>
      <w:r w:rsidR="009A4796">
        <w:fldChar w:fldCharType="end"/>
      </w:r>
      <w:r w:rsidR="00693494">
        <w:t>.</w:t>
      </w:r>
    </w:p>
    <w:p w14:paraId="59070CB8" w14:textId="3A3B1401" w:rsidR="004766D0" w:rsidRDefault="00B364A8" w:rsidP="004766D0">
      <w:r>
        <w:t>Finally</w:t>
      </w:r>
      <w:r w:rsidR="0013272B">
        <w:t>, c</w:t>
      </w:r>
      <w:r w:rsidR="000E5962">
        <w:t>ryo-</w:t>
      </w:r>
      <w:r w:rsidR="0013272B">
        <w:t>electron</w:t>
      </w:r>
      <w:r w:rsidR="000E5962">
        <w:t xml:space="preserve"> transmission </w:t>
      </w:r>
      <w:r w:rsidR="0013272B">
        <w:t>microscopy of whole cells</w:t>
      </w:r>
      <w:r w:rsidR="000E5962">
        <w:t xml:space="preserve"> (</w:t>
      </w:r>
      <w:r w:rsidR="0013272B">
        <w:t>c</w:t>
      </w:r>
      <w:r w:rsidR="000E5962">
        <w:t xml:space="preserve">ryo-TEM) </w:t>
      </w:r>
      <w:r w:rsidR="0013272B">
        <w:t xml:space="preserve">and cryo-electron tomography (cryo-ET) </w:t>
      </w:r>
      <w:r w:rsidR="000E5962">
        <w:t xml:space="preserve">was carried out by Dr. Danyil Grybchuk from </w:t>
      </w:r>
      <w:r w:rsidR="00B5249C">
        <w:t>Dr. Pavel</w:t>
      </w:r>
      <w:r w:rsidR="000E5962">
        <w:t xml:space="preserve"> Plevka’s laboratory at the C</w:t>
      </w:r>
      <w:r w:rsidR="000E5962" w:rsidRPr="00936731">
        <w:t>entral European Institute of Technology</w:t>
      </w:r>
      <w:r>
        <w:t xml:space="preserve"> (</w:t>
      </w:r>
      <w:r w:rsidR="000E5962" w:rsidRPr="00936731">
        <w:t>Masaryk University, Brno, Czech Republic</w:t>
      </w:r>
      <w:r>
        <w:t>)</w:t>
      </w:r>
      <w:r w:rsidR="004766D0">
        <w:t xml:space="preserve"> as part of a collaborative project </w:t>
      </w:r>
      <w:r w:rsidR="004766D0">
        <w:fldChar w:fldCharType="begin" w:fldLock="1"/>
      </w:r>
      <w:r w:rsidR="004F7E11">
        <w:instrText>ADDIN CSL_CITATION {"citationItems":[{"id":"ITEM-1","itemData":{"DOI":"10.1073/pnas.2106022118","ISSN":"1091-6490","PMID":"34716264","abstract":"Bacterial cell wall peptidoglycan is essential, maintaining both cellular integrity and morphology, in the face of internal turgor pressure. Peptidoglycan synthesis is important, as it is targeted by cell wall antibiotics, including methicillin and vancomycin. Here, we have used the major human pathogen Staphylococcus aureus to elucidate both the cell wall dynamic processes essential for growth (life) and the bactericidal effects of cell wall antibiotics (death) based on the principle of coordinated peptidoglycan synthesis and hydrolysis. The death of S. aureus due to depletion of the essential, two-component and positive regulatory system for peptidoglycan hydrolase activity (WalKR) is prevented by addition of otherwise bactericidal cell wall antibiotics, resulting in stasis. In contrast, cell wall antibiotics kill via the activity of peptidoglycan hydrolases in the absence of concomitant synthesis. Both methicillin and vancomycin treatment lead to the appearance of perforating holes throughout the cell wall due to peptidoglycan hydrolases. Methicillin alone also results in plasmolysis and misshapen septa with the involvement of the major peptidoglycan hydrolase Atl, a process that is inhibited by vancomycin. The bactericidal effect of vancomycin involves the peptidoglycan hydrolase SagB. In the presence of cell wall antibiotics, the inhibition of peptidoglycan hydrolase activity using the inhibitor complestatin results in reduced killing, while, conversely, the deregulation of hydrolase activity via loss of wall teichoic acids increases the death rate. For S. aureus, the independent regulation of cell wall synthesis and hydrolysis can lead to cell growth, death, or stasis, with implications for the development of new control regimes for this important pathogen.","author":[{"dropping-particle":"","family":"Salamaga","given":"Bartłomiej","non-dropping-particle":"","parse-names":false,"suffix":""},{"dropping-particle":"","family":"Kong","given":"Lingyuan","non-dropping-particle":"","parse-names":false,"suffix":""},{"dropping-particle":"","family":"Pasquina-Lemonche","given":"Laia","non-dropping-particle":"","parse-names":false,"suffix":""},{"dropping-particle":"","family":"Lafage","given":"Lucia","non-dropping-particle":"","parse-names":false,"suffix":""},{"dropping-particle":"","family":"Und Zur Muhlen","given":"Milena","non-dropping-particle":"von","parse-names":false,"suffix":""},{"dropping-particle":"","family":"Gibson","given":"Josie F","non-dropping-particle":"","parse-names":false,"suffix":""},{"dropping-particle":"","family":"Grybchuk","given":"Danyil","non-dropping-particle":"","parse-names":false,"suffix":""},{"dropping-particle":"","family":"Tooke","given":"Amy K","non-dropping-particle":"","parse-names":false,"suffix":""},{"dropping-particle":"","family":"Panchal","given":"Viralkumar","non-dropping-particle":"","parse-names":false,"suffix":""},{"dropping-particle":"","family":"Culp","given":"Elizabeth J","non-dropping-particle":"","parse-names":false,"suffix":""},{"dropping-particle":"","family":"Tatham","given":"Elizabeth","non-dropping-particle":"","parse-names":false,"suffix":""},{"dropping-particle":"","family":"O'Kane","given":"Mary E","non-dropping-particle":"","parse-names":false,"suffix":""},{"dropping-particle":"","family":"Catley","given":"Thomas E","non-dropping-particle":"","parse-names":false,"suffix":""},{"dropping-particle":"","family":"Renshaw","given":"Stephen A","non-dropping-particle":"","parse-names":false,"suffix":""},{"dropping-particle":"","family":"Wright","given":"Gerard D","non-dropping-particle":"","parse-names":false,"suffix":""},{"dropping-particle":"","family":"Plevka","given":"Pavel","non-dropping-particle":"","parse-names":false,"suffix":""},{"dropping-particle":"","family":"Bullough","given":"Per A","non-dropping-particle":"","parse-names":false,"suffix":""},{"dropping-particle":"","family":"Han","given":"Aidong","non-dropping-particle":"","parse-names":false,"suffix":""},{"dropping-particle":"","family":"Hobbs","given":"Jamie K","non-dropping-particle":"","parse-names":false,"suffix":""},{"dropping-particle":"","family":"Foster","given":"Simon J","non-dropping-particle":"","parse-names":false,"suffix":""}],"container-title":"Proceedings of the National Academy of Sciences of the United States of America","id":"ITEM-1","issue":"44","issued":{"date-parts":[["2021","11","2"]]},"page":"1-8","publisher":"National Academy of Sciences","title":"Demonstration of the role of cell wall homeostasis in Staphylococcus aureus growth and the action of bactericidal antibiotics.","type":"article-journal","volume":"118"},"uris":["http://www.mendeley.com/documents/?uuid=9f3bf1ae-65de-4943-a7a8-62e0e140e346"]}],"mendeley":{"formattedCitation":"&lt;sup&gt;[247]&lt;/sup&gt;","plainTextFormattedCitation":"[247]","previouslyFormattedCitation":"&lt;sup&gt;[247]&lt;/sup&gt;"},"properties":{"noteIndex":0},"schema":"https://github.com/citation-style-language/schema/raw/master/csl-citation.json"}</w:instrText>
      </w:r>
      <w:r w:rsidR="004766D0">
        <w:fldChar w:fldCharType="separate"/>
      </w:r>
      <w:r w:rsidR="002659E5" w:rsidRPr="002659E5">
        <w:rPr>
          <w:noProof/>
          <w:vertAlign w:val="superscript"/>
        </w:rPr>
        <w:t>[247]</w:t>
      </w:r>
      <w:r w:rsidR="004766D0">
        <w:fldChar w:fldCharType="end"/>
      </w:r>
      <w:r w:rsidR="004766D0">
        <w:t>.</w:t>
      </w:r>
    </w:p>
    <w:p w14:paraId="1E85B31A" w14:textId="429AC039" w:rsidR="000E5962" w:rsidRPr="00D43BCC" w:rsidRDefault="000E5962" w:rsidP="00633B24">
      <w:pPr>
        <w:sectPr w:rsidR="000E5962" w:rsidRPr="00D43BCC" w:rsidSect="004D0E05">
          <w:pgSz w:w="11906" w:h="16838"/>
          <w:pgMar w:top="1191" w:right="1247" w:bottom="1191" w:left="1247" w:header="709" w:footer="709" w:gutter="0"/>
          <w:cols w:space="708"/>
          <w:titlePg/>
          <w:docGrid w:linePitch="360"/>
        </w:sectPr>
      </w:pPr>
    </w:p>
    <w:p w14:paraId="546D4AB3" w14:textId="63EE7A3C" w:rsidR="00E40F77" w:rsidRPr="005B0F81" w:rsidRDefault="00E40F77" w:rsidP="00E40F77">
      <w:pPr>
        <w:pStyle w:val="Heading1"/>
      </w:pPr>
      <w:bookmarkStart w:id="466" w:name="_Toc64276344"/>
      <w:bookmarkStart w:id="467" w:name="_Toc64276648"/>
      <w:bookmarkStart w:id="468" w:name="_Toc64276860"/>
      <w:bookmarkStart w:id="469" w:name="_Toc90216859"/>
      <w:r w:rsidRPr="005B0F81">
        <w:lastRenderedPageBreak/>
        <w:t>Chapter 3</w:t>
      </w:r>
      <w:bookmarkEnd w:id="466"/>
      <w:bookmarkEnd w:id="467"/>
      <w:bookmarkEnd w:id="468"/>
      <w:bookmarkEnd w:id="469"/>
    </w:p>
    <w:p w14:paraId="347AAC66" w14:textId="78B72832" w:rsidR="00201FE8" w:rsidRPr="005B0F81" w:rsidRDefault="00201FE8" w:rsidP="00FA48D6">
      <w:pPr>
        <w:pStyle w:val="ChaptertitleThesis"/>
      </w:pPr>
      <w:bookmarkStart w:id="470" w:name="_Toc64276345"/>
      <w:bookmarkStart w:id="471" w:name="_Toc64276649"/>
      <w:bookmarkStart w:id="472" w:name="_Toc64276861"/>
      <w:bookmarkStart w:id="473" w:name="_Toc90216860"/>
      <w:r w:rsidRPr="005B0F81">
        <w:t xml:space="preserve">Method Development for Studying the </w:t>
      </w:r>
      <w:bookmarkEnd w:id="470"/>
      <w:bookmarkEnd w:id="471"/>
      <w:bookmarkEnd w:id="472"/>
      <w:r w:rsidR="009A1BDD">
        <w:t>Bacterial Envelope</w:t>
      </w:r>
      <w:r w:rsidR="002859F5">
        <w:t xml:space="preserve"> using Electron Microscopy</w:t>
      </w:r>
      <w:bookmarkEnd w:id="473"/>
    </w:p>
    <w:p w14:paraId="0D377657" w14:textId="29070132" w:rsidR="00201FE8" w:rsidRDefault="004B0C7E" w:rsidP="00201FE8">
      <w:pPr>
        <w:pStyle w:val="Heading2"/>
      </w:pPr>
      <w:bookmarkStart w:id="474" w:name="_Toc64276346"/>
      <w:bookmarkStart w:id="475" w:name="_Toc64276650"/>
      <w:bookmarkStart w:id="476" w:name="_Toc64276862"/>
      <w:bookmarkStart w:id="477" w:name="_Ref73135735"/>
      <w:bookmarkStart w:id="478" w:name="_Ref73143659"/>
      <w:bookmarkStart w:id="479" w:name="_Toc90216861"/>
      <w:r w:rsidRPr="005B0F81">
        <w:t>Introduction</w:t>
      </w:r>
      <w:bookmarkEnd w:id="474"/>
      <w:bookmarkEnd w:id="475"/>
      <w:bookmarkEnd w:id="476"/>
      <w:bookmarkEnd w:id="477"/>
      <w:bookmarkEnd w:id="478"/>
      <w:r w:rsidR="007006CC">
        <w:t>.</w:t>
      </w:r>
      <w:bookmarkEnd w:id="479"/>
    </w:p>
    <w:p w14:paraId="5795251C" w14:textId="3A82ADF0" w:rsidR="0043024A" w:rsidRDefault="009A1BDD" w:rsidP="00EC103C">
      <w:r>
        <w:t>A detailed analysis of bacterial samples requires the use of high resolution microscopy. Light microscopy</w:t>
      </w:r>
      <w:r w:rsidR="002B3CA9">
        <w:t>’s</w:t>
      </w:r>
      <w:r>
        <w:t xml:space="preserve"> biggest limitation for resolution is the long wavelength of visible light (400-700 nm). </w:t>
      </w:r>
      <w:r w:rsidR="0061372F" w:rsidRPr="00C74985">
        <w:t>Transmission e</w:t>
      </w:r>
      <w:r w:rsidRPr="00C74985">
        <w:t>lectron microscopy (</w:t>
      </w:r>
      <w:r w:rsidR="0061372F" w:rsidRPr="00C74985">
        <w:t>T</w:t>
      </w:r>
      <w:r w:rsidRPr="00C74985">
        <w:t>EM)</w:t>
      </w:r>
      <w:r w:rsidR="002B3CA9" w:rsidRPr="00C74985">
        <w:t>,</w:t>
      </w:r>
      <w:r>
        <w:t xml:space="preserve"> however</w:t>
      </w:r>
      <w:r w:rsidR="002B3CA9">
        <w:t>,</w:t>
      </w:r>
      <w:r>
        <w:t xml:space="preserve"> </w:t>
      </w:r>
      <w:r w:rsidR="00245EA2">
        <w:t>uses an accelerated electron beam with a much smaller wavelength.</w:t>
      </w:r>
      <w:r w:rsidR="00316BE5">
        <w:t xml:space="preserve"> For example, at 100 keV and 200 keV the wavelength is of 3.7 and 2.51 pm, respectively.</w:t>
      </w:r>
      <w:r w:rsidR="00345ED5">
        <w:t xml:space="preserve"> This shorter wavelength provides the highest resolving power available </w:t>
      </w:r>
      <w:r w:rsidR="00345ED5">
        <w:fldChar w:fldCharType="begin" w:fldLock="1"/>
      </w:r>
      <w:r w:rsidR="0058736C">
        <w:instrText>ADDIN CSL_CITATION {"citationItems":[{"id":"ITEM-1","itemData":{"ISBN":"9780849372278","container-title":"Cellular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-1","issued":{"date-parts":[["2008"]]},"publisher":"CRC Publisher","publisher-place":"Boca Raton","title":"Handbook of Cryopreparation Methods for Electron Microscopy","type":"book","volume":"79"},"uris":["http://www.mendeley.com/documents/?uuid=d0314adf-0335-4087-adfc-77f2002bf131"]}],"mendeley":{"formattedCitation":"&lt;sup&gt;[215]&lt;/sup&gt;","plainTextFormattedCitation":"[215]","previouslyFormattedCitation":"&lt;sup&gt;[215]&lt;/sup&gt;"},"properties":{"noteIndex":0},"schema":"https://github.com/citation-style-language/schema/raw/master/csl-citation.json"}</w:instrText>
      </w:r>
      <w:r w:rsidR="00345ED5">
        <w:fldChar w:fldCharType="separate"/>
      </w:r>
      <w:r w:rsidR="002659E5" w:rsidRPr="002659E5">
        <w:rPr>
          <w:noProof/>
          <w:vertAlign w:val="superscript"/>
        </w:rPr>
        <w:t>[215]</w:t>
      </w:r>
      <w:r w:rsidR="00345ED5">
        <w:fldChar w:fldCharType="end"/>
      </w:r>
      <w:r w:rsidR="00345ED5">
        <w:t>.</w:t>
      </w:r>
      <w:r w:rsidR="00866800">
        <w:t xml:space="preserve"> </w:t>
      </w:r>
      <w:r w:rsidR="00C93D04">
        <w:t>E</w:t>
      </w:r>
      <w:r w:rsidR="00866800">
        <w:t>lectrons travel micrometre (µm) distances</w:t>
      </w:r>
      <w:r w:rsidR="00EB5F52">
        <w:t xml:space="preserve"> in biological materials, but centimetres in air</w:t>
      </w:r>
      <w:r w:rsidR="007E55DB">
        <w:t xml:space="preserve"> (scattering)</w:t>
      </w:r>
      <w:r w:rsidR="00C93D04">
        <w:t xml:space="preserve">, and therefore the whole EM system must be contained at a very high vacuum to avoid </w:t>
      </w:r>
      <w:r w:rsidR="00DC03A2">
        <w:t xml:space="preserve">high </w:t>
      </w:r>
      <w:r w:rsidR="00C93D04">
        <w:t xml:space="preserve">electron scattering </w:t>
      </w:r>
      <w:r w:rsidR="00C93D04">
        <w:fldChar w:fldCharType="begin" w:fldLock="1"/>
      </w:r>
      <w:r w:rsidR="0058736C">
        <w:instrText>ADDIN CSL_CITATION {"citationItems":[{"id":"ITEM-1","itemData":{"ISBN":"978-0-387-76502-0","author":[{"dropping-particle":"","family":"Williams","given":"David B","non-dropping-particle":"","parse-names":false,"suffix":""},{"dropping-particle":"","family":"Carter","given":"C Barry","non-dropping-particle":"","parse-names":false,"suffix":""}],"edition":"2nd","id":"ITEM-1","issued":{"date-parts":[["2009"]]},"publisher":"Springer","publisher-place":"New York","title":"Transmission Electron Microscopy a Textbook for Material Science","type":"book"},"uris":["http://www.mendeley.com/documents/?uuid=a25888c0-ddc9-4a96-bf1f-7783f04c2dac"]}],"mendeley":{"formattedCitation":"&lt;sup&gt;[214]&lt;/sup&gt;","plainTextFormattedCitation":"[214]","previouslyFormattedCitation":"&lt;sup&gt;[214]&lt;/sup&gt;"},"properties":{"noteIndex":0},"schema":"https://github.com/citation-style-language/schema/raw/master/csl-citation.json"}</w:instrText>
      </w:r>
      <w:r w:rsidR="00C93D04">
        <w:fldChar w:fldCharType="separate"/>
      </w:r>
      <w:r w:rsidR="002659E5" w:rsidRPr="002659E5">
        <w:rPr>
          <w:noProof/>
          <w:vertAlign w:val="superscript"/>
        </w:rPr>
        <w:t>[214]</w:t>
      </w:r>
      <w:r w:rsidR="00C93D04">
        <w:fldChar w:fldCharType="end"/>
      </w:r>
      <w:r w:rsidR="00C93D04">
        <w:t>. This high vacuum provides an obstacle for the high water content of biological samples</w:t>
      </w:r>
      <w:r w:rsidR="007E55DB">
        <w:t>, and therefore sample dehydration is a vital step for room temperature EM.</w:t>
      </w:r>
      <w:r w:rsidR="00BF50E1">
        <w:t xml:space="preserve"> Nonetheless, technological advances </w:t>
      </w:r>
      <w:r w:rsidR="002B3CA9">
        <w:t>finally permitted</w:t>
      </w:r>
      <w:r w:rsidR="00BF50E1">
        <w:t xml:space="preserve"> imaging of fully hydrated samples at cryogenic temperatures, also known as </w:t>
      </w:r>
      <w:r w:rsidR="00BF50E1" w:rsidRPr="00C74985">
        <w:t>cryo-electron microscopy (cryo</w:t>
      </w:r>
      <w:r w:rsidR="004D08B9">
        <w:t>-</w:t>
      </w:r>
      <w:r w:rsidR="00BF50E1" w:rsidRPr="00C74985">
        <w:t>EM</w:t>
      </w:r>
      <w:r w:rsidR="0061372F" w:rsidRPr="00C74985">
        <w:t xml:space="preserve"> or cryo-TEM</w:t>
      </w:r>
      <w:r w:rsidR="00BF50E1" w:rsidRPr="00C74985">
        <w:t>)</w:t>
      </w:r>
      <w:r w:rsidR="0069795D" w:rsidRPr="00C74985">
        <w:t xml:space="preserve"> </w:t>
      </w:r>
      <w:r w:rsidR="0069795D">
        <w:rPr>
          <w:b/>
          <w:bCs/>
        </w:rPr>
        <w:fldChar w:fldCharType="begin" w:fldLock="1"/>
      </w:r>
      <w:r w:rsidR="0058736C">
        <w:rPr>
          <w:b/>
          <w:bCs/>
        </w:rPr>
        <w:instrText xml:space="preserve">ADDIN CSL_CITATION {"citationItems":[{"id":"ITEM-1","itemData":{"DOI":"10.1016/j.bpj.2016.02.001","ISSN":"15420086","PMID":"26958874","abstract":"Structural biology is the study of the molecular architecture of proteins and nucleic acids, which are the basis for all life forms. Structural biology came into its own as a field during the 1950s when the atomic structures of DNA (1) and several globular proteins (2) were solved. Knowledge of these structures alone is not enough to understand their functions, but it has become clear that a detailed mecha-nistic picture of function is not possible without structural information. Studying structure can reveal how molecules have evolved, and this type of insight would otherwise be lost by looking at only the molecule's sequence.","author":[{"dropping-particle":"","family":"Egelman","given":"Edward H.","non-dropping-particle":"","parse-names":false,"suffix":""}],"container-title":"Biophysical Journal","id":"ITEM-1","issue":"5","issued":{"date-parts":[["2016","3","8"]]},"page":"1008-1012","publisher":"Biophysical Society","title":"The Current Revolution in Cryo-EM","type":"article","volume":"110"},"uris":["http://www.mendeley.com/documents/?uuid=9be2bded-34e6-38fd-b4d9-ce44ff987d3f"]},{"id":"ITEM-2","itemData":{"DOI":"10.1038/257028a0","ISSN":"00280836","PMID":"1161000","abstract":"A 7-Å resolution map of the purple membrane has been obtained by electron microscopy of tilted, unstained specimens. The protein in the membrane contains seven, closely packed, α-helical segments which extend roughly perpendicular to the plane of the membrane for most of its width. Lipid bilayer regions fill the spaces between the protein molecules. © 1975 Nature Publishing Group.","author":[{"dropping-particle":"","family":"Henderson","given":"R.","non-dropping-particle":"","parse-names":false,"suffix":""},{"dropping-particle":"","family":"Unwin","given":"P. N.T.","non-dropping-particle":"","parse-names":false,"suffix":""}],"container-title":"Nature","id":"ITEM-2","issue":"5521","issued":{"date-parts":[["1975"]]},"page":"28-32","publisher":"Nature","title":"Three-dimensional model of purple membrane obtained by electron microscopy","type":"article-journal","volume":"257"},"uris":["http://www.mendeley.com/documents/?uuid=25986d0d-7f9a-32cc-bacc-dbbb9695d688"]},{"id":"ITEM-3","itemData":{"DOI":"10.1126/science.186.4168.1036","ISSN":"00368075","PMID":"4469695","abstract":"High-resolution electron diffraction patterns have been obtained from frozen, hydrated catalase crystals to demonstrate the feasibility of using a frozen-specimen hydration technique. The use of frozen specimens to maintain the hydration of complex biological structures has certain advantages over previously developed liquid hydration techniques.","author":[{"dropping-particle":"","family":"Taylor","given":"Kenneth A.","non-dropping-particle":"","parse-names":false,"suffix":""},{"dropping-particle":"","family":"Glaeser","given":"Robert M.","non-dropping-particle":"","parse-names":false,"suffix":""}],"container-title":"Science","id":"ITEM-3","issue":"4168","issued":{"date-parts":[["1974"]]},"page":"1036-1037","publisher":"Science","title":"Electron diffraction of frozen, hydrated protein crystals","type":"article-journal","volume":"186"},"uris":["http://www.mendeley.com/documents/?uuid=1c07f914-9385-3d71-ad02-8b4391fc7b8b"]},{"id":"ITEM-4","itemData":{"DOI":"10.1038/288569a0","ISSN":"00280836","abstract":"Pure water can only be vitrified by the very slow condensation of vapour on a metal surface maintained at very low temperatures1,2. Attempts to form vitreous ice by rapid cooling of liquid water invariably lead to formation of ice Ih (ref. 3). (Pryde and Jones4 did report a heat capacity change of rapidly cooled water at 126 K which they attributed to a glass transition, but could not reproduce this result in subsequent experiments.) Dilute aqueous solutions in contrast to concentrated aqueous solutions5 behave similarity to water and separate during freezing, even with the highest cooling rates available, into pure ice and concentrated solute6. We report here that macroscopic parts of samples of pure liquid water and of dilute aqueous solutions can be vitrified completely by jet-freezing of micrometre-sized aqueous droplets distributed in n -heptane as an emulsion - the resulting supercooling effect of </w:instrText>
      </w:r>
      <w:r w:rsidR="0058736C">
        <w:rPr>
          <w:rFonts w:ascii="Cambria Math" w:hAnsi="Cambria Math" w:cs="Cambria Math"/>
          <w:b/>
          <w:bCs/>
        </w:rPr>
        <w:instrText>∼</w:instrText>
      </w:r>
      <w:r w:rsidR="0058736C">
        <w:rPr>
          <w:b/>
          <w:bCs/>
        </w:rPr>
        <w:instrText>40 K being essential for vitrification7. © 1980 Nature Publishing Group.","author":[{"dropping-particle":"","family":"Brüggeller","given":"Peter","non-dropping-particle":"","parse-names":false,"suffix":""},{"dropping-particle":"","family":"Mayer","given":"Erwin","non-dropping-particle":"","parse-names":false,"suffix":""}],"container-title":"Nature","id":"ITEM-4","issue":"5791","issued":{"date-parts":[["1980"]]},"page":"569-571","publisher":"Nature Publishing Group","title":"Complete vitrification in pure liquid water and dilute aqueous solutions","type":"article-journal","volume":"288"},"uris":["http://www.mendeley.com/documents/?uuid=723a24de-462d-370b-935c-ee096b539b9b"]},{"id":"ITEM-5","itemData":{"author":[{"dropping-particle":"","family":"Dubochet","given":"Jacques","non-dropping-particle":"","parse-names":false,"suffix":""},{"dropping-particle":"","family":"Adrian","given":"Marc","non-dropping-particle":"","parse-names":false,"suffix":""},{"dropping-particle":"","family":"Chan","given":"Jiin-ju","non-dropping-particle":"","parse-names":false,"suffix":""},{"dropping-particle":"","family":"Lepault","given":"Jean","non-dropping-particle":"","parse-names":false,"suffix":""},{"dropping-particle":"","family":"Mcdowall","given":"Alasdair W","non-dropping-particle":"","parse-names":false,"suffix":""}],"id":"ITEM-5","issue":"1988","issued":{"date-parts":[["1988"]]},"page":"129-228","title":"Chapter 5 Cryoelectron Microscopy of Vitrified Specimens","type":"article-journal","volume":"2"},"uris":["http://www.mendeley.com/documents/?uuid=9fbe1beb-c4bf-40ee-8a10-9cf363de2adf"]}],"mendeley":{"formattedCitation":"&lt;sup&gt;[226,249–252]&lt;/sup&gt;","plainTextFormattedCitation":"[226,249–252]","previouslyFormattedCitation":"&lt;sup&gt;[226,249–252]&lt;/sup&gt;"},"properties":{"noteIndex":0},"schema":"https://github.com/citation-style-language/schema/raw/master/csl-citation.json"}</w:instrText>
      </w:r>
      <w:r w:rsidR="0069795D">
        <w:rPr>
          <w:b/>
          <w:bCs/>
        </w:rPr>
        <w:fldChar w:fldCharType="separate"/>
      </w:r>
      <w:r w:rsidR="002659E5" w:rsidRPr="002659E5">
        <w:rPr>
          <w:bCs/>
          <w:noProof/>
          <w:vertAlign w:val="superscript"/>
        </w:rPr>
        <w:t>[226,249–252]</w:t>
      </w:r>
      <w:r w:rsidR="0069795D">
        <w:rPr>
          <w:b/>
          <w:bCs/>
        </w:rPr>
        <w:fldChar w:fldCharType="end"/>
      </w:r>
      <w:r w:rsidR="0069795D" w:rsidRPr="0069795D">
        <w:t>.</w:t>
      </w:r>
      <w:r w:rsidR="00866800">
        <w:rPr>
          <w:rFonts w:ascii="Calibri" w:hAnsi="Calibri" w:cs="Calibri"/>
        </w:rPr>
        <w:t>This involves keeping the sample constantly frozen below devitrification temperature</w:t>
      </w:r>
      <w:r w:rsidR="0069795D">
        <w:rPr>
          <w:rFonts w:ascii="Calibri" w:hAnsi="Calibri" w:cs="Calibri"/>
        </w:rPr>
        <w:t>s (</w:t>
      </w:r>
      <w:r w:rsidR="00866800">
        <w:rPr>
          <w:rFonts w:ascii="Calibri" w:hAnsi="Calibri" w:cs="Calibri"/>
        </w:rPr>
        <w:t>&lt;</w:t>
      </w:r>
      <w:r w:rsidR="0069795D">
        <w:rPr>
          <w:rFonts w:ascii="Calibri" w:hAnsi="Calibri" w:cs="Calibri"/>
        </w:rPr>
        <w:t> </w:t>
      </w:r>
      <w:r w:rsidR="000B01AA">
        <w:rPr>
          <w:rFonts w:ascii="Calibri" w:hAnsi="Calibri" w:cs="Calibri"/>
        </w:rPr>
        <w:t>– </w:t>
      </w:r>
      <w:r w:rsidR="00866800">
        <w:rPr>
          <w:rFonts w:ascii="Calibri" w:hAnsi="Calibri" w:cs="Calibri"/>
        </w:rPr>
        <w:t>137</w:t>
      </w:r>
      <w:r w:rsidR="0069795D">
        <w:rPr>
          <w:rFonts w:ascii="Calibri" w:hAnsi="Calibri" w:cs="Calibri"/>
        </w:rPr>
        <w:t> °</w:t>
      </w:r>
      <w:r w:rsidR="00866800">
        <w:rPr>
          <w:rFonts w:ascii="Calibri" w:hAnsi="Calibri" w:cs="Calibri"/>
        </w:rPr>
        <w:t>C) to avoid ice formatio</w:t>
      </w:r>
      <w:r w:rsidR="0069795D">
        <w:rPr>
          <w:rFonts w:ascii="Calibri" w:hAnsi="Calibri" w:cs="Calibri"/>
        </w:rPr>
        <w:t xml:space="preserve">n </w:t>
      </w:r>
      <w:r w:rsidR="0069795D">
        <w:rPr>
          <w:rFonts w:ascii="Calibri" w:hAnsi="Calibri" w:cs="Calibri"/>
        </w:rPr>
        <w:fldChar w:fldCharType="begin" w:fldLock="1"/>
      </w:r>
      <w:r w:rsidR="0058736C">
        <w:rPr>
          <w:rFonts w:ascii="Calibri" w:hAnsi="Calibri" w:cs="Calibri"/>
        </w:rPr>
        <w:instrText>ADDIN CSL_CITATION {"citationItems":[{"id":"ITEM-1","itemData":{"ISBN":"9780849372278","container-title":"Cellular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-1","issued":{"date-parts":[["2008"]]},"publisher":"CRC Publisher","publisher-place":"Boca Raton","title":"Handbook of Cryopreparation Methods for Electron Microscopy","type":"book","volume":"79"},"uris":["http://www.mendeley.com/documents/?uuid=d0314adf-0335-4087-adfc-77f2002bf131"]},{"id":"ITEM-2","itemData":{"DOI":"10.1016/j.bpj.2016.02.001","ISSN":"15420086","PMID":"26958874","abstract":"Structural biology is the study of the molecular architecture of proteins and nucleic acids, which are the basis for all life forms. Structural biology came into its own as a field during the 1950s when the atomic structures of DNA (1) and several globular proteins (2) were solved. Knowledge of these structures alone is not enough to understand their functions, but it has become clear that a detailed mecha-nistic picture of function is not possible without structural information. Studying structure can reveal how molecules have evolved, and this type of insight would otherwise be lost by looking at only the molecule's sequence.","author":[{"dropping-particle":"","family":"Egelman","given":"Edward H.","non-dropping-particle":"","parse-names":false,"suffix":""}],"container-title":"Biophysical Journal","id":"ITEM-2","issue":"5","issued":{"date-parts":[["2016","3","8"]]},"page":"1008-1012","publisher":"Biophysical Society","title":"The Current Revolution in Cryo-EM","type":"article","volume":"110"},"uris":["http://www.mendeley.com/documents/?uuid=9be2bded-34e6-38fd-b4d9-ce44ff987d3f"]}],"mendeley":{"formattedCitation":"&lt;sup&gt;[215,226]&lt;/sup&gt;","plainTextFormattedCitation":"[215,226]","previouslyFormattedCitation":"&lt;sup&gt;[215,226]&lt;/sup&gt;"},"properties":{"noteIndex":0},"schema":"https://github.com/citation-style-language/schema/raw/master/csl-citation.json"}</w:instrText>
      </w:r>
      <w:r w:rsidR="0069795D">
        <w:rPr>
          <w:rFonts w:ascii="Calibri" w:hAnsi="Calibri" w:cs="Calibri"/>
        </w:rPr>
        <w:fldChar w:fldCharType="separate"/>
      </w:r>
      <w:r w:rsidR="002659E5" w:rsidRPr="002659E5">
        <w:rPr>
          <w:rFonts w:ascii="Calibri" w:hAnsi="Calibri" w:cs="Calibri"/>
          <w:noProof/>
          <w:vertAlign w:val="superscript"/>
        </w:rPr>
        <w:t>[215,226]</w:t>
      </w:r>
      <w:r w:rsidR="0069795D">
        <w:rPr>
          <w:rFonts w:ascii="Calibri" w:hAnsi="Calibri" w:cs="Calibri"/>
        </w:rPr>
        <w:fldChar w:fldCharType="end"/>
      </w:r>
      <w:r w:rsidR="0069795D">
        <w:rPr>
          <w:rFonts w:ascii="Calibri" w:hAnsi="Calibri" w:cs="Calibri"/>
        </w:rPr>
        <w:t>.</w:t>
      </w:r>
      <w:r w:rsidR="0043024A">
        <w:t xml:space="preserve"> </w:t>
      </w:r>
      <w:r w:rsidR="000D113D">
        <w:t xml:space="preserve">In addition to the amazing resolving power provided by TEM and cryo-TEM, there is another benefit </w:t>
      </w:r>
      <w:r w:rsidR="00EC103C">
        <w:t>to</w:t>
      </w:r>
      <w:r w:rsidR="000D113D">
        <w:t xml:space="preserve"> th</w:t>
      </w:r>
      <w:r w:rsidR="00E20B7A">
        <w:t>ese</w:t>
      </w:r>
      <w:r w:rsidR="000D113D">
        <w:t xml:space="preserve"> </w:t>
      </w:r>
      <w:r w:rsidR="00EC103C">
        <w:t>microscopy technique</w:t>
      </w:r>
      <w:r w:rsidR="00E20B7A">
        <w:t>s</w:t>
      </w:r>
      <w:r w:rsidR="000D113D">
        <w:t xml:space="preserve">: the possibility to analyse cross-sections. TEM requires electron-transparent samples, </w:t>
      </w:r>
      <w:r w:rsidR="00EC103C">
        <w:t xml:space="preserve">which means that in most cases bacterial samples need to be thin-sectioned. This </w:t>
      </w:r>
      <w:r w:rsidR="00AD3E3C">
        <w:t>opens</w:t>
      </w:r>
      <w:r w:rsidR="00EC103C">
        <w:t xml:space="preserve"> the possibility to obtain detail</w:t>
      </w:r>
      <w:r w:rsidR="00922D04">
        <w:t>ed</w:t>
      </w:r>
      <w:r w:rsidR="00EC103C">
        <w:t xml:space="preserve"> structural information from the bacterial envelope and inside</w:t>
      </w:r>
      <w:r w:rsidR="008E5F24">
        <w:t xml:space="preserve"> the cell</w:t>
      </w:r>
      <w:r w:rsidR="00E9769E">
        <w:t xml:space="preserve">. </w:t>
      </w:r>
    </w:p>
    <w:p w14:paraId="6E6C9B2F" w14:textId="27A88BC1" w:rsidR="00B27547" w:rsidRDefault="00B27547" w:rsidP="00B27547">
      <w:pPr>
        <w:rPr>
          <w:b/>
          <w:bCs/>
        </w:rPr>
      </w:pPr>
      <w:r>
        <w:t xml:space="preserve">There are a wide variety of TEM techniques for bacterial analysis, and some of the most popular are shown in </w:t>
      </w:r>
      <w:r>
        <w:fldChar w:fldCharType="begin"/>
      </w:r>
      <w:r>
        <w:instrText xml:space="preserve"> REF _Ref73098954 \h </w:instrText>
      </w:r>
      <w:r>
        <w:fldChar w:fldCharType="separate"/>
      </w:r>
      <w:r w:rsidR="00183CC8">
        <w:t xml:space="preserve">Figure </w:t>
      </w:r>
      <w:r w:rsidR="00183CC8">
        <w:rPr>
          <w:noProof/>
        </w:rPr>
        <w:t>3</w:t>
      </w:r>
      <w:r w:rsidR="00183CC8">
        <w:t>.</w:t>
      </w:r>
      <w:r w:rsidR="00183CC8">
        <w:rPr>
          <w:noProof/>
        </w:rPr>
        <w:t>1</w:t>
      </w:r>
      <w:r>
        <w:fldChar w:fldCharType="end"/>
      </w:r>
      <w:r>
        <w:t xml:space="preserve">. All of these have their own advantages and disadvantages, and all sample preparation and processes will affect the structure and chemistry of the specimen to some extent </w:t>
      </w:r>
      <w:r>
        <w:fldChar w:fldCharType="begin" w:fldLock="1"/>
      </w:r>
      <w:r w:rsidR="0058736C">
        <w:instrText>ADDIN CSL_CITATION {"citationItems":[{"id":"ITEM-1","itemData":{"ISBN":"978-0-387-76502-0","author":[{"dropping-particle":"","family":"Williams","given":"David B","non-dropping-particle":"","parse-names":false,"suffix":""},{"dropping-particle":"","family":"Carter","given":"C Barry","non-dropping-particle":"","parse-names":false,"suffix":""}],"edition":"2nd","id":"ITEM-1","issued":{"date-parts":[["2009"]]},"publisher":"Springer","publisher-place":"New York","title":"Transmission Electron Microscopy a Textbook for Material Science","type":"book"},"uris":["http://www.mendeley.com/documents/?uuid=a25888c0-ddc9-4a96-bf1f-7783f04c2dac"]},{"id":"ITEM-2","itemData":{"author":[{"dropping-particle":"","family":"Dubochet","given":"Jacques","non-dropping-particle":"","parse-names":false,"suffix":""},{"dropping-particle":"","family":"Adrian","given":"Marc","non-dropping-particle":"","parse-names":false,"suffix":""},{"dropping-particle":"","family":"Chan","given":"Jiin-ju","non-dropping-particle":"","parse-names":false,"suffix":""},{"dropping-particle":"","family":"Lepault","given":"Jean","non-dropping-particle":"","parse-names":false,"suffix":""},{"dropping-particle":"","family":"Mcdowall","given":"Alasdair W","non-dropping-particle":"","parse-names":false,"suffix":""}],"id":"ITEM-2","issue":"1988","issued":{"date-parts":[["1988"]]},"page":"129-228","title":"Chapter 5 Cryoelectron Microscopy of Vitrified Specimens","type":"article-journal","volume":"2"},"uris":["http://www.mendeley.com/documents/?uuid=9fbe1beb-c4bf-40ee-8a10-9cf363de2adf"]},{"id":"ITEM-3","itemData":{"ISBN":"1555812236","author":[{"dropping-particle":"","family":"Reddy","given":"C A","non-dropping-particle":"","parse-names":false,"suffix":""},{"dropping-particle":"","family":"Beveridge","given":"Terry J","non-dropping-particle":"","parse-names":false,"suffix":""},{"dropping-particle":"","family":"Breznak","given":"John A","non-dropping-particle":"","parse-names":false,"suffix":""},{"dropping-particle":"","family":"Marzluf","given":"George","non-dropping-particle":"","parse-names":false,"suffix":""}],"id":"ITEM-3","issued":{"date-parts":[["2007"]]},"publisher":"American Society for Microbiology Press","title":"Methods for general and molecular microbiology","type":"book"},"uris":["http://www.mendeley.com/documents/?uuid=98899cd0-57bf-4c78-8d93-848b8c8d1146"]}],"mendeley":{"formattedCitation":"&lt;sup&gt;[214,223,252]&lt;/sup&gt;","plainTextFormattedCitation":"[214,223,252]","previouslyFormattedCitation":"&lt;sup&gt;[214,223,252]&lt;/sup&gt;"},"properties":{"noteIndex":0},"schema":"https://github.com/citation-style-language/schema/raw/master/csl-citation.json"}</w:instrText>
      </w:r>
      <w:r>
        <w:fldChar w:fldCharType="separate"/>
      </w:r>
      <w:r w:rsidR="002659E5" w:rsidRPr="002659E5">
        <w:rPr>
          <w:noProof/>
          <w:vertAlign w:val="superscript"/>
        </w:rPr>
        <w:t>[214,223,252]</w:t>
      </w:r>
      <w:r>
        <w:fldChar w:fldCharType="end"/>
      </w:r>
      <w:r>
        <w:t>.</w:t>
      </w:r>
    </w:p>
    <w:p w14:paraId="4BF96CC1" w14:textId="77777777" w:rsidR="00B27547" w:rsidRDefault="00B27547" w:rsidP="00EC103C"/>
    <w:p w14:paraId="4DE72AE7" w14:textId="0CB7F6FE" w:rsidR="003377C6" w:rsidRDefault="003377C6" w:rsidP="00EC103C">
      <w:pPr>
        <w:sectPr w:rsidR="003377C6" w:rsidSect="004D0E05">
          <w:pgSz w:w="11906" w:h="16838"/>
          <w:pgMar w:top="1191" w:right="1247" w:bottom="1191" w:left="1247" w:header="709" w:footer="709" w:gutter="0"/>
          <w:cols w:space="708"/>
          <w:titlePg/>
          <w:docGrid w:linePitch="360"/>
        </w:sectPr>
      </w:pPr>
    </w:p>
    <w:p w14:paraId="516EA736" w14:textId="77777777" w:rsidR="00471D6B" w:rsidRDefault="00471D6B" w:rsidP="006058A4">
      <w:pPr>
        <w:keepNext/>
        <w:jc w:val="center"/>
      </w:pPr>
      <w:r>
        <w:rPr>
          <w:noProof/>
        </w:rPr>
        <w:lastRenderedPageBreak/>
        <w:drawing>
          <wp:inline distT="0" distB="0" distL="0" distR="0" wp14:anchorId="5BDC386E" wp14:editId="7DBC37E4">
            <wp:extent cx="5165147" cy="5286747"/>
            <wp:effectExtent l="0" t="0" r="3810" b="0"/>
            <wp:docPr id="68" name="Picture 6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Diagram&#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177105" cy="5298987"/>
                    </a:xfrm>
                    <a:prstGeom prst="rect">
                      <a:avLst/>
                    </a:prstGeom>
                  </pic:spPr>
                </pic:pic>
              </a:graphicData>
            </a:graphic>
          </wp:inline>
        </w:drawing>
      </w:r>
    </w:p>
    <w:p w14:paraId="0DD38953" w14:textId="41B4B9F0" w:rsidR="00671C0A" w:rsidRDefault="00471D6B" w:rsidP="008A2B86">
      <w:pPr>
        <w:pStyle w:val="Caption"/>
      </w:pPr>
      <w:bookmarkStart w:id="480" w:name="_Ref73098954"/>
      <w:bookmarkStart w:id="481" w:name="_Toc90216936"/>
      <w:r>
        <w:t xml:space="preserve">Figure </w:t>
      </w:r>
      <w:r w:rsidR="003373BF">
        <w:fldChar w:fldCharType="begin"/>
      </w:r>
      <w:r w:rsidR="003373BF">
        <w:instrText xml:space="preserve"> STYLEREF 1 \s </w:instrText>
      </w:r>
      <w:r w:rsidR="003373BF">
        <w:fldChar w:fldCharType="separate"/>
      </w:r>
      <w:r w:rsidR="00183CC8">
        <w:rPr>
          <w:noProof/>
        </w:rPr>
        <w:t>3</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w:t>
      </w:r>
      <w:r w:rsidR="003373BF">
        <w:rPr>
          <w:noProof/>
        </w:rPr>
        <w:fldChar w:fldCharType="end"/>
      </w:r>
      <w:bookmarkEnd w:id="480"/>
      <w:r>
        <w:t xml:space="preserve"> Popular TEM methods for imaging bacterial samples.</w:t>
      </w:r>
      <w:bookmarkEnd w:id="481"/>
    </w:p>
    <w:p w14:paraId="693E70AD" w14:textId="51DDC0D2" w:rsidR="006058A4" w:rsidRDefault="00471D6B" w:rsidP="00471D6B">
      <w:pPr>
        <w:pStyle w:val="NoSpacing"/>
        <w:sectPr w:rsidR="006058A4" w:rsidSect="004D0E05">
          <w:pgSz w:w="11906" w:h="16838"/>
          <w:pgMar w:top="1191" w:right="1247" w:bottom="1191" w:left="1247" w:header="709" w:footer="709" w:gutter="0"/>
          <w:cols w:space="708"/>
          <w:titlePg/>
          <w:docGrid w:linePitch="360"/>
        </w:sectPr>
      </w:pPr>
      <w:r>
        <w:t xml:space="preserve">Popular transmission electron microscopy (TEM) and cryo-electron microscopy (cryo-EM) methods for cross-section analysis of bacterial samples. Image modified from Pilhofer </w:t>
      </w:r>
      <w:r>
        <w:rPr>
          <w:i/>
          <w:iCs/>
        </w:rPr>
        <w:t>et al</w:t>
      </w:r>
      <w:r>
        <w:t>.</w:t>
      </w:r>
      <w:r w:rsidR="004A7BD7">
        <w:t>,</w:t>
      </w:r>
      <w:r>
        <w:t xml:space="preserve"> (2010) </w:t>
      </w:r>
      <w:r>
        <w:fldChar w:fldCharType="begin" w:fldLock="1"/>
      </w:r>
      <w:r w:rsidR="00260ACA">
        <w:instrText>ADDIN CSL_CITATION {"citationItems":[{"id":"ITEM-1","itemData":{"DOI":"10.1016/S0091-679X(10)96002-0","ISBN":"9780123810076","ISSN":"0091679X","PMID":"20869517","abstract":"Some bacteria are amongst the most important model organisms for biology and medicine. Here we review how electron microscopes have been used to image bacterial cells, summarizing the technical details of the various methods, the advantages and disadvantages of each, and the major biological insights that have been obtained. Three specific example structures, \"mesosomes,\" \"cytoskeletal filaments,\" and \"nucleoid,\" are used to illustrate how methodological advances have shaped our understanding of bacterial ultrastructure. Methods that involve dehydration and metal stains are widely practiced and have revealed many ultrastructural features, but they can generate misleading artifacts and have failed to preserve important structures such as the bacterial cytoskeleton. The invention of cryo-electron microscopy, which allows bacterial cells to be imaged in a frozen-hydrated, near-native state without the need for dehydration and stains, has now led to important new insights. Efforts to identify structures and localize specific proteins in cryo-EM images are summarized. © 2010 Elsevier Inc.","author":[{"dropping-particle":"","family":"Pilhofer","given":"Martin","non-dropping-particle":"","parse-names":false,"suffix":""},{"dropping-particle":"","family":"Ladinsky","given":"Mark S.","non-dropping-particle":"","parse-names":false,"suffix":""},{"dropping-particle":"","family":"McDowall","given":"Alasdair W.","non-dropping-particle":"","parse-names":false,"suffix":""},{"dropping-particle":"","family":"Jensen","given":"Grant J.","non-dropping-particle":"","parse-names":false,"suffix":""}],"chapter-number":"2","container-title":"Methods in Cell Biology","id":"ITEM-1","issued":{"date-parts":[["2010"]]},"page":"21-45","publisher":"Academic Press","title":"Bacterial TEM. New insights from cryo-microscopy","type":"chapter","volume":"96"},"uris":["http://www.mendeley.com/documents/?uuid=900934d7-4fa8-434e-9e90-c6cc15f13444"]}],"mendeley":{"formattedCitation":"&lt;sup&gt;[221]&lt;/sup&gt;","plainTextFormattedCitation":"[221]","previouslyFormattedCitation":"&lt;sup&gt;[221]&lt;/sup&gt;"},"properties":{"noteIndex":0},"schema":"https://github.com/citation-style-language/schema/raw/master/csl-citation.json"}</w:instrText>
      </w:r>
      <w:r>
        <w:fldChar w:fldCharType="separate"/>
      </w:r>
      <w:r w:rsidR="00C825F9" w:rsidRPr="00C825F9">
        <w:rPr>
          <w:noProof/>
          <w:vertAlign w:val="superscript"/>
        </w:rPr>
        <w:t>[221]</w:t>
      </w:r>
      <w:r>
        <w:fldChar w:fldCharType="end"/>
      </w:r>
    </w:p>
    <w:p w14:paraId="6CB2EE4F" w14:textId="2E03BAFC" w:rsidR="00CD0BE5" w:rsidRDefault="004A089B" w:rsidP="00632156">
      <w:r w:rsidRPr="00C74985">
        <w:lastRenderedPageBreak/>
        <w:t>Chemical fixation</w:t>
      </w:r>
      <w:r>
        <w:t xml:space="preserve"> TEM </w:t>
      </w:r>
      <w:r w:rsidR="00671C0A">
        <w:t>(</w:t>
      </w:r>
      <w:r w:rsidR="006058A4">
        <w:fldChar w:fldCharType="begin"/>
      </w:r>
      <w:r w:rsidR="006058A4">
        <w:instrText xml:space="preserve"> REF _Ref73098954 \h </w:instrText>
      </w:r>
      <w:r w:rsidR="006058A4">
        <w:fldChar w:fldCharType="separate"/>
      </w:r>
      <w:r w:rsidR="00183CC8">
        <w:t xml:space="preserve">Figure </w:t>
      </w:r>
      <w:r w:rsidR="00183CC8">
        <w:rPr>
          <w:noProof/>
        </w:rPr>
        <w:t>3</w:t>
      </w:r>
      <w:r w:rsidR="00183CC8">
        <w:t>.</w:t>
      </w:r>
      <w:r w:rsidR="00183CC8">
        <w:rPr>
          <w:noProof/>
        </w:rPr>
        <w:t>1</w:t>
      </w:r>
      <w:r w:rsidR="006058A4">
        <w:fldChar w:fldCharType="end"/>
      </w:r>
      <w:r w:rsidR="00671C0A">
        <w:t xml:space="preserve">) </w:t>
      </w:r>
      <w:r>
        <w:t>is still the most popular choice over the alternative cryo-techniques, due to its high throughput, low-cost, and ease-of use.</w:t>
      </w:r>
      <w:r w:rsidR="00F841CC">
        <w:t xml:space="preserve"> </w:t>
      </w:r>
      <w:r w:rsidR="00B1273A">
        <w:t>To summarise, sample preparation consists of the following steps:</w:t>
      </w:r>
      <w:r w:rsidR="00F841CC">
        <w:t xml:space="preserve"> chemical fixation, dehydration, </w:t>
      </w:r>
      <w:r w:rsidR="00B1273A">
        <w:t xml:space="preserve">resin infiltration and </w:t>
      </w:r>
      <w:r w:rsidR="00F841CC">
        <w:t xml:space="preserve">embedding, thin-sectioning and heavy metal staining </w:t>
      </w:r>
      <w:r w:rsidR="00F841CC">
        <w:fldChar w:fldCharType="begin" w:fldLock="1"/>
      </w:r>
      <w:r w:rsidR="0058736C">
        <w:instrText>ADDIN CSL_CITATION {"citationItems":[{"id":"ITEM-1","itemData":{"ISBN":"1555812236","author":[{"dropping-particle":"","family":"Reddy","given":"C A","non-dropping-particle":"","parse-names":false,"suffix":""},{"dropping-particle":"","family":"Beveridge","given":"Terry J","non-dropping-particle":"","parse-names":false,"suffix":""},{"dropping-particle":"","family":"Breznak","given":"John A","non-dropping-particle":"","parse-names":false,"suffix":""},{"dropping-particle":"","family":"Marzluf","given":"George","non-dropping-particle":"","parse-names":false,"suffix":""}],"id":"ITEM-1","issued":{"date-parts":[["2007"]]},"publisher":"American Society for Microbiology Press","title":"Methods for general and molecular microbiology","type":"book"},"uris":["http://www.mendeley.com/documents/?uuid=98899cd0-57bf-4c78-8d93-848b8c8d1146"]}],"mendeley":{"formattedCitation":"&lt;sup&gt;[223]&lt;/sup&gt;","plainTextFormattedCitation":"[223]","previouslyFormattedCitation":"&lt;sup&gt;[223]&lt;/sup&gt;"},"properties":{"noteIndex":0},"schema":"https://github.com/citation-style-language/schema/raw/master/csl-citation.json"}</w:instrText>
      </w:r>
      <w:r w:rsidR="00F841CC">
        <w:fldChar w:fldCharType="separate"/>
      </w:r>
      <w:r w:rsidR="002659E5" w:rsidRPr="002659E5">
        <w:rPr>
          <w:noProof/>
          <w:vertAlign w:val="superscript"/>
        </w:rPr>
        <w:t>[223]</w:t>
      </w:r>
      <w:r w:rsidR="00F841CC">
        <w:fldChar w:fldCharType="end"/>
      </w:r>
      <w:r w:rsidR="00F841CC">
        <w:t xml:space="preserve">. </w:t>
      </w:r>
      <w:r w:rsidR="00DE027C">
        <w:t>The most widely employed fixatives are glutaraldehyde and osmium tetroxide (OsO</w:t>
      </w:r>
      <w:r w:rsidR="00DE027C">
        <w:rPr>
          <w:vertAlign w:val="subscript"/>
        </w:rPr>
        <w:t>4</w:t>
      </w:r>
      <w:r w:rsidR="00DE027C">
        <w:t>)</w:t>
      </w:r>
      <w:r w:rsidR="00F841CC">
        <w:t xml:space="preserve">, </w:t>
      </w:r>
      <w:r w:rsidR="005A4DC9">
        <w:t>and dehydration is usually carried out by a series of increasing concentrations of ethanol.</w:t>
      </w:r>
      <w:r w:rsidR="00871023">
        <w:t xml:space="preserve"> For a successful resin infiltration, sequential changes of increasing gradients of resin in propylene oxide are used. Some widely used resins are Epon 812, LR White and Spurr </w:t>
      </w:r>
      <w:r w:rsidR="00871023">
        <w:fldChar w:fldCharType="begin" w:fldLock="1"/>
      </w:r>
      <w:r w:rsidR="0058736C">
        <w:instrText>ADDIN CSL_CITATION {"citationItems":[{"id":"ITEM-1","itemData":{"ISBN":"1555812236","author":[{"dropping-particle":"","family":"Reddy","given":"C A","non-dropping-particle":"","parse-names":false,"suffix":""},{"dropping-particle":"","family":"Beveridge","given":"Terry J","non-dropping-particle":"","parse-names":false,"suffix":""},{"dropping-particle":"","family":"Breznak","given":"John A","non-dropping-particle":"","parse-names":false,"suffix":""},{"dropping-particle":"","family":"Marzluf","given":"George","non-dropping-particle":"","parse-names":false,"suffix":""}],"id":"ITEM-1","issued":{"date-parts":[["2007"]]},"publisher":"American Society for Microbiology Press","title":"Methods for general and molecular microbiology","type":"book"},"uris":["http://www.mendeley.com/documents/?uuid=98899cd0-57bf-4c78-8d93-848b8c8d1146"]},{"id":"ITEM-2","itemData":{"DOI":"10.1016/S0022-5320(69)90033-1","ISBN":"0022-5320","ISSN":"00225320","PMID":"4887011","abstract":"A low-viscosity embedding medium based on ERL-4206 is recommended for use in electron microscopy. The composition is: ERL-4206 (vinyl cyclohexene dioxide) 10 g, D.E.R. 736 (diglycidyl ether of polypropylene glycol) 6 g, NSA (nonenyl succinic anhydride) 26 g, and S-1 (dimethylaminoethanol or DMAE) 0.4 g. The medium is easily and rapidly prepared by dispensing the components, in turn by weight, into a single flask. The relatively low viscosity of the medium (60 cP) permits rapid mixing by shaking and swirling. The medium is infiltrated into specimens after the use of any one of several dehydrating fluids, such as ethanol, acetone, dioxan, hexylene glycol, isopropyl alcohol, propylene oxide, and tert.-butyl alcohol. It is compatible with each of these in all proportions. After infiltration the castings are polymerized at 70°C in 8 hours. Longer curing does not adversely affect the physical properties of the castings. Curing time can be reduced by increasing the temperature or the accelerator, S-1, or both; and the hardness of the castings is controlled by changes in the D.E.R. 736 flexibilizer. The medium has a long pot life of several days and infiltrates readily because of its low viscosity. The castings have good trimming and sectioning qualities. The embedding matrix of the sections is very resistant to oxidation by KMnO4 and Ba(MnO4)2, compared with resins containing NADIC methyl anhydride. Sections are tough under the electron beam and may be used without a supporting membrane on the grids. The background plastic in the sections shows no perceptible substructure at magnifications commonly used for biological materials. The medium has been used successfully with a wide range of specimens, including endosperms with a high lipid content, tissues with hard, lignified cell walls, and highly vacuolated parenchymatous tissues of ripe fruits.","author":[{"dropping-particle":"","family":"Spurr","given":"Arthur R.","non-dropping-particle":"","parse-names":false,"suffix":""}],"container-title":"Journal of Ultrastructure Research","id":"ITEM-2","issue":"1-2","issued":{"date-parts":[["1969"]]},"page":"31-43","title":"A low-viscosity epoxy resin embedding medium for electron microscopy","type":"article-journal","volume":"26"},"uris":["http://www.mendeley.com/documents/?uuid=85fb02f9-86e9-461c-966e-6509dde1bd2e"]}],"mendeley":{"formattedCitation":"&lt;sup&gt;[223,229]&lt;/sup&gt;","plainTextFormattedCitation":"[223,229]","previouslyFormattedCitation":"&lt;sup&gt;[223,229]&lt;/sup&gt;"},"properties":{"noteIndex":0},"schema":"https://github.com/citation-style-language/schema/raw/master/csl-citation.json"}</w:instrText>
      </w:r>
      <w:r w:rsidR="00871023">
        <w:fldChar w:fldCharType="separate"/>
      </w:r>
      <w:r w:rsidR="002659E5" w:rsidRPr="002659E5">
        <w:rPr>
          <w:noProof/>
          <w:vertAlign w:val="superscript"/>
        </w:rPr>
        <w:t>[223,229]</w:t>
      </w:r>
      <w:r w:rsidR="00871023">
        <w:fldChar w:fldCharType="end"/>
      </w:r>
      <w:r w:rsidR="00871023">
        <w:t>.</w:t>
      </w:r>
      <w:r w:rsidR="004F3865">
        <w:t xml:space="preserve"> </w:t>
      </w:r>
      <w:r w:rsidR="00A67E22">
        <w:t xml:space="preserve">The final step </w:t>
      </w:r>
      <w:r w:rsidR="00B5249C">
        <w:t>consists</w:t>
      </w:r>
      <w:r w:rsidR="00A67E22">
        <w:t xml:space="preserve"> </w:t>
      </w:r>
      <w:r w:rsidR="00764B8A">
        <w:t>of</w:t>
      </w:r>
      <w:r w:rsidR="00A67E22">
        <w:t xml:space="preserve"> sectioning the cured resin block to obtain electron-transparent thin sections, which are mounted on TEM grids and post-stained with heavy metals to increase contrast. Popular stains include uranyl acetate (UA) and lead citrate (LC) </w:t>
      </w:r>
      <w:r w:rsidR="00A67E22">
        <w:fldChar w:fldCharType="begin" w:fldLock="1"/>
      </w:r>
      <w:r w:rsidR="0058736C">
        <w:instrText>ADDIN CSL_CITATION {"citationItems":[{"id":"ITEM-1","itemData":{"ISBN":"1555812236","author":[{"dropping-particle":"","family":"Reddy","given":"C A","non-dropping-particle":"","parse-names":false,"suffix":""},{"dropping-particle":"","family":"Beveridge","given":"Terry J","non-dropping-particle":"","parse-names":false,"suffix":""},{"dropping-particle":"","family":"Breznak","given":"John A","non-dropping-particle":"","parse-names":false,"suffix":""},{"dropping-particle":"","family":"Marzluf","given":"George","non-dropping-particle":"","parse-names":false,"suffix":""}],"id":"ITEM-1","issued":{"date-parts":[["2007"]]},"publisher":"American Society for Microbiology Press","title":"Methods for general and molecular microbiology","type":"book"},"uris":["http://www.mendeley.com/documents/?uuid=98899cd0-57bf-4c78-8d93-848b8c8d1146"]}],"mendeley":{"formattedCitation":"&lt;sup&gt;[223]&lt;/sup&gt;","plainTextFormattedCitation":"[223]","previouslyFormattedCitation":"&lt;sup&gt;[223]&lt;/sup&gt;"},"properties":{"noteIndex":0},"schema":"https://github.com/citation-style-language/schema/raw/master/csl-citation.json"}</w:instrText>
      </w:r>
      <w:r w:rsidR="00A67E22">
        <w:fldChar w:fldCharType="separate"/>
      </w:r>
      <w:r w:rsidR="002659E5" w:rsidRPr="002659E5">
        <w:rPr>
          <w:noProof/>
          <w:vertAlign w:val="superscript"/>
        </w:rPr>
        <w:t>[223]</w:t>
      </w:r>
      <w:r w:rsidR="00A67E22">
        <w:fldChar w:fldCharType="end"/>
      </w:r>
      <w:r w:rsidR="00A67E22">
        <w:t>.</w:t>
      </w:r>
      <w:r w:rsidR="00DC40E2">
        <w:t xml:space="preserve"> </w:t>
      </w:r>
      <w:r w:rsidR="004F3865">
        <w:t xml:space="preserve">The main disadvantage of </w:t>
      </w:r>
      <w:r w:rsidR="00742D92">
        <w:t>this technique</w:t>
      </w:r>
      <w:r w:rsidR="004F3865">
        <w:t xml:space="preserve"> is the introduction of artefacts from the use of chemical</w:t>
      </w:r>
      <w:r w:rsidR="00742D92">
        <w:t xml:space="preserve"> fixatives</w:t>
      </w:r>
      <w:r w:rsidR="004F3865">
        <w:t xml:space="preserve"> and the dehydration process </w:t>
      </w:r>
      <w:r w:rsidR="004F3865">
        <w:fldChar w:fldCharType="begin" w:fldLock="1"/>
      </w:r>
      <w:r w:rsidR="0058736C">
        <w:instrText>ADDIN CSL_CITATION {"citationItems":[{"id":"ITEM-1","itemData":{"ISBN":"1555812236","author":[{"dropping-particle":"","family":"Reddy","given":"C A","non-dropping-particle":"","parse-names":false,"suffix":""},{"dropping-particle":"","family":"Beveridge","given":"Terry J","non-dropping-particle":"","parse-names":false,"suffix":""},{"dropping-particle":"","family":"Breznak","given":"John A","non-dropping-particle":"","parse-names":false,"suffix":""},{"dropping-particle":"","family":"Marzluf","given":"George","non-dropping-particle":"","parse-names":false,"suffix":""}],"id":"ITEM-1","issued":{"date-parts":[["2007"]]},"publisher":"American Society for Microbiology Press","title":"Methods for general and molecular microbiology","type":"book"},"uris":["http://www.mendeley.com/documents/?uuid=98899cd0-57bf-4c78-8d93-848b8c8d1146"]}],"mendeley":{"formattedCitation":"&lt;sup&gt;[223]&lt;/sup&gt;","plainTextFormattedCitation":"[223]","previouslyFormattedCitation":"&lt;sup&gt;[223]&lt;/sup&gt;"},"properties":{"noteIndex":0},"schema":"https://github.com/citation-style-language/schema/raw/master/csl-citation.json"}</w:instrText>
      </w:r>
      <w:r w:rsidR="004F3865">
        <w:fldChar w:fldCharType="separate"/>
      </w:r>
      <w:r w:rsidR="002659E5" w:rsidRPr="002659E5">
        <w:rPr>
          <w:noProof/>
          <w:vertAlign w:val="superscript"/>
        </w:rPr>
        <w:t>[223]</w:t>
      </w:r>
      <w:r w:rsidR="004F3865">
        <w:fldChar w:fldCharType="end"/>
      </w:r>
      <w:r w:rsidR="004F3865">
        <w:t>.</w:t>
      </w:r>
      <w:r w:rsidR="00742D92">
        <w:t xml:space="preserve"> A modification of this technique</w:t>
      </w:r>
      <w:r w:rsidR="003B264B">
        <w:t xml:space="preserve">, referred to as </w:t>
      </w:r>
      <w:r w:rsidR="003B264B" w:rsidRPr="00C74985">
        <w:t>freeze substitution (FS)</w:t>
      </w:r>
      <w:r w:rsidR="007A3AE9">
        <w:rPr>
          <w:b/>
          <w:bCs/>
        </w:rPr>
        <w:t xml:space="preserve"> </w:t>
      </w:r>
      <w:r w:rsidR="007A3AE9" w:rsidRPr="007A3AE9">
        <w:t>(</w:t>
      </w:r>
      <w:r w:rsidR="007A3AE9">
        <w:fldChar w:fldCharType="begin"/>
      </w:r>
      <w:r w:rsidR="007A3AE9">
        <w:instrText xml:space="preserve"> REF _Ref73098954 \h </w:instrText>
      </w:r>
      <w:r w:rsidR="007A3AE9">
        <w:fldChar w:fldCharType="separate"/>
      </w:r>
      <w:r w:rsidR="00183CC8">
        <w:t xml:space="preserve">Figure </w:t>
      </w:r>
      <w:r w:rsidR="00183CC8">
        <w:rPr>
          <w:noProof/>
        </w:rPr>
        <w:t>3</w:t>
      </w:r>
      <w:r w:rsidR="00183CC8">
        <w:t>.</w:t>
      </w:r>
      <w:r w:rsidR="00183CC8">
        <w:rPr>
          <w:noProof/>
        </w:rPr>
        <w:t>1</w:t>
      </w:r>
      <w:r w:rsidR="007A3AE9">
        <w:fldChar w:fldCharType="end"/>
      </w:r>
      <w:r w:rsidR="007A3AE9">
        <w:t>)</w:t>
      </w:r>
      <w:r w:rsidR="003B264B" w:rsidRPr="006F2DC3">
        <w:t>,</w:t>
      </w:r>
      <w:r w:rsidR="00742D92" w:rsidRPr="006F2DC3">
        <w:t xml:space="preserve"> </w:t>
      </w:r>
      <w:r w:rsidR="00742D92">
        <w:t xml:space="preserve">involves </w:t>
      </w:r>
      <w:r w:rsidR="003B264B">
        <w:t xml:space="preserve">the combination of </w:t>
      </w:r>
      <w:r w:rsidR="00742D92">
        <w:t xml:space="preserve">a </w:t>
      </w:r>
      <w:r w:rsidR="007526C7">
        <w:t xml:space="preserve">physical </w:t>
      </w:r>
      <w:r w:rsidR="00742D92">
        <w:t>cryo-fixation method</w:t>
      </w:r>
      <w:r w:rsidR="007402E7">
        <w:t>,</w:t>
      </w:r>
      <w:r w:rsidR="003B264B">
        <w:t xml:space="preserve"> </w:t>
      </w:r>
      <w:r w:rsidR="000B1C3B">
        <w:t>followed by a</w:t>
      </w:r>
      <w:r w:rsidR="007526C7">
        <w:t xml:space="preserve"> secondary</w:t>
      </w:r>
      <w:r w:rsidR="003B264B">
        <w:t xml:space="preserve"> chemical fixation and dehydration a</w:t>
      </w:r>
      <w:r w:rsidR="007526C7">
        <w:t>t</w:t>
      </w:r>
      <w:r w:rsidR="003B264B">
        <w:t xml:space="preserve"> low temperatures</w:t>
      </w:r>
      <w:r w:rsidR="006101EB">
        <w:t xml:space="preserve"> </w:t>
      </w:r>
      <w:r w:rsidR="006101EB">
        <w:fldChar w:fldCharType="begin" w:fldLock="1"/>
      </w:r>
      <w:r w:rsidR="0058736C">
        <w:instrText>ADDIN CSL_CITATION {"citationItems":[{"id":"ITEM-1","itemData":{"ISBN":"1555812236","author":[{"dropping-particle":"","family":"Reddy","given":"C A","non-dropping-particle":"","parse-names":false,"suffix":""},{"dropping-particle":"","family":"Beveridge","given":"Terry J","non-dropping-particle":"","parse-names":false,"suffix":""},{"dropping-particle":"","family":"Breznak","given":"John A","non-dropping-particle":"","parse-names":false,"suffix":""},{"dropping-particle":"","family":"Marzluf","given":"George","non-dropping-particle":"","parse-names":false,"suffix":""}],"id":"ITEM-1","issued":{"date-parts":[["2007"]]},"publisher":"American Society for Microbiology Press","title":"Methods for general and molecular microbiology","type":"book"},"uris":["http://www.mendeley.com/documents/?uuid=98899cd0-57bf-4c78-8d93-848b8c8d1146"]},{"id":"ITEM-2","itemData":{"DOI":"10.1128/JB.188.3.1011-1021.2006","ISBN":"0021-9193","ISSN":"00219193","PMID":"16428405","abstract":"The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Bacteriology","id":"ITEM-2","issue":"3","issued":{"date-parts":[["2006"]]},"page":"1011-1021","title":"Native cell wall organization shown by cryo-electron microscopy confirms the existence of a periplasmic space in Staphylococcus aureus","type":"article-journal","volume":"188"},"uris":["http://www.mendeley.com/documents/?uuid=7cdcd25c-b08e-42c1-b6ed-533d180bef3b"]}],"mendeley":{"formattedCitation":"&lt;sup&gt;[16,223]&lt;/sup&gt;","plainTextFormattedCitation":"[16,223]","previouslyFormattedCitation":"&lt;sup&gt;[16,223]&lt;/sup&gt;"},"properties":{"noteIndex":0},"schema":"https://github.com/citation-style-language/schema/raw/master/csl-citation.json"}</w:instrText>
      </w:r>
      <w:r w:rsidR="006101EB">
        <w:fldChar w:fldCharType="separate"/>
      </w:r>
      <w:r w:rsidR="002659E5" w:rsidRPr="002659E5">
        <w:rPr>
          <w:noProof/>
          <w:vertAlign w:val="superscript"/>
        </w:rPr>
        <w:t>[16,223]</w:t>
      </w:r>
      <w:r w:rsidR="006101EB">
        <w:fldChar w:fldCharType="end"/>
      </w:r>
      <w:r w:rsidR="004B5C40">
        <w:t>.</w:t>
      </w:r>
      <w:r w:rsidR="000B1C3B">
        <w:t xml:space="preserve"> </w:t>
      </w:r>
      <w:r w:rsidR="00C82651">
        <w:t xml:space="preserve">FS was first described by Simpson in 1941, and after further </w:t>
      </w:r>
      <w:r w:rsidR="007402E7">
        <w:t>development</w:t>
      </w:r>
      <w:r w:rsidR="00C82651">
        <w:t xml:space="preserve"> and improve</w:t>
      </w:r>
      <w:r w:rsidR="007402E7">
        <w:t>ment,</w:t>
      </w:r>
      <w:r w:rsidR="00C82651">
        <w:t xml:space="preserve"> </w:t>
      </w:r>
      <w:r w:rsidR="007402E7">
        <w:t>it</w:t>
      </w:r>
      <w:r w:rsidR="00C82651">
        <w:t xml:space="preserve"> became a standard technique for EM analysis of biological samples </w:t>
      </w:r>
      <w:r w:rsidR="00C82651">
        <w:fldChar w:fldCharType="begin" w:fldLock="1"/>
      </w:r>
      <w:r w:rsidR="004F7E11">
        <w:instrText>ADDIN CSL_CITATION {"citationItems":[{"id":"ITEM-1","itemData":{"DOI":"10.1002/ar.1090800204","ISSN":"0003-276X","abstract":"ONE PLATE (EIGHT FIGURES) The intelligent application of the Altmann technic of f reez-ing-drying fixation to a specific cytological problem demands the evaluation and integration of the various factors in the method which might individually modify the ultimate quality of cellular preservation. The determination of factors that might affect the end result of the process had already begun at the time Gersh ('32) introduced the modern form of the technic. Gersh pointed out the effect on the final fixation of (1) the size of the sample of tissue frozen, (2) the relation of tissue volume to surface area, and (3) the water content of the tissue used. Scott ('33) noted (4) that the rate of freezing as determined by the heat conductivity of the freezing medium influenced the end result, as did (5) the temperature of dehydration. Hoerr ('36) in a review of the method added to these (6) the effects of changes in the rate of dehydration as influenced by the degree of vacuum employed and (7) the effect of miscellaneous factors involved in the handling of the dried material. This paper presents results of an experimental evaluation of these and of other determinable factors for the role that each plays in adequate preservation of cellular constituents.","author":[{"dropping-particle":"","family":"Simpson","given":"William L.","non-dropping-particle":"","parse-names":false,"suffix":""}],"container-title":"The Anatomical Record","id":"ITEM-1","issue":"2","issued":{"date-parts":[["1941","6","1"]]},"page":"173-189","publisher":"Wiley","title":"An experimental analysis of the Altmann technic of freezing-drying","type":"article-journal","volume":"80"},"uris":["http://www.mendeley.com/documents/?uuid=06d1b3ad-7fac-35e9-969c-8cc870b6a852"]},{"id":"ITEM-2","itemData":{"ISBN":"9780849372278","container-title":"Cellular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-2","issued":{"date-parts":[["2008"]]},"publisher":"CRC Publisher","publisher-place":"Boca Raton","title":"Handbook of Cryopreparation Methods for Electron Microscopy","type":"book","volume":"79"},"uris":["http://www.mendeley.com/documents/?uuid=d0314adf-0335-4087-adfc-77f2002bf131"]},{"id":"ITEM-3","itemData":{"PMID":"26","author":[{"dropping-particle":"","family":"Müller","given":"M.","non-dropping-particle":"","parse-names":false,"suffix":""},{"dropping-particle":"","family":"Marti","given":"T","non-dropping-particle":"","parse-names":false,"suffix":""},{"dropping-particle":"","family":"Kriz","given":"S","non-dropping-particle":"","parse-names":false,"suffix":""}],"container-title":"Electron Microscopy","id":"ITEM-3","issued":{"date-parts":[["1980"]]},"page":"720-721","title":"Improve structural preservation by freeze substitution","type":"article-journal","volume":"2"},"uris":["http://www.mendeley.com/documents/?uuid=0c97b588-6588-30e6-9ca2-38b22d29d1c6"]},{"id":"ITEM-4","itemData":{"author":[{"dropping-particle":"","family":"Humbel","given":"B.","non-dropping-particle":"","parse-names":false,"suffix":""},{"dropping-particle":"","family":"Müller","given":"M.","non-dropping-particle":"","parse-names":false,"suffix":""}],"container-title":"Scanning Electron Microscopy","id":"ITEM-4","issue":"1","issued":{"date-parts":[["1985","1","1"]]},"title":"Freeze Substitution and Low Temperature Embedding","type":"article-journal","volume":"4"},"uris":["http://www.mendeley.com/documents/?uuid=7ff84f0e-7da8-3809-8a51-fd2f6d7b19f7"]},{"id":"ITEM-5","itemData":{"DOI":"10.1111/j.1749-6632.1960.tb49990.x","ISSN":"17496632","PMID":"13698977","abstract":"With the improved methodology of modern ultrastructure researchl-'j it now appears feasible to study the fundamental mechanisms of biological free~ing~-$&gt;~* at the molecular level. Conversely, the development of adequate preparation procedures is a prerequisite for successful biological application of powerful analytical techniques such as electron microscopy, by means of which the array of atoms in crystalline lattices has already been visualized.1° Since rapid freezing suspends all physiological activity, immobilizing and preserving labile tissue constituents, low-temperature techniques provide one of the most promising approaches toward reducing the complex preparation artifacts that impose serious limitations on all investigations of the living state. It therefore seems likely that significant advances in the study of life processes under conditions of minimum perturbation will depend to a large extent on further development of the unique potentialities inherent in the low-temperature domain. In turn, electron microscopy, X-ray diffraction, and other physical techniques of molecular biology may well become the key analytical tools for critical evaluation of the basic parameters that determine optimum preservation of frozen biological systems. Bearing this complementary interrelationship in mind, we shall attempt in the following review to indicate how techniques devised primarily for electron microscopy may be of general interest in the field of low-temperature biology. To illustrate the potentialities of the extremely low temperature range for biological research, we shall survey preliminary results obtained with tissue preparation techniques based on rapid freezing in liquid helium I1 at 1\" to 2\" K.11J2 It is hoped that the described experimental approaches and the underlying theoretical considerations derived from the unique properties of liquid helium IF3 may serve to stimulate further biophysical research in the temperature range close to absolute zero. Another promising area for investigation is the application of electron micros-copy to the direct study of ice crystal nucleation and growth a t low temperature and pressure. Thanks to recent technical refinements14J5 specimen damage due to electron bombardment can be minimized by cooling the suitably insulated specimen support with liquid nitrogen (FIGURE 4) while performing all observations with an electron microbeam of low intensity. Under these favorable conditions submicroscopic ice crystal…","author":[{"dropping-particle":"","family":"Fernández‐Morán","given":"Humberto","non-dropping-particle":"","parse-names":false,"suffix":""}],"container-title":"Annals of the New York Academy of Sciences","id":"ITEM-5","issue":"2","issued":{"date-parts":[["1960","4","1"]]},"page":"689-713","publisher":"John Wiley &amp; Sons, Ltd","title":"Low‐Temperature Preparation Techniques for Electron Microscopy of Biological Specimens Based on Rapid Freezing With Liquid Helium Ii","type":"article-journal","volume":"85"},"uris":["http://www.mendeley.com/documents/?uuid=8844482b-a4f4-38aa-88a4-ede916751ffa"]}],"mendeley":{"formattedCitation":"&lt;sup&gt;[215,253–256]&lt;/sup&gt;","plainTextFormattedCitation":"[215,253–256]","previouslyFormattedCitation":"&lt;sup&gt;[215,253–256]&lt;/sup&gt;"},"properties":{"noteIndex":0},"schema":"https://github.com/citation-style-language/schema/raw/master/csl-citation.json"}</w:instrText>
      </w:r>
      <w:r w:rsidR="00C82651">
        <w:fldChar w:fldCharType="separate"/>
      </w:r>
      <w:r w:rsidR="002659E5" w:rsidRPr="002659E5">
        <w:rPr>
          <w:noProof/>
          <w:vertAlign w:val="superscript"/>
        </w:rPr>
        <w:t>[215,253–256]</w:t>
      </w:r>
      <w:r w:rsidR="00C82651">
        <w:fldChar w:fldCharType="end"/>
      </w:r>
      <w:r w:rsidR="00C82651">
        <w:t>.</w:t>
      </w:r>
      <w:r w:rsidR="00A126D8">
        <w:t xml:space="preserve"> </w:t>
      </w:r>
      <w:r w:rsidR="007526C7" w:rsidRPr="00C74985">
        <w:t>H</w:t>
      </w:r>
      <w:r w:rsidR="00022C9E" w:rsidRPr="00C74985">
        <w:t>igh pressure freezing (HPF)</w:t>
      </w:r>
      <w:r w:rsidR="007526C7">
        <w:t xml:space="preserve"> is the initial rapid freezing method used in FS</w:t>
      </w:r>
      <w:r w:rsidR="00B8616E">
        <w:t xml:space="preserve"> and, as the name suggests, it combines the </w:t>
      </w:r>
      <w:r w:rsidR="00D715F6">
        <w:t>application of</w:t>
      </w:r>
      <w:r w:rsidR="00B8616E">
        <w:t xml:space="preserve"> </w:t>
      </w:r>
      <w:r w:rsidR="00D715F6">
        <w:t>pressure</w:t>
      </w:r>
      <w:r w:rsidR="00EE442E">
        <w:t xml:space="preserve"> </w:t>
      </w:r>
      <w:r w:rsidR="00D715F6">
        <w:t>with</w:t>
      </w:r>
      <w:r w:rsidR="00EE442E">
        <w:t xml:space="preserve"> </w:t>
      </w:r>
      <w:r w:rsidR="00B8616E">
        <w:t xml:space="preserve">vitrification. </w:t>
      </w:r>
      <w:r w:rsidR="00F1755C">
        <w:t xml:space="preserve">Water constitutes ~ 80 % of biological samples, which means that these aqueous specimens would be heavily affected by ice crystal formations when frozen. </w:t>
      </w:r>
      <w:r w:rsidR="00246D14">
        <w:t>Thus</w:t>
      </w:r>
      <w:r w:rsidR="00D715F6">
        <w:t>, a</w:t>
      </w:r>
      <w:r w:rsidR="00F1755C">
        <w:t xml:space="preserve"> successful v</w:t>
      </w:r>
      <w:r w:rsidR="00912385">
        <w:t xml:space="preserve">itrification involves the rapid freezing of the liquid medium in the sample, with water solidifying while keeping its amorphous state and avoiding ice crystal formation. </w:t>
      </w:r>
      <w:r w:rsidR="00C13123" w:rsidRPr="00C74985">
        <w:t>Three main parameters determine the success of cryo-fixation/vitrification: (1) pressure, (2) cooling rate and (3) cryoprotection.</w:t>
      </w:r>
      <w:r w:rsidR="00C13123">
        <w:t xml:space="preserve"> (1) </w:t>
      </w:r>
      <w:r w:rsidR="00B8616E">
        <w:t xml:space="preserve">HPF instruments apply a 2100 bar </w:t>
      </w:r>
      <w:r w:rsidR="00C13123" w:rsidRPr="00C74985">
        <w:t>pressure</w:t>
      </w:r>
      <w:r w:rsidR="00C13123">
        <w:t xml:space="preserve"> </w:t>
      </w:r>
      <w:r w:rsidR="00B8616E">
        <w:t xml:space="preserve">to the specimen </w:t>
      </w:r>
      <w:r w:rsidR="001B71DD">
        <w:t>prior to</w:t>
      </w:r>
      <w:r w:rsidR="00787FEF">
        <w:t xml:space="preserve"> freezing</w:t>
      </w:r>
      <w:r w:rsidR="001B71DD">
        <w:t xml:space="preserve">, which in turn allows water to </w:t>
      </w:r>
      <w:r w:rsidR="00DE0F7A">
        <w:t>be supercooled to –</w:t>
      </w:r>
      <w:r w:rsidR="0080173B">
        <w:t> </w:t>
      </w:r>
      <w:r w:rsidR="00DE0F7A">
        <w:t>90 </w:t>
      </w:r>
      <w:r w:rsidR="00DE0F7A">
        <w:rPr>
          <w:rFonts w:ascii="Calibri" w:hAnsi="Calibri" w:cs="Calibri"/>
        </w:rPr>
        <w:t>°</w:t>
      </w:r>
      <w:r w:rsidR="00DE0F7A">
        <w:t>C, turning water into a viscous liquid</w:t>
      </w:r>
      <w:r w:rsidR="009F3A85">
        <w:t>.</w:t>
      </w:r>
      <w:r w:rsidR="001B71DD" w:rsidRPr="001B71DD">
        <w:t xml:space="preserve"> </w:t>
      </w:r>
      <w:r w:rsidR="00070796">
        <w:t>Therefore</w:t>
      </w:r>
      <w:r w:rsidR="001B71DD">
        <w:t xml:space="preserve">, </w:t>
      </w:r>
      <w:r w:rsidR="009D5DD2">
        <w:t xml:space="preserve">high pressure </w:t>
      </w:r>
      <w:r w:rsidR="001B71DD">
        <w:t xml:space="preserve">(2100 bar) </w:t>
      </w:r>
      <w:r w:rsidR="009D5DD2">
        <w:t>acts as a physical cryoprotectant</w:t>
      </w:r>
      <w:r w:rsidR="00283E64">
        <w:t xml:space="preserve"> by lowering the freezing point of water, </w:t>
      </w:r>
      <w:r w:rsidR="001B71DD">
        <w:t>help</w:t>
      </w:r>
      <w:r w:rsidR="00283E64">
        <w:t>ing</w:t>
      </w:r>
      <w:r w:rsidR="001B71DD">
        <w:t xml:space="preserve"> reduce ice crystal formation and improve fixation</w:t>
      </w:r>
      <w:r w:rsidR="009D5DD2">
        <w:t xml:space="preserve"> before cooling</w:t>
      </w:r>
      <w:r w:rsidR="001B71DD">
        <w:t>.</w:t>
      </w:r>
      <w:r w:rsidR="00AC1F75">
        <w:t xml:space="preserve"> </w:t>
      </w:r>
      <w:r w:rsidR="004F6125">
        <w:t>Once the pressure is applied, the specimen is further cooled down to temperatures below –</w:t>
      </w:r>
      <w:r w:rsidR="0080173B">
        <w:t> </w:t>
      </w:r>
      <w:r w:rsidR="004F6125">
        <w:t>140 </w:t>
      </w:r>
      <w:r w:rsidR="004F6125">
        <w:rPr>
          <w:rFonts w:ascii="Calibri" w:hAnsi="Calibri" w:cs="Calibri"/>
        </w:rPr>
        <w:t>°</w:t>
      </w:r>
      <w:r w:rsidR="004F6125">
        <w:t xml:space="preserve">C where vitreous ice is stable </w:t>
      </w:r>
      <w:r w:rsidR="004F6125">
        <w:fldChar w:fldCharType="begin" w:fldLock="1"/>
      </w:r>
      <w:r w:rsidR="0058736C">
        <w:instrText>ADDIN CSL_CITATION {"citationItems":[{"id":"ITEM-1","itemData":{"ISBN":"9780849372278","container-title":"Cellular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-1","issued":{"date-parts":[["2008"]]},"publisher":"CRC Publisher","publisher-place":"Boca Raton","title":"Handbook of Cryopreparation Methods for Electron Microscopy","type":"book","volume":"79"},"uris":["http://www.mendeley.com/documents/?uuid=d0314adf-0335-4087-adfc-77f2002bf131"]}],"mendeley":{"formattedCitation":"&lt;sup&gt;[215]&lt;/sup&gt;","plainTextFormattedCitation":"[215]","previouslyFormattedCitation":"&lt;sup&gt;[215]&lt;/sup&gt;"},"properties":{"noteIndex":0},"schema":"https://github.com/citation-style-language/schema/raw/master/csl-citation.json"}</w:instrText>
      </w:r>
      <w:r w:rsidR="004F6125">
        <w:fldChar w:fldCharType="separate"/>
      </w:r>
      <w:r w:rsidR="002659E5" w:rsidRPr="002659E5">
        <w:rPr>
          <w:noProof/>
          <w:vertAlign w:val="superscript"/>
        </w:rPr>
        <w:t>[215]</w:t>
      </w:r>
      <w:r w:rsidR="004F6125">
        <w:fldChar w:fldCharType="end"/>
      </w:r>
      <w:r w:rsidR="00D705F6">
        <w:t>.</w:t>
      </w:r>
      <w:r w:rsidR="007420C2">
        <w:t xml:space="preserve"> </w:t>
      </w:r>
      <w:r w:rsidR="00D5501B">
        <w:t>This last freezing step is usually obtain</w:t>
      </w:r>
      <w:r w:rsidR="00D9586E">
        <w:t>ed</w:t>
      </w:r>
      <w:r w:rsidR="00D5501B">
        <w:t xml:space="preserve"> with liquid nitrogen (</w:t>
      </w:r>
      <w:r w:rsidR="00D5501B" w:rsidRPr="00D5501B">
        <w:t>LN</w:t>
      </w:r>
      <w:r w:rsidR="00D5501B" w:rsidRPr="00D5501B">
        <w:rPr>
          <w:vertAlign w:val="subscript"/>
        </w:rPr>
        <w:t>2</w:t>
      </w:r>
      <w:r w:rsidR="00D5501B">
        <w:t xml:space="preserve">). </w:t>
      </w:r>
      <w:r w:rsidR="00D5501B" w:rsidRPr="00D5501B">
        <w:t>The</w:t>
      </w:r>
      <w:r w:rsidR="00D5501B">
        <w:t xml:space="preserve"> whole freezing process needs to be as fast as possible, particularly the time between applying the pressure and follow-up freezing</w:t>
      </w:r>
      <w:r w:rsidR="002050EF">
        <w:t>, as any pressure changes can lead to changes in the physical and chemical equilibrium of the specimen.</w:t>
      </w:r>
      <w:r w:rsidR="007201B2">
        <w:t xml:space="preserve"> </w:t>
      </w:r>
      <w:r w:rsidR="0067106D">
        <w:t>Henceforth</w:t>
      </w:r>
      <w:r w:rsidR="007201B2">
        <w:t>, a slow pressure build-up or delay of the freezing</w:t>
      </w:r>
      <w:r w:rsidR="005B396C">
        <w:t xml:space="preserve"> step</w:t>
      </w:r>
      <w:r w:rsidR="007201B2">
        <w:t xml:space="preserve"> </w:t>
      </w:r>
      <w:r w:rsidR="007201B2">
        <w:lastRenderedPageBreak/>
        <w:t xml:space="preserve">should be avoided. </w:t>
      </w:r>
      <w:r w:rsidR="00990547">
        <w:t xml:space="preserve">(2) The </w:t>
      </w:r>
      <w:r w:rsidR="00990547" w:rsidRPr="00C74985">
        <w:t>cooling rate</w:t>
      </w:r>
      <w:r w:rsidR="00990547">
        <w:t xml:space="preserve"> at which the specimen is frozen is of key importance</w:t>
      </w:r>
      <w:r w:rsidR="006714AB">
        <w:t>,</w:t>
      </w:r>
      <w:r w:rsidR="00990547">
        <w:t xml:space="preserve"> as it is inversely proportional to </w:t>
      </w:r>
      <w:r w:rsidR="006714AB">
        <w:t xml:space="preserve">the thickness of </w:t>
      </w:r>
      <w:r w:rsidR="00990547">
        <w:t xml:space="preserve">the sample. </w:t>
      </w:r>
      <w:r w:rsidR="00AC1F75">
        <w:t xml:space="preserve">HPF works </w:t>
      </w:r>
      <w:r w:rsidR="00450BCB">
        <w:t>best</w:t>
      </w:r>
      <w:r w:rsidR="00AC1F75">
        <w:t xml:space="preserve"> with specimens of up to 200 µm</w:t>
      </w:r>
      <w:r w:rsidR="00B41F8F">
        <w:t xml:space="preserve"> thickness</w:t>
      </w:r>
      <w:r w:rsidR="00450BCB">
        <w:t xml:space="preserve"> with an applied pressure of 2048 bar quickly followed by &gt; 10,000 K/s </w:t>
      </w:r>
      <w:r w:rsidR="00450BCB" w:rsidRPr="006714AB">
        <w:t>cooling rates</w:t>
      </w:r>
      <w:r w:rsidR="00450BCB">
        <w:t xml:space="preserve">. </w:t>
      </w:r>
      <w:r w:rsidR="008C6909">
        <w:t xml:space="preserve">Thinner samples will require </w:t>
      </w:r>
      <w:r w:rsidR="006714AB">
        <w:t xml:space="preserve">a </w:t>
      </w:r>
      <w:r w:rsidR="008C6909">
        <w:t xml:space="preserve">higher cooling rate, </w:t>
      </w:r>
      <w:r w:rsidR="00F6081B">
        <w:t>f</w:t>
      </w:r>
      <w:r w:rsidR="008C6909">
        <w:t xml:space="preserve">or example 50,000 K/s for a 100 µm </w:t>
      </w:r>
      <w:r w:rsidR="0010211A">
        <w:t xml:space="preserve">thick </w:t>
      </w:r>
      <w:r w:rsidR="008C6909">
        <w:t>sample</w:t>
      </w:r>
      <w:r w:rsidR="00641246">
        <w:t xml:space="preserve"> </w:t>
      </w:r>
      <w:r w:rsidR="00641246">
        <w:fldChar w:fldCharType="begin" w:fldLock="1"/>
      </w:r>
      <w:r w:rsidR="0058736C">
        <w:instrText>ADDIN CSL_CITATION {"citationItems":[{"id":"ITEM-1","itemData":{"ISBN":"9780849372278","container-title":"Cellular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-1","issued":{"date-parts":[["2008"]]},"publisher":"CRC Publisher","publisher-place":"Boca Raton","title":"Handbook of Cryopreparation Methods for Electron Microscopy","type":"book","volume":"79"},"uris":["http://www.mendeley.com/documents/?uuid=d0314adf-0335-4087-adfc-77f2002bf131"]}],"mendeley":{"formattedCitation":"&lt;sup&gt;[215]&lt;/sup&gt;","plainTextFormattedCitation":"[215]","previouslyFormattedCitation":"&lt;sup&gt;[215]&lt;/sup&gt;"},"properties":{"noteIndex":0},"schema":"https://github.com/citation-style-language/schema/raw/master/csl-citation.json"}</w:instrText>
      </w:r>
      <w:r w:rsidR="00641246">
        <w:fldChar w:fldCharType="separate"/>
      </w:r>
      <w:r w:rsidR="002659E5" w:rsidRPr="002659E5">
        <w:rPr>
          <w:noProof/>
          <w:vertAlign w:val="superscript"/>
        </w:rPr>
        <w:t>[215]</w:t>
      </w:r>
      <w:r w:rsidR="00641246">
        <w:fldChar w:fldCharType="end"/>
      </w:r>
      <w:r w:rsidR="008C6909">
        <w:t xml:space="preserve">. </w:t>
      </w:r>
      <w:r w:rsidR="004F402F" w:rsidRPr="00C74985">
        <w:t xml:space="preserve">(3) </w:t>
      </w:r>
      <w:r w:rsidR="00D629E5" w:rsidRPr="00C74985">
        <w:t>The third parameter to take into consideration for a successful HPF is the use of cryoprotectants.</w:t>
      </w:r>
      <w:r w:rsidR="00D629E5">
        <w:t xml:space="preserve"> </w:t>
      </w:r>
      <w:r w:rsidR="00C95AC3">
        <w:t>Ice formation decreases with solute concentration</w:t>
      </w:r>
      <w:r w:rsidR="000E6209">
        <w:t>,</w:t>
      </w:r>
      <w:r w:rsidR="00C95AC3">
        <w:t xml:space="preserve"> </w:t>
      </w:r>
      <w:r w:rsidR="000E6209">
        <w:t>therefore, most solutes act as cryoprotectant. While biological samples could naturally be cryoprotected, their extracellular medium is not. Crystallisation in the cell’s surroundings can lead to osmotic injuries and that</w:t>
      </w:r>
      <w:r w:rsidR="00C86406">
        <w:t xml:space="preserve"> is</w:t>
      </w:r>
      <w:r w:rsidR="000E6209">
        <w:t xml:space="preserve"> why high solute solutions are added to the medium to act as cryoprotectant</w:t>
      </w:r>
      <w:r w:rsidR="002C4EF3">
        <w:t>s</w:t>
      </w:r>
      <w:r w:rsidR="000E6209">
        <w:t xml:space="preserve"> and provide a uniform vitrification.</w:t>
      </w:r>
      <w:r w:rsidR="00031DE8">
        <w:t xml:space="preserve"> Some common cryoprotectants include 2.4 M sucrose</w:t>
      </w:r>
      <w:r w:rsidR="002C4EF3">
        <w:t xml:space="preserve"> and</w:t>
      </w:r>
      <w:r w:rsidR="00031DE8">
        <w:t xml:space="preserve"> </w:t>
      </w:r>
      <w:r w:rsidR="002C4EF3">
        <w:t xml:space="preserve">10 % </w:t>
      </w:r>
      <w:r w:rsidR="00720627">
        <w:t xml:space="preserve">(v/v) </w:t>
      </w:r>
      <w:r w:rsidR="007B017A">
        <w:t>glycerol</w:t>
      </w:r>
      <w:r w:rsidR="00641246">
        <w:t>.</w:t>
      </w:r>
      <w:r w:rsidR="00641246" w:rsidRPr="00641246">
        <w:t xml:space="preserve"> </w:t>
      </w:r>
      <w:r w:rsidR="00416524">
        <w:t xml:space="preserve">Overall, a successful </w:t>
      </w:r>
      <w:r w:rsidR="00641246">
        <w:t xml:space="preserve">HPF provides vitreous biological samples with improved ultrastructural preservation </w:t>
      </w:r>
      <w:r w:rsidR="00641246">
        <w:fldChar w:fldCharType="begin" w:fldLock="1"/>
      </w:r>
      <w:r w:rsidR="0058736C">
        <w:instrText>ADDIN CSL_CITATION {"citationItems":[{"id":"ITEM-1","itemData":{"ISBN":"9780849372278","container-title":"Cellular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-1","issued":{"date-parts":[["2008"]]},"publisher":"CRC Publisher","publisher-place":"Boca Raton","title":"Handbook of Cryopreparation Methods for Electron Microscopy","type":"book","volume":"79"},"uris":["http://www.mendeley.com/documents/?uuid=d0314adf-0335-4087-adfc-77f2002bf131"]}],"mendeley":{"formattedCitation":"&lt;sup&gt;[215]&lt;/sup&gt;","plainTextFormattedCitation":"[215]","previouslyFormattedCitation":"&lt;sup&gt;[215]&lt;/sup&gt;"},"properties":{"noteIndex":0},"schema":"https://github.com/citation-style-language/schema/raw/master/csl-citation.json"}</w:instrText>
      </w:r>
      <w:r w:rsidR="00641246">
        <w:fldChar w:fldCharType="separate"/>
      </w:r>
      <w:r w:rsidR="002659E5" w:rsidRPr="002659E5">
        <w:rPr>
          <w:noProof/>
          <w:vertAlign w:val="superscript"/>
        </w:rPr>
        <w:t>[215]</w:t>
      </w:r>
      <w:r w:rsidR="00641246">
        <w:fldChar w:fldCharType="end"/>
      </w:r>
      <w:r w:rsidR="00641246">
        <w:t>.</w:t>
      </w:r>
      <w:r w:rsidR="00201AE4">
        <w:t xml:space="preserve"> </w:t>
      </w:r>
      <w:r w:rsidR="00E52FD0">
        <w:t xml:space="preserve">Once the specimen is vitrified, </w:t>
      </w:r>
      <w:r w:rsidR="00E52FD0" w:rsidRPr="00C87BF3">
        <w:t>FS</w:t>
      </w:r>
      <w:r w:rsidR="00E52FD0">
        <w:t xml:space="preserve"> follows</w:t>
      </w:r>
      <w:r w:rsidR="009D0428">
        <w:t xml:space="preserve"> (</w:t>
      </w:r>
      <w:r w:rsidR="009D0428">
        <w:rPr>
          <w:highlight w:val="yellow"/>
        </w:rPr>
        <w:fldChar w:fldCharType="begin"/>
      </w:r>
      <w:r w:rsidR="009D0428">
        <w:instrText xml:space="preserve"> REF _Ref73098954 \h </w:instrText>
      </w:r>
      <w:r w:rsidR="009D0428">
        <w:rPr>
          <w:highlight w:val="yellow"/>
        </w:rPr>
      </w:r>
      <w:r w:rsidR="009D0428">
        <w:rPr>
          <w:highlight w:val="yellow"/>
        </w:rPr>
        <w:fldChar w:fldCharType="separate"/>
      </w:r>
      <w:r w:rsidR="00183CC8">
        <w:t xml:space="preserve">Figure </w:t>
      </w:r>
      <w:r w:rsidR="00183CC8">
        <w:rPr>
          <w:noProof/>
        </w:rPr>
        <w:t>3</w:t>
      </w:r>
      <w:r w:rsidR="00183CC8">
        <w:t>.</w:t>
      </w:r>
      <w:r w:rsidR="00183CC8">
        <w:rPr>
          <w:noProof/>
        </w:rPr>
        <w:t>1</w:t>
      </w:r>
      <w:r w:rsidR="009D0428">
        <w:rPr>
          <w:highlight w:val="yellow"/>
        </w:rPr>
        <w:fldChar w:fldCharType="end"/>
      </w:r>
      <w:r w:rsidR="009D0428">
        <w:t>).</w:t>
      </w:r>
      <w:r w:rsidR="00E52FD0">
        <w:t xml:space="preserve"> </w:t>
      </w:r>
      <w:r w:rsidR="009D0428">
        <w:t xml:space="preserve">Firstly, </w:t>
      </w:r>
      <w:r w:rsidR="00E52FD0">
        <w:t xml:space="preserve">the ice </w:t>
      </w:r>
      <w:r w:rsidR="009D0428">
        <w:t xml:space="preserve">is slowly dissolved </w:t>
      </w:r>
      <w:r w:rsidR="00E52FD0">
        <w:t>with an organic solvent, thus dehydrating the sa</w:t>
      </w:r>
      <w:r w:rsidR="00CD725E">
        <w:t>m</w:t>
      </w:r>
      <w:r w:rsidR="00E52FD0">
        <w:t>ple.</w:t>
      </w:r>
      <w:r w:rsidR="00D542B1">
        <w:t xml:space="preserve"> </w:t>
      </w:r>
      <w:r w:rsidR="00CD38E1">
        <w:t>The most commonly used solvents are acetone, ethanol and methanol. The FS medium can sometimes combine chemical fixatives to improved contrast</w:t>
      </w:r>
      <w:r w:rsidR="006A5E5C">
        <w:t>,</w:t>
      </w:r>
      <w:r w:rsidR="00CD38E1">
        <w:t xml:space="preserve"> such </w:t>
      </w:r>
      <w:r w:rsidR="00A648FC">
        <w:t>as</w:t>
      </w:r>
      <w:r w:rsidR="00CD38E1">
        <w:t xml:space="preserve"> OsO</w:t>
      </w:r>
      <w:r w:rsidR="007E30C7">
        <w:rPr>
          <w:vertAlign w:val="subscript"/>
        </w:rPr>
        <w:t>4</w:t>
      </w:r>
      <w:r w:rsidR="00CD38E1">
        <w:t>, UA and glutaraldehyd</w:t>
      </w:r>
      <w:r w:rsidR="00E94CE4">
        <w:t>e</w:t>
      </w:r>
      <w:r w:rsidR="00CD38E1">
        <w:t xml:space="preserve">. </w:t>
      </w:r>
      <w:r w:rsidR="00D542B1">
        <w:t>The substitution of the sample’s water content for the chosen FS medium happens very slowly and at very l</w:t>
      </w:r>
      <w:r w:rsidR="00CD38E1">
        <w:t>ow</w:t>
      </w:r>
      <w:r w:rsidR="00D542B1">
        <w:t xml:space="preserve"> temperature</w:t>
      </w:r>
      <w:r w:rsidR="00E94CE4">
        <w:t>. Most FS programmes start at –</w:t>
      </w:r>
      <w:r w:rsidR="0080173B">
        <w:t> </w:t>
      </w:r>
      <w:r w:rsidR="00E94CE4">
        <w:t>90 </w:t>
      </w:r>
      <w:r w:rsidR="00E94CE4">
        <w:rPr>
          <w:rFonts w:ascii="Calibri" w:hAnsi="Calibri" w:cs="Calibri"/>
        </w:rPr>
        <w:t>°</w:t>
      </w:r>
      <w:r w:rsidR="00E94CE4">
        <w:t xml:space="preserve">C, temperature at which the ice will </w:t>
      </w:r>
      <w:r w:rsidR="006A5E5C">
        <w:t xml:space="preserve">be </w:t>
      </w:r>
      <w:r w:rsidR="00E94CE4">
        <w:t>dissolve</w:t>
      </w:r>
      <w:r w:rsidR="006A5E5C">
        <w:t>d</w:t>
      </w:r>
      <w:r w:rsidR="00E94CE4">
        <w:t xml:space="preserve"> by the organic solvent. A slow dehydration allows for a better preservation of the natural ion distribution and a reduction of artefacts</w:t>
      </w:r>
      <w:r w:rsidR="007B0E2C">
        <w:t>. The length of the programme will depend on the thickness of the sample</w:t>
      </w:r>
      <w:r w:rsidR="003968F2">
        <w:t>.</w:t>
      </w:r>
      <w:r w:rsidR="005B26CA">
        <w:t xml:space="preserve"> After dehydration, the temperature is slowly raised and the chemicals start to react. </w:t>
      </w:r>
      <w:r w:rsidR="00472534">
        <w:t xml:space="preserve">Unlike conventional chemical fixation, the dehydration and chemical fixation steps are inverted, with </w:t>
      </w:r>
      <w:r w:rsidR="005F2988">
        <w:t>the former</w:t>
      </w:r>
      <w:r w:rsidR="00472534">
        <w:t xml:space="preserve"> occurring first at –</w:t>
      </w:r>
      <w:r w:rsidR="00BF5BC1">
        <w:t> </w:t>
      </w:r>
      <w:r w:rsidR="00472534">
        <w:t>90 </w:t>
      </w:r>
      <w:r w:rsidR="00472534">
        <w:rPr>
          <w:rFonts w:ascii="Calibri" w:hAnsi="Calibri" w:cs="Calibri"/>
        </w:rPr>
        <w:t>°</w:t>
      </w:r>
      <w:r w:rsidR="00472534">
        <w:t>C, while OsO</w:t>
      </w:r>
      <w:r w:rsidR="00202265">
        <w:rPr>
          <w:vertAlign w:val="subscript"/>
        </w:rPr>
        <w:t>4</w:t>
      </w:r>
      <w:r w:rsidR="00472534">
        <w:t xml:space="preserve"> and glutaraldehyde start their reactions at –</w:t>
      </w:r>
      <w:r w:rsidR="0080173B">
        <w:t> </w:t>
      </w:r>
      <w:r w:rsidR="00472534">
        <w:t>70 </w:t>
      </w:r>
      <w:r w:rsidR="00472534">
        <w:rPr>
          <w:rFonts w:ascii="Calibri" w:hAnsi="Calibri" w:cs="Calibri"/>
        </w:rPr>
        <w:t>°</w:t>
      </w:r>
      <w:r w:rsidR="00472534">
        <w:t>C and</w:t>
      </w:r>
      <w:r w:rsidR="00BF5BC1">
        <w:t xml:space="preserve"> – </w:t>
      </w:r>
      <w:r w:rsidR="00472534">
        <w:t>40 </w:t>
      </w:r>
      <w:r w:rsidR="00472534">
        <w:rPr>
          <w:rFonts w:ascii="Calibri" w:hAnsi="Calibri" w:cs="Calibri"/>
        </w:rPr>
        <w:t>°</w:t>
      </w:r>
      <w:r w:rsidR="00472534">
        <w:t xml:space="preserve">C, respectively </w:t>
      </w:r>
      <w:r w:rsidR="00472534">
        <w:fldChar w:fldCharType="begin" w:fldLock="1"/>
      </w:r>
      <w:r w:rsidR="0058736C">
        <w:instrText>ADDIN CSL_CITATION {"citationItems":[{"id":"ITEM-1","itemData":{"ISBN":"9780849372278","container-title":"Cellular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-1","issued":{"date-parts":[["2008"]]},"publisher":"CRC Publisher","publisher-place":"Boca Raton","title":"Handbook of Cryopreparation Methods for Electron Microscopy","type":"book","volume":"79"},"uris":["http://www.mendeley.com/documents/?uuid=d0314adf-0335-4087-adfc-77f2002bf131"]}],"mendeley":{"formattedCitation":"&lt;sup&gt;[215]&lt;/sup&gt;","plainTextFormattedCitation":"[215]","previouslyFormattedCitation":"&lt;sup&gt;[215]&lt;/sup&gt;"},"properties":{"noteIndex":0},"schema":"https://github.com/citation-style-language/schema/raw/master/csl-citation.json"}</w:instrText>
      </w:r>
      <w:r w:rsidR="00472534">
        <w:fldChar w:fldCharType="separate"/>
      </w:r>
      <w:r w:rsidR="002659E5" w:rsidRPr="002659E5">
        <w:rPr>
          <w:noProof/>
          <w:vertAlign w:val="superscript"/>
        </w:rPr>
        <w:t>[215]</w:t>
      </w:r>
      <w:r w:rsidR="00472534">
        <w:fldChar w:fldCharType="end"/>
      </w:r>
      <w:r w:rsidR="00D705F6">
        <w:t xml:space="preserve">. </w:t>
      </w:r>
      <w:r w:rsidR="005B26CA">
        <w:t>At –</w:t>
      </w:r>
      <w:r w:rsidR="0080173B">
        <w:t> </w:t>
      </w:r>
      <w:r w:rsidR="005B26CA">
        <w:t>30 </w:t>
      </w:r>
      <w:r w:rsidR="005B26CA">
        <w:rPr>
          <w:rFonts w:ascii="Calibri" w:hAnsi="Calibri" w:cs="Calibri"/>
        </w:rPr>
        <w:t>°</w:t>
      </w:r>
      <w:r w:rsidR="005B26CA">
        <w:t>C all chemicals will have reacted and low concentration resin solutions can be added</w:t>
      </w:r>
      <w:r w:rsidR="005F2988">
        <w:t xml:space="preserve"> (</w:t>
      </w:r>
      <w:r w:rsidR="005F2988">
        <w:rPr>
          <w:highlight w:val="yellow"/>
        </w:rPr>
        <w:fldChar w:fldCharType="begin"/>
      </w:r>
      <w:r w:rsidR="005F2988">
        <w:instrText xml:space="preserve"> REF _Ref73098954 \h </w:instrText>
      </w:r>
      <w:r w:rsidR="005F2988">
        <w:rPr>
          <w:highlight w:val="yellow"/>
        </w:rPr>
      </w:r>
      <w:r w:rsidR="005F2988">
        <w:rPr>
          <w:highlight w:val="yellow"/>
        </w:rPr>
        <w:fldChar w:fldCharType="separate"/>
      </w:r>
      <w:r w:rsidR="00183CC8">
        <w:t xml:space="preserve">Figure </w:t>
      </w:r>
      <w:r w:rsidR="00183CC8">
        <w:rPr>
          <w:noProof/>
        </w:rPr>
        <w:t>3</w:t>
      </w:r>
      <w:r w:rsidR="00183CC8">
        <w:t>.</w:t>
      </w:r>
      <w:r w:rsidR="00183CC8">
        <w:rPr>
          <w:noProof/>
        </w:rPr>
        <w:t>1</w:t>
      </w:r>
      <w:r w:rsidR="005F2988">
        <w:rPr>
          <w:highlight w:val="yellow"/>
        </w:rPr>
        <w:fldChar w:fldCharType="end"/>
      </w:r>
      <w:r w:rsidR="005F2988">
        <w:t>)</w:t>
      </w:r>
      <w:r w:rsidR="005B26CA">
        <w:t>. Raising the temperature to 0 </w:t>
      </w:r>
      <w:r w:rsidR="005B26CA">
        <w:rPr>
          <w:rFonts w:ascii="Calibri" w:hAnsi="Calibri" w:cs="Calibri"/>
        </w:rPr>
        <w:t>°</w:t>
      </w:r>
      <w:r w:rsidR="005B26CA">
        <w:t xml:space="preserve">C for 1 h helps improve membrane contrast </w:t>
      </w:r>
      <w:r w:rsidR="007816E4">
        <w:t>and further warming up to room temperature is standard for embedding with</w:t>
      </w:r>
      <w:r w:rsidR="006D62A7">
        <w:t xml:space="preserve"> LR White</w:t>
      </w:r>
      <w:r w:rsidR="007816E4">
        <w:t xml:space="preserve"> </w:t>
      </w:r>
      <w:r w:rsidR="003A6EE3">
        <w:t xml:space="preserve">and </w:t>
      </w:r>
      <w:r w:rsidR="007816E4">
        <w:t>Epoxy resins</w:t>
      </w:r>
      <w:r w:rsidR="006D62A7">
        <w:t xml:space="preserve"> </w:t>
      </w:r>
      <w:r w:rsidR="006D62A7">
        <w:fldChar w:fldCharType="begin" w:fldLock="1"/>
      </w:r>
      <w:r w:rsidR="0058736C">
        <w:instrText>ADDIN CSL_CITATION {"citationItems":[{"id":"ITEM-1","itemData":{"DOI":"10.1002/jemt.1098","ISSN":"1059910X","PMID":"11340677","abstract":"Investigations of cellular processes demand immediate arresting of the process at any given time and excellent retention of cellular material and excellent visibility of membranes. To achieve this goal we used cryofixation to arrest cellular processes instantly and tested diverse freeze-substitution protocols. Madin-Darby kidney cells and Vero cells were grown on carbon-coated sapphire disks. For cryofixation the sapphire disks covered with a cell monolayer were injected with the aid of a guillotine into liquid propane or ethane or a mixture of both cooled by liquid nitrogen. Freezing of the cryogen was prevented by using a partially insulated cylinder and by vigorous stirring that results in a substantial decrement of the freezing point of the cryogen. Cell monolayers can be cryofixed successfully using the guillotine in a safety hood at ambient temperature and humidity or at 37°C and 45% humidity. The freezing unit can also be placed in a laminar flow for working under biohazard conditions. For visualizing cell membranes at high contrast and high resolution, cells were substituted in the presence of various concentrations of glutaraldehyde and osmium tetroxide and the temperature was raised to diverse final temperatures. Substitution for 4 hours at -90°C in anhydrous acetone containing 0.25% anhydrous glutaraldehyde and 0.5% osmium tetroxide followed by a temperature rise of 5°C/hour to 0°C and final incubation for 1 hour at 0°C resulted in high contrast and excellent visibility of subcellular components at the level of the membrane bilayer. The high spatial and temporal resolution makes this methodology an excellent tool for studying cell membrane-bound processes, such as virus-cell interactions. © 2001 Wiley-Liss, Inc.","author":[{"dropping-particle":"","family":"Wild","given":"Peter","non-dropping-particle":"","parse-names":false,"suffix":""},{"dropping-particle":"","family":"Schraner","given":"Elisabeth M.","non-dropping-particle":"","parse-names":false,"suffix":""},{"dropping-particle":"","family":"Adler","given":"Hildegard","non-dropping-particle":"","parse-names":false,"suffix":""},{"dropping-particle":"","family":"Humbel","given":"Bruno M.","non-dropping-particle":"","parse-names":false,"suffix":""}],"container-title":"Microscopy Research and Technique","id":"ITEM-1","issue":"4","issued":{"date-parts":[["2001","5","15"]]},"page":"313-321","publisher":"John Wiley &amp; Sons, Ltd","title":"Enhanced resolution of membranes in cultured cells by cryoimmobilization and freeze-substitution","type":"article-journal","volume":"53"},"uris":["http://www.mendeley.com/documents/?uuid=9da11652-3c9a-3e88-8e2d-58d70b5fb7de"]},{"id":"ITEM-2","itemData":{"ISBN":"9780849372278","container-title":"Cellular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-2","issued":{"date-parts":[["2008"]]},"publisher":"CRC Publisher","publisher-place":"Boca Raton","title":"Handbook of Cryopreparation Methods for Electron Microscopy","type":"book","volume":"79"},"uris":["http://www.mendeley.com/documents/?uuid=d0314adf-0335-4087-adfc-77f2002bf131"]}],"mendeley":{"formattedCitation":"&lt;sup&gt;[215,257]&lt;/sup&gt;","plainTextFormattedCitation":"[215,257]","previouslyFormattedCitation":"&lt;sup&gt;[215,257]&lt;/sup&gt;"},"properties":{"noteIndex":0},"schema":"https://github.com/citation-style-language/schema/raw/master/csl-citation.json"}</w:instrText>
      </w:r>
      <w:r w:rsidR="006D62A7">
        <w:fldChar w:fldCharType="separate"/>
      </w:r>
      <w:r w:rsidR="002659E5" w:rsidRPr="002659E5">
        <w:rPr>
          <w:noProof/>
          <w:vertAlign w:val="superscript"/>
        </w:rPr>
        <w:t>[215,257]</w:t>
      </w:r>
      <w:r w:rsidR="006D62A7">
        <w:fldChar w:fldCharType="end"/>
      </w:r>
      <w:r w:rsidR="007816E4">
        <w:t xml:space="preserve">. </w:t>
      </w:r>
      <w:r w:rsidR="005F535F">
        <w:t>The</w:t>
      </w:r>
      <w:r w:rsidR="007816E4">
        <w:t xml:space="preserve"> final </w:t>
      </w:r>
      <w:r w:rsidR="006A558C">
        <w:t>room-temperature steps are similar to those described in standard chemical fixation TEM: resin infiltration, polymerisation, sectioning and post-staining when needed</w:t>
      </w:r>
      <w:r w:rsidR="00130D2A">
        <w:t xml:space="preserve"> (</w:t>
      </w:r>
      <w:r w:rsidR="00130D2A">
        <w:rPr>
          <w:highlight w:val="yellow"/>
        </w:rPr>
        <w:fldChar w:fldCharType="begin"/>
      </w:r>
      <w:r w:rsidR="00130D2A">
        <w:instrText xml:space="preserve"> REF _Ref73098954 \h </w:instrText>
      </w:r>
      <w:r w:rsidR="00130D2A">
        <w:rPr>
          <w:highlight w:val="yellow"/>
        </w:rPr>
      </w:r>
      <w:r w:rsidR="00130D2A">
        <w:rPr>
          <w:highlight w:val="yellow"/>
        </w:rPr>
        <w:fldChar w:fldCharType="separate"/>
      </w:r>
      <w:r w:rsidR="00183CC8">
        <w:t xml:space="preserve">Figure </w:t>
      </w:r>
      <w:r w:rsidR="00183CC8">
        <w:rPr>
          <w:noProof/>
        </w:rPr>
        <w:t>3</w:t>
      </w:r>
      <w:r w:rsidR="00183CC8">
        <w:t>.</w:t>
      </w:r>
      <w:r w:rsidR="00183CC8">
        <w:rPr>
          <w:noProof/>
        </w:rPr>
        <w:t>1</w:t>
      </w:r>
      <w:r w:rsidR="00130D2A">
        <w:rPr>
          <w:highlight w:val="yellow"/>
        </w:rPr>
        <w:fldChar w:fldCharType="end"/>
      </w:r>
      <w:r w:rsidR="00130D2A">
        <w:t>)</w:t>
      </w:r>
      <w:r w:rsidR="006A558C">
        <w:t>.</w:t>
      </w:r>
    </w:p>
    <w:p w14:paraId="0A813A81" w14:textId="63F7D9E7" w:rsidR="00B27547" w:rsidRDefault="00B27547" w:rsidP="00632156"/>
    <w:p w14:paraId="366F70E0" w14:textId="77777777" w:rsidR="001E13D7" w:rsidRDefault="001E13D7" w:rsidP="00632156"/>
    <w:p w14:paraId="74D6025B" w14:textId="5D9CBB8B" w:rsidR="00731B57" w:rsidRPr="00FC518A" w:rsidRDefault="00420445" w:rsidP="00632156">
      <w:r>
        <w:lastRenderedPageBreak/>
        <w:t>Regardless of the improved and kinder sample preparation of FS, both c</w:t>
      </w:r>
      <w:r w:rsidR="004117CC">
        <w:t>onventional fixation</w:t>
      </w:r>
      <w:r>
        <w:t xml:space="preserve"> and FS employ</w:t>
      </w:r>
      <w:r w:rsidR="004117CC">
        <w:t xml:space="preserve"> chemical fixatives and </w:t>
      </w:r>
      <w:r w:rsidR="00826BD7">
        <w:t>organic solvents</w:t>
      </w:r>
      <w:r>
        <w:t>. This</w:t>
      </w:r>
      <w:r w:rsidR="00A67E22">
        <w:t xml:space="preserve"> </w:t>
      </w:r>
      <w:r w:rsidR="004117CC">
        <w:t xml:space="preserve">results in the addition of various artefacts, the modification of the bacterial </w:t>
      </w:r>
      <w:r w:rsidR="00826BD7">
        <w:t>architecture</w:t>
      </w:r>
      <w:r w:rsidR="004117CC">
        <w:t xml:space="preserve">, and </w:t>
      </w:r>
      <w:r w:rsidR="00742558">
        <w:t xml:space="preserve">structural </w:t>
      </w:r>
      <w:r w:rsidR="004117CC">
        <w:t>detail</w:t>
      </w:r>
      <w:r w:rsidR="00742558">
        <w:t xml:space="preserve"> loss</w:t>
      </w:r>
      <w:r w:rsidR="004117CC">
        <w:t xml:space="preserve"> </w:t>
      </w:r>
      <w:r w:rsidR="004117CC">
        <w:fldChar w:fldCharType="begin" w:fldLock="1"/>
      </w:r>
      <w:r w:rsidR="0058736C">
        <w:instrText>ADDIN CSL_CITATION {"citationItems":[{"id":"ITEM-1","itemData":{"author":[{"dropping-particle":"","family":"Dubochet","given":"Jacques","non-dropping-particle":"","parse-names":false,"suffix":""},{"dropping-particle":"","family":"Adrian","given":"Marc","non-dropping-particle":"","parse-names":false,"suffix":""},{"dropping-particle":"","family":"Chan","given":"Jiin-ju","non-dropping-particle":"","parse-names":false,"suffix":""},{"dropping-particle":"","family":"Lepault","given":"Jean","non-dropping-particle":"","parse-names":false,"suffix":""},{"dropping-particle":"","family":"Mcdowall","given":"Alasdair W","non-dropping-particle":"","parse-names":false,"suffix":""}],"id":"ITEM-1","issue":"1988","issued":{"date-parts":[["1988"]]},"page":"129-228","title":"Chapter 5 Cryoelectron Microscopy of Vitrified Specimens","type":"article-journal","volume":"2"},"uris":["http://www.mendeley.com/documents/?uuid=9fbe1beb-c4bf-40ee-8a10-9cf363de2adf"]},{"id":"ITEM-2","itemData":{"ISBN":"9780849372278","container-title":"Cellular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-2","issued":{"date-parts":[["2008"]]},"publisher":"CRC Publisher","publisher-place":"Boca Raton","title":"Handbook of Cryopreparation Methods for Electron Microscopy","type":"book","volume":"79"},"uris":["http://www.mendeley.com/documents/?uuid=d0314adf-0335-4087-adfc-77f2002bf131"]}],"mendeley":{"formattedCitation":"&lt;sup&gt;[215,252]&lt;/sup&gt;","plainTextFormattedCitation":"[215,252]","previouslyFormattedCitation":"&lt;sup&gt;[215,252]&lt;/sup&gt;"},"properties":{"noteIndex":0},"schema":"https://github.com/citation-style-language/schema/raw/master/csl-citation.json"}</w:instrText>
      </w:r>
      <w:r w:rsidR="004117CC">
        <w:fldChar w:fldCharType="separate"/>
      </w:r>
      <w:r w:rsidR="002659E5" w:rsidRPr="002659E5">
        <w:rPr>
          <w:noProof/>
          <w:vertAlign w:val="superscript"/>
        </w:rPr>
        <w:t>[215,252]</w:t>
      </w:r>
      <w:r w:rsidR="004117CC">
        <w:fldChar w:fldCharType="end"/>
      </w:r>
      <w:r w:rsidR="004117CC">
        <w:t>.</w:t>
      </w:r>
      <w:r w:rsidR="0080472D">
        <w:t xml:space="preserve"> </w:t>
      </w:r>
      <w:r w:rsidR="00FE38CE">
        <w:t xml:space="preserve">The </w:t>
      </w:r>
      <w:r w:rsidR="00632156">
        <w:t>dehydration</w:t>
      </w:r>
      <w:r w:rsidR="00FE38CE">
        <w:t xml:space="preserve"> process, even when done slowly and at low temperatures during FS, is the most damaging step</w:t>
      </w:r>
      <w:r w:rsidR="00CD0BE5">
        <w:t xml:space="preserve">. </w:t>
      </w:r>
      <w:r w:rsidR="004D1E92">
        <w:t xml:space="preserve">As mentioned above, advances in the </w:t>
      </w:r>
      <w:r w:rsidR="004F165F">
        <w:t xml:space="preserve">late 1970s and </w:t>
      </w:r>
      <w:r w:rsidR="004D1E92">
        <w:t>early 1980s</w:t>
      </w:r>
      <w:r w:rsidR="004F165F">
        <w:t xml:space="preserve"> provided the necessary means to image </w:t>
      </w:r>
      <w:r w:rsidR="004F165F" w:rsidRPr="00C87BF3">
        <w:t>frozen-hydrated samples</w:t>
      </w:r>
      <w:r w:rsidR="004F165F">
        <w:t xml:space="preserve"> </w:t>
      </w:r>
      <w:r w:rsidR="004F165F">
        <w:fldChar w:fldCharType="begin" w:fldLock="1"/>
      </w:r>
      <w:r w:rsidR="0058736C">
        <w:instrText>ADDIN CSL_CITATION {"citationItems":[{"id":"ITEM-1","itemData":{"DOI":"10.1111/j.1365-2818.1983.tb04225.x","ISSN":"13652818","PMID":"6350598","abstract":"The preparation and high resolution observation of frozen hydrated thin sections has been studied by transmission electron microscopy (TEM and STEM) on model systems, including pure water, protein solutions, catalase crystals, myelin sheath and various tissues. The state of the ice is determined by electron diffraction. Mass measurement in the electron microscope is used to determine section thickness and control hydration. An adequate depth of vitrified material for sectioning can be obtained from many biological suspensions or untreated tissues. Frozen hydrated sections around 100 nm thick can be produced under optimal conditions from vitreous ice or from vitrified biological samples. Sectioning, transfer and observation in the electron microscope is feasible without alteration of the sample hydration or its initial vitrification. Biological structures can be preserved and observed down to 10 nm. Under favourable working conditions, specimen compression during sectioning and electron beam damage are the factors limiting high resolution observations. 1983 Blackwell Science Ltd","author":[{"dropping-particle":"","family":"McDowall","given":"A. W.","non-dropping-particle":"","parse-names":false,"suffix":""},{"dropping-particle":"","family":"Chang","given":"J. ‐J","non-dropping-particle":"","parse-names":false,"suffix":""},{"dropping-particle":"","family":"Freeman","given":"R.","non-dropping-particle":"","parse-names":false,"suffix":""},{"dropping-particle":"","family":"Lepault","given":"J.","non-dropping-particle":"","parse-names":false,"suffix":""},{"dropping-particle":"","family":"Walter","given":"C. A.","non-dropping-particle":"","parse-names":false,"suffix":""},{"dropping-particle":"","family":"Dubochet","given":"J.","non-dropping-particle":"","parse-names":false,"suffix":""}],"container-title":"Journal of Microscopy","id":"ITEM-1","issue":"1","issued":{"date-parts":[["1983"]]},"page":"1-9","title":"Electron microscopy of frozen hydrated sections of vitreous ice and vitrified biological samples","type":"article-journal","volume":"131"},"uris":["http://www.mendeley.com/documents/?uuid=3d0a0ee0-c105-47af-bda8-d8e9093b4fb8"]}],"mendeley":{"formattedCitation":"&lt;sup&gt;[258]&lt;/sup&gt;","plainTextFormattedCitation":"[258]","previouslyFormattedCitation":"&lt;sup&gt;[258]&lt;/sup&gt;"},"properties":{"noteIndex":0},"schema":"https://github.com/citation-style-language/schema/raw/master/csl-citation.json"}</w:instrText>
      </w:r>
      <w:r w:rsidR="004F165F">
        <w:fldChar w:fldCharType="separate"/>
      </w:r>
      <w:r w:rsidR="002659E5" w:rsidRPr="002659E5">
        <w:rPr>
          <w:noProof/>
          <w:vertAlign w:val="superscript"/>
        </w:rPr>
        <w:t>[258]</w:t>
      </w:r>
      <w:r w:rsidR="004F165F">
        <w:fldChar w:fldCharType="end"/>
      </w:r>
      <w:r w:rsidR="004F165F">
        <w:t xml:space="preserve">. </w:t>
      </w:r>
      <w:r w:rsidR="00CD0BE5">
        <w:t>F</w:t>
      </w:r>
      <w:r w:rsidR="00802F73">
        <w:t>rozen samples</w:t>
      </w:r>
      <w:r w:rsidR="00802F73" w:rsidRPr="00802F73">
        <w:t xml:space="preserve"> </w:t>
      </w:r>
      <w:r w:rsidR="00802F73">
        <w:t xml:space="preserve">embedded in a thin layer of vitreous water </w:t>
      </w:r>
      <w:r w:rsidR="002C5DCE">
        <w:t>have delivered</w:t>
      </w:r>
      <w:r w:rsidR="00802F73">
        <w:t xml:space="preserve"> the best structural preservation and detail since it was developed by Jacques Dubochet’s group </w:t>
      </w:r>
      <w:r w:rsidR="00802F73">
        <w:fldChar w:fldCharType="begin" w:fldLock="1"/>
      </w:r>
      <w:r w:rsidR="0058736C">
        <w:instrText>ADDIN CSL_CITATION {"citationItems":[{"id":"ITEM-1","itemData":{"DOI":"10.1038/308032a0","ISBN":"0028-0836 (Print)","ISSN":"00280836","PMID":"6322001","abstract":"Thin vitrified layers of unfixed, unstained and unsupported virus suspensions can be prepared for observation by cryo-electron microscopy in easily controlled conditions. The viral particles appear free from the kind of damage caused by dehydration, freezing or adsorption to a support that is encountered in preparing biological samples for conventional electron microscopy. Cryo-electron microscopy of vitrified specimens offers possibilities for high resolution observations that compare favourably with any other electron microscopical method.","author":[{"dropping-particle":"","family":"Adrian","given":"Marc","non-dropping-particle":"","parse-names":false,"suffix":""},{"dropping-particle":"","family":"Dubochet","given":"Jacques","non-dropping-particle":"","parse-names":false,"suffix":""},{"dropping-particle":"","family":"Lepault","given":"Jean","non-dropping-particle":"","parse-names":false,"suffix":""},{"dropping-particle":"","family":"McDowall","given":"Alasdair W.","non-dropping-particle":"","parse-names":false,"suffix":""}],"container-title":"Nature","id":"ITEM-1","issue":"5954","issued":{"date-parts":[["1984"]]},"page":"32-36","title":"Cryo-electron microscopy of viruses","type":"article-journal","volume":"308"},"uris":["http://www.mendeley.com/documents/?uuid=9c1004e6-58be-454d-b0da-b8a73606ccdc"]}],"mendeley":{"formattedCitation":"&lt;sup&gt;[259]&lt;/sup&gt;","plainTextFormattedCitation":"[259]","previouslyFormattedCitation":"&lt;sup&gt;[259]&lt;/sup&gt;"},"properties":{"noteIndex":0},"schema":"https://github.com/citation-style-language/schema/raw/master/csl-citation.json"}</w:instrText>
      </w:r>
      <w:r w:rsidR="00802F73">
        <w:fldChar w:fldCharType="separate"/>
      </w:r>
      <w:r w:rsidR="002659E5" w:rsidRPr="002659E5">
        <w:rPr>
          <w:noProof/>
          <w:vertAlign w:val="superscript"/>
        </w:rPr>
        <w:t>[259]</w:t>
      </w:r>
      <w:r w:rsidR="00802F73">
        <w:fldChar w:fldCharType="end"/>
      </w:r>
      <w:r w:rsidR="00632156">
        <w:t>.</w:t>
      </w:r>
      <w:r w:rsidR="00802F73">
        <w:rPr>
          <w:b/>
          <w:bCs/>
        </w:rPr>
        <w:t xml:space="preserve"> </w:t>
      </w:r>
      <w:r w:rsidR="00802F73">
        <w:t xml:space="preserve">The specimen is vitrified in its native environment and state, maintaining a preserved 3D structure </w:t>
      </w:r>
      <w:r w:rsidR="00802F73">
        <w:fldChar w:fldCharType="begin" w:fldLock="1"/>
      </w:r>
      <w:r w:rsidR="0058736C">
        <w:instrText>ADDIN CSL_CITATION {"citationItems":[{"id":"ITEM-1","itemData":{"DOI":"10.1038/308032a0","ISBN":"0028-0836 (Print)","ISSN":"00280836","PMID":"6322001","abstract":"Thin vitrified layers of unfixed, unstained and unsupported virus suspensions can be prepared for observation by cryo-electron microscopy in easily controlled conditions. The viral particles appear free from the kind of damage caused by dehydration, freezing or adsorption to a support that is encountered in preparing biological samples for conventional electron microscopy. Cryo-electron microscopy of vitrified specimens offers possibilities for high resolution observations that compare favourably with any other electron microscopical method.","author":[{"dropping-particle":"","family":"Adrian","given":"Marc","non-dropping-particle":"","parse-names":false,"suffix":""},{"dropping-particle":"","family":"Dubochet","given":"Jacques","non-dropping-particle":"","parse-names":false,"suffix":""},{"dropping-particle":"","family":"Lepault","given":"Jean","non-dropping-particle":"","parse-names":false,"suffix":""},{"dropping-particle":"","family":"McDowall","given":"Alasdair W.","non-dropping-particle":"","parse-names":false,"suffix":""}],"container-title":"Nature","id":"ITEM-1","issue":"5954","issued":{"date-parts":[["1984"]]},"page":"32-36","title":"Cryo-electron microscopy of viruses","type":"article-journal","volume":"308"},"uris":["http://www.mendeley.com/documents/?uuid=9c1004e6-58be-454d-b0da-b8a73606ccdc"]},{"id":"ITEM-2","itemData":{"ISBN":"9780849372278","container-title":"Cellular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-2","issued":{"date-parts":[["2008"]]},"publisher":"CRC Publisher","publisher-place":"Boca Raton","title":"Handbook of Cryopreparation Methods for Electron Microscopy","type":"book","volume":"79"},"uris":["http://www.mendeley.com/documents/?uuid=d0314adf-0335-4087-adfc-77f2002bf131"]}],"mendeley":{"formattedCitation":"&lt;sup&gt;[215,259]&lt;/sup&gt;","plainTextFormattedCitation":"[215,259]","previouslyFormattedCitation":"&lt;sup&gt;[215,259]&lt;/sup&gt;"},"properties":{"noteIndex":0},"schema":"https://github.com/citation-style-language/schema/raw/master/csl-citation.json"}</w:instrText>
      </w:r>
      <w:r w:rsidR="00802F73">
        <w:fldChar w:fldCharType="separate"/>
      </w:r>
      <w:r w:rsidR="002659E5" w:rsidRPr="002659E5">
        <w:rPr>
          <w:noProof/>
          <w:vertAlign w:val="superscript"/>
        </w:rPr>
        <w:t>[215,259]</w:t>
      </w:r>
      <w:r w:rsidR="00802F73">
        <w:fldChar w:fldCharType="end"/>
      </w:r>
      <w:r w:rsidR="00802F73">
        <w:t>.</w:t>
      </w:r>
      <w:r w:rsidR="00802F73">
        <w:rPr>
          <w:b/>
          <w:bCs/>
        </w:rPr>
        <w:t xml:space="preserve"> </w:t>
      </w:r>
      <w:r w:rsidR="00802F73" w:rsidRPr="00C87BF3">
        <w:t>F</w:t>
      </w:r>
      <w:r w:rsidR="006F2DC3" w:rsidRPr="00C87BF3">
        <w:t>rozen hydration (FH) and</w:t>
      </w:r>
      <w:r w:rsidR="00632156" w:rsidRPr="00C87BF3">
        <w:t xml:space="preserve"> cryo-electron microscopy</w:t>
      </w:r>
      <w:r w:rsidR="006F2DC3" w:rsidRPr="00C87BF3">
        <w:t xml:space="preserve"> of vitreous sections (CEMOVIS</w:t>
      </w:r>
      <w:r w:rsidR="00D90FF0" w:rsidRPr="00C87BF3">
        <w:t>)</w:t>
      </w:r>
      <w:r w:rsidR="00564D96" w:rsidRPr="00C87BF3">
        <w:t xml:space="preserve"> </w:t>
      </w:r>
      <w:r w:rsidR="00255F00" w:rsidRPr="00C87BF3">
        <w:t>i</w:t>
      </w:r>
      <w:r w:rsidR="00255F00">
        <w:t>s a three step process consisting</w:t>
      </w:r>
      <w:r w:rsidR="00C22E7A">
        <w:t xml:space="preserve"> of</w:t>
      </w:r>
      <w:r w:rsidR="00255F00">
        <w:t xml:space="preserve"> vitrification, cryo-sectioning and cryo-EM</w:t>
      </w:r>
      <w:r w:rsidR="008B5ACF">
        <w:t xml:space="preserve"> (</w:t>
      </w:r>
      <w:r w:rsidR="008B5ACF">
        <w:fldChar w:fldCharType="begin"/>
      </w:r>
      <w:r w:rsidR="008B5ACF">
        <w:instrText xml:space="preserve"> REF _Ref73098954 \h </w:instrText>
      </w:r>
      <w:r w:rsidR="008B5ACF">
        <w:fldChar w:fldCharType="separate"/>
      </w:r>
      <w:r w:rsidR="00183CC8">
        <w:t xml:space="preserve">Figure </w:t>
      </w:r>
      <w:r w:rsidR="00183CC8">
        <w:rPr>
          <w:noProof/>
        </w:rPr>
        <w:t>3</w:t>
      </w:r>
      <w:r w:rsidR="00183CC8">
        <w:t>.</w:t>
      </w:r>
      <w:r w:rsidR="00183CC8">
        <w:rPr>
          <w:noProof/>
        </w:rPr>
        <w:t>1</w:t>
      </w:r>
      <w:r w:rsidR="008B5ACF">
        <w:fldChar w:fldCharType="end"/>
      </w:r>
      <w:r w:rsidR="008B5ACF">
        <w:t>)</w:t>
      </w:r>
      <w:r w:rsidR="00255F00">
        <w:t>. Vitrification occurs</w:t>
      </w:r>
      <w:r w:rsidR="00564D96">
        <w:t xml:space="preserve"> by HPF</w:t>
      </w:r>
      <w:r w:rsidR="00D47AC6">
        <w:t xml:space="preserve"> </w:t>
      </w:r>
      <w:r w:rsidR="00255F00">
        <w:t xml:space="preserve">as </w:t>
      </w:r>
      <w:r w:rsidR="00D47AC6">
        <w:t>described above. However, unlike FS, the vitrified samples are transferred directly to the sectioning step without going through any chemical fixation or dehydration.</w:t>
      </w:r>
      <w:r w:rsidR="004B55AE">
        <w:t xml:space="preserve"> With the importance of keeping the samples vitrified, thin-s</w:t>
      </w:r>
      <w:r w:rsidR="00D47AC6">
        <w:t xml:space="preserve">ectioning is </w:t>
      </w:r>
      <w:r w:rsidR="004B55AE">
        <w:t>performed</w:t>
      </w:r>
      <w:r w:rsidR="00D47AC6">
        <w:t xml:space="preserve"> at cryogenic temperatures</w:t>
      </w:r>
      <w:r w:rsidR="00731B57">
        <w:t xml:space="preserve"> </w:t>
      </w:r>
      <w:r w:rsidR="00731B57">
        <w:fldChar w:fldCharType="begin" w:fldLock="1"/>
      </w:r>
      <w:r w:rsidR="0058736C">
        <w:instrText>ADDIN CSL_CITATION {"citationItems":[{"id":"ITEM-1","itemData":{"ISBN":"9780849372278","container-title":"Cellular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-1","issued":{"date-parts":[["2008"]]},"publisher":"CRC Publisher","publisher-place":"Boca Raton","title":"Handbook of Cryopreparation Methods for Electron Microscopy","type":"book","volume":"79"},"uris":["http://www.mendeley.com/documents/?uuid=d0314adf-0335-4087-adfc-77f2002bf131"]}],"mendeley":{"formattedCitation":"&lt;sup&gt;[215]&lt;/sup&gt;","plainTextFormattedCitation":"[215]","previouslyFormattedCitation":"&lt;sup&gt;[215]&lt;/sup&gt;"},"properties":{"noteIndex":0},"schema":"https://github.com/citation-style-language/schema/raw/master/csl-citation.json"}</w:instrText>
      </w:r>
      <w:r w:rsidR="00731B57">
        <w:fldChar w:fldCharType="separate"/>
      </w:r>
      <w:r w:rsidR="002659E5" w:rsidRPr="002659E5">
        <w:rPr>
          <w:noProof/>
          <w:vertAlign w:val="superscript"/>
        </w:rPr>
        <w:t>[215]</w:t>
      </w:r>
      <w:r w:rsidR="00731B57">
        <w:fldChar w:fldCharType="end"/>
      </w:r>
      <w:r w:rsidR="004B55AE">
        <w:t>.</w:t>
      </w:r>
      <w:r w:rsidR="00731B57">
        <w:t xml:space="preserve"> Unlike chemical fixation o</w:t>
      </w:r>
      <w:r w:rsidR="009803C1">
        <w:t>r</w:t>
      </w:r>
      <w:r w:rsidR="00731B57">
        <w:t xml:space="preserve"> FS, CEMOVIS does not rely on heavy metal staining for contrast. </w:t>
      </w:r>
      <w:r w:rsidR="009803C1">
        <w:t>With stained</w:t>
      </w:r>
      <w:r w:rsidR="00731B57">
        <w:t xml:space="preserve"> sections, the electrons</w:t>
      </w:r>
      <w:r w:rsidR="009803C1">
        <w:t xml:space="preserve"> of a TEM</w:t>
      </w:r>
      <w:r w:rsidR="00731B57">
        <w:t xml:space="preserve"> are scattered by the heavy atoms of the stain</w:t>
      </w:r>
      <w:r w:rsidR="00034490">
        <w:t>,</w:t>
      </w:r>
      <w:r w:rsidR="00731B57">
        <w:t xml:space="preserve"> </w:t>
      </w:r>
      <w:r w:rsidR="00034490">
        <w:t>causing</w:t>
      </w:r>
      <w:r w:rsidR="00731B57">
        <w:t xml:space="preserve"> an amplitude or area contras</w:t>
      </w:r>
      <w:r w:rsidR="00034490">
        <w:t>t</w:t>
      </w:r>
      <w:r w:rsidR="00731B57">
        <w:t xml:space="preserve"> </w:t>
      </w:r>
      <w:r w:rsidR="00731B57">
        <w:fldChar w:fldCharType="begin" w:fldLock="1"/>
      </w:r>
      <w:r w:rsidR="0058736C">
        <w:instrText>ADDIN CSL_CITATION {"citationItems":[{"id":"ITEM-1","itemData":{"ISBN":"978-0-387-76502-0","author":[{"dropping-particle":"","family":"Williams","given":"David B","non-dropping-particle":"","parse-names":false,"suffix":""},{"dropping-particle":"","family":"Carter","given":"C Barry","non-dropping-particle":"","parse-names":false,"suffix":""}],"edition":"2nd","id":"ITEM-1","issued":{"date-parts":[["2009"]]},"publisher":"Springer","publisher-place":"New York","title":"Transmission Electron Microscopy a Textbook for Material Science","type":"book"},"uris":["http://www.mendeley.com/documents/?uuid=a25888c0-ddc9-4a96-bf1f-7783f04c2dac"]}],"mendeley":{"formattedCitation":"&lt;sup&gt;[214]&lt;/sup&gt;","plainTextFormattedCitation":"[214]","previouslyFormattedCitation":"&lt;sup&gt;[214]&lt;/sup&gt;"},"properties":{"noteIndex":0},"schema":"https://github.com/citation-style-language/schema/raw/master/csl-citation.json"}</w:instrText>
      </w:r>
      <w:r w:rsidR="00731B57">
        <w:fldChar w:fldCharType="separate"/>
      </w:r>
      <w:r w:rsidR="002659E5" w:rsidRPr="002659E5">
        <w:rPr>
          <w:noProof/>
          <w:vertAlign w:val="superscript"/>
        </w:rPr>
        <w:t>[214]</w:t>
      </w:r>
      <w:r w:rsidR="00731B57">
        <w:fldChar w:fldCharType="end"/>
      </w:r>
      <w:r w:rsidR="00731B57">
        <w:t xml:space="preserve">. </w:t>
      </w:r>
      <w:r w:rsidR="002C656C">
        <w:t>As</w:t>
      </w:r>
      <w:r w:rsidR="00731B57">
        <w:t xml:space="preserve"> </w:t>
      </w:r>
      <w:r w:rsidR="00BC6B9D">
        <w:t xml:space="preserve">the density of unstained biological material </w:t>
      </w:r>
      <w:r w:rsidR="002C656C">
        <w:t>is</w:t>
      </w:r>
      <w:r w:rsidR="00BC6B9D">
        <w:t xml:space="preserve"> very constant, amplitude contrast does not provide much information. Therefore, CEMOVIS uses </w:t>
      </w:r>
      <w:r w:rsidR="00032D10">
        <w:t>phase</w:t>
      </w:r>
      <w:r w:rsidR="00731B57">
        <w:t xml:space="preserve"> contrast imaging</w:t>
      </w:r>
      <w:r w:rsidR="005956C1">
        <w:t>, where the scattered electrons suffer a phase shift induced by</w:t>
      </w:r>
      <w:r w:rsidR="004E1F3F">
        <w:t xml:space="preserve"> a short distance density difference</w:t>
      </w:r>
      <w:r w:rsidR="005956C1">
        <w:t xml:space="preserve"> </w:t>
      </w:r>
      <w:r w:rsidR="00E37A8B">
        <w:fldChar w:fldCharType="begin" w:fldLock="1"/>
      </w:r>
      <w:r w:rsidR="0058736C">
        <w:instrText>ADDIN CSL_CITATION {"citationItems":[{"id":"ITEM-1","itemData":{"ISBN":"9780849372278","container-title":"Cellular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-1","issued":{"date-parts":[["2008"]]},"publisher":"CRC Publisher","publisher-place":"Boca Raton","title":"Handbook of Cryopreparation Methods for Electron Microscopy","type":"book","volume":"79"},"uris":["http://www.mendeley.com/documents/?uuid=d0314adf-0335-4087-adfc-77f2002bf131"]}],"mendeley":{"formattedCitation":"&lt;sup&gt;[215]&lt;/sup&gt;","plainTextFormattedCitation":"[215]","previouslyFormattedCitation":"&lt;sup&gt;[215]&lt;/sup&gt;"},"properties":{"noteIndex":0},"schema":"https://github.com/citation-style-language/schema/raw/master/csl-citation.json"}</w:instrText>
      </w:r>
      <w:r w:rsidR="00E37A8B">
        <w:fldChar w:fldCharType="separate"/>
      </w:r>
      <w:r w:rsidR="002659E5" w:rsidRPr="002659E5">
        <w:rPr>
          <w:noProof/>
          <w:vertAlign w:val="superscript"/>
        </w:rPr>
        <w:t>[215]</w:t>
      </w:r>
      <w:r w:rsidR="00E37A8B">
        <w:fldChar w:fldCharType="end"/>
      </w:r>
      <w:r w:rsidR="00E37A8B">
        <w:t>.</w:t>
      </w:r>
      <w:r w:rsidR="008A78D2">
        <w:t xml:space="preserve"> </w:t>
      </w:r>
      <w:r w:rsidR="009152A4">
        <w:t xml:space="preserve">Overall, </w:t>
      </w:r>
      <w:r w:rsidR="008A78D2">
        <w:t xml:space="preserve">CEMOVIS </w:t>
      </w:r>
      <w:r w:rsidR="008C2679">
        <w:t>provide</w:t>
      </w:r>
      <w:r w:rsidR="009152A4">
        <w:t>s the best</w:t>
      </w:r>
      <w:r w:rsidR="008C2679">
        <w:t xml:space="preserve"> imaging of unstained hydrated cells, </w:t>
      </w:r>
      <w:r w:rsidR="000D6D8F">
        <w:t>showing</w:t>
      </w:r>
      <w:r w:rsidR="008C2679">
        <w:t xml:space="preserve"> their whole volume and native state, without being</w:t>
      </w:r>
      <w:r w:rsidR="008A78D2">
        <w:t xml:space="preserve"> limited by the lack of contrast</w:t>
      </w:r>
      <w:r w:rsidR="008C2679">
        <w:t>.</w:t>
      </w:r>
    </w:p>
    <w:p w14:paraId="5C0E2513" w14:textId="5D86594F" w:rsidR="00DA1FEA" w:rsidRDefault="00951A57" w:rsidP="004A1CA6">
      <w:r>
        <w:t xml:space="preserve">All </w:t>
      </w:r>
      <w:r w:rsidR="00BD3800">
        <w:t>the above mentioned</w:t>
      </w:r>
      <w:r w:rsidR="009F3DE4">
        <w:t xml:space="preserve"> techniques</w:t>
      </w:r>
      <w:r>
        <w:t xml:space="preserve"> have in common</w:t>
      </w:r>
      <w:r w:rsidR="009F3DE4">
        <w:t xml:space="preserve"> the </w:t>
      </w:r>
      <w:r w:rsidR="00FB77AD">
        <w:t>need of electron-transparent</w:t>
      </w:r>
      <w:r w:rsidR="009F3DE4">
        <w:t xml:space="preserve"> samples</w:t>
      </w:r>
      <w:r w:rsidR="00FB77AD">
        <w:t>, which</w:t>
      </w:r>
      <w:r w:rsidR="009F3DE4">
        <w:t xml:space="preserve"> are required to be </w:t>
      </w:r>
      <w:r w:rsidR="00E957AD">
        <w:t>&lt;</w:t>
      </w:r>
      <w:r w:rsidR="009F3DE4">
        <w:t> 500 nm</w:t>
      </w:r>
      <w:r w:rsidR="00FB77AD">
        <w:t>.</w:t>
      </w:r>
      <w:r>
        <w:t xml:space="preserve"> </w:t>
      </w:r>
      <w:r w:rsidR="00FB77AD">
        <w:t>U</w:t>
      </w:r>
      <w:r w:rsidR="00A771AF">
        <w:t>ltra-thin</w:t>
      </w:r>
      <w:r w:rsidR="009F3DE4">
        <w:t xml:space="preserve"> sections </w:t>
      </w:r>
      <w:r w:rsidR="00A771AF">
        <w:t xml:space="preserve">of </w:t>
      </w:r>
      <w:r w:rsidR="00E957AD">
        <w:t>&lt;</w:t>
      </w:r>
      <w:r w:rsidR="00A771AF">
        <w:t xml:space="preserve"> 100 nm </w:t>
      </w:r>
      <w:r w:rsidR="00FB77AD">
        <w:t>provide</w:t>
      </w:r>
      <w:r w:rsidR="009F3DE4">
        <w:t xml:space="preserve"> the best electron transparency and more detailed structural information of the bacterial envelope</w:t>
      </w:r>
      <w:r w:rsidR="00E436D3">
        <w:t xml:space="preserve"> </w:t>
      </w:r>
      <w:r w:rsidR="00E436D3">
        <w:fldChar w:fldCharType="begin" w:fldLock="1"/>
      </w:r>
      <w:r w:rsidR="0058736C">
        <w:instrText>ADDIN CSL_CITATION {"citationItems":[{"id":"ITEM-1","itemData":{"ISBN":"978-0-387-76502-0","author":[{"dropping-particle":"","family":"Williams","given":"David B","non-dropping-particle":"","parse-names":false,"suffix":""},{"dropping-particle":"","family":"Carter","given":"C Barry","non-dropping-particle":"","parse-names":false,"suffix":""}],"edition":"2nd","id":"ITEM-1","issued":{"date-parts":[["2009"]]},"publisher":"Springer","publisher-place":"New York","title":"Transmission Electron Microscopy a Textbook for Material Science","type":"book"},"uris":["http://www.mendeley.com/documents/?uuid=a25888c0-ddc9-4a96-bf1f-7783f04c2dac"]},{"id":"ITEM-2","itemData":{"ISBN":"1555812236","author":[{"dropping-particle":"","family":"Reddy","given":"C A","non-dropping-particle":"","parse-names":false,"suffix":""},{"dropping-particle":"","family":"Beveridge","given":"Terry J","non-dropping-particle":"","parse-names":false,"suffix":""},{"dropping-particle":"","family":"Breznak","given":"John A","non-dropping-particle":"","parse-names":false,"suffix":""},{"dropping-particle":"","family":"Marzluf","given":"George","non-dropping-particle":"","parse-names":false,"suffix":""}],"id":"ITEM-2","issued":{"date-parts":[["2007"]]},"publisher":"American Society for Microbiology Press","title":"Methods for general and molecular microbiology","type":"book"},"uris":["http://www.mendeley.com/documents/?uuid=98899cd0-57bf-4c78-8d93-848b8c8d1146"]}],"mendeley":{"formattedCitation":"&lt;sup&gt;[214,223]&lt;/sup&gt;","plainTextFormattedCitation":"[214,223]","previouslyFormattedCitation":"&lt;sup&gt;[214,223]&lt;/sup&gt;"},"properties":{"noteIndex":0},"schema":"https://github.com/citation-style-language/schema/raw/master/csl-citation.json"}</w:instrText>
      </w:r>
      <w:r w:rsidR="00E436D3">
        <w:fldChar w:fldCharType="separate"/>
      </w:r>
      <w:r w:rsidR="002659E5" w:rsidRPr="002659E5">
        <w:rPr>
          <w:noProof/>
          <w:vertAlign w:val="superscript"/>
        </w:rPr>
        <w:t>[214,223]</w:t>
      </w:r>
      <w:r w:rsidR="00E436D3">
        <w:fldChar w:fldCharType="end"/>
      </w:r>
      <w:r w:rsidR="009F3DE4">
        <w:t xml:space="preserve">. </w:t>
      </w:r>
      <w:r w:rsidR="0074133B" w:rsidRPr="00C87BF3">
        <w:t>Ultramicrotomy or thin-sectioning</w:t>
      </w:r>
      <w:r w:rsidR="0074133B">
        <w:t xml:space="preserve"> is the most common sectioning method used for TEM sample preparation</w:t>
      </w:r>
      <w:r w:rsidR="00A40B30">
        <w:t xml:space="preserve"> and is usually performed on </w:t>
      </w:r>
      <w:r w:rsidR="007F6935">
        <w:t xml:space="preserve">chemically fixed </w:t>
      </w:r>
      <w:r w:rsidR="00A40B30">
        <w:t>samples embedded in plastic</w:t>
      </w:r>
      <w:r w:rsidR="00B73F5A">
        <w:t xml:space="preserve"> (</w:t>
      </w:r>
      <w:r w:rsidR="00B73F5A">
        <w:fldChar w:fldCharType="begin"/>
      </w:r>
      <w:r w:rsidR="00B73F5A">
        <w:instrText xml:space="preserve"> REF _Ref73098954 \h </w:instrText>
      </w:r>
      <w:r w:rsidR="00B73F5A">
        <w:fldChar w:fldCharType="separate"/>
      </w:r>
      <w:r w:rsidR="00183CC8">
        <w:t xml:space="preserve">Figure </w:t>
      </w:r>
      <w:r w:rsidR="00183CC8">
        <w:rPr>
          <w:noProof/>
        </w:rPr>
        <w:t>3</w:t>
      </w:r>
      <w:r w:rsidR="00183CC8">
        <w:t>.</w:t>
      </w:r>
      <w:r w:rsidR="00183CC8">
        <w:rPr>
          <w:noProof/>
        </w:rPr>
        <w:t>1</w:t>
      </w:r>
      <w:r w:rsidR="00B73F5A">
        <w:fldChar w:fldCharType="end"/>
      </w:r>
      <w:r w:rsidR="00B73F5A">
        <w:t>)</w:t>
      </w:r>
      <w:r w:rsidR="007F6935">
        <w:t xml:space="preserve">. </w:t>
      </w:r>
      <w:r w:rsidR="006B4886">
        <w:t xml:space="preserve">The initial step in thin-sectioning is the removal of </w:t>
      </w:r>
      <w:r w:rsidR="00E56CB2">
        <w:t xml:space="preserve">excess resin </w:t>
      </w:r>
      <w:r w:rsidR="006B4886">
        <w:t>to expose</w:t>
      </w:r>
      <w:r w:rsidR="00E56CB2">
        <w:t xml:space="preserve"> the sample</w:t>
      </w:r>
      <w:r w:rsidR="006B4886">
        <w:t>.</w:t>
      </w:r>
      <w:r w:rsidR="00E56CB2">
        <w:t xml:space="preserve"> </w:t>
      </w:r>
      <w:r w:rsidR="006B4886">
        <w:t>T</w:t>
      </w:r>
      <w:r w:rsidR="00E56CB2">
        <w:t xml:space="preserve">he block is </w:t>
      </w:r>
      <w:r w:rsidR="006B4886">
        <w:t xml:space="preserve">then </w:t>
      </w:r>
      <w:r w:rsidR="00E56CB2">
        <w:t>shaped with a razo</w:t>
      </w:r>
      <w:r w:rsidR="00841AA7">
        <w:t>r</w:t>
      </w:r>
      <w:r w:rsidR="00E56CB2">
        <w:t xml:space="preserve"> blade to a square or trapezoidal shape that will help obtain a ribbon of sections while cutting. The surface of the block is then polished with a trimming diamond knife or, most commonly, a glass knife. </w:t>
      </w:r>
      <w:r w:rsidR="00671BBB">
        <w:t>During</w:t>
      </w:r>
      <w:r w:rsidR="00B03077">
        <w:t xml:space="preserve"> sectioning, a diamond knife pre-mounted with a boat filled with water is used, so as to float the sections and reduce specimen damage.</w:t>
      </w:r>
      <w:r w:rsidR="00FC3AC5">
        <w:t xml:space="preserve"> </w:t>
      </w:r>
      <w:r w:rsidR="005616CA">
        <w:t>C</w:t>
      </w:r>
      <w:r w:rsidR="007F6935">
        <w:t>onventional chemical fixation and FS</w:t>
      </w:r>
      <w:r w:rsidR="005616CA">
        <w:t xml:space="preserve"> protocols</w:t>
      </w:r>
      <w:r w:rsidR="007F6935">
        <w:t xml:space="preserve"> are both thin-sectioned </w:t>
      </w:r>
      <w:r w:rsidR="00FC3AC5">
        <w:t xml:space="preserve">this way, </w:t>
      </w:r>
      <w:r w:rsidR="007F6935">
        <w:t xml:space="preserve">at </w:t>
      </w:r>
      <w:r w:rsidR="007F6935">
        <w:lastRenderedPageBreak/>
        <w:t xml:space="preserve">room temperature using an ultramicrotome. However, </w:t>
      </w:r>
      <w:r w:rsidR="005029C2">
        <w:t xml:space="preserve">this technique is not suitable </w:t>
      </w:r>
      <w:r w:rsidR="007F6935">
        <w:t xml:space="preserve">for </w:t>
      </w:r>
      <w:r w:rsidR="004A1CA6">
        <w:t xml:space="preserve">cryo-EM, where samples are required to be processed below devitrification temperatures. Therefore, </w:t>
      </w:r>
      <w:r w:rsidR="004A1CA6" w:rsidRPr="00C87BF3">
        <w:t>frozen hydrated sectioning (FHS)</w:t>
      </w:r>
      <w:r w:rsidR="002D7C40" w:rsidRPr="00C87BF3">
        <w:t xml:space="preserve"> or cryo-sectioning</w:t>
      </w:r>
      <w:r w:rsidR="004A1CA6" w:rsidRPr="00C87BF3">
        <w:t xml:space="preserve"> is an essential step of CEMOVIS</w:t>
      </w:r>
      <w:r w:rsidR="0035701F" w:rsidRPr="00C87BF3">
        <w:t>. This ultramicr</w:t>
      </w:r>
      <w:r w:rsidR="0035701F">
        <w:t xml:space="preserve">otomy </w:t>
      </w:r>
      <w:r w:rsidR="009822E9">
        <w:t>adaptation</w:t>
      </w:r>
      <w:r w:rsidR="0035701F">
        <w:t xml:space="preserve"> is carried out with a cryo-ultramicrotome that consists of a</w:t>
      </w:r>
      <w:r w:rsidR="001537E2">
        <w:t xml:space="preserve"> thermally</w:t>
      </w:r>
      <w:r w:rsidR="0035701F">
        <w:t xml:space="preserve"> isolat</w:t>
      </w:r>
      <w:r w:rsidR="004A1CA6">
        <w:t>ed</w:t>
      </w:r>
      <w:r w:rsidR="0035701F">
        <w:t xml:space="preserve"> chamber</w:t>
      </w:r>
      <w:r w:rsidR="004E6D86">
        <w:t xml:space="preserve"> that keeps the specimen and the knife</w:t>
      </w:r>
      <w:r w:rsidR="001537E2">
        <w:t xml:space="preserve"> at </w:t>
      </w:r>
      <w:r w:rsidR="00595654">
        <w:t xml:space="preserve">cryo-temperatures </w:t>
      </w:r>
      <w:r w:rsidR="00542B5A">
        <w:t>with</w:t>
      </w:r>
      <w:r w:rsidR="00595654">
        <w:t xml:space="preserve"> </w:t>
      </w:r>
      <w:r w:rsidR="00595654" w:rsidRPr="005428C9">
        <w:t>a frost-repelling laminar flow of cold gas</w:t>
      </w:r>
      <w:r w:rsidR="00595654">
        <w:t xml:space="preserve"> </w:t>
      </w:r>
      <w:r w:rsidR="00595654">
        <w:fldChar w:fldCharType="begin" w:fldLock="1"/>
      </w:r>
      <w:r w:rsidR="0058736C">
        <w:instrText>ADDIN CSL_CITATION {"citationItems":[{"id":"ITEM-1","itemData":{"ISBN":"9780849372278","container-title":"Cellular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-1","issued":{"date-parts":[["2008"]]},"publisher":"CRC Publisher","publisher-place":"Boca Raton","title":"Handbook of Cryopreparation Methods for Electron Microscopy","type":"book","volume":"79"},"uris":["http://www.mendeley.com/documents/?uuid=d0314adf-0335-4087-adfc-77f2002bf131"]}],"mendeley":{"formattedCitation":"&lt;sup&gt;[215]&lt;/sup&gt;","plainTextFormattedCitation":"[215]","previouslyFormattedCitation":"&lt;sup&gt;[215]&lt;/sup&gt;"},"properties":{"noteIndex":0},"schema":"https://github.com/citation-style-language/schema/raw/master/csl-citation.json"}</w:instrText>
      </w:r>
      <w:r w:rsidR="00595654">
        <w:fldChar w:fldCharType="separate"/>
      </w:r>
      <w:r w:rsidR="002659E5" w:rsidRPr="002659E5">
        <w:rPr>
          <w:noProof/>
          <w:vertAlign w:val="superscript"/>
        </w:rPr>
        <w:t>[215]</w:t>
      </w:r>
      <w:r w:rsidR="00595654">
        <w:fldChar w:fldCharType="end"/>
      </w:r>
      <w:r w:rsidR="001537E2" w:rsidRPr="00595654">
        <w:t>.</w:t>
      </w:r>
      <w:r w:rsidR="000276CE">
        <w:t xml:space="preserve"> The LN</w:t>
      </w:r>
      <w:r w:rsidR="000276CE">
        <w:rPr>
          <w:vertAlign w:val="subscript"/>
        </w:rPr>
        <w:t>2</w:t>
      </w:r>
      <w:r w:rsidR="000276CE">
        <w:t xml:space="preserve"> gas flow is perturbated by the user while manipulating the thin-sections, and this in turn leads to the undesirable formation of ice </w:t>
      </w:r>
      <w:r w:rsidR="000276CE">
        <w:fldChar w:fldCharType="begin" w:fldLock="1"/>
      </w:r>
      <w:r w:rsidR="0058736C">
        <w:instrText>ADDIN CSL_CITATION {"citationItems":[{"id":"ITEM-1","itemData":{"author":[{"dropping-particle":"","family":"Dubochet","given":"Jacques","non-dropping-particle":"","parse-names":false,"suffix":""},{"dropping-particle":"","family":"Adrian","given":"Marc","non-dropping-particle":"","parse-names":false,"suffix":""},{"dropping-particle":"","family":"Chan","given":"Jiin-ju","non-dropping-particle":"","parse-names":false,"suffix":""},{"dropping-particle":"","family":"Lepault","given":"Jean","non-dropping-particle":"","parse-names":false,"suffix":""},{"dropping-particle":"","family":"Mcdowall","given":"Alasdair W","non-dropping-particle":"","parse-names":false,"suffix":""}],"id":"ITEM-1","issue":"1988","issued":{"date-parts":[["1988"]]},"page":"129-228","title":"Chapter 5 Cryoelectron Microscopy of Vitrified Specimens","type":"article-journal","volume":"2"},"uris":["http://www.mendeley.com/documents/?uuid=9fbe1beb-c4bf-40ee-8a10-9cf363de2adf"]}],"mendeley":{"formattedCitation":"&lt;sup&gt;[252]&lt;/sup&gt;","plainTextFormattedCitation":"[252]","previouslyFormattedCitation":"&lt;sup&gt;[252]&lt;/sup&gt;"},"properties":{"noteIndex":0},"schema":"https://github.com/citation-style-language/schema/raw/master/csl-citation.json"}</w:instrText>
      </w:r>
      <w:r w:rsidR="000276CE">
        <w:fldChar w:fldCharType="separate"/>
      </w:r>
      <w:r w:rsidR="002659E5" w:rsidRPr="002659E5">
        <w:rPr>
          <w:noProof/>
          <w:vertAlign w:val="superscript"/>
        </w:rPr>
        <w:t>[252]</w:t>
      </w:r>
      <w:r w:rsidR="000276CE">
        <w:fldChar w:fldCharType="end"/>
      </w:r>
      <w:r w:rsidR="000276CE">
        <w:t>.</w:t>
      </w:r>
      <w:r w:rsidR="00212EF9">
        <w:t xml:space="preserve"> </w:t>
      </w:r>
      <w:r w:rsidR="00597391">
        <w:t>Thus</w:t>
      </w:r>
      <w:r w:rsidR="00212EF9">
        <w:t xml:space="preserve">, cryo-sectioning is a technically difficult methodology that requires not only the control of the humidity and temperature to avoid ice formation, but also </w:t>
      </w:r>
      <w:r w:rsidR="00293432">
        <w:t xml:space="preserve">experience, </w:t>
      </w:r>
      <w:r w:rsidR="00212EF9">
        <w:t>precision and swiftness from the operator</w:t>
      </w:r>
      <w:r w:rsidR="00675730">
        <w:t xml:space="preserve"> </w:t>
      </w:r>
      <w:r w:rsidR="00675730">
        <w:fldChar w:fldCharType="begin" w:fldLock="1"/>
      </w:r>
      <w:r w:rsidR="0058736C">
        <w:instrText>ADDIN CSL_CITATION {"citationItems":[{"id":"ITEM-1","itemData":{"ISBN":"9780849372278","container-title":"Cellular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-1","issued":{"date-parts":[["2008"]]},"publisher":"CRC Publisher","publisher-place":"Boca Raton","title":"Handbook of Cryopreparation Methods for Electron Microscopy","type":"book","volume":"79"},"uris":["http://www.mendeley.com/documents/?uuid=d0314adf-0335-4087-adfc-77f2002bf131"]},{"id":"ITEM-2","itemData":{"author":[{"dropping-particle":"","family":"Dubochet","given":"Jacques","non-dropping-particle":"","parse-names":false,"suffix":""},{"dropping-particle":"","family":"Adrian","given":"Marc","non-dropping-particle":"","parse-names":false,"suffix":""},{"dropping-particle":"","family":"Chan","given":"Jiin-ju","non-dropping-particle":"","parse-names":false,"suffix":""},{"dropping-particle":"","family":"Lepault","given":"Jean","non-dropping-particle":"","parse-names":false,"suffix":""},{"dropping-particle":"","family":"Mcdowall","given":"Alasdair W","non-dropping-particle":"","parse-names":false,"suffix":""}],"id":"ITEM-2","issue":"1988","issued":{"date-parts":[["1988"]]},"page":"129-228","title":"Chapter 5 Cryoelectron Microscopy of Vitrified Specimens","type":"article-journal","volume":"2"},"uris":["http://www.mendeley.com/documents/?uuid=9fbe1beb-c4bf-40ee-8a10-9cf363de2adf"]},{"id":"ITEM-3","itemData":{"ISBN":"1555812236","author":[{"dropping-particle":"","family":"Reddy","given":"C A","non-dropping-particle":"","parse-names":false,"suffix":""},{"dropping-particle":"","family":"Beveridge","given":"Terry J","non-dropping-particle":"","parse-names":false,"suffix":""},{"dropping-particle":"","family":"Breznak","given":"John A","non-dropping-particle":"","parse-names":false,"suffix":""},{"dropping-particle":"","family":"Marzluf","given":"George","non-dropping-particle":"","parse-names":false,"suffix":""}],"id":"ITEM-3","issued":{"date-parts":[["2007"]]},"publisher":"American Society for Microbiology Press","title":"Methods for general and molecular microbiology","type":"book"},"uris":["http://www.mendeley.com/documents/?uuid=98899cd0-57bf-4c78-8d93-848b8c8d1146"]}],"mendeley":{"formattedCitation":"&lt;sup&gt;[215,223,252]&lt;/sup&gt;","plainTextFormattedCitation":"[215,223,252]","previouslyFormattedCitation":"&lt;sup&gt;[215,223,252]&lt;/sup&gt;"},"properties":{"noteIndex":0},"schema":"https://github.com/citation-style-language/schema/raw/master/csl-citation.json"}</w:instrText>
      </w:r>
      <w:r w:rsidR="00675730">
        <w:fldChar w:fldCharType="separate"/>
      </w:r>
      <w:r w:rsidR="002659E5" w:rsidRPr="002659E5">
        <w:rPr>
          <w:noProof/>
          <w:vertAlign w:val="superscript"/>
        </w:rPr>
        <w:t>[215,223,252]</w:t>
      </w:r>
      <w:r w:rsidR="00675730">
        <w:fldChar w:fldCharType="end"/>
      </w:r>
      <w:r w:rsidR="00675730">
        <w:t>.</w:t>
      </w:r>
      <w:r w:rsidR="004A1CA6">
        <w:t xml:space="preserve"> </w:t>
      </w:r>
      <w:r w:rsidR="004B5E59">
        <w:t>Aside from</w:t>
      </w:r>
      <w:r w:rsidR="007838AA">
        <w:t xml:space="preserve"> the difference in temperature, FHS </w:t>
      </w:r>
      <w:r w:rsidR="00841AA7">
        <w:t>differs</w:t>
      </w:r>
      <w:r w:rsidR="007838AA">
        <w:t xml:space="preserve"> from </w:t>
      </w:r>
      <w:r w:rsidR="004B5E59">
        <w:t>conventional</w:t>
      </w:r>
      <w:r w:rsidR="007838AA">
        <w:t xml:space="preserve"> </w:t>
      </w:r>
      <w:r w:rsidR="004B5E59">
        <w:t>ultramicrotomy</w:t>
      </w:r>
      <w:r w:rsidR="007838AA">
        <w:t xml:space="preserve"> in the </w:t>
      </w:r>
      <w:r w:rsidR="004B5E59">
        <w:t>picking up</w:t>
      </w:r>
      <w:r w:rsidR="007838AA">
        <w:t xml:space="preserve"> of the sections. </w:t>
      </w:r>
      <w:r w:rsidR="00243A2B">
        <w:t xml:space="preserve">During room temperature </w:t>
      </w:r>
      <w:r w:rsidR="008038B0">
        <w:t>ultramicrotomy</w:t>
      </w:r>
      <w:r w:rsidR="00243A2B">
        <w:t>, the sections are floated on</w:t>
      </w:r>
      <w:r w:rsidR="00DE128F">
        <w:t xml:space="preserve"> water</w:t>
      </w:r>
      <w:r w:rsidR="00243A2B">
        <w:t xml:space="preserve"> </w:t>
      </w:r>
      <w:r w:rsidR="00934D51">
        <w:t>and a TEM grid is then submerged at a 90</w:t>
      </w:r>
      <w:r w:rsidR="00934D51">
        <w:rPr>
          <w:rFonts w:ascii="Calibri" w:hAnsi="Calibri" w:cs="Calibri"/>
        </w:rPr>
        <w:t>°</w:t>
      </w:r>
      <w:r w:rsidR="00934D51">
        <w:t xml:space="preserve"> into the boat and is then placed under the floating sections to pull them up on its way out of the water.</w:t>
      </w:r>
      <w:r w:rsidR="00595602">
        <w:t xml:space="preserve"> </w:t>
      </w:r>
      <w:r w:rsidR="00A66946">
        <w:t>D</w:t>
      </w:r>
      <w:r w:rsidR="00595602">
        <w:t>uring cryo-ultramicrotomy</w:t>
      </w:r>
      <w:r w:rsidR="00A66946">
        <w:t>, however,</w:t>
      </w:r>
      <w:r w:rsidR="00595602">
        <w:t xml:space="preserve"> the sections gather at the knife edge and the user collects them </w:t>
      </w:r>
      <w:r w:rsidR="001F78AF">
        <w:t>with the help of</w:t>
      </w:r>
      <w:r w:rsidR="00595602">
        <w:t xml:space="preserve"> an eyelash</w:t>
      </w:r>
      <w:r w:rsidR="001F78AF">
        <w:t xml:space="preserve">, </w:t>
      </w:r>
      <w:r w:rsidR="00595602">
        <w:t>slowly unfolding</w:t>
      </w:r>
      <w:r w:rsidR="001F78AF">
        <w:t xml:space="preserve"> and stretching</w:t>
      </w:r>
      <w:r w:rsidR="00595602">
        <w:t xml:space="preserve"> the ribbon of sections </w:t>
      </w:r>
      <w:r w:rsidR="001F78AF">
        <w:t xml:space="preserve">away from the knife, </w:t>
      </w:r>
      <w:r w:rsidR="00595602">
        <w:t xml:space="preserve">with caution to avoid its breakage. </w:t>
      </w:r>
      <w:r w:rsidR="001F78AF">
        <w:t xml:space="preserve">Preferably, the knife has to allow the sections to glide on its surface and a small angle knife should be considered </w:t>
      </w:r>
      <w:r w:rsidR="001F78AF">
        <w:fldChar w:fldCharType="begin" w:fldLock="1"/>
      </w:r>
      <w:r w:rsidR="0058736C">
        <w:instrText>ADDIN CSL_CITATION {"citationItems":[{"id":"ITEM-1","itemData":{"ISBN":"9780849372278","container-title":"Cellular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-1","issued":{"date-parts":[["2008"]]},"publisher":"CRC Publisher","publisher-place":"Boca Raton","title":"Handbook of Cryopreparation Methods for Electron Microscopy","type":"book","volume":"79"},"uris":["http://www.mendeley.com/documents/?uuid=d0314adf-0335-4087-adfc-77f2002bf131"]}],"mendeley":{"formattedCitation":"&lt;sup&gt;[215]&lt;/sup&gt;","plainTextFormattedCitation":"[215]","previouslyFormattedCitation":"&lt;sup&gt;[215]&lt;/sup&gt;"},"properties":{"noteIndex":0},"schema":"https://github.com/citation-style-language/schema/raw/master/csl-citation.json"}</w:instrText>
      </w:r>
      <w:r w:rsidR="001F78AF">
        <w:fldChar w:fldCharType="separate"/>
      </w:r>
      <w:r w:rsidR="002659E5" w:rsidRPr="002659E5">
        <w:rPr>
          <w:noProof/>
          <w:vertAlign w:val="superscript"/>
        </w:rPr>
        <w:t>[215]</w:t>
      </w:r>
      <w:r w:rsidR="001F78AF">
        <w:fldChar w:fldCharType="end"/>
      </w:r>
      <w:r w:rsidR="001F78AF">
        <w:t xml:space="preserve">. </w:t>
      </w:r>
      <w:r w:rsidR="00595602">
        <w:t xml:space="preserve">Once this is achieved, a TEM grid handled with the opposite hand </w:t>
      </w:r>
      <w:r w:rsidR="00480BFB">
        <w:t>is</w:t>
      </w:r>
      <w:r w:rsidR="00595602">
        <w:t xml:space="preserve"> place</w:t>
      </w:r>
      <w:r w:rsidR="00480BFB">
        <w:t>d</w:t>
      </w:r>
      <w:r w:rsidR="00595602">
        <w:t xml:space="preserve"> under the ribbon to mount the sections on it</w:t>
      </w:r>
      <w:r w:rsidR="00CE7F3A">
        <w:t xml:space="preserve"> </w:t>
      </w:r>
      <w:r w:rsidR="00DB0A4F">
        <w:fldChar w:fldCharType="begin" w:fldLock="1"/>
      </w:r>
      <w:r w:rsidR="0058736C">
        <w:instrText>ADDIN CSL_CITATION {"citationItems":[{"id":"ITEM-1","itemData":{"author":[{"dropping-particle":"","family":"Dubochet","given":"Jacques","non-dropping-particle":"","parse-names":false,"suffix":""},{"dropping-particle":"","family":"Adrian","given":"Marc","non-dropping-particle":"","parse-names":false,"suffix":""},{"dropping-particle":"","family":"Chan","given":"Jiin-ju","non-dropping-particle":"","parse-names":false,"suffix":""},{"dropping-particle":"","family":"Lepault","given":"Jean","non-dropping-particle":"","parse-names":false,"suffix":""},{"dropping-particle":"","family":"Mcdowall","given":"Alasdair W","non-dropping-particle":"","parse-names":false,"suffix":""}],"id":"ITEM-1","issue":"1988","issued":{"date-parts":[["1988"]]},"page":"129-228","title":"Chapter 5 Cryoelectron Microscopy of Vitrified Specimens","type":"article-journal","volume":"2"},"uris":["http://www.mendeley.com/documents/?uuid=9fbe1beb-c4bf-40ee-8a10-9cf363de2adf"]}],"mendeley":{"formattedCitation":"&lt;sup&gt;[252]&lt;/sup&gt;","plainTextFormattedCitation":"[252]","previouslyFormattedCitation":"&lt;sup&gt;[252]&lt;/sup&gt;"},"properties":{"noteIndex":0},"schema":"https://github.com/citation-style-language/schema/raw/master/csl-citation.json"}</w:instrText>
      </w:r>
      <w:r w:rsidR="00DB0A4F">
        <w:fldChar w:fldCharType="separate"/>
      </w:r>
      <w:r w:rsidR="002659E5" w:rsidRPr="002659E5">
        <w:rPr>
          <w:noProof/>
          <w:vertAlign w:val="superscript"/>
        </w:rPr>
        <w:t>[252]</w:t>
      </w:r>
      <w:r w:rsidR="00DB0A4F">
        <w:fldChar w:fldCharType="end"/>
      </w:r>
      <w:r w:rsidR="00595602">
        <w:t xml:space="preserve">. </w:t>
      </w:r>
      <w:r w:rsidR="009B539D">
        <w:t>This is another determining step in FHS that requires a highly skilled and experienced operator.</w:t>
      </w:r>
      <w:r w:rsidR="0036362F">
        <w:t xml:space="preserve"> However, many technological advances have produced new cryo-ultramicrotomes with micromanipulators </w:t>
      </w:r>
      <w:r w:rsidR="007B5D4D">
        <w:t>and antistatic devices to help the user.</w:t>
      </w:r>
      <w:r w:rsidR="002E2390">
        <w:t xml:space="preserve"> The latter are of key importance as cutting dry means the sections are sensitive to electrostatic charges, which makes them either fly away or stick to the knife </w:t>
      </w:r>
      <w:r w:rsidR="002E2390">
        <w:fldChar w:fldCharType="begin" w:fldLock="1"/>
      </w:r>
      <w:r w:rsidR="0058736C">
        <w:instrText>ADDIN CSL_CITATION {"citationItems":[{"id":"ITEM-1","itemData":{"ISBN":"9780849372278","container-title":"Cellular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-1","issued":{"date-parts":[["2008"]]},"publisher":"CRC Publisher","publisher-place":"Boca Raton","title":"Handbook of Cryopreparation Methods for Electron Microscopy","type":"book","volume":"79"},"uris":["http://www.mendeley.com/documents/?uuid=d0314adf-0335-4087-adfc-77f2002bf131"]}],"mendeley":{"formattedCitation":"&lt;sup&gt;[215]&lt;/sup&gt;","plainTextFormattedCitation":"[215]","previouslyFormattedCitation":"&lt;sup&gt;[215]&lt;/sup&gt;"},"properties":{"noteIndex":0},"schema":"https://github.com/citation-style-language/schema/raw/master/csl-citation.json"}</w:instrText>
      </w:r>
      <w:r w:rsidR="002E2390">
        <w:fldChar w:fldCharType="separate"/>
      </w:r>
      <w:r w:rsidR="002659E5" w:rsidRPr="002659E5">
        <w:rPr>
          <w:noProof/>
          <w:vertAlign w:val="superscript"/>
        </w:rPr>
        <w:t>[215]</w:t>
      </w:r>
      <w:r w:rsidR="002E2390">
        <w:fldChar w:fldCharType="end"/>
      </w:r>
      <w:r w:rsidR="002E2390">
        <w:t>.</w:t>
      </w:r>
    </w:p>
    <w:p w14:paraId="4435FC67" w14:textId="6BC3D1C5" w:rsidR="009A70A1" w:rsidRDefault="00C57ABD" w:rsidP="008F17AC">
      <w:pPr>
        <w:sectPr w:rsidR="009A70A1" w:rsidSect="004D0E05">
          <w:pgSz w:w="11906" w:h="16838"/>
          <w:pgMar w:top="1191" w:right="1247" w:bottom="1191" w:left="1247" w:header="709" w:footer="709" w:gutter="0"/>
          <w:cols w:space="708"/>
          <w:titlePg/>
          <w:docGrid w:linePitch="360"/>
        </w:sectPr>
      </w:pPr>
      <w:r>
        <w:t>Both ultramicrotomy and cryo-ultramicrotomy</w:t>
      </w:r>
      <w:r w:rsidR="000C4666">
        <w:t xml:space="preserve"> use glass and diamond knives for the trimming, polishing and sectioning of the sample. These knives produce a number of structural disturbances on the sample such </w:t>
      </w:r>
      <w:r w:rsidR="000C4666" w:rsidRPr="00C87BF3">
        <w:t xml:space="preserve">as knife marks, crevasses, specimen deformation and compression marks </w:t>
      </w:r>
      <w:r w:rsidR="000C4666" w:rsidRPr="00C87BF3">
        <w:fldChar w:fldCharType="begin" w:fldLock="1"/>
      </w:r>
      <w:r w:rsidR="0058736C">
        <w:instrText>ADDIN CSL_CITATION {"citationItems":[{"id":"ITEM-1","itemData":{"author":[{"dropping-particle":"","family":"Dubochet","given":"Jacques","non-dropping-particle":"","parse-names":false,"suffix":""},{"dropping-particle":"","family":"Adrian","given":"Marc","non-dropping-particle":"","parse-names":false,"suffix":""},{"dropping-particle":"","family":"Chan","given":"Jiin-ju","non-dropping-particle":"","parse-names":false,"suffix":""},{"dropping-particle":"","family":"Lepault","given":"Jean","non-dropping-particle":"","parse-names":false,"suffix":""},{"dropping-particle":"","family":"Mcdowall","given":"Alasdair W","non-dropping-particle":"","parse-names":false,"suffix":""}],"id":"ITEM-1","issue":"1988","issued":{"date-parts":[["1988"]]},"page":"129-228","title":"Chapter 5 Cryoelectron Microscopy of Vitrified Specimens","type":"article-journal","volume":"2"},"uris":["http://www.mendeley.com/documents/?uuid=9fbe1beb-c4bf-40ee-8a10-9cf363de2adf"]}],"mendeley":{"formattedCitation":"&lt;sup&gt;[252]&lt;/sup&gt;","plainTextFormattedCitation":"[252]","previouslyFormattedCitation":"&lt;sup&gt;[252]&lt;/sup&gt;"},"properties":{"noteIndex":0},"schema":"https://github.com/citation-style-language/schema/raw/master/csl-citation.json"}</w:instrText>
      </w:r>
      <w:r w:rsidR="000C4666" w:rsidRPr="00C87BF3">
        <w:fldChar w:fldCharType="separate"/>
      </w:r>
      <w:r w:rsidR="002659E5" w:rsidRPr="002659E5">
        <w:rPr>
          <w:noProof/>
          <w:vertAlign w:val="superscript"/>
        </w:rPr>
        <w:t>[252]</w:t>
      </w:r>
      <w:r w:rsidR="000C4666" w:rsidRPr="00C87BF3">
        <w:fldChar w:fldCharType="end"/>
      </w:r>
      <w:r w:rsidR="0092273A" w:rsidRPr="00C87BF3">
        <w:t xml:space="preserve"> (</w:t>
      </w:r>
      <w:r w:rsidR="00BD60DC" w:rsidRPr="00C87BF3">
        <w:rPr>
          <w:highlight w:val="yellow"/>
        </w:rPr>
        <w:fldChar w:fldCharType="begin"/>
      </w:r>
      <w:r w:rsidR="00BD60DC" w:rsidRPr="00C87BF3">
        <w:instrText xml:space="preserve"> REF _Ref73228192 \h </w:instrText>
      </w:r>
      <w:r w:rsidR="00C87BF3" w:rsidRPr="00C87BF3">
        <w:rPr>
          <w:highlight w:val="yellow"/>
        </w:rPr>
        <w:instrText xml:space="preserve"> \* MERGEFORMAT </w:instrText>
      </w:r>
      <w:r w:rsidR="00BD60DC" w:rsidRPr="00C87BF3">
        <w:rPr>
          <w:highlight w:val="yellow"/>
        </w:rPr>
      </w:r>
      <w:r w:rsidR="00BD60DC" w:rsidRPr="00C87BF3">
        <w:rPr>
          <w:highlight w:val="yellow"/>
        </w:rPr>
        <w:fldChar w:fldCharType="separate"/>
      </w:r>
      <w:r w:rsidR="00183CC8">
        <w:t xml:space="preserve">Figure </w:t>
      </w:r>
      <w:r w:rsidR="00183CC8">
        <w:rPr>
          <w:noProof/>
        </w:rPr>
        <w:t>3.2</w:t>
      </w:r>
      <w:r w:rsidR="00BD60DC" w:rsidRPr="00C87BF3">
        <w:rPr>
          <w:highlight w:val="yellow"/>
        </w:rPr>
        <w:fldChar w:fldCharType="end"/>
      </w:r>
      <w:r w:rsidR="00BD60DC" w:rsidRPr="00C87BF3">
        <w:t>a-d</w:t>
      </w:r>
      <w:r w:rsidR="0092273A" w:rsidRPr="00C87BF3">
        <w:t>)</w:t>
      </w:r>
      <w:r w:rsidR="00553898" w:rsidRPr="00C87BF3">
        <w:t>.</w:t>
      </w:r>
      <w:r w:rsidR="000C4666" w:rsidRPr="00C87BF3">
        <w:t xml:space="preserve"> </w:t>
      </w:r>
      <w:r w:rsidR="00553898" w:rsidRPr="00C87BF3">
        <w:t>Sample deformations occur in the cutting direction</w:t>
      </w:r>
      <w:r w:rsidR="00E224D3" w:rsidRPr="00C87BF3">
        <w:t>,</w:t>
      </w:r>
      <w:r w:rsidR="00553898" w:rsidRPr="00C87BF3">
        <w:t xml:space="preserve"> as a 30-60 % dimension reduction</w:t>
      </w:r>
      <w:r w:rsidR="00157D20" w:rsidRPr="00C87BF3">
        <w:t>.</w:t>
      </w:r>
      <w:r w:rsidR="00553898" w:rsidRPr="00C87BF3">
        <w:t xml:space="preserve"> </w:t>
      </w:r>
      <w:r w:rsidR="00157D20" w:rsidRPr="00C87BF3">
        <w:t>W</w:t>
      </w:r>
      <w:r w:rsidR="00553898" w:rsidRPr="00C87BF3">
        <w:t>hile the dimension</w:t>
      </w:r>
      <w:r w:rsidR="00E224D3" w:rsidRPr="00C87BF3">
        <w:t>s</w:t>
      </w:r>
      <w:r w:rsidR="00553898">
        <w:t xml:space="preserve"> perpendicular to the cutting plane</w:t>
      </w:r>
      <w:r w:rsidR="00157D20">
        <w:t xml:space="preserve"> and the volume of hydrated samples</w:t>
      </w:r>
      <w:r w:rsidR="00553898">
        <w:t xml:space="preserve"> are conserved</w:t>
      </w:r>
      <w:r w:rsidR="00157D20">
        <w:t>, the described reduction corresponds to an increase in the sample’s thickness</w:t>
      </w:r>
      <w:r w:rsidR="00553898">
        <w:t xml:space="preserve"> </w:t>
      </w:r>
      <w:r w:rsidR="00553898">
        <w:fldChar w:fldCharType="begin" w:fldLock="1"/>
      </w:r>
      <w:r w:rsidR="0058736C">
        <w:instrText>ADDIN CSL_CITATION {"citationItems":[{"id":"ITEM-1","itemData":{"author":[{"dropping-particle":"","family":"Dubochet","given":"Jacques","non-dropping-particle":"","parse-names":false,"suffix":""},{"dropping-particle":"","family":"Adrian","given":"Marc","non-dropping-particle":"","parse-names":false,"suffix":""},{"dropping-particle":"","family":"Chan","given":"Jiin-ju","non-dropping-particle":"","parse-names":false,"suffix":""},{"dropping-particle":"","family":"Lepault","given":"Jean","non-dropping-particle":"","parse-names":false,"suffix":""},{"dropping-particle":"","family":"Mcdowall","given":"Alasdair W","non-dropping-particle":"","parse-names":false,"suffix":""}],"id":"ITEM-1","issue":"1988","issued":{"date-parts":[["1988"]]},"page":"129-228","title":"Chapter 5 Cryoelectron Microscopy of Vitrified Specimens","type":"article-journal","volume":"2"},"uris":["http://www.mendeley.com/documents/?uuid=9fbe1beb-c4bf-40ee-8a10-9cf363de2adf"]}],"mendeley":{"formattedCitation":"&lt;sup&gt;[252]&lt;/sup&gt;","plainTextFormattedCitation":"[252]","previouslyFormattedCitation":"&lt;sup&gt;[252]&lt;/sup&gt;"},"properties":{"noteIndex":0},"schema":"https://github.com/citation-style-language/schema/raw/master/csl-citation.json"}</w:instrText>
      </w:r>
      <w:r w:rsidR="00553898">
        <w:fldChar w:fldCharType="separate"/>
      </w:r>
      <w:r w:rsidR="002659E5" w:rsidRPr="002659E5">
        <w:rPr>
          <w:noProof/>
          <w:vertAlign w:val="superscript"/>
        </w:rPr>
        <w:t>[252]</w:t>
      </w:r>
      <w:r w:rsidR="00553898">
        <w:fldChar w:fldCharType="end"/>
      </w:r>
      <w:r w:rsidR="00E251B6">
        <w:t xml:space="preserve"> (</w:t>
      </w:r>
      <w:r w:rsidR="00BD60DC">
        <w:rPr>
          <w:highlight w:val="yellow"/>
        </w:rPr>
        <w:fldChar w:fldCharType="begin"/>
      </w:r>
      <w:r w:rsidR="00BD60DC">
        <w:instrText xml:space="preserve"> REF _Ref73228192 \h </w:instrText>
      </w:r>
      <w:r w:rsidR="00BD60DC">
        <w:rPr>
          <w:highlight w:val="yellow"/>
        </w:rPr>
      </w:r>
      <w:r w:rsidR="00BD60DC">
        <w:rPr>
          <w:highlight w:val="yellow"/>
        </w:rPr>
        <w:fldChar w:fldCharType="separate"/>
      </w:r>
      <w:r w:rsidR="00183CC8">
        <w:t xml:space="preserve">Figure </w:t>
      </w:r>
      <w:r w:rsidR="00183CC8">
        <w:rPr>
          <w:noProof/>
        </w:rPr>
        <w:t>3</w:t>
      </w:r>
      <w:r w:rsidR="00183CC8">
        <w:t>.</w:t>
      </w:r>
      <w:r w:rsidR="00183CC8">
        <w:rPr>
          <w:noProof/>
        </w:rPr>
        <w:t>2</w:t>
      </w:r>
      <w:r w:rsidR="00BD60DC">
        <w:rPr>
          <w:highlight w:val="yellow"/>
        </w:rPr>
        <w:fldChar w:fldCharType="end"/>
      </w:r>
      <w:r w:rsidR="00BD60DC">
        <w:t>b</w:t>
      </w:r>
      <w:r w:rsidR="00E251B6">
        <w:t>)</w:t>
      </w:r>
      <w:r w:rsidR="00553898">
        <w:t>.</w:t>
      </w:r>
      <w:r w:rsidR="00F9196E">
        <w:t xml:space="preserve"> Therefore, this compression should be taken into consideration if measurements are taken.</w:t>
      </w:r>
      <w:r w:rsidR="00F305BE">
        <w:t xml:space="preserve"> </w:t>
      </w:r>
      <w:r w:rsidR="00F9196E">
        <w:t xml:space="preserve">This aberration is mostly dependent on the type of sample and the thickness of the section, with ultra-thin sections being most affected. </w:t>
      </w:r>
      <w:r w:rsidR="00FB0C64">
        <w:t>S</w:t>
      </w:r>
      <w:r w:rsidR="00F9196E">
        <w:t xml:space="preserve">ectioning </w:t>
      </w:r>
      <w:r w:rsidR="00F9196E">
        <w:lastRenderedPageBreak/>
        <w:t xml:space="preserve">speed and temperature parameters </w:t>
      </w:r>
      <w:r w:rsidR="00FB0C64">
        <w:t>do not have a significant effect on compression</w:t>
      </w:r>
      <w:r w:rsidR="0092273A">
        <w:t>, however the section feed (thickness) can help</w:t>
      </w:r>
      <w:r w:rsidR="003E699A">
        <w:t xml:space="preserve"> </w:t>
      </w:r>
      <w:r w:rsidR="003E699A">
        <w:fldChar w:fldCharType="begin" w:fldLock="1"/>
      </w:r>
      <w:r w:rsidR="0058736C">
        <w:instrText>ADDIN CSL_CITATION {"citationItems":[{"id":"ITEM-1","itemData":{"author":[{"dropping-particle":"","family":"Dubochet","given":"Jacques","non-dropping-particle":"","parse-names":false,"suffix":""},{"dropping-particle":"","family":"Adrian","given":"Marc","non-dropping-particle":"","parse-names":false,"suffix":""},{"dropping-particle":"","family":"Chan","given":"Jiin-ju","non-dropping-particle":"","parse-names":false,"suffix":""},{"dropping-particle":"","family":"Lepault","given":"Jean","non-dropping-particle":"","parse-names":false,"suffix":""},{"dropping-particle":"","family":"Mcdowall","given":"Alasdair W","non-dropping-particle":"","parse-names":false,"suffix":""}],"id":"ITEM-1","issue":"1988","issued":{"date-parts":[["1988"]]},"page":"129-228","title":"Chapter 5 Cryoelectron Microscopy of Vitrified Specimens","type":"article-journal","volume":"2"},"uris":["http://www.mendeley.com/documents/?uuid=9fbe1beb-c4bf-40ee-8a10-9cf363de2adf"]},{"id":"ITEM-2","itemData":{"DOI":"10.1111/j.1365-2818.2008.01972.x","ISSN":"00222720","PMID":"18445144","abstract":"Compression and crevasses are common cutting artefacts in cryo-ultramicrotomy of vitreous sections. They can be reduced or suppressed under optimal cutting conditions. In the present study, compression and thickness were measured for different cutting speeds and knife angles. It was found that compression decreased with feed and that crevasses appeared only above a certain thickness. The optimal feed for vitreous sections was between 50 and 80 nm. The thickness, calculated by two independent methods, was quantitatively related to feed and compression. © 2008 The Authors.","author":[{"dropping-particle":"","family":"Han","given":"H. M.","non-dropping-particle":"","parse-names":false,"suffix":""},{"dropping-particle":"","family":"Zuber","given":"B.","non-dropping-particle":"","parse-names":false,"suffix":""},{"dropping-particle":"","family":"Dubochet","given":"J.","non-dropping-particle":"","parse-names":false,"suffix":""}],"container-title":"Journal of Microscopy","id":"ITEM-2","issue":"2","issued":{"date-parts":[["2008"]]},"page":"167-171","title":"Compression and crevasses in vitreous sections under different cutting conditions","type":"article-journal","volume":"230"},"uris":["http://www.mendeley.com/documents/?uuid=5e9d4a46-f883-41e9-8c79-0caf336214a5"]}],"mendeley":{"formattedCitation":"&lt;sup&gt;[252,260]&lt;/sup&gt;","plainTextFormattedCitation":"[252,260]","previouslyFormattedCitation":"&lt;sup&gt;[252,260]&lt;/sup&gt;"},"properties":{"noteIndex":0},"schema":"https://github.com/citation-style-language/schema/raw/master/csl-citation.json"}</w:instrText>
      </w:r>
      <w:r w:rsidR="003E699A">
        <w:fldChar w:fldCharType="separate"/>
      </w:r>
      <w:r w:rsidR="002659E5" w:rsidRPr="002659E5">
        <w:rPr>
          <w:noProof/>
          <w:vertAlign w:val="superscript"/>
        </w:rPr>
        <w:t>[252,260]</w:t>
      </w:r>
      <w:r w:rsidR="003E699A">
        <w:fldChar w:fldCharType="end"/>
      </w:r>
      <w:r w:rsidR="00F9196E">
        <w:t>.</w:t>
      </w:r>
      <w:r w:rsidR="0092273A">
        <w:t xml:space="preserve"> </w:t>
      </w:r>
      <w:r w:rsidR="0092273A" w:rsidRPr="00C87BF3">
        <w:t>Crevasses are sample fissures that appear as breaks perpendicular to the edge of the knife, regardless of the cutting direction.</w:t>
      </w:r>
      <w:r w:rsidR="0092273A">
        <w:t xml:space="preserve"> These are very commonly found on conventional </w:t>
      </w:r>
      <w:r w:rsidR="0092273A" w:rsidRPr="004E181E">
        <w:t>ultramicrotomy, but also in FHS. Their appearance is also depend</w:t>
      </w:r>
      <w:r w:rsidR="004F385E">
        <w:t>ent</w:t>
      </w:r>
      <w:r w:rsidR="0092273A" w:rsidRPr="004E181E">
        <w:t xml:space="preserve"> on the </w:t>
      </w:r>
      <w:r w:rsidR="0092273A" w:rsidRPr="00C07247">
        <w:t>sample material</w:t>
      </w:r>
      <w:r w:rsidR="00C56486" w:rsidRPr="00C07247">
        <w:t xml:space="preserve"> and the thickness of the section</w:t>
      </w:r>
      <w:r w:rsidR="00C07247">
        <w:t>, with them being more frequent on thicker sections</w:t>
      </w:r>
      <w:r w:rsidR="00C56486" w:rsidRPr="00C07247">
        <w:t xml:space="preserve"> </w:t>
      </w:r>
      <w:r w:rsidR="00C56486" w:rsidRPr="00C07247">
        <w:fldChar w:fldCharType="begin" w:fldLock="1"/>
      </w:r>
      <w:r w:rsidR="0058736C">
        <w:instrText>ADDIN CSL_CITATION {"citationItems":[{"id":"ITEM-1","itemData":{"author":[{"dropping-particle":"","family":"Dubochet","given":"Jacques","non-dropping-particle":"","parse-names":false,"suffix":""},{"dropping-particle":"","family":"Adrian","given":"Marc","non-dropping-particle":"","parse-names":false,"suffix":""},{"dropping-particle":"","family":"Chan","given":"Jiin-ju","non-dropping-particle":"","parse-names":false,"suffix":""},{"dropping-particle":"","family":"Lepault","given":"Jean","non-dropping-particle":"","parse-names":false,"suffix":""},{"dropping-particle":"","family":"Mcdowall","given":"Alasdair W","non-dropping-particle":"","parse-names":false,"suffix":""}],"id":"ITEM-1","issue":"1988","issued":{"date-parts":[["1988"]]},"page":"129-228","title":"Chapter 5 Cryoelectron Microscopy of Vitrified Specimens","type":"article-journal","volume":"2"},"uris":["http://www.mendeley.com/documents/?uuid=9fbe1beb-c4bf-40ee-8a10-9cf363de2adf"]},{"id":"ITEM-2","itemData":{"DOI":"10.1111/j.1365-2818.2008.01972.x","ISSN":"00222720","PMID":"18445144","abstract":"Compression and crevasses are common cutting artefacts in cryo-ultramicrotomy of vitreous sections. They can be reduced or suppressed under optimal cutting conditions. In the present study, compression and thickness were measured for different cutting speeds and knife angles. It was found that compression decreased with feed and that crevasses appeared only above a certain thickness. The optimal feed for vitreous sections was between 50 and 80 nm. The thickness, calculated by two independent methods, was quantitatively related to feed and compression. © 2008 The Authors.","author":[{"dropping-particle":"","family":"Han","given":"H. M.","non-dropping-particle":"","parse-names":false,"suffix":""},{"dropping-particle":"","family":"Zuber","given":"B.","non-dropping-particle":"","parse-names":false,"suffix":""},{"dropping-particle":"","family":"Dubochet","given":"J.","non-dropping-particle":"","parse-names":false,"suffix":""}],"container-title":"Journal of Microscopy","id":"ITEM-2","issue":"2","issued":{"date-parts":[["2008"]]},"page":"167-171","title":"Compression and crevasses in vitreous sections under different cutting conditions","type":"article-journal","volume":"230"},"uris":["http://www.mendeley.com/documents/?uuid=5e9d4a46-f883-41e9-8c79-0caf336214a5"]}],"mendeley":{"formattedCitation":"&lt;sup&gt;[252,260]&lt;/sup&gt;","plainTextFormattedCitation":"[252,260]","previouslyFormattedCitation":"&lt;sup&gt;[252,260]&lt;/sup&gt;"},"properties":{"noteIndex":0},"schema":"https://github.com/citation-style-language/schema/raw/master/csl-citation.json"}</w:instrText>
      </w:r>
      <w:r w:rsidR="00C56486" w:rsidRPr="00C07247">
        <w:fldChar w:fldCharType="separate"/>
      </w:r>
      <w:r w:rsidR="002659E5" w:rsidRPr="002659E5">
        <w:rPr>
          <w:noProof/>
          <w:vertAlign w:val="superscript"/>
        </w:rPr>
        <w:t>[252,260]</w:t>
      </w:r>
      <w:r w:rsidR="00C56486" w:rsidRPr="00C07247">
        <w:fldChar w:fldCharType="end"/>
      </w:r>
      <w:r w:rsidR="00C56486" w:rsidRPr="00C07247">
        <w:t>.</w:t>
      </w:r>
      <w:r w:rsidR="00E37E00" w:rsidRPr="00C07247">
        <w:t xml:space="preserve"> </w:t>
      </w:r>
      <w:r w:rsidR="00C07247">
        <w:t xml:space="preserve">Lowering the cutting speed and using a small angle knife can help reduce their appearance </w:t>
      </w:r>
      <w:r w:rsidR="00C07247">
        <w:fldChar w:fldCharType="begin" w:fldLock="1"/>
      </w:r>
      <w:r w:rsidR="0058736C">
        <w:instrText>ADDIN CSL_CITATION {"citationItems":[{"id":"ITEM-1","itemData":{"ISBN":"9780849372278","container-title":"Cellular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-1","issued":{"date-parts":[["2008"]]},"publisher":"CRC Publisher","publisher-place":"Boca Raton","title":"Handbook of Cryopreparation Methods for Electron Microscopy","type":"book","volume":"79"},"uris":["http://www.mendeley.com/documents/?uuid=d0314adf-0335-4087-adfc-77f2002bf131"]}],"mendeley":{"formattedCitation":"&lt;sup&gt;[215]&lt;/sup&gt;","plainTextFormattedCitation":"[215]","previouslyFormattedCitation":"&lt;sup&gt;[215]&lt;/sup&gt;"},"properties":{"noteIndex":0},"schema":"https://github.com/citation-style-language/schema/raw/master/csl-citation.json"}</w:instrText>
      </w:r>
      <w:r w:rsidR="00C07247">
        <w:fldChar w:fldCharType="separate"/>
      </w:r>
      <w:r w:rsidR="002659E5" w:rsidRPr="002659E5">
        <w:rPr>
          <w:noProof/>
          <w:vertAlign w:val="superscript"/>
        </w:rPr>
        <w:t>[215]</w:t>
      </w:r>
      <w:r w:rsidR="00C07247">
        <w:fldChar w:fldCharType="end"/>
      </w:r>
      <w:r w:rsidR="00C07247">
        <w:t xml:space="preserve">. </w:t>
      </w:r>
      <w:r w:rsidR="00E37E00" w:rsidRPr="00C07247">
        <w:t xml:space="preserve">Han </w:t>
      </w:r>
      <w:r w:rsidR="00E37E00" w:rsidRPr="00C07247">
        <w:rPr>
          <w:i/>
          <w:iCs/>
        </w:rPr>
        <w:t>et al</w:t>
      </w:r>
      <w:r w:rsidR="00E37E00" w:rsidRPr="00C07247">
        <w:t>.</w:t>
      </w:r>
      <w:r w:rsidR="004A7BD7">
        <w:t>,</w:t>
      </w:r>
      <w:r w:rsidR="00E37E00" w:rsidRPr="00C07247">
        <w:t xml:space="preserve"> (2008) </w:t>
      </w:r>
      <w:r w:rsidR="00E37E00" w:rsidRPr="00C07247">
        <w:fldChar w:fldCharType="begin" w:fldLock="1"/>
      </w:r>
      <w:r w:rsidR="0058736C">
        <w:instrText>ADDIN CSL_CITATION {"citationItems":[{"id":"ITEM-1","itemData":{"DOI":"10.1111/j.1365-2818.2008.01972.x","ISSN":"00222720","PMID":"18445144","abstract":"Compression and crevasses are common cutting artefacts in cryo-ultramicrotomy of vitreous sections. They can be reduced or suppressed under optimal cutting conditions. In the present study, compression and thickness were measured for different cutting speeds and knife angles. It was found that compression decreased with feed and that crevasses appeared only above a certain thickness. The optimal feed for vitreous sections was between 50 and 80 nm. The thickness, calculated by two independent methods, was quantitatively related to feed and compression. © 2008 The Authors.","author":[{"dropping-particle":"","family":"Han","given":"H. M.","non-dropping-particle":"","parse-names":false,"suffix":""},{"dropping-particle":"","family":"Zuber","given":"B.","non-dropping-particle":"","parse-names":false,"suffix":""},{"dropping-particle":"","family":"Dubochet","given":"J.","non-dropping-particle":"","parse-names":false,"suffix":""}],"container-title":"Journal of Microscopy","id":"ITEM-1","issue":"2","issued":{"date-parts":[["2008"]]},"page":"167-171","title":"Compression and crevasses in vitreous sections under different cutting conditions","type":"article-journal","volume":"230"},"uris":["http://www.mendeley.com/documents/?uuid=5e9d4a46-f883-41e9-8c79-0caf336214a5"]}],"mendeley":{"formattedCitation":"&lt;sup&gt;[260]&lt;/sup&gt;","plainTextFormattedCitation":"[260]","previouslyFormattedCitation":"&lt;sup&gt;[260]&lt;/sup&gt;"},"properties":{"noteIndex":0},"schema":"https://github.com/citation-style-language/schema/raw/master/csl-citation.json"}</w:instrText>
      </w:r>
      <w:r w:rsidR="00E37E00" w:rsidRPr="00C07247">
        <w:fldChar w:fldCharType="separate"/>
      </w:r>
      <w:r w:rsidR="002659E5" w:rsidRPr="002659E5">
        <w:rPr>
          <w:noProof/>
          <w:vertAlign w:val="superscript"/>
        </w:rPr>
        <w:t>[260]</w:t>
      </w:r>
      <w:r w:rsidR="00E37E00" w:rsidRPr="00C07247">
        <w:fldChar w:fldCharType="end"/>
      </w:r>
      <w:r w:rsidR="00E37E00" w:rsidRPr="00C07247">
        <w:t xml:space="preserve"> analysed the impact on the sectioning feed and concluded that while crevasses where non-existent </w:t>
      </w:r>
      <w:r w:rsidR="007E06D3">
        <w:t>below</w:t>
      </w:r>
      <w:r w:rsidR="00E37E00" w:rsidRPr="00C07247">
        <w:t> 50 n</w:t>
      </w:r>
      <w:r w:rsidR="00EA3766">
        <w:t>m</w:t>
      </w:r>
      <w:r w:rsidR="00E37E00" w:rsidRPr="00C07247">
        <w:t xml:space="preserve"> sections, the compression deformation was severe.</w:t>
      </w:r>
      <w:r w:rsidR="00E37E00" w:rsidRPr="00915FCB">
        <w:t xml:space="preserve"> </w:t>
      </w:r>
      <w:r w:rsidR="00B208FB">
        <w:t>In contrast, sections</w:t>
      </w:r>
      <w:r w:rsidR="00E37E00" w:rsidRPr="004E181E">
        <w:t xml:space="preserve"> </w:t>
      </w:r>
      <w:r w:rsidR="007E06D3">
        <w:t>over</w:t>
      </w:r>
      <w:r w:rsidR="00E37E00" w:rsidRPr="004E181E">
        <w:t xml:space="preserve"> 100 nm resulted in less compression </w:t>
      </w:r>
      <w:r w:rsidR="00682D0F">
        <w:t>but with</w:t>
      </w:r>
      <w:r w:rsidR="00E37E00" w:rsidRPr="004E181E">
        <w:t xml:space="preserve"> an increase of crevasses. This </w:t>
      </w:r>
      <w:r w:rsidR="00F5536B" w:rsidRPr="004E181E">
        <w:t>conversely</w:t>
      </w:r>
      <w:r w:rsidR="00AA0236" w:rsidRPr="004E181E">
        <w:t xml:space="preserve"> proportional</w:t>
      </w:r>
      <w:r w:rsidR="00E37E00" w:rsidRPr="004E181E">
        <w:t xml:space="preserve"> relationship establishes an overall optimal feed of 50-80 nm for </w:t>
      </w:r>
      <w:r w:rsidR="001A2FD8" w:rsidRPr="004E181E">
        <w:t>vitreous</w:t>
      </w:r>
      <w:r w:rsidR="00E37E00" w:rsidRPr="004E181E">
        <w:t xml:space="preserve"> sections</w:t>
      </w:r>
      <w:r w:rsidR="005756C5" w:rsidRPr="004E181E">
        <w:t xml:space="preserve"> </w:t>
      </w:r>
      <w:r w:rsidR="005756C5" w:rsidRPr="004E181E">
        <w:fldChar w:fldCharType="begin" w:fldLock="1"/>
      </w:r>
      <w:r w:rsidR="0058736C">
        <w:instrText>ADDIN CSL_CITATION {"citationItems":[{"id":"ITEM-1","itemData":{"DOI":"10.1111/j.1365-2818.2008.01972.x","ISSN":"00222720","PMID":"18445144","abstract":"Compression and crevasses are common cutting artefacts in cryo-ultramicrotomy of vitreous sections. They can be reduced or suppressed under optimal cutting conditions. In the present study, compression and thickness were measured for different cutting speeds and knife angles. It was found that compression decreased with feed and that crevasses appeared only above a certain thickness. The optimal feed for vitreous sections was between 50 and 80 nm. The thickness, calculated by two independent methods, was quantitatively related to feed and compression. © 2008 The Authors.","author":[{"dropping-particle":"","family":"Han","given":"H. M.","non-dropping-particle":"","parse-names":false,"suffix":""},{"dropping-particle":"","family":"Zuber","given":"B.","non-dropping-particle":"","parse-names":false,"suffix":""},{"dropping-particle":"","family":"Dubochet","given":"J.","non-dropping-particle":"","parse-names":false,"suffix":""}],"container-title":"Journal of Microscopy","id":"ITEM-1","issue":"2","issued":{"date-parts":[["2008"]]},"page":"167-171","title":"Compression and crevasses in vitreous sections under different cutting conditions","type":"article-journal","volume":"230"},"uris":["http://www.mendeley.com/documents/?uuid=5e9d4a46-f883-41e9-8c79-0caf336214a5"]}],"mendeley":{"formattedCitation":"&lt;sup&gt;[260]&lt;/sup&gt;","plainTextFormattedCitation":"[260]","previouslyFormattedCitation":"&lt;sup&gt;[260]&lt;/sup&gt;"},"properties":{"noteIndex":0},"schema":"https://github.com/citation-style-language/schema/raw/master/csl-citation.json"}</w:instrText>
      </w:r>
      <w:r w:rsidR="005756C5" w:rsidRPr="004E181E">
        <w:fldChar w:fldCharType="separate"/>
      </w:r>
      <w:r w:rsidR="002659E5" w:rsidRPr="002659E5">
        <w:rPr>
          <w:noProof/>
          <w:vertAlign w:val="superscript"/>
        </w:rPr>
        <w:t>[260]</w:t>
      </w:r>
      <w:r w:rsidR="005756C5" w:rsidRPr="004E181E">
        <w:fldChar w:fldCharType="end"/>
      </w:r>
      <w:r w:rsidR="00E37E00" w:rsidRPr="004E181E">
        <w:t>.</w:t>
      </w:r>
      <w:r w:rsidR="007F7EE1" w:rsidRPr="004E181E">
        <w:t xml:space="preserve"> </w:t>
      </w:r>
      <w:r w:rsidR="007F7EE1" w:rsidRPr="00C87BF3">
        <w:t>Chatter</w:t>
      </w:r>
      <w:r w:rsidR="007F7EE1" w:rsidRPr="004E181E">
        <w:t xml:space="preserve"> is another</w:t>
      </w:r>
      <w:r w:rsidR="007F7EE1">
        <w:t xml:space="preserve"> cutting artefact that appears as regular </w:t>
      </w:r>
      <w:r w:rsidR="001227FD">
        <w:t xml:space="preserve">wavy </w:t>
      </w:r>
      <w:r w:rsidR="007F7EE1">
        <w:t>variation in the section’s thickness</w:t>
      </w:r>
      <w:r w:rsidR="009261BD">
        <w:t xml:space="preserve"> (</w:t>
      </w:r>
      <w:r w:rsidR="009261BD">
        <w:rPr>
          <w:highlight w:val="yellow"/>
        </w:rPr>
        <w:fldChar w:fldCharType="begin"/>
      </w:r>
      <w:r w:rsidR="009261BD">
        <w:instrText xml:space="preserve"> REF _Ref73228192 \h </w:instrText>
      </w:r>
      <w:r w:rsidR="009261BD">
        <w:rPr>
          <w:highlight w:val="yellow"/>
        </w:rPr>
      </w:r>
      <w:r w:rsidR="009261BD">
        <w:rPr>
          <w:highlight w:val="yellow"/>
        </w:rPr>
        <w:fldChar w:fldCharType="separate"/>
      </w:r>
      <w:r w:rsidR="00183CC8">
        <w:t xml:space="preserve">Figure </w:t>
      </w:r>
      <w:r w:rsidR="00183CC8">
        <w:rPr>
          <w:noProof/>
        </w:rPr>
        <w:t>3</w:t>
      </w:r>
      <w:r w:rsidR="00183CC8">
        <w:t>.</w:t>
      </w:r>
      <w:r w:rsidR="00183CC8">
        <w:rPr>
          <w:noProof/>
        </w:rPr>
        <w:t>2</w:t>
      </w:r>
      <w:r w:rsidR="009261BD">
        <w:rPr>
          <w:highlight w:val="yellow"/>
        </w:rPr>
        <w:fldChar w:fldCharType="end"/>
      </w:r>
      <w:r w:rsidR="009261BD">
        <w:t>d)</w:t>
      </w:r>
      <w:r w:rsidR="007F7EE1">
        <w:t xml:space="preserve">. It is </w:t>
      </w:r>
      <w:r w:rsidR="002D7483">
        <w:t xml:space="preserve">associated </w:t>
      </w:r>
      <w:r w:rsidR="009079B5">
        <w:t>with</w:t>
      </w:r>
      <w:r w:rsidR="002D7483">
        <w:t xml:space="preserve"> irregular compression due to the gliding properties of the knife</w:t>
      </w:r>
      <w:r w:rsidR="009079B5">
        <w:t>,</w:t>
      </w:r>
      <w:r w:rsidR="002D7483">
        <w:t xml:space="preserve"> or </w:t>
      </w:r>
      <w:r w:rsidR="009079B5">
        <w:t>with</w:t>
      </w:r>
      <w:r w:rsidR="007E21D6">
        <w:t xml:space="preserve"> high vibrations caused by </w:t>
      </w:r>
      <w:r w:rsidR="007F7EE1">
        <w:t>the specimen not being tightly</w:t>
      </w:r>
      <w:r w:rsidR="009C0C45">
        <w:t xml:space="preserve"> mounted</w:t>
      </w:r>
      <w:r w:rsidR="007F7EE1">
        <w:t xml:space="preserve"> in the holder</w:t>
      </w:r>
      <w:r w:rsidR="0078775C">
        <w:t xml:space="preserve">. Chatter can be reduced </w:t>
      </w:r>
      <w:r w:rsidR="00694377">
        <w:t>by</w:t>
      </w:r>
      <w:r w:rsidR="0078775C">
        <w:t xml:space="preserve"> tightening the specimen holder and with higher cutting speeds</w:t>
      </w:r>
      <w:r w:rsidR="003D2EB9">
        <w:t xml:space="preserve"> </w:t>
      </w:r>
      <w:r w:rsidR="007F7EE1">
        <w:fldChar w:fldCharType="begin" w:fldLock="1"/>
      </w:r>
      <w:r w:rsidR="0058736C">
        <w:instrText>ADDIN CSL_CITATION {"citationItems":[{"id":"ITEM-1","itemData":{"author":[{"dropping-particle":"","family":"Dubochet","given":"Jacques","non-dropping-particle":"","parse-names":false,"suffix":""},{"dropping-particle":"","family":"Adrian","given":"Marc","non-dropping-particle":"","parse-names":false,"suffix":""},{"dropping-particle":"","family":"Chan","given":"Jiin-ju","non-dropping-particle":"","parse-names":false,"suffix":""},{"dropping-particle":"","family":"Lepault","given":"Jean","non-dropping-particle":"","parse-names":false,"suffix":""},{"dropping-particle":"","family":"Mcdowall","given":"Alasdair W","non-dropping-particle":"","parse-names":false,"suffix":""}],"id":"ITEM-1","issue":"1988","issued":{"date-parts":[["1988"]]},"page":"129-228","title":"Chapter 5 Cryoelectron Microscopy of Vitrified Specimens","type":"article-journal","volume":"2"},"uris":["http://www.mendeley.com/documents/?uuid=9fbe1beb-c4bf-40ee-8a10-9cf363de2adf"]},{"id":"ITEM-2","itemData":{"ISBN":"9780849372278","container-title":"Cellular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-2","issued":{"date-parts":[["2008"]]},"publisher":"CRC Publisher","publisher-place":"Boca Raton","title":"Handbook of Cryopreparation Methods for Electron Microscopy","type":"book","volume":"79"},"uris":["http://www.mendeley.com/documents/?uuid=d0314adf-0335-4087-adfc-77f2002bf131"]}],"mendeley":{"formattedCitation":"&lt;sup&gt;[215,252]&lt;/sup&gt;","plainTextFormattedCitation":"[215,252]","previouslyFormattedCitation":"&lt;sup&gt;[215,252]&lt;/sup&gt;"},"properties":{"noteIndex":0},"schema":"https://github.com/citation-style-language/schema/raw/master/csl-citation.json"}</w:instrText>
      </w:r>
      <w:r w:rsidR="007F7EE1">
        <w:fldChar w:fldCharType="separate"/>
      </w:r>
      <w:r w:rsidR="002659E5" w:rsidRPr="002659E5">
        <w:rPr>
          <w:noProof/>
          <w:vertAlign w:val="superscript"/>
        </w:rPr>
        <w:t>[215,252]</w:t>
      </w:r>
      <w:r w:rsidR="007F7EE1">
        <w:fldChar w:fldCharType="end"/>
      </w:r>
      <w:r w:rsidR="007F7EE1">
        <w:t xml:space="preserve">. </w:t>
      </w:r>
      <w:r w:rsidR="006B65D5" w:rsidRPr="00C87BF3">
        <w:t xml:space="preserve">Surface deformations on the sections and on the surface of the block can result from the cutting process, and </w:t>
      </w:r>
      <w:r w:rsidR="00020EB8" w:rsidRPr="00C87BF3">
        <w:t xml:space="preserve">appear as a shadowed section </w:t>
      </w:r>
      <w:r w:rsidR="00020EB8" w:rsidRPr="00C87BF3">
        <w:fldChar w:fldCharType="begin" w:fldLock="1"/>
      </w:r>
      <w:r w:rsidR="0058736C">
        <w:instrText>ADDIN CSL_CITATION {"citationItems":[{"id":"ITEM-1","itemData":{"author":[{"dropping-particle":"","family":"Dubochet","given":"Jacques","non-dropping-particle":"","parse-names":false,"suffix":""},{"dropping-particle":"","family":"Adrian","given":"Marc","non-dropping-particle":"","parse-names":false,"suffix":""},{"dropping-particle":"","family":"Chan","given":"Jiin-ju","non-dropping-particle":"","parse-names":false,"suffix":""},{"dropping-particle":"","family":"Lepault","given":"Jean","non-dropping-particle":"","parse-names":false,"suffix":""},{"dropping-particle":"","family":"Mcdowall","given":"Alasdair W","non-dropping-particle":"","parse-names":false,"suffix":""}],"id":"ITEM-1","issue":"1988","issued":{"date-parts":[["1988"]]},"page":"129-228","title":"Chapter 5 Cryoelectron Microscopy of Vitrified Specimens","type":"article-journal","volume":"2"},"uris":["http://www.mendeley.com/documents/?uuid=9fbe1beb-c4bf-40ee-8a10-9cf363de2adf"]},{"id":"ITEM-2","itemData":{"DOI":"10.1111/j.1365-2818.1991.tb03156.x","ISSN":"13652818","PMID":"1920393","abstract":"Electron microscopy of vitrified ultrathin sections allows cell ultrastructure to be studied in the hydrated state. Sectioning of the frozen material is, however, a limiting step, since the cutting forces cause severe mechanical deformation. In order to address this problem, we have investigated the surface of cryosections. It is shown that cryosections have two fundamentally different surfaces. One surface is rough, deformed by cutting‐induced deformation lines which are orientated perpendicular to the cutting direction. The other surface, in comparison, is not affected by those deformation lines. Except for knife marks it is smooth. In order to explain the observations, the following model is proposed. The rough relief corresponds to the former block face. Its roughness originates from material that is squeezed out of the section plane when the section is compressed in the cutting direction and bent away from the specimen block. The smooth section surface is the surface in contact with the knife during the sectioning. This contact keeps the surface smooth while imprinting the knife marks. 1991 Blackwell Science Ltd","author":[{"dropping-particle":"","family":"Richter","given":"Karsten","non-dropping-particle":"","parse-names":false,"suffix":""},{"dropping-particle":"","family":"Gnägi","given":"Helmut","non-dropping-particle":"","parse-names":false,"suffix":""},{"dropping-particle":"","family":"Dubochet","given":"Jacques","non-dropping-particle":"","parse-names":false,"suffix":""}],"container-title":"Journal of Microscopy","id":"ITEM-2","issue":"1","issued":{"date-parts":[["1991"]]},"page":"19-28","title":"A model for cryosectioning based on the morphology of vitrified ultrathin sections","type":"article-journal","volume":"163"},"uris":["http://www.mendeley.com/documents/?uuid=1eb98d14-b94e-4ca9-91a5-11843ca9e0a3"]}],"mendeley":{"formattedCitation":"&lt;sup&gt;[252,261]&lt;/sup&gt;","plainTextFormattedCitation":"[252,261]","previouslyFormattedCitation":"&lt;sup&gt;[252,261]&lt;/sup&gt;"},"properties":{"noteIndex":0},"schema":"https://github.com/citation-style-language/schema/raw/master/csl-citation.json"}</w:instrText>
      </w:r>
      <w:r w:rsidR="00020EB8" w:rsidRPr="00C87BF3">
        <w:fldChar w:fldCharType="separate"/>
      </w:r>
      <w:r w:rsidR="002659E5" w:rsidRPr="002659E5">
        <w:rPr>
          <w:noProof/>
          <w:vertAlign w:val="superscript"/>
        </w:rPr>
        <w:t>[252,261]</w:t>
      </w:r>
      <w:r w:rsidR="00020EB8" w:rsidRPr="00C87BF3">
        <w:fldChar w:fldCharType="end"/>
      </w:r>
      <w:r w:rsidR="00020EB8" w:rsidRPr="00C87BF3">
        <w:t>.</w:t>
      </w:r>
      <w:r w:rsidR="004A5D77" w:rsidRPr="00C87BF3">
        <w:t xml:space="preserve"> Knife marks </w:t>
      </w:r>
      <w:r w:rsidR="003A5E13" w:rsidRPr="00C87BF3">
        <w:t>are</w:t>
      </w:r>
      <w:r w:rsidR="004A5D77" w:rsidRPr="00C87BF3">
        <w:t xml:space="preserve"> a common artifact mostly</w:t>
      </w:r>
      <w:r w:rsidR="004A5D77">
        <w:t xml:space="preserve"> seen in standard sections.</w:t>
      </w:r>
      <w:r w:rsidR="003A5E13">
        <w:t xml:space="preserve"> These are knife traces that run in the same direction </w:t>
      </w:r>
      <w:r w:rsidR="003704E1">
        <w:t xml:space="preserve">as the </w:t>
      </w:r>
      <w:r w:rsidR="003A5E13">
        <w:t>cutting plane</w:t>
      </w:r>
      <w:r w:rsidR="003704E1">
        <w:t xml:space="preserve">, usually as a result of particles adhering to the surface of the knife or irregularities </w:t>
      </w:r>
      <w:r w:rsidR="00770A6F">
        <w:t>at</w:t>
      </w:r>
      <w:r w:rsidR="003704E1">
        <w:t xml:space="preserve"> the knife edge</w:t>
      </w:r>
      <w:r w:rsidR="003B56B7">
        <w:t xml:space="preserve"> </w:t>
      </w:r>
      <w:r w:rsidR="003B56B7">
        <w:fldChar w:fldCharType="begin" w:fldLock="1"/>
      </w:r>
      <w:r w:rsidR="0058736C">
        <w:instrText>ADDIN CSL_CITATION {"citationItems":[{"id":"ITEM-1","itemData":{"DOI":"10.1111/j.1365-2818.1991.tb03156.x","ISSN":"13652818","PMID":"1920393","abstract":"Electron microscopy of vitrified ultrathin sections allows cell ultrastructure to be studied in the hydrated state. Sectioning of the frozen material is, however, a limiting step, since the cutting forces cause severe mechanical deformation. In order to address this problem, we have investigated the surface of cryosections. It is shown that cryosections have two fundamentally different surfaces. One surface is rough, deformed by cutting‐induced deformation lines which are orientated perpendicular to the cutting direction. The other surface, in comparison, is not affected by those deformation lines. Except for knife marks it is smooth. In order to explain the observations, the following model is proposed. The rough relief corresponds to the former block face. Its roughness originates from material that is squeezed out of the section plane when the section is compressed in the cutting direction and bent away from the specimen block. The smooth section surface is the surface in contact with the knife during the sectioning. This contact keeps the surface smooth while imprinting the knife marks. 1991 Blackwell Science Ltd","author":[{"dropping-particle":"","family":"Richter","given":"Karsten","non-dropping-particle":"","parse-names":false,"suffix":""},{"dropping-particle":"","family":"Gnägi","given":"Helmut","non-dropping-particle":"","parse-names":false,"suffix":""},{"dropping-particle":"","family":"Dubochet","given":"Jacques","non-dropping-particle":"","parse-names":false,"suffix":""}],"container-title":"Journal of Microscopy","id":"ITEM-1","issue":"1","issued":{"date-parts":[["1991"]]},"page":"19-28","title":"A model for cryosectioning based on the morphology of vitrified ultrathin sections","type":"article-journal","volume":"163"},"uris":["http://www.mendeley.com/documents/?uuid=1eb98d14-b94e-4ca9-91a5-11843ca9e0a3"]},{"id":"ITEM-2","itemData":{"ISBN":"9780849372278","container-title":"Cellular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-2","issued":{"date-parts":[["2008"]]},"publisher":"CRC Publisher","publisher-place":"Boca Raton","title":"Handbook of Cryopreparation Methods for Electron Microscopy","type":"book","volume":"79"},"uris":["http://www.mendeley.com/documents/?uuid=d0314adf-0335-4087-adfc-77f2002bf131"]}],"mendeley":{"formattedCitation":"&lt;sup&gt;[215,261]&lt;/sup&gt;","plainTextFormattedCitation":"[215,261]","previouslyFormattedCitation":"&lt;sup&gt;[215,261]&lt;/sup&gt;"},"properties":{"noteIndex":0},"schema":"https://github.com/citation-style-language/schema/raw/master/csl-citation.json"}</w:instrText>
      </w:r>
      <w:r w:rsidR="003B56B7">
        <w:fldChar w:fldCharType="separate"/>
      </w:r>
      <w:r w:rsidR="002659E5" w:rsidRPr="002659E5">
        <w:rPr>
          <w:noProof/>
          <w:vertAlign w:val="superscript"/>
        </w:rPr>
        <w:t>[215,261]</w:t>
      </w:r>
      <w:r w:rsidR="003B56B7">
        <w:fldChar w:fldCharType="end"/>
      </w:r>
      <w:r w:rsidR="003A5E13">
        <w:t>.</w:t>
      </w:r>
      <w:r w:rsidR="00D012E0">
        <w:t xml:space="preserve"> </w:t>
      </w:r>
      <w:r w:rsidR="00DF5704">
        <w:t>Cutting artifacts are sometimes more noticeable in vitrified samples, as the flotation on water of room temperature sections improve</w:t>
      </w:r>
      <w:r w:rsidR="004A69CC">
        <w:t>s</w:t>
      </w:r>
      <w:r w:rsidR="00DF5704">
        <w:t xml:space="preserve"> a lot of these structural disturbances </w:t>
      </w:r>
      <w:r w:rsidR="00DF5704">
        <w:fldChar w:fldCharType="begin" w:fldLock="1"/>
      </w:r>
      <w:r w:rsidR="0058736C">
        <w:instrText>ADDIN CSL_CITATION {"citationItems":[{"id":"ITEM-1","itemData":{"author":[{"dropping-particle":"","family":"Dubochet","given":"Jacques","non-dropping-particle":"","parse-names":false,"suffix":""},{"dropping-particle":"","family":"Adrian","given":"Marc","non-dropping-particle":"","parse-names":false,"suffix":""},{"dropping-particle":"","family":"Chan","given":"Jiin-ju","non-dropping-particle":"","parse-names":false,"suffix":""},{"dropping-particle":"","family":"Lepault","given":"Jean","non-dropping-particle":"","parse-names":false,"suffix":""},{"dropping-particle":"","family":"Mcdowall","given":"Alasdair W","non-dropping-particle":"","parse-names":false,"suffix":""}],"id":"ITEM-1","issue":"1988","issued":{"date-parts":[["1988"]]},"page":"129-228","title":"Chapter 5 Cryoelectron Microscopy of Vitrified Specimens","type":"article-journal","volume":"2"},"uris":["http://www.mendeley.com/documents/?uuid=9fbe1beb-c4bf-40ee-8a10-9cf363de2adf"]}],"mendeley":{"formattedCitation":"&lt;sup&gt;[252]&lt;/sup&gt;","plainTextFormattedCitation":"[252]","previouslyFormattedCitation":"&lt;sup&gt;[252]&lt;/sup&gt;"},"properties":{"noteIndex":0},"schema":"https://github.com/citation-style-language/schema/raw/master/csl-citation.json"}</w:instrText>
      </w:r>
      <w:r w:rsidR="00DF5704">
        <w:fldChar w:fldCharType="separate"/>
      </w:r>
      <w:r w:rsidR="002659E5" w:rsidRPr="002659E5">
        <w:rPr>
          <w:noProof/>
          <w:vertAlign w:val="superscript"/>
        </w:rPr>
        <w:t>[252]</w:t>
      </w:r>
      <w:r w:rsidR="00DF5704">
        <w:fldChar w:fldCharType="end"/>
      </w:r>
      <w:r w:rsidR="00DF5704">
        <w:t>.</w:t>
      </w:r>
      <w:r w:rsidR="004A69CC">
        <w:t xml:space="preserve"> Both room temperature or cryo sections need flattening to help reduce surface deformation and to improve EM imaging. The former can be stretched with a heat pen or chloroform vapour</w:t>
      </w:r>
      <w:r w:rsidR="00FC2B3E">
        <w:t xml:space="preserve"> while floating on the water boat</w:t>
      </w:r>
      <w:r w:rsidR="004A69CC">
        <w:t xml:space="preserve">, while the latter </w:t>
      </w:r>
      <w:r w:rsidR="00F348BF">
        <w:t>can be flatten</w:t>
      </w:r>
      <w:r w:rsidR="0006341F">
        <w:t>ed</w:t>
      </w:r>
      <w:r w:rsidR="00F348BF">
        <w:t xml:space="preserve"> with a grid press</w:t>
      </w:r>
      <w:r w:rsidR="0006341F">
        <w:t>.</w:t>
      </w:r>
    </w:p>
    <w:p w14:paraId="6BA0D871" w14:textId="77777777" w:rsidR="009A70A1" w:rsidRDefault="009A70A1" w:rsidP="00B8310B">
      <w:pPr>
        <w:keepNext/>
        <w:jc w:val="center"/>
      </w:pPr>
      <w:r>
        <w:rPr>
          <w:noProof/>
        </w:rPr>
        <w:lastRenderedPageBreak/>
        <w:drawing>
          <wp:inline distT="0" distB="0" distL="0" distR="0" wp14:anchorId="25017B24" wp14:editId="08E3185A">
            <wp:extent cx="5838543" cy="6844069"/>
            <wp:effectExtent l="0" t="0" r="3810"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38543" cy="6844069"/>
                    </a:xfrm>
                    <a:prstGeom prst="rect">
                      <a:avLst/>
                    </a:prstGeom>
                  </pic:spPr>
                </pic:pic>
              </a:graphicData>
            </a:graphic>
          </wp:inline>
        </w:drawing>
      </w:r>
    </w:p>
    <w:p w14:paraId="149C4F47" w14:textId="49884455" w:rsidR="009A70A1" w:rsidRDefault="009A70A1" w:rsidP="008A2B86">
      <w:pPr>
        <w:pStyle w:val="Caption"/>
      </w:pPr>
      <w:bookmarkStart w:id="482" w:name="_Ref73228192"/>
      <w:bookmarkStart w:id="483" w:name="_Toc90216937"/>
      <w:r>
        <w:t xml:space="preserve">Figure </w:t>
      </w:r>
      <w:r w:rsidR="003373BF">
        <w:fldChar w:fldCharType="begin"/>
      </w:r>
      <w:r w:rsidR="003373BF">
        <w:instrText xml:space="preserve"> STYLEREF 1 \s </w:instrText>
      </w:r>
      <w:r w:rsidR="003373BF">
        <w:fldChar w:fldCharType="separate"/>
      </w:r>
      <w:r w:rsidR="00183CC8">
        <w:rPr>
          <w:noProof/>
        </w:rPr>
        <w:t>3</w:t>
      </w:r>
      <w:r w:rsidR="003373BF">
        <w:rPr>
          <w:noProof/>
        </w:rPr>
        <w:fldChar w:fldCharType="end"/>
      </w:r>
      <w:r w:rsidR="00D46972">
        <w:t>.</w:t>
      </w:r>
      <w:r w:rsidR="003373BF">
        <w:fldChar w:fldCharType="begin"/>
      </w:r>
      <w:r w:rsidR="003373BF">
        <w:instrText xml:space="preserve"> SEQ Figure \* ARABIC \</w:instrText>
      </w:r>
      <w:r w:rsidR="003373BF">
        <w:instrText xml:space="preserve">s 1 </w:instrText>
      </w:r>
      <w:r w:rsidR="003373BF">
        <w:fldChar w:fldCharType="separate"/>
      </w:r>
      <w:r w:rsidR="00183CC8">
        <w:rPr>
          <w:noProof/>
        </w:rPr>
        <w:t>2</w:t>
      </w:r>
      <w:r w:rsidR="003373BF">
        <w:rPr>
          <w:noProof/>
        </w:rPr>
        <w:fldChar w:fldCharType="end"/>
      </w:r>
      <w:bookmarkEnd w:id="482"/>
      <w:r>
        <w:t xml:space="preserve"> </w:t>
      </w:r>
      <w:r w:rsidR="001779B1">
        <w:t>Common artefacts of thin-sectioning process.</w:t>
      </w:r>
      <w:bookmarkEnd w:id="483"/>
    </w:p>
    <w:p w14:paraId="47362A19" w14:textId="02855A03" w:rsidR="009A70A1" w:rsidRDefault="001779B1" w:rsidP="009A70A1">
      <w:pPr>
        <w:pStyle w:val="NoSpacing"/>
        <w:sectPr w:rsidR="009A70A1" w:rsidSect="004D0E05">
          <w:pgSz w:w="11906" w:h="16838"/>
          <w:pgMar w:top="1191" w:right="1247" w:bottom="1191" w:left="1247" w:header="709" w:footer="709" w:gutter="0"/>
          <w:cols w:space="708"/>
          <w:titlePg/>
          <w:docGrid w:linePitch="360"/>
        </w:sectPr>
      </w:pPr>
      <w:r>
        <w:rPr>
          <w:b/>
          <w:bCs/>
        </w:rPr>
        <w:t xml:space="preserve">(A) </w:t>
      </w:r>
      <w:r>
        <w:t>Schematic representation</w:t>
      </w:r>
      <w:r w:rsidR="005750C3">
        <w:t xml:space="preserve"> of ultra-microtomy emphasising come common sectioning artefacts. Image modified from Dubochet </w:t>
      </w:r>
      <w:r w:rsidR="005750C3">
        <w:rPr>
          <w:i/>
          <w:iCs/>
        </w:rPr>
        <w:t>et al.</w:t>
      </w:r>
      <w:r w:rsidR="004A7BD7">
        <w:rPr>
          <w:i/>
          <w:iCs/>
        </w:rPr>
        <w:t>,</w:t>
      </w:r>
      <w:r w:rsidR="005750C3">
        <w:t xml:space="preserve"> (1988) </w:t>
      </w:r>
      <w:r w:rsidR="005750C3">
        <w:fldChar w:fldCharType="begin" w:fldLock="1"/>
      </w:r>
      <w:r w:rsidR="0058736C">
        <w:instrText>ADDIN CSL_CITATION {"citationItems":[{"id":"ITEM-1","itemData":{"author":[{"dropping-particle":"","family":"Dubochet","given":"Jacques","non-dropping-particle":"","parse-names":false,"suffix":""},{"dropping-particle":"","family":"Adrian","given":"Marc","non-dropping-particle":"","parse-names":false,"suffix":""},{"dropping-particle":"","family":"Chan","given":"Jiin-ju","non-dropping-particle":"","parse-names":false,"suffix":""},{"dropping-particle":"","family":"Lepault","given":"Jean","non-dropping-particle":"","parse-names":false,"suffix":""},{"dropping-particle":"","family":"Mcdowall","given":"Alasdair W","non-dropping-particle":"","parse-names":false,"suffix":""}],"id":"ITEM-1","issue":"1988","issued":{"date-parts":[["1988"]]},"page":"129-228","title":"Chapter 5 Cryoelectron Microscopy of Vitrified Specimens","type":"article-journal","volume":"2"},"uris":["http://www.mendeley.com/documents/?uuid=9fbe1beb-c4bf-40ee-8a10-9cf363de2adf"]}],"mendeley":{"formattedCitation":"&lt;sup&gt;[252]&lt;/sup&gt;","plainTextFormattedCitation":"[252]","previouslyFormattedCitation":"&lt;sup&gt;[252]&lt;/sup&gt;"},"properties":{"noteIndex":0},"schema":"https://github.com/citation-style-language/schema/raw/master/csl-citation.json"}</w:instrText>
      </w:r>
      <w:r w:rsidR="005750C3">
        <w:fldChar w:fldCharType="separate"/>
      </w:r>
      <w:r w:rsidR="002659E5" w:rsidRPr="002659E5">
        <w:rPr>
          <w:noProof/>
          <w:vertAlign w:val="superscript"/>
        </w:rPr>
        <w:t>[252]</w:t>
      </w:r>
      <w:r w:rsidR="005750C3">
        <w:fldChar w:fldCharType="end"/>
      </w:r>
      <w:r w:rsidR="005750C3">
        <w:t>.</w:t>
      </w:r>
      <w:r w:rsidR="005A4712">
        <w:t xml:space="preserve"> </w:t>
      </w:r>
      <w:r w:rsidR="005A4712">
        <w:rPr>
          <w:b/>
          <w:bCs/>
        </w:rPr>
        <w:t>(B)</w:t>
      </w:r>
      <w:r w:rsidR="005A4712">
        <w:t xml:space="preserve"> Schematic representation of the effect of</w:t>
      </w:r>
      <w:r w:rsidR="00927FA0">
        <w:t xml:space="preserve"> compression caused by thin-sectioning. Bold black arrows– cutting direction.</w:t>
      </w:r>
      <w:r w:rsidR="005F20C9">
        <w:t xml:space="preserve"> </w:t>
      </w:r>
      <w:r w:rsidR="006C5B41">
        <w:t>CW</w:t>
      </w:r>
      <w:r w:rsidR="00201347">
        <w:t xml:space="preserve">– cell wall, </w:t>
      </w:r>
      <w:r w:rsidR="006C5B41">
        <w:t>PM</w:t>
      </w:r>
      <w:r w:rsidR="00201347">
        <w:t xml:space="preserve">– plasma membrane, </w:t>
      </w:r>
      <w:r w:rsidR="006C5B41">
        <w:t>ES</w:t>
      </w:r>
      <w:r w:rsidR="00201347">
        <w:t>– exoplasmic spa</w:t>
      </w:r>
      <w:r w:rsidR="00E943E9">
        <w:t>c</w:t>
      </w:r>
      <w:r w:rsidR="00201347">
        <w:t xml:space="preserve">e. </w:t>
      </w:r>
      <w:r w:rsidR="00F52C8B">
        <w:t>Dashed c</w:t>
      </w:r>
      <w:r w:rsidR="00201347">
        <w:t>ircle– areas of least deformation.</w:t>
      </w:r>
      <w:r w:rsidR="0099458C">
        <w:t xml:space="preserve"> Image modified from Matias &amp; Bever</w:t>
      </w:r>
      <w:r w:rsidR="007A73A5">
        <w:t>i</w:t>
      </w:r>
      <w:r w:rsidR="0099458C">
        <w:t xml:space="preserve">dge (2005) </w:t>
      </w:r>
      <w:r w:rsidR="0099458C">
        <w:fldChar w:fldCharType="begin" w:fldLock="1"/>
      </w:r>
      <w:r w:rsidR="005F2DD4">
        <w:instrText>ADDIN CSL_CITATION {"citationItems":[{"id":"ITEM-1","itemData":{"DOI":"10.1111/j.1365-2958.2005.04535.x","ISBN":"0950-382X (Print)\\r0950-382X (Linking)","ISSN":"0950382X","PMID":"15773993","abstract":"Ultrarapid freezing of bacteria (i.e. vitrification) results in optimal preservation of native structure. In this study, cryo-transmission electron microscopy of frozen-hydrated sections was used to gain insight into the organization of the Bacillus subtilis 168 cell envelope. A bipartite structure was seen above the plasma membrane consisting of a low-density 22 nm region above which a higher-density 33 nm region or outer wall zone (OWZ) resided. The interface between these two regions appeared to possess the most mass. In intact and in teichoic acid-extracted wall fragments, only a single region was seen but the mass distribution varied from being dense on the inside to less dense on the outside (i.e. similar to the OWZ). In plasmolysed cells, the inner wall zone (IWZ)'s thickness expanded in size but the OWZ's thickness remained constant. As the IWZ expanded it became filled with plasma membrane vesicles indicating that the IWZ had little substance and was empty of the wall's polymeric network of peptidoglycan and teichoic acid. Together these results strongly suggest that the inner zone actually represents a periplasmic space confined between the plasma membrane and the wall matrix and that the OWZ is the peptidoglycan-teichoic acid polymeric network of the wall.","author":[{"dropping-particle":"","family":"Matias","given":"V. R F","non-dropping-particle":"","parse-names":false,"suffix":""},{"dropping-particle":"","family":"Beveridge","given":"Terry J.","non-dropping-particle":"","parse-names":false,"suffix":""}],"container-title":"Molecular Microbiology","id":"ITEM-1","issue":"1","issued":{"date-parts":[["2005"]]},"page":"240-251","title":"Cryo-electron microscopy reveals native polymeric cell wall structure in Bacillus subtilis 168 and the existence of a periplasmic space","type":"article-journal","volume":"56"},"uris":["http://www.mendeley.com/documents/?uuid=3274a9ad-3640-4744-a55b-e8277897fa77"]}],"mendeley":{"formattedCitation":"&lt;sup&gt;[164]&lt;/sup&gt;","plainTextFormattedCitation":"[164]","previouslyFormattedCitation":"&lt;sup&gt;[164]&lt;/sup&gt;"},"properties":{"noteIndex":0},"schema":"https://github.com/citation-style-language/schema/raw/master/csl-citation.json"}</w:instrText>
      </w:r>
      <w:r w:rsidR="0099458C">
        <w:fldChar w:fldCharType="separate"/>
      </w:r>
      <w:r w:rsidR="0054658D" w:rsidRPr="0054658D">
        <w:rPr>
          <w:noProof/>
          <w:vertAlign w:val="superscript"/>
        </w:rPr>
        <w:t>[164]</w:t>
      </w:r>
      <w:r w:rsidR="0099458C">
        <w:fldChar w:fldCharType="end"/>
      </w:r>
      <w:r w:rsidR="0099458C">
        <w:t>.</w:t>
      </w:r>
      <w:r w:rsidR="00201347">
        <w:t xml:space="preserve"> </w:t>
      </w:r>
      <w:r w:rsidR="00201347">
        <w:rPr>
          <w:b/>
          <w:bCs/>
        </w:rPr>
        <w:t>(C)</w:t>
      </w:r>
      <w:r w:rsidR="00201347">
        <w:t xml:space="preserve"> TEM micrograph of frozen-hydrated </w:t>
      </w:r>
      <w:r w:rsidR="00201347">
        <w:rPr>
          <w:i/>
          <w:iCs/>
        </w:rPr>
        <w:t>S. aureus</w:t>
      </w:r>
      <w:r w:rsidR="00B60822">
        <w:t xml:space="preserve"> showing common cutting artefacts: knife marks (long </w:t>
      </w:r>
      <w:r w:rsidR="001A5E6C">
        <w:t>blue</w:t>
      </w:r>
      <w:r w:rsidR="00B60822">
        <w:t xml:space="preserve"> arrows), crevasses (</w:t>
      </w:r>
      <w:r w:rsidR="00980078">
        <w:t>green</w:t>
      </w:r>
      <w:r w:rsidR="00B60822">
        <w:t xml:space="preserve"> arrowheads), compression</w:t>
      </w:r>
      <w:r w:rsidR="002F449E">
        <w:t xml:space="preserve"> in the cutting direction</w:t>
      </w:r>
      <w:r w:rsidR="00B60822">
        <w:t xml:space="preserve"> (double black arrowheads), crack in the support film (short </w:t>
      </w:r>
      <w:r w:rsidR="00FB2DFA">
        <w:t>red</w:t>
      </w:r>
      <w:r w:rsidR="00B60822">
        <w:t xml:space="preserve"> arrow). White asterisk and short </w:t>
      </w:r>
      <w:r w:rsidR="001A5E6C">
        <w:t>yellow</w:t>
      </w:r>
      <w:r w:rsidR="00B60822">
        <w:t xml:space="preserve"> arrows indicate incomplete and complete septa, respectively. Scale bar 500 nm. Image obtained from Matias &amp; Beveridge (2006) </w:t>
      </w:r>
      <w:r w:rsidR="001B3C2D">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5570428f-abef-4c52-8423-1f18c58db060"]}],"mendeley":{"formattedCitation":"&lt;sup&gt;[16]&lt;/sup&gt;","plainTextFormattedCitation":"[16]","previouslyFormattedCitation":"&lt;sup&gt;[16]&lt;/sup&gt;"},"properties":{"noteIndex":0},"schema":"https://github.com/citation-style-language/schema/raw/master/csl-citation.json"}</w:instrText>
      </w:r>
      <w:r w:rsidR="001B3C2D">
        <w:fldChar w:fldCharType="separate"/>
      </w:r>
      <w:r w:rsidR="00DA0A83" w:rsidRPr="00DA0A83">
        <w:rPr>
          <w:noProof/>
          <w:vertAlign w:val="superscript"/>
        </w:rPr>
        <w:t>[16]</w:t>
      </w:r>
      <w:r w:rsidR="001B3C2D">
        <w:fldChar w:fldCharType="end"/>
      </w:r>
      <w:r w:rsidR="00B60822">
        <w:t>.</w:t>
      </w:r>
      <w:r w:rsidR="001B3C2D">
        <w:t xml:space="preserve"> </w:t>
      </w:r>
      <w:r w:rsidR="001B3C2D">
        <w:rPr>
          <w:b/>
          <w:bCs/>
        </w:rPr>
        <w:t>(D)</w:t>
      </w:r>
      <w:r w:rsidR="001B3C2D">
        <w:t xml:space="preserve"> </w:t>
      </w:r>
      <w:r w:rsidR="002F449E">
        <w:t>TEM micrograph of frozen-hydrated yeast cells</w:t>
      </w:r>
      <w:r w:rsidR="007A383B">
        <w:t xml:space="preserve"> showing</w:t>
      </w:r>
      <w:r w:rsidR="002F449E">
        <w:t xml:space="preserve"> compression in the cutting direction (top left to bottom right), knife marks (</w:t>
      </w:r>
      <w:r w:rsidR="001A5E6C">
        <w:t>blue</w:t>
      </w:r>
      <w:r w:rsidR="002F449E">
        <w:t xml:space="preserve"> arrows), crevasses and chatter (undulating shadows).</w:t>
      </w:r>
      <w:r w:rsidR="005D1282">
        <w:t xml:space="preserve"> Scale bar 1 µm.</w:t>
      </w:r>
      <w:r w:rsidR="002F449E">
        <w:t xml:space="preserve"> Image obtained from Spenher </w:t>
      </w:r>
      <w:r w:rsidR="002F449E">
        <w:rPr>
          <w:i/>
          <w:iCs/>
        </w:rPr>
        <w:t>et al.</w:t>
      </w:r>
      <w:r w:rsidR="004A7BD7">
        <w:rPr>
          <w:i/>
          <w:iCs/>
        </w:rPr>
        <w:t>,</w:t>
      </w:r>
      <w:r w:rsidR="002F449E">
        <w:t xml:space="preserve"> (2008) </w:t>
      </w:r>
      <w:r w:rsidR="002F449E">
        <w:fldChar w:fldCharType="begin" w:fldLock="1"/>
      </w:r>
      <w:r w:rsidR="0058736C">
        <w:instrText>ADDIN CSL_CITATION {"citationItems":[{"id":"ITEM-1","itemData":{"ISBN":"9780849372278","container-title":"Cellular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-1","issued":{"date-parts":[["2008"]]},"publisher":"CRC Publisher","publisher-place":"Boca Raton","title":"Handbook of Cryopreparation Methods for Electron Microscopy","type":"book","volume":"79"},"uris":["http://www.mendeley.com/documents/?uuid=d0314adf-0335-4087-adfc-77f2002bf131"]}],"mendeley":{"formattedCitation":"&lt;sup&gt;[215]&lt;/sup&gt;","plainTextFormattedCitation":"[215]","previouslyFormattedCitation":"&lt;sup&gt;[215]&lt;/sup&gt;"},"properties":{"noteIndex":0},"schema":"https://github.com/citation-style-language/schema/raw/master/csl-citation.json"}</w:instrText>
      </w:r>
      <w:r w:rsidR="002F449E">
        <w:fldChar w:fldCharType="separate"/>
      </w:r>
      <w:r w:rsidR="002659E5" w:rsidRPr="002659E5">
        <w:rPr>
          <w:noProof/>
          <w:vertAlign w:val="superscript"/>
        </w:rPr>
        <w:t>[215]</w:t>
      </w:r>
      <w:r w:rsidR="002F449E">
        <w:fldChar w:fldCharType="end"/>
      </w:r>
      <w:r w:rsidR="009A70A1">
        <w:t>.</w:t>
      </w:r>
    </w:p>
    <w:p w14:paraId="03012E43" w14:textId="5D8C1C6F" w:rsidR="006740B1" w:rsidRPr="00404F29" w:rsidRDefault="00D4027F" w:rsidP="006740B1">
      <w:pPr>
        <w:rPr>
          <w:rFonts w:ascii="Calibri" w:eastAsia="Times New Roman" w:hAnsi="Calibri" w:cs="Calibri"/>
          <w:szCs w:val="24"/>
          <w:lang w:eastAsia="en-GB"/>
        </w:rPr>
      </w:pPr>
      <w:r>
        <w:lastRenderedPageBreak/>
        <w:t>An alternative technique that bypasses the</w:t>
      </w:r>
      <w:r w:rsidR="004142E1">
        <w:t>se</w:t>
      </w:r>
      <w:r>
        <w:t xml:space="preserve"> common knife artefacts of the sectioning process is </w:t>
      </w:r>
      <w:r w:rsidRPr="00F94649">
        <w:t>f</w:t>
      </w:r>
      <w:r w:rsidR="009F3DE4" w:rsidRPr="00F94649">
        <w:t>ocused ion beam milling (FIB milling)</w:t>
      </w:r>
      <w:r w:rsidR="005C78CE">
        <w:t xml:space="preserve"> (</w:t>
      </w:r>
      <w:r w:rsidR="005C78CE">
        <w:fldChar w:fldCharType="begin"/>
      </w:r>
      <w:r w:rsidR="005C78CE">
        <w:instrText xml:space="preserve"> REF _Ref73098954 \h </w:instrText>
      </w:r>
      <w:r w:rsidR="005C78CE">
        <w:fldChar w:fldCharType="separate"/>
      </w:r>
      <w:r w:rsidR="00183CC8">
        <w:t xml:space="preserve">Figure </w:t>
      </w:r>
      <w:r w:rsidR="00183CC8">
        <w:rPr>
          <w:noProof/>
        </w:rPr>
        <w:t>3</w:t>
      </w:r>
      <w:r w:rsidR="00183CC8">
        <w:t>.</w:t>
      </w:r>
      <w:r w:rsidR="00183CC8">
        <w:rPr>
          <w:noProof/>
        </w:rPr>
        <w:t>1</w:t>
      </w:r>
      <w:r w:rsidR="005C78CE">
        <w:fldChar w:fldCharType="end"/>
      </w:r>
      <w:r w:rsidR="005C78CE">
        <w:t>)</w:t>
      </w:r>
      <w:r w:rsidR="00D956E6">
        <w:t>. FIB instruments have been used in material science for their capacity to produce thin sections, in the form of wedges o</w:t>
      </w:r>
      <w:r w:rsidR="00C46EA5">
        <w:t>r</w:t>
      </w:r>
      <w:r w:rsidR="00D956E6">
        <w:t xml:space="preserve"> lamella</w:t>
      </w:r>
      <w:r w:rsidR="00932C2F">
        <w:t>e</w:t>
      </w:r>
      <w:r w:rsidR="00D956E6">
        <w:t xml:space="preserve">, </w:t>
      </w:r>
      <w:r w:rsidR="00C46EA5">
        <w:t>as they</w:t>
      </w:r>
      <w:r w:rsidR="00D956E6">
        <w:t xml:space="preserve"> lack mechanical imperfections</w:t>
      </w:r>
      <w:r w:rsidR="00CC44C6">
        <w:t xml:space="preserve"> </w:t>
      </w:r>
      <w:r w:rsidR="00CC44C6">
        <w:fldChar w:fldCharType="begin" w:fldLock="1"/>
      </w:r>
      <w:r w:rsidR="00B3106D">
        <w:instrText>ADDIN CSL_CITATION {"citationItems":[{"id":"ITEM-1","itemData":{"DOI":"10.1073/pnas.1201333109","ISBN":"1091-6490 (Electronic)\\r0027-8424 (Linking)","ISSN":"0027-8424","PMID":"22392984","abstract":"Cryoelectron tomography provides unprecedented insights into the macromolecular and supramolecular organization of cells in a close-to-living state. However because of the limited thickness range (&lt; 0.5-1 $μ$m) that is accessible with today's intermediate voltage electron microscopes only small prokaryotic cells or peripheral regions of eukaryotic cells can be examined directly. Key to overcoming this limitation is the ability to prepare sufficiently thin samples. Cryosectioning can be used to prepare thin enough sections but suffers from severe artefacts, such as substantial compression. Here we describe a procedure, based upon focused ion beam (FIB) milling for the preparation of thin (200-500 nm) lamellae from vitrified cells grown on electron microscopy (EM) grids. The self-supporting lamellae are apparently free of distortions or other artefacts and open up large windows into the cell's interior allowing tomographic studies to be performed on any chosen part of the cell. We illustrate the quality of sample preservation with a structure of the nuclear pore complex obtained from a single tomogram","author":[{"dropping-particle":"","family":"Rigort","given":"A.","non-dropping-particle":"","parse-names":false,"suffix":""},{"dropping-particle":"","family":"Bauerlein","given":"F. J. B.","non-dropping-particle":"","parse-names":false,"suffix":""},{"dropping-particle":"","family":"Villa","given":"E.","non-dropping-particle":"","parse-names":false,"suffix":""},{"dropping-particle":"","family":"Eibauer","given":"M.","non-dropping-particle":"","parse-names":false,"suffix":""},{"dropping-particle":"","family":"Laugks","given":"T.","non-dropping-particle":"","parse-names":false,"suffix":""},{"dropping-particle":"","family":"Baumeister","given":"W.","non-dropping-particle":"","parse-names":false,"suffix":""},{"dropping-particle":"","family":"Plitzko","given":"J. M.","non-dropping-particle":"","parse-names":false,"suffix":""}],"container-title":"Proceedings of the National Academy of Sciences","id":"ITEM-1","issue":"12","issued":{"date-parts":[["2012"]]},"page":"4449-4454","title":"Focused ion beam micromachining of eukaryotic cells for cryoelectron tomography","type":"article-journal","volume":"109"},"uris":["http://www.mendeley.com/documents/?uuid=cf9c2047-c8fd-42cf-9b0b-04a37b2065f8"]},{"id":"ITEM-2","itemData":{"DOI":"10.1016/j.abb.2015.02.009","ISBN":"0003-9861","ISSN":"10960384","PMID":"25703192","abstract":"The ability to precisely control the preparation of biological samples for investigations by electron cryo-microscopy is becoming increasingly important for ultrastructural imaging in biology. Precision machining instruments such as the focused ion beam microscope (FIB) were originally developed for applications in materials science. However, today we witness a growing use of these tools in the life sciences mainly due to their versatility, since they can be used both as manipulation and as imaging devices, when complemented with a scanning electron microscope (SEM). The advent of cryo-preparation equipment and accessories made it possible to pursue work on frozen-hydrated biological specimens with these two beam (FIB/SEM) instruments. In structural biology, the cryo-FIB can be used to site-specifically thin vitrified specimens for transmission electron microscopy (TEM) and tomography. Having control over the specimen thickness is a decisive factor for TEM imaging, as the thickness of the object under scrutiny determines the attainable resolution. Besides its use for TEM preparation, the FIB/SEM microscope can be additionally used to obtain three-dimensional volumetric data from biological specimens. The unique combination of an imaging and precision manipulation tool allows sequentially removing material with the ion beam and imaging the milled block faces by scanning with the electron beam, an approach known as FIB/SEM tomography. This review covers both fields of cryo-FIB applications: specimen preparation for TEM cryo-tomography and volume imaging by cryo-FIB/SEM tomography.","author":[{"dropping-particle":"","family":"Rigort","given":"Alexander","non-dropping-particle":"","parse-names":false,"suffix":""},{"dropping-particle":"","family":"Plitzko","given":"Jürgen M.","non-dropping-particle":"","parse-names":false,"suffix":""}],"container-title":"Archives of Biochemistry and Biophysics","id":"ITEM-2","issued":{"date-parts":[["2015"]]},"page":"122-130","publisher":"Elsevier Inc.","title":"Cryo-focused-ion-beam applications in structural biology","type":"article-journal","volume":"581"},"uris":["http://www.mendeley.com/documents/?uuid=cdab58a8-74b6-4264-958d-f2bab4765948"]},{"id":"ITEM-3","itemData":{"DOI":"10.1016/j.sbi.2013.08.006","ISBN":"0959-440X","ISSN":"0959440X","PMID":"24090931","abstract":"Cryo-electron tomography (CET) is ideally suited for bridging the resolution gap between molecular and cellular structural studies. However, CET is limited to a sample thickness under 500. nm, which is thinner than most cells. Here, we review a method for preparing cells for CET using focused-ion-beam milling, a technique commonly used in materials science. Adapted to cryogenic conditions, FIB milling can be applied to various cell types to produce samples thin enough for CET that do not present the artefacts typical to other preparation techniques, for example, cryo-ultramicrotomy, effectively opening windows into intact cells. Samples can be produced routinely and reproducibly. The data obtained from CET can be used for structural studies in situ, or to do quantitative cell biology studies, in which cells can be observed at the molecular level under different physiological conditions. © 2013 Elsevier Ltd.","author":[{"dropping-particle":"","family":"Villa","given":"Elizabeth","non-dropping-particle":"","parse-names":false,"suffix":""},{"dropping-particle":"","family":"Schaffer","given":"Miroslava","non-dropping-particle":"","parse-names":false,"suffix":""},{"dropping-particle":"","family":"Plitzko","given":"Jürgen M.","non-dropping-particle":"","parse-names":false,"suffix":""},{"dropping-particle":"","family":"Baumeister","given":"Wolfgang","non-dropping-particle":"","parse-names":false,"suffix":""}],"container-title":"Current Opinion in Structural Biology","id":"ITEM-3","issue":"5","issued":{"date-parts":[["2013"]]},"page":"771-777","title":"Opening windows into the cell: Focused-ion-beam milling for cryo-electron tomography","type":"article","volume":"23"},"uris":["http://www.mendeley.com/documents/?uuid=f7789086-8178-35be-aa61-a88921904879"]}],"mendeley":{"formattedCitation":"&lt;sup&gt;[227,228,262]&lt;/sup&gt;","plainTextFormattedCitation":"[227,228,262]","previouslyFormattedCitation":"&lt;sup&gt;[227,228,262]&lt;/sup&gt;"},"properties":{"noteIndex":0},"schema":"https://github.com/citation-style-language/schema/raw/master/csl-citation.json"}</w:instrText>
      </w:r>
      <w:r w:rsidR="00CC44C6">
        <w:fldChar w:fldCharType="separate"/>
      </w:r>
      <w:r w:rsidR="002659E5" w:rsidRPr="002659E5">
        <w:rPr>
          <w:noProof/>
          <w:vertAlign w:val="superscript"/>
        </w:rPr>
        <w:t>[227,228,262]</w:t>
      </w:r>
      <w:r w:rsidR="00CC44C6">
        <w:fldChar w:fldCharType="end"/>
      </w:r>
      <w:r w:rsidR="00D956E6">
        <w:t>.</w:t>
      </w:r>
      <w:r w:rsidR="00DC1AFD">
        <w:t xml:space="preserve"> </w:t>
      </w:r>
      <w:r w:rsidR="00DC1AFD">
        <w:rPr>
          <w:rFonts w:ascii="Calibri" w:eastAsia="Times New Roman" w:hAnsi="Calibri" w:cs="Calibri"/>
          <w:szCs w:val="24"/>
          <w:lang w:eastAsia="en-GB"/>
        </w:rPr>
        <w:t>FIB has a built-in gallium ion gun</w:t>
      </w:r>
      <w:r w:rsidR="007C5C6C">
        <w:rPr>
          <w:rFonts w:ascii="Calibri" w:eastAsia="Times New Roman" w:hAnsi="Calibri" w:cs="Calibri"/>
          <w:szCs w:val="24"/>
          <w:lang w:eastAsia="en-GB"/>
        </w:rPr>
        <w:t xml:space="preserve">, and its </w:t>
      </w:r>
      <w:r w:rsidR="009E1A04">
        <w:rPr>
          <w:rFonts w:ascii="Calibri" w:eastAsia="Times New Roman" w:hAnsi="Calibri" w:cs="Calibri"/>
          <w:szCs w:val="24"/>
          <w:lang w:eastAsia="en-GB"/>
        </w:rPr>
        <w:t>ions collide with the atoms of the surface of the sample, causing the sputtering of those atoms and leaving a thin lamella or wedge as a result</w:t>
      </w:r>
      <w:r w:rsidR="007C5C6C">
        <w:rPr>
          <w:rFonts w:ascii="Calibri" w:eastAsia="Times New Roman" w:hAnsi="Calibri" w:cs="Calibri"/>
          <w:szCs w:val="24"/>
          <w:lang w:eastAsia="en-GB"/>
        </w:rPr>
        <w:t xml:space="preserve"> </w:t>
      </w:r>
      <w:r w:rsidR="007C5C6C">
        <w:rPr>
          <w:rFonts w:ascii="Calibri" w:eastAsia="Times New Roman" w:hAnsi="Calibri" w:cs="Calibri"/>
          <w:szCs w:val="24"/>
          <w:lang w:eastAsia="en-GB"/>
        </w:rPr>
        <w:fldChar w:fldCharType="begin" w:fldLock="1"/>
      </w:r>
      <w:r w:rsidR="0058736C">
        <w:rPr>
          <w:rFonts w:ascii="Calibri" w:eastAsia="Times New Roman" w:hAnsi="Calibri" w:cs="Calibri"/>
          <w:szCs w:val="24"/>
          <w:lang w:eastAsia="en-GB"/>
        </w:rPr>
        <w:instrText>ADDIN CSL_CITATION {"citationItems":[{"id":"ITEM-1","itemData":{"DOI":"10.1016/j.abb.2015.02.009","ISBN":"0003-9861","ISSN":"10960384","PMID":"25703192","abstract":"The ability to precisely control the preparation of biological samples for investigations by electron cryo-microscopy is becoming increasingly important for ultrastructural imaging in biology. Precision machining instruments such as the focused ion beam microscope (FIB) were originally developed for applications in materials science. However, today we witness a growing use of these tools in the life sciences mainly due to their versatility, since they can be used both as manipulation and as imaging devices, when complemented with a scanning electron microscope (SEM). The advent of cryo-preparation equipment and accessories made it possible to pursue work on frozen-hydrated biological specimens with these two beam (FIB/SEM) instruments. In structural biology, the cryo-FIB can be used to site-specifically thin vitrified specimens for transmission electron microscopy (TEM) and tomography. Having control over the specimen thickness is a decisive factor for TEM imaging, as the thickness of the object under scrutiny determines the attainable resolution. Besides its use for TEM preparation, the FIB/SEM microscope can be additionally used to obtain three-dimensional volumetric data from biological specimens. The unique combination of an imaging and precision manipulation tool allows sequentially removing material with the ion beam and imaging the milled block faces by scanning with the electron beam, an approach known as FIB/SEM tomography. This review covers both fields of cryo-FIB applications: specimen preparation for TEM cryo-tomography and volume imaging by cryo-FIB/SEM tomography.","author":[{"dropping-particle":"","family":"Rigort","given":"Alexander","non-dropping-particle":"","parse-names":false,"suffix":""},{"dropping-particle":"","family":"Plitzko","given":"Jürgen M.","non-dropping-particle":"","parse-names":false,"suffix":""}],"container-title":"Archives of Biochemistry and Biophysics","id":"ITEM-1","issued":{"date-parts":[["2015"]]},"page":"122-130","publisher":"Elsevier Inc.","title":"Cryo-focused-ion-beam applications in structural biology","type":"article-journal","volume":"581"},"uris":["http://www.mendeley.com/documents/?uuid=cdab58a8-74b6-4264-958d-f2bab4765948"]}],"mendeley":{"formattedCitation":"&lt;sup&gt;[227]&lt;/sup&gt;","plainTextFormattedCitation":"[227]","previouslyFormattedCitation":"&lt;sup&gt;[227]&lt;/sup&gt;"},"properties":{"noteIndex":0},"schema":"https://github.com/citation-style-language/schema/raw/master/csl-citation.json"}</w:instrText>
      </w:r>
      <w:r w:rsidR="007C5C6C">
        <w:rPr>
          <w:rFonts w:ascii="Calibri" w:eastAsia="Times New Roman" w:hAnsi="Calibri" w:cs="Calibri"/>
          <w:szCs w:val="24"/>
          <w:lang w:eastAsia="en-GB"/>
        </w:rPr>
        <w:fldChar w:fldCharType="separate"/>
      </w:r>
      <w:r w:rsidR="002659E5" w:rsidRPr="002659E5">
        <w:rPr>
          <w:rFonts w:ascii="Calibri" w:eastAsia="Times New Roman" w:hAnsi="Calibri" w:cs="Calibri"/>
          <w:noProof/>
          <w:szCs w:val="24"/>
          <w:vertAlign w:val="superscript"/>
          <w:lang w:eastAsia="en-GB"/>
        </w:rPr>
        <w:t>[227]</w:t>
      </w:r>
      <w:r w:rsidR="007C5C6C">
        <w:rPr>
          <w:rFonts w:ascii="Calibri" w:eastAsia="Times New Roman" w:hAnsi="Calibri" w:cs="Calibri"/>
          <w:szCs w:val="24"/>
          <w:lang w:eastAsia="en-GB"/>
        </w:rPr>
        <w:fldChar w:fldCharType="end"/>
      </w:r>
      <w:r w:rsidR="009E1A04">
        <w:rPr>
          <w:rFonts w:ascii="Calibri" w:eastAsia="Times New Roman" w:hAnsi="Calibri" w:cs="Calibri"/>
          <w:szCs w:val="24"/>
          <w:lang w:eastAsia="en-GB"/>
        </w:rPr>
        <w:t>.</w:t>
      </w:r>
      <w:r w:rsidR="007C5C6C">
        <w:rPr>
          <w:rFonts w:ascii="Calibri" w:eastAsia="Times New Roman" w:hAnsi="Calibri" w:cs="Calibri"/>
          <w:szCs w:val="24"/>
          <w:lang w:eastAsia="en-GB"/>
        </w:rPr>
        <w:t xml:space="preserve"> </w:t>
      </w:r>
      <w:r w:rsidR="00B5249C">
        <w:rPr>
          <w:rFonts w:ascii="Calibri" w:eastAsia="Times New Roman" w:hAnsi="Calibri" w:cs="Calibri"/>
          <w:szCs w:val="24"/>
          <w:lang w:eastAsia="en-GB"/>
        </w:rPr>
        <w:t>An attached scanning electron microscope (SEM)</w:t>
      </w:r>
      <w:r w:rsidR="007C5C6C">
        <w:rPr>
          <w:rFonts w:ascii="Calibri" w:eastAsia="Times New Roman" w:hAnsi="Calibri" w:cs="Calibri"/>
          <w:szCs w:val="24"/>
          <w:lang w:eastAsia="en-GB"/>
        </w:rPr>
        <w:t xml:space="preserve"> provides a non-destructive imaging guide to </w:t>
      </w:r>
      <w:r w:rsidR="00912CDB">
        <w:rPr>
          <w:rFonts w:ascii="Calibri" w:eastAsia="Times New Roman" w:hAnsi="Calibri" w:cs="Calibri"/>
          <w:szCs w:val="24"/>
          <w:lang w:eastAsia="en-GB"/>
        </w:rPr>
        <w:t xml:space="preserve">help </w:t>
      </w:r>
      <w:r w:rsidR="007C5C6C">
        <w:rPr>
          <w:rFonts w:ascii="Calibri" w:eastAsia="Times New Roman" w:hAnsi="Calibri" w:cs="Calibri"/>
          <w:szCs w:val="24"/>
          <w:lang w:eastAsia="en-GB"/>
        </w:rPr>
        <w:t>monitor and control the milling. FIB can produce electron-transparent thin-sections from vitrified cells</w:t>
      </w:r>
      <w:r w:rsidR="00912CDB">
        <w:rPr>
          <w:rFonts w:ascii="Calibri" w:eastAsia="Times New Roman" w:hAnsi="Calibri" w:cs="Calibri"/>
          <w:szCs w:val="24"/>
          <w:lang w:eastAsia="en-GB"/>
        </w:rPr>
        <w:t xml:space="preserve"> by FIB-millin</w:t>
      </w:r>
      <w:r w:rsidR="00494003">
        <w:rPr>
          <w:rFonts w:ascii="Calibri" w:eastAsia="Times New Roman" w:hAnsi="Calibri" w:cs="Calibri"/>
          <w:szCs w:val="24"/>
          <w:lang w:eastAsia="en-GB"/>
        </w:rPr>
        <w:t>g</w:t>
      </w:r>
      <w:r w:rsidR="00912CDB">
        <w:rPr>
          <w:rFonts w:ascii="Calibri" w:eastAsia="Times New Roman" w:hAnsi="Calibri" w:cs="Calibri"/>
          <w:szCs w:val="24"/>
          <w:lang w:eastAsia="en-GB"/>
        </w:rPr>
        <w:t xml:space="preserve"> at cryogenic temperatures (cryo-FIB)</w:t>
      </w:r>
      <w:r w:rsidR="007C5C6C">
        <w:rPr>
          <w:rFonts w:ascii="Calibri" w:eastAsia="Times New Roman" w:hAnsi="Calibri" w:cs="Calibri"/>
          <w:szCs w:val="24"/>
          <w:lang w:eastAsia="en-GB"/>
        </w:rPr>
        <w:t xml:space="preserve"> </w:t>
      </w:r>
      <w:r w:rsidR="007C5C6C">
        <w:rPr>
          <w:rFonts w:ascii="Calibri" w:eastAsia="Times New Roman" w:hAnsi="Calibri" w:cs="Calibri"/>
          <w:szCs w:val="24"/>
          <w:lang w:eastAsia="en-GB"/>
        </w:rPr>
        <w:fldChar w:fldCharType="begin" w:fldLock="1"/>
      </w:r>
      <w:r w:rsidR="00B3106D">
        <w:rPr>
          <w:rFonts w:ascii="Calibri" w:eastAsia="Times New Roman" w:hAnsi="Calibri" w:cs="Calibri"/>
          <w:szCs w:val="24"/>
          <w:lang w:eastAsia="en-GB"/>
        </w:rPr>
        <w:instrText>ADDIN CSL_CITATION {"citationItems":[{"id":"ITEM-1","itemData":{"ISBN":"978-0-387-76502-0","author":[{"dropping-particle":"","family":"Williams","given":"David B","non-dropping-particle":"","parse-names":false,"suffix":""},{"dropping-particle":"","family":"Carter","given":"C Barry","non-dropping-particle":"","parse-names":false,"suffix":""}],"edition":"2nd","id":"ITEM-1","issued":{"date-parts":[["2009"]]},"publisher":"Springer","publisher-place":"New York","title":"Transmission Electron Microscopy a Textbook for Material Science","type":"book"},"uris":["http://www.mendeley.com/documents/?uuid=a25888c0-ddc9-4a96-bf1f-7783f04c2dac"]},{"id":"ITEM-2","itemData":{"DOI":"10.1016/j.abb.2015.02.009","ISBN":"0003-9861","ISSN":"10960384","PMID":"25703192","abstract":"The ability to precisely control the preparation of biological samples for investigations by electron cryo-microscopy is becoming increasingly important for ultrastructural imaging in biology. Precision machining instruments such as the focused ion beam microscope (FIB) were originally developed for applications in materials science. However, today we witness a growing use of these tools in the life sciences mainly due to their versatility, since they can be used both as manipulation and as imaging devices, when complemented with a scanning electron microscope (SEM). The advent of cryo-preparation equipment and accessories made it possible to pursue work on frozen-hydrated biological specimens with these two beam (FIB/SEM) instruments. In structural biology, the cryo-FIB can be used to site-specifically thin vitrified specimens for transmission electron microscopy (TEM) and tomography. Having control over the specimen thickness is a decisive factor for TEM imaging, as the thickness of the object under scrutiny determines the attainable resolution. Besides its use for TEM preparation, the FIB/SEM microscope can be additionally used to obtain three-dimensional volumetric data from biological specimens. The unique combination of an imaging and precision manipulation tool allows sequentially removing material with the ion beam and imaging the milled block faces by scanning with the electron beam, an approach known as FIB/SEM tomography. This review covers both fields of cryo-FIB applications: specimen preparation for TEM cryo-tomography and volume imaging by cryo-FIB/SEM tomography.","author":[{"dropping-particle":"","family":"Rigort","given":"Alexander","non-dropping-particle":"","parse-names":false,"suffix":""},{"dropping-particle":"","family":"Plitzko","given":"Jürgen M.","non-dropping-particle":"","parse-names":false,"suffix":""}],"container-title":"Archives of Biochemistry and Biophysics","id":"ITEM-2","issued":{"date-parts":[["2015"]]},"page":"122-130","publisher":"Elsevier Inc.","title":"Cryo-focused-ion-beam applications in structural biology","type":"article-journal","volume":"581"},"uris":["http://www.mendeley.com/documents/?uuid=cdab58a8-74b6-4264-958d-f2bab4765948"]},{"id":"ITEM-3","itemData":{"DOI":"10.1016/j.sbi.2013.08.006","ISBN":"0959-440X","ISSN":"0959440X","PMID":"24090931","abstract":"Cryo-electron tomography (CET) is ideally suited for bridging the resolution gap between molecular and cellular structural studies. However, CET is limited to a sample thickness under 500. nm, which is thinner than most cells. Here, we review a method for preparing cells for CET using focused-ion-beam milling, a technique commonly used in materials science. Adapted to cryogenic conditions, FIB milling can be applied to various cell types to produce samples thin enough for CET that do not present the artefacts typical to other preparation techniques, for example, cryo-ultramicrotomy, effectively opening windows into intact cells. Samples can be produced routinely and reproducibly. The data obtained from CET can be used for structural studies in situ, or to do quantitative cell biology studies, in which cells can be observed at the molecular level under different physiological conditions. © 2013 Elsevier Ltd.","author":[{"dropping-particle":"","family":"Villa","given":"Elizabeth","non-dropping-particle":"","parse-names":false,"suffix":""},{"dropping-particle":"","family":"Schaffer","given":"Miroslava","non-dropping-particle":"","parse-names":false,"suffix":""},{"dropping-particle":"","family":"Plitzko","given":"Jürgen M.","non-dropping-particle":"","parse-names":false,"suffix":""},{"dropping-particle":"","family":"Baumeister","given":"Wolfgang","non-dropping-particle":"","parse-names":false,"suffix":""}],"container-title":"Current Opinion in Structural Biology","id":"ITEM-3","issue":"5","issued":{"date-parts":[["2013"]]},"page":"771-777","title":"Opening windows into the cell: Focused-ion-beam milling for cryo-electron tomography","type":"article","volume":"23"},"uris":["http://www.mendeley.com/documents/?uuid=f7789086-8178-35be-aa61-a88921904879"]}],"mendeley":{"formattedCitation":"&lt;sup&gt;[214,227,228]&lt;/sup&gt;","plainTextFormattedCitation":"[214,227,228]","previouslyFormattedCitation":"&lt;sup&gt;[214,227,228]&lt;/sup&gt;"},"properties":{"noteIndex":0},"schema":"https://github.com/citation-style-language/schema/raw/master/csl-citation.json"}</w:instrText>
      </w:r>
      <w:r w:rsidR="007C5C6C">
        <w:rPr>
          <w:rFonts w:ascii="Calibri" w:eastAsia="Times New Roman" w:hAnsi="Calibri" w:cs="Calibri"/>
          <w:szCs w:val="24"/>
          <w:lang w:eastAsia="en-GB"/>
        </w:rPr>
        <w:fldChar w:fldCharType="separate"/>
      </w:r>
      <w:r w:rsidR="002659E5" w:rsidRPr="002659E5">
        <w:rPr>
          <w:rFonts w:ascii="Calibri" w:eastAsia="Times New Roman" w:hAnsi="Calibri" w:cs="Calibri"/>
          <w:noProof/>
          <w:szCs w:val="24"/>
          <w:vertAlign w:val="superscript"/>
          <w:lang w:eastAsia="en-GB"/>
        </w:rPr>
        <w:t>[214,227,228]</w:t>
      </w:r>
      <w:r w:rsidR="007C5C6C">
        <w:rPr>
          <w:rFonts w:ascii="Calibri" w:eastAsia="Times New Roman" w:hAnsi="Calibri" w:cs="Calibri"/>
          <w:szCs w:val="24"/>
          <w:lang w:eastAsia="en-GB"/>
        </w:rPr>
        <w:fldChar w:fldCharType="end"/>
      </w:r>
      <w:r w:rsidR="00494003">
        <w:rPr>
          <w:rFonts w:ascii="Calibri" w:eastAsia="Times New Roman" w:hAnsi="Calibri" w:cs="Calibri"/>
          <w:szCs w:val="24"/>
          <w:lang w:eastAsia="en-GB"/>
        </w:rPr>
        <w:t>. These advances have generated amazing results proving that FIB-milling can be used on frozen</w:t>
      </w:r>
      <w:r w:rsidR="007C4CF9">
        <w:rPr>
          <w:rFonts w:ascii="Calibri" w:eastAsia="Times New Roman" w:hAnsi="Calibri" w:cs="Calibri"/>
          <w:szCs w:val="24"/>
          <w:lang w:eastAsia="en-GB"/>
        </w:rPr>
        <w:t>-</w:t>
      </w:r>
      <w:r w:rsidR="00494003">
        <w:rPr>
          <w:rFonts w:ascii="Calibri" w:eastAsia="Times New Roman" w:hAnsi="Calibri" w:cs="Calibri"/>
          <w:szCs w:val="24"/>
          <w:lang w:eastAsia="en-GB"/>
        </w:rPr>
        <w:t>hydrated bacterial samples for further analysis with cryo-TEM and cryo-electron tomogra</w:t>
      </w:r>
      <w:r w:rsidR="00D737BB">
        <w:rPr>
          <w:rFonts w:ascii="Calibri" w:eastAsia="Times New Roman" w:hAnsi="Calibri" w:cs="Calibri"/>
          <w:szCs w:val="24"/>
          <w:lang w:eastAsia="en-GB"/>
        </w:rPr>
        <w:t>phy</w:t>
      </w:r>
      <w:r w:rsidR="00494003">
        <w:rPr>
          <w:rFonts w:ascii="Calibri" w:eastAsia="Times New Roman" w:hAnsi="Calibri" w:cs="Calibri"/>
          <w:szCs w:val="24"/>
          <w:lang w:eastAsia="en-GB"/>
        </w:rPr>
        <w:t xml:space="preserve"> (cryo-ET)</w:t>
      </w:r>
      <w:r w:rsidR="00D737BB">
        <w:rPr>
          <w:rFonts w:ascii="Calibri" w:eastAsia="Times New Roman" w:hAnsi="Calibri" w:cs="Calibri"/>
          <w:szCs w:val="24"/>
          <w:lang w:eastAsia="en-GB"/>
        </w:rPr>
        <w:t xml:space="preserve"> </w:t>
      </w:r>
      <w:r w:rsidR="00D737BB">
        <w:rPr>
          <w:rFonts w:ascii="Calibri" w:eastAsia="Times New Roman" w:hAnsi="Calibri" w:cs="Calibri"/>
          <w:szCs w:val="24"/>
          <w:lang w:eastAsia="en-GB"/>
        </w:rPr>
        <w:fldChar w:fldCharType="begin" w:fldLock="1"/>
      </w:r>
      <w:r w:rsidR="0058736C">
        <w:rPr>
          <w:rFonts w:ascii="Calibri" w:eastAsia="Times New Roman" w:hAnsi="Calibri" w:cs="Calibri"/>
          <w:szCs w:val="24"/>
          <w:lang w:eastAsia="en-GB"/>
        </w:rPr>
        <w:instrText>ADDIN CSL_CITATION {"citationItems":[{"id":"ITEM-1","itemData":{"DOI":"10.1038/nmeth1014","ISBN":"1548-7091 (Print)\\n1548-7091 (Linking)","ISSN":"15487091","PMID":"17277781","abstract":"Cryo-electron microscopy can provide high-resolution structural information about cells and organelles in the nearly native, frozen-hydrated state. Applicability, however, is limited by difficulties encountered in preparing suitably thin, vitreously frozen biological specimens. We demonstrate, by cryo-electron tomography of Escherichia coli cells, that a focused ion beam (FIB) can be used to thin whole frozen-hydrated cells in a convenient and essentially artifact-free way.","author":[{"dropping-particle":"","family":"Marko","given":"Michael","non-dropping-particle":"","parse-names":false,"suffix":""},{"dropping-particle":"","family":"Hsieh","given":"Chyongere","non-dropping-particle":"","parse-names":false,"suffix":""},{"dropping-particle":"","family":"Schalek","given":"Richard","non-dropping-particle":"","parse-names":false,"suffix":""},{"dropping-particle":"","family":"Frank","given":"Joachim","non-dropping-particle":"","parse-names":false,"suffix":""},{"dropping-particle":"","family":"Mannella","given":"Carmen","non-dropping-particle":"","parse-names":false,"suffix":""}],"container-title":"Nature Methods","id":"ITEM-1","issue":"3","issued":{"date-parts":[["2007"]]},"page":"215-217","title":"Focused-ion-beam thinning of frozen-hydrated biological specimens for cryo-electron microscopy","type":"article-journal","volume":"4"},"uris":["http://www.mendeley.com/documents/?uuid=9033e97e-bb67-4575-b0b1-a939709c9b64"]}],"mendeley":{"formattedCitation":"&lt;sup&gt;[263]&lt;/sup&gt;","plainTextFormattedCitation":"[263]","previouslyFormattedCitation":"&lt;sup&gt;[263]&lt;/sup&gt;"},"properties":{"noteIndex":0},"schema":"https://github.com/citation-style-language/schema/raw/master/csl-citation.json"}</w:instrText>
      </w:r>
      <w:r w:rsidR="00D737BB">
        <w:rPr>
          <w:rFonts w:ascii="Calibri" w:eastAsia="Times New Roman" w:hAnsi="Calibri" w:cs="Calibri"/>
          <w:szCs w:val="24"/>
          <w:lang w:eastAsia="en-GB"/>
        </w:rPr>
        <w:fldChar w:fldCharType="separate"/>
      </w:r>
      <w:r w:rsidR="002659E5" w:rsidRPr="002659E5">
        <w:rPr>
          <w:rFonts w:ascii="Calibri" w:eastAsia="Times New Roman" w:hAnsi="Calibri" w:cs="Calibri"/>
          <w:noProof/>
          <w:szCs w:val="24"/>
          <w:vertAlign w:val="superscript"/>
          <w:lang w:eastAsia="en-GB"/>
        </w:rPr>
        <w:t>[263]</w:t>
      </w:r>
      <w:r w:rsidR="00D737BB">
        <w:rPr>
          <w:rFonts w:ascii="Calibri" w:eastAsia="Times New Roman" w:hAnsi="Calibri" w:cs="Calibri"/>
          <w:szCs w:val="24"/>
          <w:lang w:eastAsia="en-GB"/>
        </w:rPr>
        <w:fldChar w:fldCharType="end"/>
      </w:r>
      <w:r w:rsidR="00D737BB">
        <w:rPr>
          <w:rFonts w:ascii="Calibri" w:eastAsia="Times New Roman" w:hAnsi="Calibri" w:cs="Calibri"/>
          <w:szCs w:val="24"/>
          <w:lang w:eastAsia="en-GB"/>
        </w:rPr>
        <w:t xml:space="preserve">. However, this technique is a technically difficult manual technique that is very time-consuming and of very low-throughput </w:t>
      </w:r>
      <w:r w:rsidR="00DE076C">
        <w:rPr>
          <w:rFonts w:ascii="Calibri" w:eastAsia="Times New Roman" w:hAnsi="Calibri" w:cs="Calibri"/>
          <w:szCs w:val="24"/>
          <w:lang w:eastAsia="en-GB"/>
        </w:rPr>
        <w:fldChar w:fldCharType="begin" w:fldLock="1"/>
      </w:r>
      <w:r w:rsidR="009D34AE">
        <w:rPr>
          <w:rFonts w:ascii="Calibri" w:eastAsia="Times New Roman" w:hAnsi="Calibri" w:cs="Calibri"/>
          <w:szCs w:val="24"/>
          <w:lang w:eastAsia="en-GB"/>
        </w:rPr>
        <w:instrText>ADDIN CSL_CITATION {"citationItems":[{"id":"ITEM-1","itemData":{"DOI":"10.7554/eLife.52286","ISSN":"2050084X","PMID":"32149604","abstract":"Cryo-electron tomography (cryoET) has become a powerful technique at the interface of structural biology and cell biology, due to its unique ability for imaging cells in their native state and determining structures of macromolecular complexes in their cellular context. A limitation of cryoET is its restriction to relatively thin samples. Sample thinning by cryo-focused ion beam (cryoFIB) milling has significantly expanded the range of samples that can be analyzed by cryoET. Unfortunately, cryoFIB milling is low-throughput, time-consuming and manual. Here, we report a method for fully automated sequential cryoFIB preparation of high-quality lamellae, including rough milling and polishing. We reproducibly applied this method to eukaryotic and bacterial model organisms, and show that the resulting lamellae are suitable for cryoET imaging and subtomogram averaging. Since our method reduces the time required for lamella preparation and minimizes the need for user input, we envision the technique will render previously inaccessible projects feasible.","author":[{"dropping-particle":"","family":"Zachs","given":"Tobias","non-dropping-particle":"","parse-names":false,"suffix":""},{"dropping-particle":"","family":"Schertel","given":"Andreas","non-dropping-particle":"","parse-names":false,"suffix":""},{"dropping-particle":"","family":"Medeiros","given":"João","non-dropping-particle":"","parse-names":false,"suffix":""},{"dropping-particle":"","family":"Weiss","given":"Gregor L.","non-dropping-particle":"","parse-names":false,"suffix":""},{"dropping-particle":"","family":"Hugener","given":"Jannik","non-dropping-particle":"","parse-names":false,"suffix":""},{"dropping-particle":"","family":"Matos","given":"Joao","non-dropping-particle":"","parse-names":false,"suffix":""},{"dropping-particle":"","family":"Pilhofer","given":"Martin","non-dropping-particle":"","parse-names":false,"suffix":""}],"container-title":"eLife","id":"ITEM-1","issue":"e52286","issued":{"date-parts":[["2020","3","1"]]},"page":"1-14","publisher":"eLife Sciences Publications Ltd","title":"Fully automated, sequential focused ion beam milling for cryo-electron tomography","type":"article-journal","volume":"9"},"uris":["http://www.mendeley.com/documents/?uuid=f393e2d6-b35d-3a8a-befa-ae5775cb3444"]}],"mendeley":{"formattedCitation":"&lt;sup&gt;[264]&lt;/sup&gt;","plainTextFormattedCitation":"[264]","previouslyFormattedCitation":"&lt;sup&gt;[264]&lt;/sup&gt;"},"properties":{"noteIndex":0},"schema":"https://github.com/citation-style-language/schema/raw/master/csl-citation.json"}</w:instrText>
      </w:r>
      <w:r w:rsidR="00DE076C">
        <w:rPr>
          <w:rFonts w:ascii="Calibri" w:eastAsia="Times New Roman" w:hAnsi="Calibri" w:cs="Calibri"/>
          <w:szCs w:val="24"/>
          <w:lang w:eastAsia="en-GB"/>
        </w:rPr>
        <w:fldChar w:fldCharType="separate"/>
      </w:r>
      <w:r w:rsidR="002659E5" w:rsidRPr="002659E5">
        <w:rPr>
          <w:rFonts w:ascii="Calibri" w:eastAsia="Times New Roman" w:hAnsi="Calibri" w:cs="Calibri"/>
          <w:noProof/>
          <w:szCs w:val="24"/>
          <w:vertAlign w:val="superscript"/>
          <w:lang w:eastAsia="en-GB"/>
        </w:rPr>
        <w:t>[264]</w:t>
      </w:r>
      <w:r w:rsidR="00DE076C">
        <w:rPr>
          <w:rFonts w:ascii="Calibri" w:eastAsia="Times New Roman" w:hAnsi="Calibri" w:cs="Calibri"/>
          <w:szCs w:val="24"/>
          <w:lang w:eastAsia="en-GB"/>
        </w:rPr>
        <w:fldChar w:fldCharType="end"/>
      </w:r>
      <w:r w:rsidR="00D737BB">
        <w:rPr>
          <w:rFonts w:ascii="Calibri" w:eastAsia="Times New Roman" w:hAnsi="Calibri" w:cs="Calibri"/>
          <w:szCs w:val="24"/>
          <w:lang w:eastAsia="en-GB"/>
        </w:rPr>
        <w:t xml:space="preserve">. </w:t>
      </w:r>
      <w:r w:rsidR="00404F29">
        <w:rPr>
          <w:rFonts w:ascii="Calibri" w:eastAsia="Times New Roman" w:hAnsi="Calibri" w:cs="Calibri"/>
          <w:szCs w:val="24"/>
          <w:lang w:eastAsia="en-GB"/>
        </w:rPr>
        <w:t xml:space="preserve">In addition, lamella transfer from the cryo-FIB to the cryo-EM often results in contamination and devitrification of the amorphous ice, which further reduced the throughput </w:t>
      </w:r>
      <w:r w:rsidR="00404F29">
        <w:rPr>
          <w:rFonts w:ascii="Calibri" w:eastAsia="Times New Roman" w:hAnsi="Calibri" w:cs="Calibri"/>
          <w:szCs w:val="24"/>
          <w:lang w:eastAsia="en-GB"/>
        </w:rPr>
        <w:fldChar w:fldCharType="begin" w:fldLock="1"/>
      </w:r>
      <w:r w:rsidR="0058736C">
        <w:rPr>
          <w:rFonts w:ascii="Calibri" w:eastAsia="Times New Roman" w:hAnsi="Calibri" w:cs="Calibri"/>
          <w:szCs w:val="24"/>
          <w:lang w:eastAsia="en-GB"/>
        </w:rPr>
        <w:instrText>ADDIN CSL_CITATION {"citationItems":[{"id":"ITEM-1","itemData":{"DOI":"10.1111/j.1365-2818.2012.03635.x","ISSN":"00222720","PMID":"22906009","abstract":"Focused ion beam milling at cryogenic temperatures (cryo-FIB) is a valuable tool that can be used to thin vitreous biological specimens for subsequent imaging and analysis by cryo-transmission electron microscopy (cryo-TEM) in a frozen-hydrated state. This technique offers the potential benefit of eliminating the mechanical artefacts that are typically found with cryo-ultramicrotomy. However, due to the additional complexity in transferring samples in and out of the FIB, contamination and devitrification of the amorphous ice is commonly encountered. To address these problems, we have designed a sample cryo-shuttle that directly and specifically accepts Polara TEM cartridges to simplify the transfer process between FIB and TEM. We optimized several parameters in the cryo-FIB and cryo-TEM processes using the quality of the samples' ice as an indicator and demonstrated high-quality milling with large mammalian cells. By comparing the results from HeLa cells to those from Escherichia coli cells, we discuss some of the artefacts and challenges we have encountered using this technique. © 2012 Royal Microscopical Society.","author":[{"dropping-particle":"","family":"Strunk","given":"K. M.","non-dropping-particle":"","parse-names":false,"suffix":""},{"dropping-particle":"","family":"Wang","given":"K.","non-dropping-particle":"","parse-names":false,"suffix":""},{"dropping-particle":"","family":"Ke","given":"D.","non-dropping-particle":"","parse-names":false,"suffix":""},{"dropping-particle":"","family":"Gray","given":"J. L.","non-dropping-particle":"","parse-names":false,"suffix":""},{"dropping-particle":"","family":"Zhang","given":"P.","non-dropping-particle":"","parse-names":false,"suffix":""}],"container-title":"Journal of Microscopy","id":"ITEM-1","issue":"3","issued":{"date-parts":[["2012","9"]]},"page":"220-227","publisher":"NIH Public Access","title":"Thinning of large mammalian cells for cryo-tem characterization by cryo-fib milling","type":"article-journal","volume":"247"},"uris":["http://www.mendeley.com/documents/?uuid=dbfc3cc6-6e7c-35b4-bd49-433ee8e431a5"]}],"mendeley":{"formattedCitation":"&lt;sup&gt;[265]&lt;/sup&gt;","plainTextFormattedCitation":"[265]","previouslyFormattedCitation":"&lt;sup&gt;[265]&lt;/sup&gt;"},"properties":{"noteIndex":0},"schema":"https://github.com/citation-style-language/schema/raw/master/csl-citation.json"}</w:instrText>
      </w:r>
      <w:r w:rsidR="00404F29">
        <w:rPr>
          <w:rFonts w:ascii="Calibri" w:eastAsia="Times New Roman" w:hAnsi="Calibri" w:cs="Calibri"/>
          <w:szCs w:val="24"/>
          <w:lang w:eastAsia="en-GB"/>
        </w:rPr>
        <w:fldChar w:fldCharType="separate"/>
      </w:r>
      <w:r w:rsidR="002659E5" w:rsidRPr="002659E5">
        <w:rPr>
          <w:rFonts w:ascii="Calibri" w:eastAsia="Times New Roman" w:hAnsi="Calibri" w:cs="Calibri"/>
          <w:noProof/>
          <w:szCs w:val="24"/>
          <w:vertAlign w:val="superscript"/>
          <w:lang w:eastAsia="en-GB"/>
        </w:rPr>
        <w:t>[265]</w:t>
      </w:r>
      <w:r w:rsidR="00404F29">
        <w:rPr>
          <w:rFonts w:ascii="Calibri" w:eastAsia="Times New Roman" w:hAnsi="Calibri" w:cs="Calibri"/>
          <w:szCs w:val="24"/>
          <w:lang w:eastAsia="en-GB"/>
        </w:rPr>
        <w:fldChar w:fldCharType="end"/>
      </w:r>
      <w:r w:rsidR="00404F29">
        <w:rPr>
          <w:rFonts w:ascii="Calibri" w:eastAsia="Times New Roman" w:hAnsi="Calibri" w:cs="Calibri"/>
          <w:szCs w:val="24"/>
          <w:lang w:eastAsia="en-GB"/>
        </w:rPr>
        <w:t xml:space="preserve">. </w:t>
      </w:r>
      <w:r w:rsidR="00D737BB">
        <w:rPr>
          <w:rFonts w:ascii="Calibri" w:eastAsia="Times New Roman" w:hAnsi="Calibri" w:cs="Calibri"/>
          <w:szCs w:val="24"/>
          <w:lang w:eastAsia="en-GB"/>
        </w:rPr>
        <w:t xml:space="preserve">Luckily, </w:t>
      </w:r>
      <w:r w:rsidR="00404F29">
        <w:rPr>
          <w:rFonts w:ascii="Calibri" w:eastAsia="Times New Roman" w:hAnsi="Calibri" w:cs="Calibri"/>
          <w:szCs w:val="24"/>
          <w:lang w:eastAsia="en-GB"/>
        </w:rPr>
        <w:t xml:space="preserve">new </w:t>
      </w:r>
      <w:r w:rsidR="00D737BB">
        <w:rPr>
          <w:rFonts w:ascii="Calibri" w:eastAsia="Times New Roman" w:hAnsi="Calibri" w:cs="Calibri"/>
          <w:szCs w:val="24"/>
          <w:lang w:eastAsia="en-GB"/>
        </w:rPr>
        <w:t xml:space="preserve">fully-automated cryo-FIB methods </w:t>
      </w:r>
      <w:r w:rsidR="00404F29">
        <w:rPr>
          <w:rFonts w:ascii="Calibri" w:eastAsia="Times New Roman" w:hAnsi="Calibri" w:cs="Calibri"/>
          <w:szCs w:val="24"/>
          <w:lang w:eastAsia="en-GB"/>
        </w:rPr>
        <w:t xml:space="preserve">and </w:t>
      </w:r>
      <w:r w:rsidR="00072BBA">
        <w:rPr>
          <w:rFonts w:ascii="Calibri" w:eastAsia="Times New Roman" w:hAnsi="Calibri" w:cs="Calibri"/>
          <w:szCs w:val="24"/>
          <w:lang w:eastAsia="en-GB"/>
        </w:rPr>
        <w:t xml:space="preserve">transfer solutions </w:t>
      </w:r>
      <w:r w:rsidR="00404F29">
        <w:rPr>
          <w:rFonts w:ascii="Calibri" w:eastAsia="Times New Roman" w:hAnsi="Calibri" w:cs="Calibri"/>
          <w:szCs w:val="24"/>
          <w:lang w:eastAsia="en-GB"/>
        </w:rPr>
        <w:t xml:space="preserve">adaptations </w:t>
      </w:r>
      <w:r w:rsidR="00D737BB">
        <w:rPr>
          <w:rFonts w:ascii="Calibri" w:eastAsia="Times New Roman" w:hAnsi="Calibri" w:cs="Calibri"/>
          <w:szCs w:val="24"/>
          <w:lang w:eastAsia="en-GB"/>
        </w:rPr>
        <w:t>are starting to be put into practise and</w:t>
      </w:r>
      <w:r w:rsidR="000F6F63">
        <w:rPr>
          <w:rFonts w:ascii="Calibri" w:eastAsia="Times New Roman" w:hAnsi="Calibri" w:cs="Calibri"/>
          <w:szCs w:val="24"/>
          <w:lang w:eastAsia="en-GB"/>
        </w:rPr>
        <w:t xml:space="preserve"> </w:t>
      </w:r>
      <w:r w:rsidR="00C46EA5">
        <w:rPr>
          <w:rFonts w:ascii="Calibri" w:eastAsia="Times New Roman" w:hAnsi="Calibri" w:cs="Calibri"/>
          <w:szCs w:val="24"/>
          <w:lang w:eastAsia="en-GB"/>
        </w:rPr>
        <w:t xml:space="preserve">will </w:t>
      </w:r>
      <w:r w:rsidR="000F6F63">
        <w:rPr>
          <w:rFonts w:ascii="Calibri" w:eastAsia="Times New Roman" w:hAnsi="Calibri" w:cs="Calibri"/>
          <w:szCs w:val="24"/>
          <w:lang w:eastAsia="en-GB"/>
        </w:rPr>
        <w:t>change the way that frozen-hydrated samples are analysed</w:t>
      </w:r>
      <w:r w:rsidR="00DE076C">
        <w:rPr>
          <w:rFonts w:ascii="Calibri" w:eastAsia="Times New Roman" w:hAnsi="Calibri" w:cs="Calibri"/>
          <w:szCs w:val="24"/>
          <w:lang w:eastAsia="en-GB"/>
        </w:rPr>
        <w:t xml:space="preserve"> </w:t>
      </w:r>
      <w:r w:rsidR="00DE076C">
        <w:rPr>
          <w:rFonts w:ascii="Calibri" w:eastAsia="Times New Roman" w:hAnsi="Calibri" w:cs="Calibri"/>
          <w:szCs w:val="24"/>
          <w:lang w:eastAsia="en-GB"/>
        </w:rPr>
        <w:fldChar w:fldCharType="begin" w:fldLock="1"/>
      </w:r>
      <w:r w:rsidR="009D34AE">
        <w:rPr>
          <w:rFonts w:ascii="Calibri" w:eastAsia="Times New Roman" w:hAnsi="Calibri" w:cs="Calibri"/>
          <w:szCs w:val="24"/>
          <w:lang w:eastAsia="en-GB"/>
        </w:rPr>
        <w:instrText>ADDIN CSL_CITATION {"citationItems":[{"id":"ITEM-1","itemData":{"DOI":"10.7554/eLife.52286","ISSN":"2050084X","PMID":"32149604","abstract":"Cryo-electron tomography (cryoET) has become a powerful technique at the interface of structural biology and cell biology, due to its unique ability for imaging cells in their native state and determining structures of macromolecular complexes in their cellular context. A limitation of cryoET is its restriction to relatively thin samples. Sample thinning by cryo-focused ion beam (cryoFIB) milling has significantly expanded the range of samples that can be analyzed by cryoET. Unfortunately, cryoFIB milling is low-throughput, time-consuming and manual. Here, we report a method for fully automated sequential cryoFIB preparation of high-quality lamellae, including rough milling and polishing. We reproducibly applied this method to eukaryotic and bacterial model organisms, and show that the resulting lamellae are suitable for cryoET imaging and subtomogram averaging. Since our method reduces the time required for lamella preparation and minimizes the need for user input, we envision the technique will render previously inaccessible projects feasible.","author":[{"dropping-particle":"","family":"Zachs","given":"Tobias","non-dropping-particle":"","parse-names":false,"suffix":""},{"dropping-particle":"","family":"Schertel","given":"Andreas","non-dropping-particle":"","parse-names":false,"suffix":""},{"dropping-particle":"","family":"Medeiros","given":"João","non-dropping-particle":"","parse-names":false,"suffix":""},{"dropping-particle":"","family":"Weiss","given":"Gregor L.","non-dropping-particle":"","parse-names":false,"suffix":""},{"dropping-particle":"","family":"Hugener","given":"Jannik","non-dropping-particle":"","parse-names":false,"suffix":""},{"dropping-particle":"","family":"Matos","given":"Joao","non-dropping-particle":"","parse-names":false,"suffix":""},{"dropping-particle":"","family":"Pilhofer","given":"Martin","non-dropping-particle":"","parse-names":false,"suffix":""}],"container-title":"eLife","id":"ITEM-1","issue":"e52286","issued":{"date-parts":[["2020","3","1"]]},"page":"1-14","publisher":"eLife Sciences Publications Ltd","title":"Fully automated, sequential focused ion beam milling for cryo-electron tomography","type":"article-journal","volume":"9"},"uris":["http://www.mendeley.com/documents/?uuid=f393e2d6-b35d-3a8a-befa-ae5775cb3444"]},{"id":"ITEM-2","itemData":{"DOI":"10.1111/j.1365-2818.2012.03635.x","ISSN":"00222720","PMID":"22906009","abstract":"Focused ion beam milling at cryogenic temperatures (cryo-FIB) is a valuable tool that can be used to thin vitreous biological specimens for subsequent imaging and analysis by cryo-transmission electron microscopy (cryo-TEM) in a frozen-hydrated state. This technique offers the potential benefit of eliminating the mechanical artefacts that are typically found with cryo-ultramicrotomy. However, due to the additional complexity in transferring samples in and out of the FIB, contamination and devitrification of the amorphous ice is commonly encountered. To address these problems, we have designed a sample cryo-shuttle that directly and specifically accepts Polara TEM cartridges to simplify the transfer process between FIB and TEM. We optimized several parameters in the cryo-FIB and cryo-TEM processes using the quality of the samples' ice as an indicator and demonstrated high-quality milling with large mammalian cells. By comparing the results from HeLa cells to those from Escherichia coli cells, we discuss some of the artefacts and challenges we have encountered using this technique. © 2012 Royal Microscopical Society.","author":[{"dropping-particle":"","family":"Strunk","given":"K. M.","non-dropping-particle":"","parse-names":false,"suffix":""},{"dropping-particle":"","family":"Wang","given":"K.","non-dropping-particle":"","parse-names":false,"suffix":""},{"dropping-particle":"","family":"Ke","given":"D.","non-dropping-particle":"","parse-names":false,"suffix":""},{"dropping-particle":"","family":"Gray","given":"J. L.","non-dropping-particle":"","parse-names":false,"suffix":""},{"dropping-particle":"","family":"Zhang","given":"P.","non-dropping-particle":"","parse-names":false,"suffix":""}],"container-title":"Journal of Microscopy","id":"ITEM-2","issue":"3","issued":{"date-parts":[["2012","9"]]},"page":"220-227","publisher":"NIH Public Access","title":"Thinning of large mammalian cells for cryo-tem characterization by cryo-fib milling","type":"article-journal","volume":"247"},"uris":["http://www.mendeley.com/documents/?uuid=dbfc3cc6-6e7c-35b4-bd49-433ee8e431a5"]}],"mendeley":{"formattedCitation":"&lt;sup&gt;[264,265]&lt;/sup&gt;","plainTextFormattedCitation":"[264,265]","previouslyFormattedCitation":"&lt;sup&gt;[264,265]&lt;/sup&gt;"},"properties":{"noteIndex":0},"schema":"https://github.com/citation-style-language/schema/raw/master/csl-citation.json"}</w:instrText>
      </w:r>
      <w:r w:rsidR="00DE076C">
        <w:rPr>
          <w:rFonts w:ascii="Calibri" w:eastAsia="Times New Roman" w:hAnsi="Calibri" w:cs="Calibri"/>
          <w:szCs w:val="24"/>
          <w:lang w:eastAsia="en-GB"/>
        </w:rPr>
        <w:fldChar w:fldCharType="separate"/>
      </w:r>
      <w:r w:rsidR="002659E5" w:rsidRPr="002659E5">
        <w:rPr>
          <w:rFonts w:ascii="Calibri" w:eastAsia="Times New Roman" w:hAnsi="Calibri" w:cs="Calibri"/>
          <w:noProof/>
          <w:szCs w:val="24"/>
          <w:vertAlign w:val="superscript"/>
          <w:lang w:eastAsia="en-GB"/>
        </w:rPr>
        <w:t>[264,265]</w:t>
      </w:r>
      <w:r w:rsidR="00DE076C">
        <w:rPr>
          <w:rFonts w:ascii="Calibri" w:eastAsia="Times New Roman" w:hAnsi="Calibri" w:cs="Calibri"/>
          <w:szCs w:val="24"/>
          <w:lang w:eastAsia="en-GB"/>
        </w:rPr>
        <w:fldChar w:fldCharType="end"/>
      </w:r>
      <w:r w:rsidR="00DE076C">
        <w:rPr>
          <w:rFonts w:ascii="Calibri" w:eastAsia="Times New Roman" w:hAnsi="Calibri" w:cs="Calibri"/>
          <w:szCs w:val="24"/>
          <w:lang w:eastAsia="en-GB"/>
        </w:rPr>
        <w:t>.</w:t>
      </w:r>
    </w:p>
    <w:p w14:paraId="49DAFC29" w14:textId="0CC5B562" w:rsidR="00073100" w:rsidRDefault="00073100" w:rsidP="00073100">
      <w:pPr>
        <w:pStyle w:val="Heading3"/>
      </w:pPr>
      <w:bookmarkStart w:id="484" w:name="_Toc90216862"/>
      <w:r>
        <w:t>Aims of this chapter</w:t>
      </w:r>
      <w:r w:rsidR="007006CC">
        <w:t>.</w:t>
      </w:r>
      <w:bookmarkEnd w:id="484"/>
    </w:p>
    <w:p w14:paraId="14E81CD5" w14:textId="5A5EDC67" w:rsidR="00761F9D" w:rsidRDefault="00761F9D" w:rsidP="00761F9D">
      <w:r>
        <w:t xml:space="preserve">The aim of this chapter </w:t>
      </w:r>
      <w:r w:rsidR="00B95B35">
        <w:t>was</w:t>
      </w:r>
      <w:r>
        <w:t xml:space="preserve"> to test and develop the best </w:t>
      </w:r>
      <w:r w:rsidR="00512579">
        <w:t xml:space="preserve">electron microscopy </w:t>
      </w:r>
      <w:r>
        <w:t>meth</w:t>
      </w:r>
      <w:r w:rsidR="00512579">
        <w:t>o</w:t>
      </w:r>
      <w:r>
        <w:t xml:space="preserve">ds for imaging and studying the </w:t>
      </w:r>
      <w:r w:rsidR="00BC3D5D">
        <w:t>bacterial envelope</w:t>
      </w:r>
      <w:r>
        <w:t>.</w:t>
      </w:r>
      <w:r w:rsidR="002C4C33">
        <w:t xml:space="preserve"> A breakdown of the aims </w:t>
      </w:r>
      <w:r w:rsidR="003A5910">
        <w:t>were</w:t>
      </w:r>
      <w:r w:rsidR="002C4C33">
        <w:t xml:space="preserve"> as follows:</w:t>
      </w:r>
    </w:p>
    <w:p w14:paraId="468D84C3" w14:textId="3C421325" w:rsidR="003B2758" w:rsidRDefault="003B2758" w:rsidP="00A13E6F">
      <w:pPr>
        <w:pStyle w:val="ListParagraph"/>
        <w:numPr>
          <w:ilvl w:val="0"/>
          <w:numId w:val="7"/>
        </w:numPr>
      </w:pPr>
      <w:r>
        <w:t>Select the best technique for morphological quantification</w:t>
      </w:r>
      <w:r w:rsidR="000B5F0D">
        <w:t>.</w:t>
      </w:r>
    </w:p>
    <w:p w14:paraId="4DE546BC" w14:textId="77777777" w:rsidR="000B5F0D" w:rsidRDefault="000B5F0D" w:rsidP="000B5F0D">
      <w:pPr>
        <w:pStyle w:val="ListParagraph"/>
        <w:ind w:left="720"/>
      </w:pPr>
    </w:p>
    <w:p w14:paraId="7CBD2C0A" w14:textId="7D37C6C9" w:rsidR="000B5F0D" w:rsidRDefault="002C4C33" w:rsidP="000B5F0D">
      <w:pPr>
        <w:pStyle w:val="ListParagraph"/>
        <w:numPr>
          <w:ilvl w:val="0"/>
          <w:numId w:val="7"/>
        </w:numPr>
      </w:pPr>
      <w:r>
        <w:t xml:space="preserve">Try different EM techniques for </w:t>
      </w:r>
      <w:r w:rsidR="00512579">
        <w:t xml:space="preserve">a detailed </w:t>
      </w:r>
      <w:r>
        <w:t xml:space="preserve">studying the </w:t>
      </w:r>
      <w:r w:rsidR="00BC3D5D">
        <w:t xml:space="preserve">cell envelope, with focus on the </w:t>
      </w:r>
      <w:r>
        <w:t>exoplasm</w:t>
      </w:r>
      <w:r w:rsidR="000B5F0D">
        <w:t>.</w:t>
      </w:r>
    </w:p>
    <w:p w14:paraId="4A88CA14" w14:textId="77777777" w:rsidR="000B5F0D" w:rsidRDefault="000B5F0D" w:rsidP="000B5F0D">
      <w:pPr>
        <w:pStyle w:val="ListParagraph"/>
        <w:ind w:left="720"/>
      </w:pPr>
    </w:p>
    <w:p w14:paraId="49946015" w14:textId="28D1F3A8" w:rsidR="002C4C33" w:rsidRDefault="002C4C33" w:rsidP="00A13E6F">
      <w:pPr>
        <w:pStyle w:val="ListParagraph"/>
        <w:numPr>
          <w:ilvl w:val="0"/>
          <w:numId w:val="7"/>
        </w:numPr>
      </w:pPr>
      <w:r>
        <w:t>Optimise and troubleshoot for best results</w:t>
      </w:r>
      <w:r w:rsidR="000B5F0D">
        <w:t>.</w:t>
      </w:r>
    </w:p>
    <w:p w14:paraId="733322F2" w14:textId="77777777" w:rsidR="000F0EC0" w:rsidRDefault="000F0EC0" w:rsidP="000F0EC0">
      <w:pPr>
        <w:pStyle w:val="ListParagraph"/>
      </w:pPr>
    </w:p>
    <w:p w14:paraId="3C77FB56" w14:textId="77777777" w:rsidR="000F0EC0" w:rsidRDefault="000F0EC0" w:rsidP="000F0EC0">
      <w:pPr>
        <w:sectPr w:rsidR="000F0EC0" w:rsidSect="004D0E05">
          <w:pgSz w:w="11906" w:h="16838"/>
          <w:pgMar w:top="1191" w:right="1247" w:bottom="1191" w:left="1247" w:header="709" w:footer="709" w:gutter="0"/>
          <w:cols w:space="708"/>
          <w:titlePg/>
          <w:docGrid w:linePitch="360"/>
        </w:sectPr>
      </w:pPr>
    </w:p>
    <w:p w14:paraId="05B9EC3B" w14:textId="0AB79AB7" w:rsidR="000B63AA" w:rsidRDefault="000B63AA" w:rsidP="004B0C7E">
      <w:pPr>
        <w:pStyle w:val="Heading2"/>
      </w:pPr>
      <w:bookmarkStart w:id="485" w:name="_Ref71888512"/>
      <w:bookmarkStart w:id="486" w:name="_Toc90216863"/>
      <w:bookmarkStart w:id="487" w:name="_Toc64276347"/>
      <w:bookmarkStart w:id="488" w:name="_Toc64276651"/>
      <w:bookmarkStart w:id="489" w:name="_Toc64276863"/>
      <w:r>
        <w:lastRenderedPageBreak/>
        <w:t>Cross-sectioning for detailed analysis of the bacterial envelope.</w:t>
      </w:r>
      <w:bookmarkEnd w:id="485"/>
      <w:bookmarkEnd w:id="486"/>
    </w:p>
    <w:p w14:paraId="62463586" w14:textId="3D648FEF" w:rsidR="006A6EFF" w:rsidRDefault="004D1BE6" w:rsidP="006A6EFF">
      <w:r>
        <w:t xml:space="preserve">A microscopy technique that provides structural detail is necessary for categorisation and morphological quantification of bacterial samples. </w:t>
      </w:r>
      <w:r w:rsidR="006A6EFF">
        <w:t>Fluorescence structured illumination</w:t>
      </w:r>
      <w:r w:rsidR="000C166B">
        <w:t xml:space="preserve"> microscopy</w:t>
      </w:r>
      <w:r w:rsidR="006A6EFF">
        <w:t xml:space="preserve"> (SIM), is </w:t>
      </w:r>
      <w:r w:rsidR="005217A4">
        <w:t xml:space="preserve">widely </w:t>
      </w:r>
      <w:r w:rsidR="006A6EFF">
        <w:t xml:space="preserve">used for </w:t>
      </w:r>
      <w:r w:rsidR="001541E5">
        <w:t xml:space="preserve">the localisation of labelled-subcellular components, </w:t>
      </w:r>
      <w:r w:rsidR="006A6EFF" w:rsidRPr="00BF113C">
        <w:t>phenotype analysis</w:t>
      </w:r>
      <w:r w:rsidR="006A6EFF">
        <w:t xml:space="preserve"> and characterisation of septa formation</w:t>
      </w:r>
      <w:r w:rsidR="00474B85">
        <w:t xml:space="preserve"> </w:t>
      </w:r>
      <w:r w:rsidR="00761396">
        <w:fldChar w:fldCharType="begin" w:fldLock="1"/>
      </w:r>
      <w:r w:rsidR="0058736C">
        <w:instrText>ADDIN CSL_CITATION {"citationItems":[{"id":"ITEM-1","itemData":{"DOI":"10.1038/ncomms9055","ISBN":"2041-1723 (Electronic) 2041-1723 (Linking)","ISSN":"2041-1723","PMID":"26278781","abstract":"Staphylococcus aureus is an aggressive pathogen and a model organism to study cell division in sequential orthogonal planes in spherical bacteria. However, the small size of staphylococcal cells has impaired analysis of changes in morphology during the cell cycle. Here we use super-resolution microscopy and determine that S. aureus cells are not spherical throughout the cell cycle, but elongate during specific time windows, through peptidoglycan synthesis and remodelling. Both peptidoglycan hydrolysis and turgor pressure are required during division for reshaping the flat division septum into a curved surface. In this process, the septum generates less than one hemisphere of each daughter cell, a trait we show is common to other cocci. Therefore, cell surface scars of previous divisions do not divide the cells in quadrants, generating asymmetry in the daughter cells. Our results introduce a need to reassess the models for division plane selection in cocci.","author":[{"dropping-particle":"","family":"Monteiro","given":"João M.","non-dropping-particle":"","parse-names":false,"suffix":""},{"dropping-particle":"","family":"Fernandes","given":"Pedro B.","non-dropping-particle":"","parse-names":false,"suffix":""},{"dropping-particle":"","family":"Vaz","given":"Filipa","non-dropping-particle":"","parse-names":false,"suffix":""},{"dropping-particle":"","family":"Pereira","given":"Ana R.","non-dropping-particle":"","parse-names":false,"suffix":""},{"dropping-particle":"","family":"Tavares","given":"Andreia C.","non-dropping-particle":"","parse-names":false,"suffix":""},{"dropping-particle":"","family":"Ferreira","given":"Maria T.","non-dropping-particle":"","parse-names":false,"suffix":""},{"dropping-particle":"","family":"Pereira","given":"Pedro M.","non-dropping-particle":"","parse-names":false,"suffix":""},{"dropping-particle":"","family":"Veiga","given":"Helena","non-dropping-particle":"","parse-names":false,"suffix":""},{"dropping-particle":"","family":"Kuru","given":"Erkin","non-dropping-particle":"","parse-names":false,"suffix":""},{"dropping-particle":"","family":"VanNieuwenhze","given":"Michael S.","non-dropping-particle":"","parse-names":false,"suffix":""},{"dropping-particle":"V.","family":"Brun","given":"Yves","non-dropping-particle":"","parse-names":false,"suffix":""},{"dropping-particle":"","family":"Filipe","given":"Sérgio R.","non-dropping-particle":"","parse-names":false,"suffix":""},{"dropping-particle":"","family":"Pinho","given":"Mariana G.","non-dropping-particle":"","parse-names":false,"suffix":""}],"container-title":"Nature Communications","id":"ITEM-1","issued":{"date-parts":[["2015"]]},"page":"8055","title":"Cell shape dynamics during the staphylococcal cell cycle","type":"article-journal","volume":"6"},"uris":["http://www.mendeley.com/documents/?uuid=381099b8-cfa0-4fb3-a822-4e8c386cf683"]},{"id":"ITEM-2","itemData":{"author":[{"dropping-particle":"","family":"Lund","given":"V. A.","non-dropping-particle":"","parse-names":false,"suffix":""}],"id":"ITEM-2","issue":"March","issued":{"date-parts":[["2016"]]},"publisher":"The University of Sheffield","title":"Peptidoglycan Dynamics in Staphylococcus aureus using Super-Resolution Microscopy","type":"thesis"},"uris":["http://www.mendeley.com/documents/?uuid=9116dc57-bb37-45d9-9c16-9ad37f713d61"]}],"mendeley":{"formattedCitation":"&lt;sup&gt;[266,267]&lt;/sup&gt;","plainTextFormattedCitation":"[266,267]","previouslyFormattedCitation":"&lt;sup&gt;[266,267]&lt;/sup&gt;"},"properties":{"noteIndex":0},"schema":"https://github.com/citation-style-language/schema/raw/master/csl-citation.json"}</w:instrText>
      </w:r>
      <w:r w:rsidR="00761396">
        <w:fldChar w:fldCharType="separate"/>
      </w:r>
      <w:r w:rsidR="002659E5" w:rsidRPr="002659E5">
        <w:rPr>
          <w:noProof/>
          <w:vertAlign w:val="superscript"/>
        </w:rPr>
        <w:t>[266,267]</w:t>
      </w:r>
      <w:r w:rsidR="00761396">
        <w:fldChar w:fldCharType="end"/>
      </w:r>
      <w:r w:rsidR="006A6EFF">
        <w:t xml:space="preserve">. Nevertheless, </w:t>
      </w:r>
      <w:r w:rsidR="00EB11AE">
        <w:t xml:space="preserve">as shown in </w:t>
      </w:r>
      <w:r w:rsidR="00EB11AE">
        <w:fldChar w:fldCharType="begin"/>
      </w:r>
      <w:r w:rsidR="00EB11AE">
        <w:instrText xml:space="preserve"> REF _Ref71994163 \h </w:instrText>
      </w:r>
      <w:r w:rsidR="00EB11AE">
        <w:fldChar w:fldCharType="separate"/>
      </w:r>
      <w:r w:rsidR="00183CC8">
        <w:t xml:space="preserve">Figure </w:t>
      </w:r>
      <w:r w:rsidR="00183CC8">
        <w:rPr>
          <w:noProof/>
        </w:rPr>
        <w:t>3</w:t>
      </w:r>
      <w:r w:rsidR="00183CC8">
        <w:t>.</w:t>
      </w:r>
      <w:r w:rsidR="00183CC8">
        <w:rPr>
          <w:noProof/>
        </w:rPr>
        <w:t>3</w:t>
      </w:r>
      <w:r w:rsidR="00EB11AE">
        <w:fldChar w:fldCharType="end"/>
      </w:r>
      <w:r w:rsidR="00780E4A">
        <w:t>a</w:t>
      </w:r>
      <w:r w:rsidR="00EB11AE">
        <w:t xml:space="preserve">, </w:t>
      </w:r>
      <w:r w:rsidR="006A6EFF">
        <w:t xml:space="preserve">SIM images can sometimes </w:t>
      </w:r>
      <w:r w:rsidR="00474B85">
        <w:t>be</w:t>
      </w:r>
      <w:r w:rsidR="006A6EFF">
        <w:t xml:space="preserve"> difficult to discern and analyse individual cells that clump together</w:t>
      </w:r>
      <w:r w:rsidR="00E25472">
        <w:t xml:space="preserve">, or mutants with a particular </w:t>
      </w:r>
      <w:r w:rsidR="006A6EFF">
        <w:t>phenotype. In addition to this, the obtained information from SIM is limited to the availability, specificity and accessibility of fluorescent labels</w:t>
      </w:r>
      <w:r w:rsidR="00DF4757">
        <w:t>; and most importantly, the image resolution is then limited by the label density and the size of the fluorescent labels</w:t>
      </w:r>
      <w:r w:rsidR="006A6EFF">
        <w:t xml:space="preserve"> </w:t>
      </w:r>
      <w:r w:rsidR="00DF4757" w:rsidRPr="00DF4757">
        <w:fldChar w:fldCharType="begin" w:fldLock="1"/>
      </w:r>
      <w:r w:rsidR="0058736C">
        <w:instrText>ADDIN CSL_CITATION {"citationItems":[{"id":"ITEM-1","itemData":{"DOI":"10.1016/j.cell.2010.12.002","ISSN":"00928674","PMID":"21168201","abstract":"Anyone who has used a light microscope has wished that its resolution could be a little better. Now, after centuries of gradual improvements, fluorescence microscopy has made a quantum leap in its resolving power due, in large part, to advancements over the past several years in a new area of research called super-resolution fluorescence microscopy. In this Primer, we explain the principles of various super-resolution approaches, such as STED, (S)SIM, and STORM/(F)PALM. Then, we describe recent applications of super-resolution microscopy in cells, which demonstrate how these approaches are beginning to provide new insights into cell biology, microbiology, and neurobiology. © 2010 Elsevier Inc.","author":[{"dropping-particle":"","family":"Huang","given":"Bo","non-dropping-particle":"","parse-names":false,"suffix":""},{"dropping-particle":"","family":"Babcock","given":"Hazen","non-dropping-particle":"","parse-names":false,"suffix":""},{"dropping-particle":"","family":"Zhuang","given":"Xiaowei","non-dropping-particle":"","parse-names":false,"suffix":""}],"container-title":"Cell","id":"ITEM-1","issue":"7","issued":{"date-parts":[["2010","12","23"]]},"page":"1047-1058","publisher":"Elsevier B.V.","title":"Breaking the diffraction barrier: Super-resolution imaging of cells","type":"article","volume":"143"},"uris":["http://www.mendeley.com/documents/?uuid=72fa3338-4bc9-3804-96f3-28659f0c3b23"]}],"mendeley":{"formattedCitation":"&lt;sup&gt;[206]&lt;/sup&gt;","plainTextFormattedCitation":"[206]","previouslyFormattedCitation":"&lt;sup&gt;[206]&lt;/sup&gt;"},"properties":{"noteIndex":0},"schema":"https://github.com/citation-style-language/schema/raw/master/csl-citation.json"}</w:instrText>
      </w:r>
      <w:r w:rsidR="00DF4757" w:rsidRPr="00DF4757">
        <w:fldChar w:fldCharType="separate"/>
      </w:r>
      <w:r w:rsidR="002659E5" w:rsidRPr="002659E5">
        <w:rPr>
          <w:noProof/>
          <w:vertAlign w:val="superscript"/>
        </w:rPr>
        <w:t>[206]</w:t>
      </w:r>
      <w:r w:rsidR="00DF4757" w:rsidRPr="00DF4757">
        <w:fldChar w:fldCharType="end"/>
      </w:r>
      <w:r w:rsidR="006A6EFF">
        <w:t xml:space="preserve">. </w:t>
      </w:r>
      <w:r>
        <w:t>On the other hand</w:t>
      </w:r>
      <w:r w:rsidR="006A6EFF">
        <w:t>,</w:t>
      </w:r>
      <w:r w:rsidR="00DA60F6">
        <w:t xml:space="preserve"> electron microscopy </w:t>
      </w:r>
      <w:r w:rsidR="00E61C25">
        <w:t>has a higher resolving power and provides</w:t>
      </w:r>
      <w:r w:rsidR="00DA60F6">
        <w:t xml:space="preserve"> more information</w:t>
      </w:r>
      <w:r w:rsidR="004C2880">
        <w:t>.</w:t>
      </w:r>
      <w:r w:rsidR="00DA60F6">
        <w:t xml:space="preserve"> </w:t>
      </w:r>
      <w:r w:rsidR="004C2880">
        <w:t>Scanning</w:t>
      </w:r>
      <w:r w:rsidR="00DA60F6">
        <w:t xml:space="preserve"> electron microscopy (SEM) </w:t>
      </w:r>
      <w:r w:rsidR="004C2880">
        <w:t>shows</w:t>
      </w:r>
      <w:r w:rsidR="00DA60F6">
        <w:t xml:space="preserve"> an overall picture of the cell surface </w:t>
      </w:r>
      <w:r w:rsidR="0069677C">
        <w:t>(</w:t>
      </w:r>
      <w:r w:rsidR="0069677C">
        <w:fldChar w:fldCharType="begin"/>
      </w:r>
      <w:r w:rsidR="0069677C">
        <w:instrText xml:space="preserve"> REF _Ref71994163 \h </w:instrText>
      </w:r>
      <w:r w:rsidR="0069677C">
        <w:fldChar w:fldCharType="separate"/>
      </w:r>
      <w:r w:rsidR="00183CC8">
        <w:t xml:space="preserve">Figure </w:t>
      </w:r>
      <w:r w:rsidR="00183CC8">
        <w:rPr>
          <w:noProof/>
        </w:rPr>
        <w:t>3</w:t>
      </w:r>
      <w:r w:rsidR="00183CC8">
        <w:t>.</w:t>
      </w:r>
      <w:r w:rsidR="00183CC8">
        <w:rPr>
          <w:noProof/>
        </w:rPr>
        <w:t>3</w:t>
      </w:r>
      <w:r w:rsidR="0069677C">
        <w:fldChar w:fldCharType="end"/>
      </w:r>
      <w:r w:rsidR="0069677C">
        <w:t>b</w:t>
      </w:r>
      <w:r w:rsidR="009234DA">
        <w:t>)</w:t>
      </w:r>
      <w:r w:rsidR="0069677C">
        <w:t xml:space="preserve"> </w:t>
      </w:r>
      <w:r w:rsidR="00E61C25">
        <w:t>while</w:t>
      </w:r>
      <w:r w:rsidR="006A6EFF">
        <w:t xml:space="preserve"> </w:t>
      </w:r>
      <w:r>
        <w:t xml:space="preserve">bacterial cross-sections </w:t>
      </w:r>
      <w:r w:rsidR="00DA60F6">
        <w:t xml:space="preserve">from transmission electron microscopy (TEM) </w:t>
      </w:r>
      <w:r w:rsidR="004C2880">
        <w:t>delivers</w:t>
      </w:r>
      <w:r w:rsidR="00DA60F6">
        <w:t xml:space="preserve"> </w:t>
      </w:r>
      <w:r>
        <w:t>a</w:t>
      </w:r>
      <w:r w:rsidR="006A6EFF">
        <w:t xml:space="preserve"> more detailed </w:t>
      </w:r>
      <w:r w:rsidR="00DA60F6">
        <w:t>picture</w:t>
      </w:r>
      <w:r w:rsidR="006A6EFF">
        <w:t xml:space="preserve"> of the structure</w:t>
      </w:r>
      <w:r w:rsidR="00DA60F6">
        <w:t xml:space="preserve"> of the cell envelope</w:t>
      </w:r>
      <w:r w:rsidR="006A6EFF">
        <w:t xml:space="preserve"> (</w:t>
      </w:r>
      <w:r w:rsidR="00D026A4">
        <w:fldChar w:fldCharType="begin"/>
      </w:r>
      <w:r w:rsidR="00D026A4">
        <w:instrText xml:space="preserve"> REF _Ref71994163 \h </w:instrText>
      </w:r>
      <w:r w:rsidR="00D026A4">
        <w:fldChar w:fldCharType="separate"/>
      </w:r>
      <w:r w:rsidR="00183CC8">
        <w:t xml:space="preserve">Figure </w:t>
      </w:r>
      <w:r w:rsidR="00183CC8">
        <w:rPr>
          <w:noProof/>
        </w:rPr>
        <w:t>3</w:t>
      </w:r>
      <w:r w:rsidR="00183CC8">
        <w:t>.</w:t>
      </w:r>
      <w:r w:rsidR="00183CC8">
        <w:rPr>
          <w:noProof/>
        </w:rPr>
        <w:t>3</w:t>
      </w:r>
      <w:r w:rsidR="00D026A4">
        <w:fldChar w:fldCharType="end"/>
      </w:r>
      <w:r w:rsidR="0069677C">
        <w:t>c</w:t>
      </w:r>
      <w:r w:rsidR="00D026A4">
        <w:t>)</w:t>
      </w:r>
      <w:r w:rsidR="00CB4051">
        <w:t xml:space="preserve">. Both SEM and TEM together </w:t>
      </w:r>
      <w:r w:rsidR="00C67D6D">
        <w:t xml:space="preserve">can help identify and describe </w:t>
      </w:r>
      <w:r w:rsidR="00694141">
        <w:t>different</w:t>
      </w:r>
      <w:r w:rsidR="00C67D6D">
        <w:t xml:space="preserve"> bacterial phenotypes</w:t>
      </w:r>
      <w:r w:rsidR="00E1647B">
        <w:t xml:space="preserve">, and where therefore </w:t>
      </w:r>
      <w:r w:rsidR="006520B0">
        <w:t>chosen</w:t>
      </w:r>
      <w:r w:rsidR="00E1647B">
        <w:t xml:space="preserve"> for this investigation.</w:t>
      </w:r>
    </w:p>
    <w:p w14:paraId="734534CF" w14:textId="56A2FF6C" w:rsidR="007B1482" w:rsidRPr="0001020D" w:rsidRDefault="005168E5" w:rsidP="00C95AE5">
      <w:r>
        <w:t xml:space="preserve">TEM </w:t>
      </w:r>
      <w:r w:rsidR="00AD3E3C">
        <w:t>delivers</w:t>
      </w:r>
      <w:r w:rsidR="00C95AE5">
        <w:t xml:space="preserve"> </w:t>
      </w:r>
      <w:r>
        <w:t>the most suitable</w:t>
      </w:r>
      <w:r w:rsidR="00EA47F4">
        <w:t xml:space="preserve"> </w:t>
      </w:r>
      <w:r w:rsidR="001277EE">
        <w:t xml:space="preserve">imaging </w:t>
      </w:r>
      <w:r w:rsidR="00EA47F4">
        <w:t>technique for this study,</w:t>
      </w:r>
      <w:r w:rsidR="00C95AE5">
        <w:t xml:space="preserve"> as the area of interest is the bacterial envelope with a focus on the exoplasmic space. As explained in section </w:t>
      </w:r>
      <w:r w:rsidR="0005420B">
        <w:rPr>
          <w:highlight w:val="yellow"/>
        </w:rPr>
        <w:fldChar w:fldCharType="begin"/>
      </w:r>
      <w:r w:rsidR="0005420B">
        <w:instrText xml:space="preserve"> REF _Ref73135735 \r \h </w:instrText>
      </w:r>
      <w:r w:rsidR="0005420B">
        <w:rPr>
          <w:highlight w:val="yellow"/>
        </w:rPr>
      </w:r>
      <w:r w:rsidR="0005420B">
        <w:rPr>
          <w:highlight w:val="yellow"/>
        </w:rPr>
        <w:fldChar w:fldCharType="separate"/>
      </w:r>
      <w:r w:rsidR="00183CC8">
        <w:t>3.1</w:t>
      </w:r>
      <w:r w:rsidR="0005420B">
        <w:rPr>
          <w:highlight w:val="yellow"/>
        </w:rPr>
        <w:fldChar w:fldCharType="end"/>
      </w:r>
      <w:r w:rsidR="00C95AE5">
        <w:t xml:space="preserve">, there are a variety of </w:t>
      </w:r>
      <w:r w:rsidR="007B1482">
        <w:t>EM</w:t>
      </w:r>
      <w:r w:rsidR="00C95AE5">
        <w:t xml:space="preserve"> techniques</w:t>
      </w:r>
      <w:r w:rsidR="007B1482">
        <w:t xml:space="preserve"> that can provide cross-section imaging. The main categorisation being room temperature TEM or cryo-TEM.</w:t>
      </w:r>
      <w:r w:rsidR="002A6B77">
        <w:t xml:space="preserve"> The former usually involve</w:t>
      </w:r>
      <w:r w:rsidR="00EA15A0">
        <w:t>s</w:t>
      </w:r>
      <w:r w:rsidR="002A6B77">
        <w:t xml:space="preserve"> chemical fixation, dehydration and staining, all of which affects the molecular structure of the cell; whereas the latter images a hydrated samples without any </w:t>
      </w:r>
      <w:r w:rsidR="00D16AFB">
        <w:t>interfering</w:t>
      </w:r>
      <w:r w:rsidR="002A6B77">
        <w:t xml:space="preserve"> agent, </w:t>
      </w:r>
      <w:r w:rsidR="002E6EE9">
        <w:t>apart from</w:t>
      </w:r>
      <w:r w:rsidR="002A6B77">
        <w:t xml:space="preserve"> potential ice crystals</w:t>
      </w:r>
      <w:r w:rsidR="00D16AFB">
        <w:t xml:space="preserve"> obscuring the captured image.</w:t>
      </w:r>
      <w:r w:rsidR="00A52271">
        <w:t xml:space="preserve"> </w:t>
      </w:r>
      <w:r w:rsidR="0001020D">
        <w:t xml:space="preserve">There are various methodologies and adaptations within these two microscopy techniques, and in general cryo-EM provides overall better results. Nonetheless, TEM is an </w:t>
      </w:r>
      <w:r w:rsidR="0001020D" w:rsidRPr="00AD3E3C">
        <w:t>easier</w:t>
      </w:r>
      <w:r w:rsidR="0001020D">
        <w:t xml:space="preserve"> and more accessible methodology and was therefore chosen for </w:t>
      </w:r>
      <w:r w:rsidR="00281520">
        <w:t>the majority of the experiments of this thesis</w:t>
      </w:r>
      <w:r w:rsidR="00877202">
        <w:t xml:space="preserve"> (Chapter </w:t>
      </w:r>
      <w:r w:rsidR="00E663C0">
        <w:t>4 and 5</w:t>
      </w:r>
      <w:r w:rsidR="00877202">
        <w:t>)</w:t>
      </w:r>
      <w:r w:rsidR="0001020D">
        <w:t>.</w:t>
      </w:r>
    </w:p>
    <w:p w14:paraId="75231BCF" w14:textId="77777777" w:rsidR="00C95AE5" w:rsidRDefault="00C95AE5" w:rsidP="00D069F6">
      <w:pPr>
        <w:keepNext/>
        <w:sectPr w:rsidR="00C95AE5" w:rsidSect="004D0E05">
          <w:pgSz w:w="11906" w:h="16838"/>
          <w:pgMar w:top="1191" w:right="1247" w:bottom="1191" w:left="1247" w:header="709" w:footer="709" w:gutter="0"/>
          <w:cols w:space="708"/>
          <w:titlePg/>
          <w:docGrid w:linePitch="360"/>
        </w:sectPr>
      </w:pPr>
    </w:p>
    <w:p w14:paraId="046FC7BC" w14:textId="64784605" w:rsidR="00D069F6" w:rsidRDefault="00D069F6" w:rsidP="006935B5">
      <w:pPr>
        <w:keepNext/>
        <w:jc w:val="center"/>
      </w:pPr>
      <w:r>
        <w:rPr>
          <w:noProof/>
        </w:rPr>
        <w:lastRenderedPageBreak/>
        <w:drawing>
          <wp:inline distT="0" distB="0" distL="0" distR="0" wp14:anchorId="3C8E2DB3" wp14:editId="590F0CB2">
            <wp:extent cx="5930647" cy="3857799"/>
            <wp:effectExtent l="0" t="0" r="635"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30647" cy="3857799"/>
                    </a:xfrm>
                    <a:prstGeom prst="rect">
                      <a:avLst/>
                    </a:prstGeom>
                  </pic:spPr>
                </pic:pic>
              </a:graphicData>
            </a:graphic>
          </wp:inline>
        </w:drawing>
      </w:r>
    </w:p>
    <w:p w14:paraId="40C2AAA1" w14:textId="65F2EFE9" w:rsidR="00D069F6" w:rsidRDefault="00D069F6" w:rsidP="008A2B86">
      <w:pPr>
        <w:pStyle w:val="Caption"/>
      </w:pPr>
      <w:bookmarkStart w:id="490" w:name="_Ref71994163"/>
      <w:bookmarkStart w:id="491" w:name="_Toc90216938"/>
      <w:r>
        <w:t xml:space="preserve">Figure </w:t>
      </w:r>
      <w:r w:rsidR="003373BF">
        <w:fldChar w:fldCharType="begin"/>
      </w:r>
      <w:r w:rsidR="003373BF">
        <w:instrText xml:space="preserve"> STYLEREF 1 \s </w:instrText>
      </w:r>
      <w:r w:rsidR="003373BF">
        <w:fldChar w:fldCharType="separate"/>
      </w:r>
      <w:r w:rsidR="00183CC8">
        <w:rPr>
          <w:noProof/>
        </w:rPr>
        <w:t>3</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3</w:t>
      </w:r>
      <w:r w:rsidR="003373BF">
        <w:rPr>
          <w:noProof/>
        </w:rPr>
        <w:fldChar w:fldCharType="end"/>
      </w:r>
      <w:bookmarkEnd w:id="490"/>
      <w:r>
        <w:t xml:space="preserve"> Phenotype analysis comparison between SIM, SEM and TEM.</w:t>
      </w:r>
      <w:bookmarkEnd w:id="491"/>
    </w:p>
    <w:p w14:paraId="0951DC72" w14:textId="7BE2C039" w:rsidR="00C95AE5" w:rsidRDefault="00D069F6" w:rsidP="000850A6">
      <w:pPr>
        <w:pStyle w:val="NoSpacing"/>
        <w:sectPr w:rsidR="00C95AE5" w:rsidSect="004D0E05">
          <w:pgSz w:w="11906" w:h="16838"/>
          <w:pgMar w:top="1191" w:right="1247" w:bottom="1191" w:left="1247" w:header="709" w:footer="709" w:gutter="0"/>
          <w:cols w:space="708"/>
          <w:titlePg/>
          <w:docGrid w:linePitch="360"/>
        </w:sectPr>
      </w:pPr>
      <w:r>
        <w:t xml:space="preserve">Phenotype comparison </w:t>
      </w:r>
      <w:r w:rsidR="00A40BDE">
        <w:t>of</w:t>
      </w:r>
      <w:r>
        <w:t xml:space="preserve"> </w:t>
      </w:r>
      <w:r w:rsidR="00906D20">
        <w:rPr>
          <w:i/>
          <w:iCs/>
        </w:rPr>
        <w:t>S. aureus</w:t>
      </w:r>
      <w:r w:rsidR="00906D20">
        <w:t xml:space="preserve"> SH1000</w:t>
      </w:r>
      <w:r>
        <w:t xml:space="preserve"> </w:t>
      </w:r>
      <w:r w:rsidR="00A40BDE">
        <w:t>(</w:t>
      </w:r>
      <w:r w:rsidR="006C0118">
        <w:t>wild type</w:t>
      </w:r>
      <w:r w:rsidR="00A40BDE">
        <w:t>)</w:t>
      </w:r>
      <w:r>
        <w:t xml:space="preserve"> </w:t>
      </w:r>
      <w:r w:rsidR="006C0118">
        <w:t>(</w:t>
      </w:r>
      <w:r w:rsidR="00906D20">
        <w:t xml:space="preserve">SJF 682 – </w:t>
      </w:r>
      <w:r w:rsidR="006C0118">
        <w:t>control)</w:t>
      </w:r>
      <w:r>
        <w:t xml:space="preserve"> and </w:t>
      </w:r>
      <w:r w:rsidR="00906D20" w:rsidRPr="00906D20">
        <w:rPr>
          <w:i/>
          <w:iCs/>
          <w:lang w:val="el-GR"/>
        </w:rPr>
        <w:t>Δ</w:t>
      </w:r>
      <w:r w:rsidR="00906D20">
        <w:rPr>
          <w:i/>
          <w:iCs/>
        </w:rPr>
        <w:t>ltaS gdpP::kan</w:t>
      </w:r>
      <w:r w:rsidR="00906D20">
        <w:t xml:space="preserve"> (SJF 5159 – mutant)</w:t>
      </w:r>
      <w:r w:rsidR="00906D20">
        <w:rPr>
          <w:i/>
          <w:iCs/>
        </w:rPr>
        <w:t xml:space="preserve"> </w:t>
      </w:r>
      <w:r w:rsidR="00906D20" w:rsidRPr="00906D20">
        <w:t>lacking</w:t>
      </w:r>
      <w:r w:rsidR="00906D20">
        <w:t xml:space="preserve"> LTA</w:t>
      </w:r>
      <w:r>
        <w:t xml:space="preserve"> </w:t>
      </w:r>
      <w:r w:rsidR="00906D20">
        <w:t xml:space="preserve">and </w:t>
      </w:r>
      <w:r w:rsidR="003223CE">
        <w:t xml:space="preserve">showing a </w:t>
      </w:r>
      <w:r w:rsidR="001C26D0">
        <w:t>characteristic</w:t>
      </w:r>
      <w:r w:rsidR="003223CE">
        <w:t xml:space="preserve"> phenotype</w:t>
      </w:r>
      <w:r>
        <w:t xml:space="preserve">. </w:t>
      </w:r>
      <w:r w:rsidR="003223CE">
        <w:rPr>
          <w:b/>
          <w:bCs/>
        </w:rPr>
        <w:t xml:space="preserve">(A) </w:t>
      </w:r>
      <w:r>
        <w:t xml:space="preserve">SIM images </w:t>
      </w:r>
      <w:r w:rsidR="00C81CF7">
        <w:t xml:space="preserve">of bacterial samples as indicated, labelled with </w:t>
      </w:r>
      <w:r w:rsidR="00C81CF7" w:rsidRPr="00C81CF7">
        <w:t>NHS-ester AlexaFluor</w:t>
      </w:r>
      <w:r w:rsidR="00C81CF7">
        <w:t>™</w:t>
      </w:r>
      <w:r w:rsidR="00C81CF7" w:rsidRPr="00C81CF7">
        <w:t xml:space="preserve"> 555</w:t>
      </w:r>
      <w:r w:rsidR="00061DDC">
        <w:t>, s</w:t>
      </w:r>
      <w:r>
        <w:t xml:space="preserve">cale bar 3 µm. </w:t>
      </w:r>
      <w:r w:rsidR="00151C55">
        <w:rPr>
          <w:b/>
          <w:bCs/>
        </w:rPr>
        <w:t xml:space="preserve">(B) </w:t>
      </w:r>
      <w:r>
        <w:t>SE</w:t>
      </w:r>
      <w:r w:rsidR="00F343D8">
        <w:t>M micrographs</w:t>
      </w:r>
      <w:r w:rsidR="00061DDC">
        <w:t>, s</w:t>
      </w:r>
      <w:r>
        <w:t xml:space="preserve">cale bar 2 µm. </w:t>
      </w:r>
      <w:r w:rsidR="00F343D8">
        <w:rPr>
          <w:b/>
          <w:bCs/>
        </w:rPr>
        <w:t xml:space="preserve">(C) </w:t>
      </w:r>
      <w:r>
        <w:t xml:space="preserve">TEM micrographs cropped from mid magnification </w:t>
      </w:r>
      <w:r w:rsidR="00F041D8">
        <w:t>(</w:t>
      </w:r>
      <w:r>
        <w:t>2900x</w:t>
      </w:r>
      <w:r w:rsidR="00F041D8">
        <w:t>)</w:t>
      </w:r>
      <w:r>
        <w:t>, scale bar 1 µm.</w:t>
      </w:r>
      <w:r w:rsidR="00065C16">
        <w:t xml:space="preserve"> </w:t>
      </w:r>
      <w:r w:rsidR="00061DDC">
        <w:rPr>
          <w:b/>
          <w:bCs/>
        </w:rPr>
        <w:t>(A-C)</w:t>
      </w:r>
      <w:r w:rsidR="00643E73">
        <w:rPr>
          <w:b/>
          <w:bCs/>
        </w:rPr>
        <w:t xml:space="preserve"> </w:t>
      </w:r>
      <w:r w:rsidR="00065C16">
        <w:t>Arrow heads point the mutant’s particular</w:t>
      </w:r>
      <w:r w:rsidR="0071549D">
        <w:t xml:space="preserve"> cell division</w:t>
      </w:r>
      <w:r w:rsidR="00065C16">
        <w:t xml:space="preserve"> phenotype which is better understood </w:t>
      </w:r>
      <w:r w:rsidR="001B7C26">
        <w:t>with a</w:t>
      </w:r>
      <w:r w:rsidR="00065C16">
        <w:t xml:space="preserve"> bacterial cross section.</w:t>
      </w:r>
    </w:p>
    <w:p w14:paraId="09041D51" w14:textId="17CC1864" w:rsidR="004B0C7E" w:rsidRPr="005B0F81" w:rsidRDefault="005E420A" w:rsidP="004B0C7E">
      <w:pPr>
        <w:pStyle w:val="Heading2"/>
      </w:pPr>
      <w:bookmarkStart w:id="492" w:name="_Ref71998339"/>
      <w:bookmarkStart w:id="493" w:name="_Toc90216864"/>
      <w:r>
        <w:lastRenderedPageBreak/>
        <w:t>C</w:t>
      </w:r>
      <w:r w:rsidR="004B0C7E" w:rsidRPr="005B0F81">
        <w:t>hemical fixation TEM for bacterial morphology visualisation</w:t>
      </w:r>
      <w:bookmarkEnd w:id="487"/>
      <w:bookmarkEnd w:id="488"/>
      <w:bookmarkEnd w:id="489"/>
      <w:bookmarkEnd w:id="492"/>
      <w:r w:rsidR="007006CC">
        <w:t>.</w:t>
      </w:r>
      <w:bookmarkEnd w:id="493"/>
    </w:p>
    <w:p w14:paraId="0A8644EF" w14:textId="61DE7EAF" w:rsidR="005F79C3" w:rsidRDefault="000A59EC" w:rsidP="00182281">
      <w:r>
        <w:t>Standard chemical fixation sample preparation involves an overnight fixation using glutaraldehyde, followed by a secondary fixation with osmium tetroxide (OsO</w:t>
      </w:r>
      <w:r>
        <w:rPr>
          <w:vertAlign w:val="subscript"/>
        </w:rPr>
        <w:t>4</w:t>
      </w:r>
      <w:r>
        <w:t>)</w:t>
      </w:r>
      <w:r w:rsidR="00546D62">
        <w:t xml:space="preserve">. The next step is dehydration with a series of increasing concentrations of ethanol, followed by propylene oxide. Lastly, </w:t>
      </w:r>
      <w:r w:rsidR="00413AFE">
        <w:t>infiltration</w:t>
      </w:r>
      <w:r w:rsidR="00546D62">
        <w:t xml:space="preserve"> occurs by the incubation with a 50:50 mix of propylene oxide and the resin of choice, before a few</w:t>
      </w:r>
      <w:r w:rsidR="005E0C36">
        <w:t xml:space="preserve"> full</w:t>
      </w:r>
      <w:r w:rsidR="00546D62">
        <w:t xml:space="preserve"> resin changes and </w:t>
      </w:r>
      <w:r w:rsidR="00970CF0">
        <w:t>resin</w:t>
      </w:r>
      <w:r w:rsidR="00FE242D">
        <w:t xml:space="preserve"> </w:t>
      </w:r>
      <w:r w:rsidR="009248B5">
        <w:t>polymerisation</w:t>
      </w:r>
      <w:r w:rsidR="00546D62">
        <w:t>.</w:t>
      </w:r>
      <w:r w:rsidR="003F1A18">
        <w:t xml:space="preserve"> </w:t>
      </w:r>
      <w:r w:rsidR="00E32133">
        <w:t>For</w:t>
      </w:r>
      <w:r w:rsidR="003F1A18">
        <w:t xml:space="preserve"> this study</w:t>
      </w:r>
      <w:r w:rsidR="00E32133">
        <w:t>,</w:t>
      </w:r>
      <w:r w:rsidR="003F1A18">
        <w:t xml:space="preserve"> the standard protocol described in detail in section </w:t>
      </w:r>
      <w:r w:rsidR="003F1A18">
        <w:fldChar w:fldCharType="begin"/>
      </w:r>
      <w:r w:rsidR="003F1A18">
        <w:instrText xml:space="preserve"> REF _Ref68879315 \r \h </w:instrText>
      </w:r>
      <w:r w:rsidR="003F1A18">
        <w:fldChar w:fldCharType="separate"/>
      </w:r>
      <w:r w:rsidR="00183CC8">
        <w:t>2.20.1</w:t>
      </w:r>
      <w:r w:rsidR="003F1A18">
        <w:fldChar w:fldCharType="end"/>
      </w:r>
      <w:r w:rsidR="00E32133">
        <w:t xml:space="preserve"> was used</w:t>
      </w:r>
      <w:r w:rsidR="003F1A18">
        <w:t>.</w:t>
      </w:r>
      <w:r w:rsidR="00227967">
        <w:t xml:space="preserve"> TEM micrographs</w:t>
      </w:r>
      <w:r w:rsidR="00227967" w:rsidRPr="00C54DC5">
        <w:t xml:space="preserve"> were obtained using the FEI Tecnai T12 Spirit TEM operating at 80 kV, and captured on a GATAN ORIUS</w:t>
      </w:r>
      <w:r w:rsidR="00227967" w:rsidRPr="00C54DC5">
        <w:rPr>
          <w:vertAlign w:val="superscript"/>
        </w:rPr>
        <w:t>TM</w:t>
      </w:r>
      <w:r w:rsidR="00227967" w:rsidRPr="00C54DC5">
        <w:t xml:space="preserve"> SC1000B bottom-mounted CCD camera.</w:t>
      </w:r>
    </w:p>
    <w:p w14:paraId="2FC6BEDB" w14:textId="7898E5DD" w:rsidR="00507C89" w:rsidRDefault="007C6F71" w:rsidP="00182281">
      <w:pPr>
        <w:sectPr w:rsidR="00507C89" w:rsidSect="004D0E05">
          <w:pgSz w:w="11906" w:h="16838"/>
          <w:pgMar w:top="1191" w:right="1247" w:bottom="1191" w:left="1247" w:header="709" w:footer="709" w:gutter="0"/>
          <w:cols w:space="708"/>
          <w:titlePg/>
          <w:docGrid w:linePitch="360"/>
        </w:sectPr>
      </w:pPr>
      <w:r>
        <w:fldChar w:fldCharType="begin"/>
      </w:r>
      <w:r>
        <w:instrText xml:space="preserve"> REF _Ref72083313 \h </w:instrText>
      </w:r>
      <w:r>
        <w:fldChar w:fldCharType="separate"/>
      </w:r>
      <w:r w:rsidR="00183CC8">
        <w:t xml:space="preserve">Figure </w:t>
      </w:r>
      <w:r w:rsidR="00183CC8">
        <w:rPr>
          <w:noProof/>
        </w:rPr>
        <w:t>3</w:t>
      </w:r>
      <w:r w:rsidR="00183CC8">
        <w:t>.</w:t>
      </w:r>
      <w:r w:rsidR="00183CC8">
        <w:rPr>
          <w:noProof/>
        </w:rPr>
        <w:t>4</w:t>
      </w:r>
      <w:r>
        <w:fldChar w:fldCharType="end"/>
      </w:r>
      <w:r>
        <w:t xml:space="preserve"> presents confirmation that this selected standard protocol delivers suitable fixation and sufficient detail for the identification of all the main components of Gram-positive bacteria</w:t>
      </w:r>
      <w:r w:rsidR="00F85E9A">
        <w:t>,</w:t>
      </w:r>
      <w:r>
        <w:t xml:space="preserve"> </w:t>
      </w:r>
      <w:r w:rsidR="005E0C36">
        <w:t>such as</w:t>
      </w:r>
      <w:r>
        <w:t xml:space="preserve"> </w:t>
      </w:r>
      <w:r>
        <w:rPr>
          <w:i/>
          <w:iCs/>
        </w:rPr>
        <w:t>S aureus</w:t>
      </w:r>
      <w:r>
        <w:t xml:space="preserve"> and </w:t>
      </w:r>
      <w:r>
        <w:rPr>
          <w:i/>
          <w:iCs/>
        </w:rPr>
        <w:t>B. subtilis</w:t>
      </w:r>
      <w:r>
        <w:t>.</w:t>
      </w:r>
      <w:r w:rsidR="00D82A19">
        <w:t xml:space="preserve"> </w:t>
      </w:r>
      <w:r w:rsidR="00A65DEE">
        <w:t xml:space="preserve">A closer comparison of the cell envelope of </w:t>
      </w:r>
      <w:r w:rsidR="00A65DEE">
        <w:rPr>
          <w:i/>
          <w:iCs/>
        </w:rPr>
        <w:t>S. aureus</w:t>
      </w:r>
      <w:r w:rsidR="00A65DEE">
        <w:t xml:space="preserve"> to a micrograph obtained from</w:t>
      </w:r>
      <w:r w:rsidR="00A65DEE" w:rsidRPr="00A65DEE">
        <w:t xml:space="preserve"> </w:t>
      </w:r>
      <w:r w:rsidR="00A65DEE">
        <w:t xml:space="preserve">Matias &amp; Beveridge (2006) </w:t>
      </w:r>
      <w:r w:rsidR="00A65DEE">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5570428f-abef-4c52-8423-1f18c58db060"]}],"mendeley":{"formattedCitation":"&lt;sup&gt;[16]&lt;/sup&gt;","plainTextFormattedCitation":"[16]","previouslyFormattedCitation":"&lt;sup&gt;[16]&lt;/sup&gt;"},"properties":{"noteIndex":0},"schema":"https://github.com/citation-style-language/schema/raw/master/csl-citation.json"}</w:instrText>
      </w:r>
      <w:r w:rsidR="00A65DEE">
        <w:fldChar w:fldCharType="separate"/>
      </w:r>
      <w:r w:rsidR="00DA0A83" w:rsidRPr="00DA0A83">
        <w:rPr>
          <w:noProof/>
          <w:vertAlign w:val="superscript"/>
        </w:rPr>
        <w:t>[16]</w:t>
      </w:r>
      <w:r w:rsidR="00A65DEE">
        <w:fldChar w:fldCharType="end"/>
      </w:r>
      <w:r w:rsidR="00A65DEE">
        <w:t xml:space="preserve"> shows that </w:t>
      </w:r>
      <w:r w:rsidR="007C4E6C">
        <w:t>this</w:t>
      </w:r>
      <w:r w:rsidR="00A65DEE">
        <w:t xml:space="preserve"> technique is not only reproducible but </w:t>
      </w:r>
      <w:r w:rsidR="00D82A19">
        <w:t xml:space="preserve">also </w:t>
      </w:r>
      <w:r w:rsidR="00A65DEE">
        <w:t>produc</w:t>
      </w:r>
      <w:r w:rsidR="00D82A19">
        <w:t>ing</w:t>
      </w:r>
      <w:r w:rsidR="00A65DEE">
        <w:t xml:space="preserve"> </w:t>
      </w:r>
      <w:r w:rsidR="00E66F38">
        <w:t>clearer</w:t>
      </w:r>
      <w:r w:rsidR="00A65DEE">
        <w:t xml:space="preserve"> results, with a </w:t>
      </w:r>
      <w:r w:rsidR="00E66F38">
        <w:t>well-defined</w:t>
      </w:r>
      <w:r w:rsidR="00A65DEE">
        <w:t xml:space="preserve"> identification of the cell wall (cw), the plasma membrane (pm) and the </w:t>
      </w:r>
      <w:r w:rsidR="00D82A19">
        <w:t>space between them (es– exoplasmic space) (</w:t>
      </w:r>
      <w:r w:rsidR="00D82A19">
        <w:fldChar w:fldCharType="begin"/>
      </w:r>
      <w:r w:rsidR="00D82A19">
        <w:instrText xml:space="preserve"> REF _Ref72097786 \h </w:instrText>
      </w:r>
      <w:r w:rsidR="00D82A19">
        <w:fldChar w:fldCharType="separate"/>
      </w:r>
      <w:r w:rsidR="00183CC8">
        <w:t xml:space="preserve">Figure </w:t>
      </w:r>
      <w:r w:rsidR="00183CC8">
        <w:rPr>
          <w:noProof/>
        </w:rPr>
        <w:t>3</w:t>
      </w:r>
      <w:r w:rsidR="00183CC8">
        <w:t>.</w:t>
      </w:r>
      <w:r w:rsidR="00183CC8">
        <w:rPr>
          <w:noProof/>
        </w:rPr>
        <w:t>5</w:t>
      </w:r>
      <w:r w:rsidR="00D82A19">
        <w:fldChar w:fldCharType="end"/>
      </w:r>
      <w:r w:rsidR="00D82A19">
        <w:t>)</w:t>
      </w:r>
      <w:r w:rsidR="00A65DEE">
        <w:t>.</w:t>
      </w:r>
    </w:p>
    <w:p w14:paraId="37BD7E32" w14:textId="77777777" w:rsidR="005821E6" w:rsidRDefault="005821E6" w:rsidP="004E6FE6">
      <w:pPr>
        <w:keepNext/>
        <w:jc w:val="center"/>
      </w:pPr>
      <w:r>
        <w:rPr>
          <w:noProof/>
        </w:rPr>
        <w:lastRenderedPageBreak/>
        <w:drawing>
          <wp:inline distT="0" distB="0" distL="0" distR="0" wp14:anchorId="58CBC3B2" wp14:editId="3D8713E7">
            <wp:extent cx="5342106" cy="8101330"/>
            <wp:effectExtent l="0" t="0" r="508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358435" cy="8126094"/>
                    </a:xfrm>
                    <a:prstGeom prst="rect">
                      <a:avLst/>
                    </a:prstGeom>
                  </pic:spPr>
                </pic:pic>
              </a:graphicData>
            </a:graphic>
          </wp:inline>
        </w:drawing>
      </w:r>
    </w:p>
    <w:p w14:paraId="5E73D7E7" w14:textId="2B055C46" w:rsidR="000E2FA1" w:rsidRPr="00983F18" w:rsidRDefault="005821E6" w:rsidP="008A2B86">
      <w:pPr>
        <w:pStyle w:val="Caption"/>
        <w:rPr>
          <w:i/>
        </w:rPr>
      </w:pPr>
      <w:bookmarkStart w:id="494" w:name="_Ref72083313"/>
      <w:bookmarkStart w:id="495" w:name="_Toc90216939"/>
      <w:r>
        <w:t xml:space="preserve">Figure </w:t>
      </w:r>
      <w:r w:rsidR="003373BF">
        <w:fldChar w:fldCharType="begin"/>
      </w:r>
      <w:r w:rsidR="003373BF">
        <w:instrText xml:space="preserve"> STYLEREF 1 \s </w:instrText>
      </w:r>
      <w:r w:rsidR="003373BF">
        <w:fldChar w:fldCharType="separate"/>
      </w:r>
      <w:r w:rsidR="00183CC8">
        <w:rPr>
          <w:noProof/>
        </w:rPr>
        <w:t>3</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4</w:t>
      </w:r>
      <w:r w:rsidR="003373BF">
        <w:rPr>
          <w:noProof/>
        </w:rPr>
        <w:fldChar w:fldCharType="end"/>
      </w:r>
      <w:bookmarkEnd w:id="494"/>
      <w:r>
        <w:t xml:space="preserve"> </w:t>
      </w:r>
      <w:r w:rsidR="00983F18">
        <w:t>TEM micrographs of c</w:t>
      </w:r>
      <w:r w:rsidR="0054449D">
        <w:t>he</w:t>
      </w:r>
      <w:r w:rsidR="00983F18">
        <w:t xml:space="preserve">mically fixed thin-sections of </w:t>
      </w:r>
      <w:r w:rsidR="00983F18">
        <w:rPr>
          <w:i/>
        </w:rPr>
        <w:t xml:space="preserve">S. aureus </w:t>
      </w:r>
      <w:r w:rsidR="00983F18">
        <w:t xml:space="preserve">and </w:t>
      </w:r>
      <w:r w:rsidR="00983F18">
        <w:rPr>
          <w:i/>
        </w:rPr>
        <w:t>B. subtilis.</w:t>
      </w:r>
      <w:bookmarkEnd w:id="495"/>
    </w:p>
    <w:p w14:paraId="150B907A" w14:textId="50909EDF" w:rsidR="005821E6" w:rsidRDefault="00C42778" w:rsidP="005821E6">
      <w:pPr>
        <w:pStyle w:val="NoSpacing"/>
        <w:sectPr w:rsidR="005821E6" w:rsidSect="004D0E05">
          <w:pgSz w:w="11906" w:h="16838"/>
          <w:pgMar w:top="1191" w:right="1247" w:bottom="1191" w:left="1247" w:header="709" w:footer="709" w:gutter="0"/>
          <w:cols w:space="708"/>
          <w:titlePg/>
          <w:docGrid w:linePitch="360"/>
        </w:sectPr>
      </w:pPr>
      <w:r>
        <w:t xml:space="preserve">TEM micrographs of </w:t>
      </w:r>
      <w:r>
        <w:rPr>
          <w:i/>
          <w:iCs/>
        </w:rPr>
        <w:t>S. aureus</w:t>
      </w:r>
      <w:r>
        <w:t xml:space="preserve"> and </w:t>
      </w:r>
      <w:r>
        <w:rPr>
          <w:i/>
          <w:iCs/>
        </w:rPr>
        <w:t>B. subtilis</w:t>
      </w:r>
      <w:r>
        <w:t xml:space="preserve"> as indicated.</w:t>
      </w:r>
      <w:r w:rsidR="007F7312">
        <w:t xml:space="preserve"> </w:t>
      </w:r>
      <w:r w:rsidR="007F7312">
        <w:rPr>
          <w:b/>
          <w:bCs/>
        </w:rPr>
        <w:t>(A</w:t>
      </w:r>
      <w:r w:rsidR="00C735B4">
        <w:rPr>
          <w:b/>
          <w:bCs/>
        </w:rPr>
        <w:t>,D</w:t>
      </w:r>
      <w:r w:rsidR="007F7312">
        <w:rPr>
          <w:b/>
          <w:bCs/>
        </w:rPr>
        <w:t>)</w:t>
      </w:r>
      <w:r w:rsidR="007F7312">
        <w:t xml:space="preserve"> </w:t>
      </w:r>
      <w:r w:rsidR="00C31F27">
        <w:t>Low</w:t>
      </w:r>
      <w:r w:rsidR="007F7312">
        <w:t xml:space="preserve"> magnification </w:t>
      </w:r>
      <w:r w:rsidR="00C31F27">
        <w:t>(</w:t>
      </w:r>
      <w:r w:rsidR="007F7312">
        <w:t>2900x</w:t>
      </w:r>
      <w:r w:rsidR="00C31F27">
        <w:t>)</w:t>
      </w:r>
      <w:r w:rsidR="00C735B4">
        <w:t xml:space="preserve">, </w:t>
      </w:r>
      <w:r w:rsidR="007F7312">
        <w:rPr>
          <w:b/>
          <w:bCs/>
        </w:rPr>
        <w:t>(B)</w:t>
      </w:r>
      <w:r w:rsidR="007F7312">
        <w:t xml:space="preserve"> </w:t>
      </w:r>
      <w:r w:rsidR="00C31F27">
        <w:t>Low</w:t>
      </w:r>
      <w:r w:rsidR="007F7312">
        <w:t xml:space="preserve"> magnification </w:t>
      </w:r>
      <w:r w:rsidR="00C31F27">
        <w:t>(</w:t>
      </w:r>
      <w:r w:rsidR="007F7312">
        <w:t>1900x</w:t>
      </w:r>
      <w:r w:rsidR="00C31F27">
        <w:t>)</w:t>
      </w:r>
      <w:r w:rsidR="00C735B4">
        <w:t>,</w:t>
      </w:r>
      <w:r w:rsidR="007F7312">
        <w:t xml:space="preserve"> </w:t>
      </w:r>
      <w:r w:rsidR="007F7312">
        <w:rPr>
          <w:b/>
          <w:bCs/>
        </w:rPr>
        <w:t>(C)</w:t>
      </w:r>
      <w:r w:rsidR="007F7312">
        <w:t xml:space="preserve"> High magnification </w:t>
      </w:r>
      <w:r w:rsidR="00C31F27">
        <w:t>(</w:t>
      </w:r>
      <w:r w:rsidR="007F7312">
        <w:t>4</w:t>
      </w:r>
      <w:r w:rsidR="00C735B4">
        <w:t>8</w:t>
      </w:r>
      <w:r w:rsidR="007F7312">
        <w:t>00x</w:t>
      </w:r>
      <w:r w:rsidR="00C31F27">
        <w:t>)</w:t>
      </w:r>
      <w:r w:rsidR="00C735B4">
        <w:t>,</w:t>
      </w:r>
      <w:r w:rsidR="007F7312">
        <w:t xml:space="preserve"> </w:t>
      </w:r>
      <w:r w:rsidR="007F7312">
        <w:rPr>
          <w:b/>
          <w:bCs/>
        </w:rPr>
        <w:t>(</w:t>
      </w:r>
      <w:r w:rsidR="00C735B4">
        <w:rPr>
          <w:b/>
          <w:bCs/>
        </w:rPr>
        <w:t>A-</w:t>
      </w:r>
      <w:r w:rsidR="007F7312">
        <w:rPr>
          <w:b/>
          <w:bCs/>
        </w:rPr>
        <w:t>D)</w:t>
      </w:r>
      <w:r w:rsidR="007F7312">
        <w:t xml:space="preserve"> scale bar 1 µm</w:t>
      </w:r>
      <w:r w:rsidR="00C735B4">
        <w:t>,</w:t>
      </w:r>
      <w:r w:rsidR="007F7312">
        <w:t xml:space="preserve"> </w:t>
      </w:r>
      <w:r w:rsidR="007F7312">
        <w:rPr>
          <w:b/>
          <w:bCs/>
        </w:rPr>
        <w:t>(E-F)</w:t>
      </w:r>
      <w:r w:rsidR="007F7312">
        <w:t xml:space="preserve"> High magnification </w:t>
      </w:r>
      <w:r w:rsidR="00C31F27">
        <w:t>(</w:t>
      </w:r>
      <w:r w:rsidR="007F7312">
        <w:t>9300x</w:t>
      </w:r>
      <w:r w:rsidR="00C31F27">
        <w:t>)</w:t>
      </w:r>
      <w:r w:rsidR="007F7312">
        <w:t>, scale bar 500 nm</w:t>
      </w:r>
      <w:r w:rsidR="005821E6">
        <w:t>.</w:t>
      </w:r>
      <w:r w:rsidR="00C735B4">
        <w:t xml:space="preserve"> cw– cell wall, es– exoplasmic space, pm–plasma membrane.</w:t>
      </w:r>
    </w:p>
    <w:p w14:paraId="40F141B0" w14:textId="77777777" w:rsidR="00507C89" w:rsidRDefault="00507C89" w:rsidP="00507C89">
      <w:pPr>
        <w:keepNext/>
        <w:jc w:val="center"/>
      </w:pPr>
      <w:r>
        <w:rPr>
          <w:i/>
          <w:iCs/>
          <w:noProof/>
        </w:rPr>
        <w:lastRenderedPageBreak/>
        <w:drawing>
          <wp:inline distT="0" distB="0" distL="0" distR="0" wp14:anchorId="5A8082D7" wp14:editId="68201698">
            <wp:extent cx="5840098" cy="5267320"/>
            <wp:effectExtent l="0" t="0" r="1905"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40098" cy="5267320"/>
                    </a:xfrm>
                    <a:prstGeom prst="rect">
                      <a:avLst/>
                    </a:prstGeom>
                  </pic:spPr>
                </pic:pic>
              </a:graphicData>
            </a:graphic>
          </wp:inline>
        </w:drawing>
      </w:r>
    </w:p>
    <w:p w14:paraId="0271D907" w14:textId="630C8AA1" w:rsidR="00507C89" w:rsidRDefault="00507C89" w:rsidP="008A2B86">
      <w:pPr>
        <w:pStyle w:val="Caption"/>
      </w:pPr>
      <w:bookmarkStart w:id="496" w:name="_Ref72097786"/>
      <w:bookmarkStart w:id="497" w:name="_Toc90216940"/>
      <w:r>
        <w:t xml:space="preserve">Figure </w:t>
      </w:r>
      <w:r w:rsidR="003373BF">
        <w:fldChar w:fldCharType="begin"/>
      </w:r>
      <w:r w:rsidR="003373BF">
        <w:instrText xml:space="preserve"> STYLEREF 1 \s </w:instrText>
      </w:r>
      <w:r w:rsidR="003373BF">
        <w:fldChar w:fldCharType="separate"/>
      </w:r>
      <w:r w:rsidR="00183CC8">
        <w:rPr>
          <w:noProof/>
        </w:rPr>
        <w:t>3</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5</w:t>
      </w:r>
      <w:r w:rsidR="003373BF">
        <w:rPr>
          <w:noProof/>
        </w:rPr>
        <w:fldChar w:fldCharType="end"/>
      </w:r>
      <w:bookmarkEnd w:id="496"/>
      <w:r>
        <w:t xml:space="preserve"> TEM micrographs of the cell envelope of chemically fixed </w:t>
      </w:r>
      <w:r>
        <w:rPr>
          <w:i/>
        </w:rPr>
        <w:t>S. aureus</w:t>
      </w:r>
      <w:r>
        <w:t>.</w:t>
      </w:r>
      <w:bookmarkEnd w:id="497"/>
    </w:p>
    <w:p w14:paraId="649F9E15" w14:textId="315EE8A6" w:rsidR="00507C89" w:rsidRPr="00DA1E8E" w:rsidRDefault="00507C89" w:rsidP="00507C89">
      <w:pPr>
        <w:pStyle w:val="NoSpacing"/>
        <w:sectPr w:rsidR="00507C89" w:rsidRPr="00DA1E8E" w:rsidSect="004D0E05">
          <w:pgSz w:w="11906" w:h="16838"/>
          <w:pgMar w:top="1191" w:right="1247" w:bottom="1191" w:left="1247" w:header="709" w:footer="709" w:gutter="0"/>
          <w:cols w:space="708"/>
          <w:titlePg/>
          <w:docGrid w:linePitch="360"/>
        </w:sectPr>
      </w:pPr>
      <w:r>
        <w:t xml:space="preserve">TEM micrographs of chemically fixed thin-sections of </w:t>
      </w:r>
      <w:r>
        <w:rPr>
          <w:i/>
          <w:iCs/>
        </w:rPr>
        <w:t>S. aureus</w:t>
      </w:r>
      <w:r>
        <w:t xml:space="preserve">. </w:t>
      </w:r>
      <w:r>
        <w:rPr>
          <w:b/>
          <w:bCs/>
        </w:rPr>
        <w:t>(A)</w:t>
      </w:r>
      <w:r>
        <w:t xml:space="preserve"> Cropped from high magnification </w:t>
      </w:r>
      <w:r w:rsidR="005A33B8">
        <w:t>(</w:t>
      </w:r>
      <w:r>
        <w:t>9300x</w:t>
      </w:r>
      <w:r w:rsidR="005A33B8">
        <w:t>)</w:t>
      </w:r>
      <w:r>
        <w:t xml:space="preserve">, scale bar 200 nm. </w:t>
      </w:r>
      <w:r>
        <w:rPr>
          <w:b/>
          <w:bCs/>
        </w:rPr>
        <w:t>(B)</w:t>
      </w:r>
      <w:r>
        <w:t xml:space="preserve"> Zoomed area from </w:t>
      </w:r>
      <w:r>
        <w:rPr>
          <w:b/>
          <w:bCs/>
        </w:rPr>
        <w:t>(A)</w:t>
      </w:r>
      <w:r>
        <w:t xml:space="preserve">, scale bar 50 nm. </w:t>
      </w:r>
      <w:r>
        <w:rPr>
          <w:b/>
          <w:bCs/>
        </w:rPr>
        <w:t>(C)</w:t>
      </w:r>
      <w:r>
        <w:t xml:space="preserve"> Micrograph </w:t>
      </w:r>
      <w:r w:rsidR="003F2D08">
        <w:t xml:space="preserve">obtained </w:t>
      </w:r>
      <w:r>
        <w:t xml:space="preserve">from Matias &amp; Beveridge (2006) </w:t>
      </w:r>
      <w:r>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5570428f-abef-4c52-8423-1f18c58db060"]}],"mendeley":{"formattedCitation":"&lt;sup&gt;[16]&lt;/sup&gt;","plainTextFormattedCitation":"[16]","previouslyFormattedCitation":"&lt;sup&gt;[16]&lt;/sup&gt;"},"properties":{"noteIndex":0},"schema":"https://github.com/citation-style-language/schema/raw/master/csl-citation.json"}</w:instrText>
      </w:r>
      <w:r>
        <w:fldChar w:fldCharType="separate"/>
      </w:r>
      <w:r w:rsidR="00DA0A83" w:rsidRPr="00DA0A83">
        <w:rPr>
          <w:noProof/>
          <w:vertAlign w:val="superscript"/>
        </w:rPr>
        <w:t>[16]</w:t>
      </w:r>
      <w:r>
        <w:fldChar w:fldCharType="end"/>
      </w:r>
      <w:r>
        <w:t>, scale bar 50 nm.</w:t>
      </w:r>
    </w:p>
    <w:p w14:paraId="706466CC" w14:textId="0A6CEA17" w:rsidR="001C4AF8" w:rsidRDefault="00360A90" w:rsidP="009D4A5B">
      <w:pPr>
        <w:sectPr w:rsidR="001C4AF8" w:rsidSect="004D0E05">
          <w:pgSz w:w="11906" w:h="16838"/>
          <w:pgMar w:top="1191" w:right="1247" w:bottom="1191" w:left="1247" w:header="709" w:footer="709" w:gutter="0"/>
          <w:cols w:space="708"/>
          <w:titlePg/>
          <w:docGrid w:linePitch="360"/>
        </w:sectPr>
      </w:pPr>
      <w:r>
        <w:lastRenderedPageBreak/>
        <w:t xml:space="preserve">Chapter </w:t>
      </w:r>
      <w:r>
        <w:fldChar w:fldCharType="begin"/>
      </w:r>
      <w:r>
        <w:instrText xml:space="preserve"> REF _Ref72063215 \r \h </w:instrText>
      </w:r>
      <w:r>
        <w:fldChar w:fldCharType="separate"/>
      </w:r>
      <w:r w:rsidR="00183CC8">
        <w:t>5</w:t>
      </w:r>
      <w:r>
        <w:fldChar w:fldCharType="end"/>
      </w:r>
      <w:r>
        <w:t xml:space="preserve"> of this study require</w:t>
      </w:r>
      <w:r w:rsidR="00F7544D">
        <w:t>d</w:t>
      </w:r>
      <w:r>
        <w:t xml:space="preserve"> instant fixation of samples treated with antibiotics at a certain time</w:t>
      </w:r>
      <w:r w:rsidR="00995F1F">
        <w:t xml:space="preserve"> </w:t>
      </w:r>
      <w:r>
        <w:t>point.</w:t>
      </w:r>
      <w:r w:rsidR="00BB4C89">
        <w:t xml:space="preserve"> </w:t>
      </w:r>
      <w:r w:rsidR="00F7544D">
        <w:t>Samples</w:t>
      </w:r>
      <w:r w:rsidR="00BB4C89">
        <w:t xml:space="preserve"> were grown with antibiotic</w:t>
      </w:r>
      <w:r w:rsidR="00B34F03">
        <w:t>s</w:t>
      </w:r>
      <w:r w:rsidR="00BB4C89">
        <w:t xml:space="preserve"> </w:t>
      </w:r>
      <w:r w:rsidR="00F7544D">
        <w:t>for a</w:t>
      </w:r>
      <w:r w:rsidR="00BB4C89">
        <w:t xml:space="preserve"> desired </w:t>
      </w:r>
      <w:r w:rsidR="00F7544D">
        <w:t xml:space="preserve">period of </w:t>
      </w:r>
      <w:r w:rsidR="00BB4C89">
        <w:t xml:space="preserve">time, then </w:t>
      </w:r>
      <w:r w:rsidR="005813A0">
        <w:t xml:space="preserve">quickly </w:t>
      </w:r>
      <w:r w:rsidR="00451CED">
        <w:t>recovered</w:t>
      </w:r>
      <w:r w:rsidR="005813A0">
        <w:t xml:space="preserve"> by centrifugation</w:t>
      </w:r>
      <w:r w:rsidR="008565C1">
        <w:t>, washed</w:t>
      </w:r>
      <w:r w:rsidR="00BB4C89">
        <w:t xml:space="preserve"> and fixed with paraformaldehyde (PFA). This</w:t>
      </w:r>
      <w:r w:rsidR="00582DA2">
        <w:t xml:space="preserve"> fast acting</w:t>
      </w:r>
      <w:r w:rsidR="00BB4C89">
        <w:t xml:space="preserve"> fixative was chosen</w:t>
      </w:r>
      <w:r w:rsidR="00505D13">
        <w:t xml:space="preserve"> </w:t>
      </w:r>
      <w:r w:rsidR="008565C1">
        <w:t>to stop further action of the antibiotics.</w:t>
      </w:r>
      <w:r w:rsidR="00BB4C89">
        <w:t xml:space="preserve"> </w:t>
      </w:r>
      <w:r w:rsidR="007333C6">
        <w:t xml:space="preserve">The </w:t>
      </w:r>
      <w:r w:rsidR="00BB4C89">
        <w:t>fixed sample</w:t>
      </w:r>
      <w:r w:rsidR="00F7544D">
        <w:t>s</w:t>
      </w:r>
      <w:r w:rsidR="00BB4C89">
        <w:t xml:space="preserve"> w</w:t>
      </w:r>
      <w:r w:rsidR="00F7544D">
        <w:t>ere</w:t>
      </w:r>
      <w:r w:rsidR="00BB4C89">
        <w:t xml:space="preserve"> </w:t>
      </w:r>
      <w:r w:rsidR="00F7544D">
        <w:t xml:space="preserve">then </w:t>
      </w:r>
      <w:r w:rsidR="00BB4C89">
        <w:t>used for SIM preparation</w:t>
      </w:r>
      <w:r w:rsidR="00F7544D">
        <w:t>. After observing a particular phenotype with methicillin in those SIM images</w:t>
      </w:r>
      <w:r w:rsidR="00F64D0D">
        <w:t xml:space="preserve"> </w:t>
      </w:r>
      <w:r w:rsidR="00F64D0D">
        <w:fldChar w:fldCharType="begin" w:fldLock="1"/>
      </w:r>
      <w:r w:rsidR="00260ACA">
        <w:instrText>ADDIN CSL_CITATION {"citationItems":[{"id":"ITEM-1","itemData":{"author":[{"dropping-particle":"","family":"und zur Mühlen","given":"Milena Louise","non-dropping-particle":"von","parse-names":false,"suffix":""}],"id":"ITEM-1","issued":{"date-parts":[["2019"]]},"publisher":"The University of Sheffield","title":"Life and Death: Cell Wall Antibiotic killing of Staphylococcus aureus","type":"thesis"},"uris":["http://www.mendeley.com/documents/?uuid=940981bd-d042-4bac-9611-160139e29821"]}],"mendeley":{"formattedCitation":"&lt;sup&gt;[71]&lt;/sup&gt;","plainTextFormattedCitation":"[71]","previouslyFormattedCitation":"&lt;sup&gt;[71]&lt;/sup&gt;"},"properties":{"noteIndex":0},"schema":"https://github.com/citation-style-language/schema/raw/master/csl-citation.json"}</w:instrText>
      </w:r>
      <w:r w:rsidR="00F64D0D">
        <w:fldChar w:fldCharType="separate"/>
      </w:r>
      <w:r w:rsidR="00C825F9" w:rsidRPr="00C825F9">
        <w:rPr>
          <w:noProof/>
          <w:vertAlign w:val="superscript"/>
        </w:rPr>
        <w:t>[71]</w:t>
      </w:r>
      <w:r w:rsidR="00F64D0D">
        <w:fldChar w:fldCharType="end"/>
      </w:r>
      <w:r w:rsidR="00F7544D">
        <w:t xml:space="preserve">, a decision was made to obtain a more detailed TEM analysis </w:t>
      </w:r>
      <w:r w:rsidR="006A016E">
        <w:t>of the cell envelope</w:t>
      </w:r>
      <w:r w:rsidR="00F7544D">
        <w:t xml:space="preserve">. It was therefore important to use PFA to compare </w:t>
      </w:r>
      <w:r w:rsidR="00E90D38">
        <w:t xml:space="preserve">the obtained phenotype with </w:t>
      </w:r>
      <w:r w:rsidR="00F7544D">
        <w:t xml:space="preserve">the initial </w:t>
      </w:r>
      <w:r w:rsidR="00E90D38">
        <w:t xml:space="preserve">SIM </w:t>
      </w:r>
      <w:r w:rsidR="00F7544D">
        <w:t>results</w:t>
      </w:r>
      <w:r w:rsidR="00063057">
        <w:t xml:space="preserve"> obtained by Dr. </w:t>
      </w:r>
      <w:r w:rsidR="00063057" w:rsidRPr="009D4A5B">
        <w:t>von und zur Mühlen</w:t>
      </w:r>
      <w:r w:rsidR="00063057">
        <w:t>,</w:t>
      </w:r>
      <w:r w:rsidR="006A016E">
        <w:t xml:space="preserve"> for consistency</w:t>
      </w:r>
      <w:r w:rsidR="00F7544D">
        <w:t xml:space="preserve">. </w:t>
      </w:r>
      <w:r w:rsidR="00BB4C89">
        <w:t>With standard chemical fixation involving OsO</w:t>
      </w:r>
      <w:r w:rsidR="00BB4C89">
        <w:rPr>
          <w:vertAlign w:val="subscript"/>
        </w:rPr>
        <w:t>4</w:t>
      </w:r>
      <w:r w:rsidR="00BB4C89">
        <w:t xml:space="preserve"> and glutaraldehyde</w:t>
      </w:r>
      <w:r w:rsidR="001545BF">
        <w:t xml:space="preserve"> as fixatives</w:t>
      </w:r>
      <w:r w:rsidR="00BB4C89">
        <w:t xml:space="preserve">, it was </w:t>
      </w:r>
      <w:r w:rsidR="001545BF">
        <w:t>imperative</w:t>
      </w:r>
      <w:r w:rsidR="00BB4C89">
        <w:t xml:space="preserve"> to check if the use of PFA affected the cell structure</w:t>
      </w:r>
      <w:r w:rsidR="001545BF">
        <w:t xml:space="preserve"> or modified the results obtained by the standard TEM protocol</w:t>
      </w:r>
      <w:r w:rsidR="00BB4C89">
        <w:t>.</w:t>
      </w:r>
      <w:r w:rsidR="001545BF">
        <w:t xml:space="preserve"> </w:t>
      </w:r>
      <w:r w:rsidR="004E7D46">
        <w:fldChar w:fldCharType="begin"/>
      </w:r>
      <w:r w:rsidR="004E7D46">
        <w:instrText xml:space="preserve"> REF _Ref72152518 \h </w:instrText>
      </w:r>
      <w:r w:rsidR="004E7D46">
        <w:fldChar w:fldCharType="separate"/>
      </w:r>
      <w:r w:rsidR="00183CC8">
        <w:t xml:space="preserve">Figure </w:t>
      </w:r>
      <w:r w:rsidR="00183CC8">
        <w:rPr>
          <w:noProof/>
        </w:rPr>
        <w:t>3</w:t>
      </w:r>
      <w:r w:rsidR="00183CC8">
        <w:t>.</w:t>
      </w:r>
      <w:r w:rsidR="00183CC8">
        <w:rPr>
          <w:noProof/>
        </w:rPr>
        <w:t>6</w:t>
      </w:r>
      <w:r w:rsidR="004E7D46">
        <w:fldChar w:fldCharType="end"/>
      </w:r>
      <w:r w:rsidR="004E7D46">
        <w:t xml:space="preserve"> </w:t>
      </w:r>
      <w:r w:rsidR="00082175">
        <w:t>suggests</w:t>
      </w:r>
      <w:r w:rsidR="00AD2641">
        <w:t xml:space="preserve"> that</w:t>
      </w:r>
      <w:r w:rsidR="0044401E">
        <w:t xml:space="preserve"> neither antibiotic-treated no</w:t>
      </w:r>
      <w:r w:rsidR="000A0B52">
        <w:t>r</w:t>
      </w:r>
      <w:r w:rsidR="0044401E">
        <w:t xml:space="preserve"> untreated samples (control) had any </w:t>
      </w:r>
      <w:r w:rsidR="00974E53">
        <w:t>considerable phenotypic differences with the additional use of PFA</w:t>
      </w:r>
      <w:r w:rsidR="00A40C86">
        <w:t>.</w:t>
      </w:r>
    </w:p>
    <w:p w14:paraId="097E83E1" w14:textId="77777777" w:rsidR="001C4AF8" w:rsidRDefault="001C4AF8" w:rsidP="002E73DF">
      <w:pPr>
        <w:keepNext/>
        <w:jc w:val="center"/>
      </w:pPr>
      <w:r>
        <w:rPr>
          <w:noProof/>
        </w:rPr>
        <w:lastRenderedPageBreak/>
        <w:drawing>
          <wp:inline distT="0" distB="0" distL="0" distR="0" wp14:anchorId="7A9B1F0D" wp14:editId="231FC1CD">
            <wp:extent cx="5964414" cy="3347077"/>
            <wp:effectExtent l="0" t="0" r="508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64414" cy="3347077"/>
                    </a:xfrm>
                    <a:prstGeom prst="rect">
                      <a:avLst/>
                    </a:prstGeom>
                  </pic:spPr>
                </pic:pic>
              </a:graphicData>
            </a:graphic>
          </wp:inline>
        </w:drawing>
      </w:r>
    </w:p>
    <w:p w14:paraId="4EA6CE15" w14:textId="42E11D31" w:rsidR="00BB4C89" w:rsidRDefault="001C4AF8" w:rsidP="008A2B86">
      <w:pPr>
        <w:pStyle w:val="Caption"/>
      </w:pPr>
      <w:bookmarkStart w:id="498" w:name="_Ref72152518"/>
      <w:bookmarkStart w:id="499" w:name="_Toc90216941"/>
      <w:r>
        <w:t xml:space="preserve">Figure </w:t>
      </w:r>
      <w:r w:rsidR="003373BF">
        <w:fldChar w:fldCharType="begin"/>
      </w:r>
      <w:r w:rsidR="003373BF">
        <w:instrText xml:space="preserve"> STYLEREF 1 \s </w:instrText>
      </w:r>
      <w:r w:rsidR="003373BF">
        <w:fldChar w:fldCharType="separate"/>
      </w:r>
      <w:r w:rsidR="00183CC8">
        <w:rPr>
          <w:noProof/>
        </w:rPr>
        <w:t>3</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6</w:t>
      </w:r>
      <w:r w:rsidR="003373BF">
        <w:rPr>
          <w:noProof/>
        </w:rPr>
        <w:fldChar w:fldCharType="end"/>
      </w:r>
      <w:bookmarkEnd w:id="498"/>
      <w:r>
        <w:t xml:space="preserve"> The use of </w:t>
      </w:r>
      <w:r w:rsidR="000C5A41">
        <w:t>an</w:t>
      </w:r>
      <w:r>
        <w:t xml:space="preserve"> addition</w:t>
      </w:r>
      <w:r w:rsidR="000C5A41">
        <w:t>al</w:t>
      </w:r>
      <w:r>
        <w:t xml:space="preserve"> PFA step in standard chemical fixation TEM </w:t>
      </w:r>
      <w:r w:rsidR="00B813C9">
        <w:t>with</w:t>
      </w:r>
      <w:r>
        <w:t xml:space="preserve"> </w:t>
      </w:r>
      <w:r>
        <w:rPr>
          <w:i/>
        </w:rPr>
        <w:t>S. aureus</w:t>
      </w:r>
      <w:r w:rsidRPr="001C4AF8">
        <w:t>.</w:t>
      </w:r>
      <w:bookmarkEnd w:id="499"/>
    </w:p>
    <w:p w14:paraId="20893B34" w14:textId="25DE2A3C" w:rsidR="001C4AF8" w:rsidRPr="000922BA" w:rsidRDefault="000922BA" w:rsidP="001C4AF8">
      <w:pPr>
        <w:pStyle w:val="NoSpacing"/>
        <w:sectPr w:rsidR="001C4AF8" w:rsidRPr="000922BA" w:rsidSect="004D0E05">
          <w:pgSz w:w="11906" w:h="16838"/>
          <w:pgMar w:top="1191" w:right="1247" w:bottom="1191" w:left="1247" w:header="709" w:footer="709" w:gutter="0"/>
          <w:cols w:space="708"/>
          <w:titlePg/>
          <w:docGrid w:linePitch="360"/>
        </w:sectPr>
      </w:pPr>
      <w:r>
        <w:t xml:space="preserve">TEM micrographs of chemically fixed thin-sections of </w:t>
      </w:r>
      <w:r>
        <w:rPr>
          <w:i/>
          <w:iCs/>
        </w:rPr>
        <w:t>S. aureus</w:t>
      </w:r>
      <w:r>
        <w:t xml:space="preserve"> showing the difference between using </w:t>
      </w:r>
      <w:r w:rsidR="002A672A">
        <w:t>1</w:t>
      </w:r>
      <w:r w:rsidR="001104CA">
        <w:t>.</w:t>
      </w:r>
      <w:r w:rsidR="002A672A">
        <w:t>6</w:t>
      </w:r>
      <w:r w:rsidR="001104CA">
        <w:t> </w:t>
      </w:r>
      <w:r w:rsidR="0018799F" w:rsidRPr="00460182">
        <w:t>%</w:t>
      </w:r>
      <w:r w:rsidR="0018799F" w:rsidRPr="0018799F">
        <w:t xml:space="preserve"> </w:t>
      </w:r>
      <w:r w:rsidR="00243F26">
        <w:t xml:space="preserve">(w/v) </w:t>
      </w:r>
      <w:r w:rsidR="00B73CDA">
        <w:t>p</w:t>
      </w:r>
      <w:r w:rsidR="000E0572">
        <w:t>araformaldehyde (</w:t>
      </w:r>
      <w:r>
        <w:t>PFA</w:t>
      </w:r>
      <w:r w:rsidR="000E0572">
        <w:t>)</w:t>
      </w:r>
      <w:r>
        <w:t xml:space="preserve"> </w:t>
      </w:r>
      <w:r w:rsidR="0018511F">
        <w:t xml:space="preserve">for </w:t>
      </w:r>
      <w:r w:rsidR="00451CED">
        <w:t>3</w:t>
      </w:r>
      <w:r w:rsidR="0018511F">
        <w:t xml:space="preserve">0 min </w:t>
      </w:r>
      <w:r>
        <w:t>as an additional fixative in the standard chemical fixation protocol</w:t>
      </w:r>
      <w:r w:rsidR="001C4AF8">
        <w:t>.</w:t>
      </w:r>
      <w:r>
        <w:rPr>
          <w:b/>
          <w:bCs/>
        </w:rPr>
        <w:t xml:space="preserve"> (A)</w:t>
      </w:r>
      <w:r>
        <w:t xml:space="preserve"> A </w:t>
      </w:r>
      <w:r w:rsidR="00E047B9">
        <w:t xml:space="preserve">sample treated with </w:t>
      </w:r>
      <w:r w:rsidR="007A5930">
        <w:t xml:space="preserve">10 x MIC </w:t>
      </w:r>
      <w:r>
        <w:t xml:space="preserve">vancomycin </w:t>
      </w:r>
      <w:r w:rsidR="00E047B9">
        <w:t>for 1 h and fixed</w:t>
      </w:r>
      <w:r>
        <w:t xml:space="preserve"> with and without PFA, as indicated. </w:t>
      </w:r>
      <w:r>
        <w:rPr>
          <w:b/>
          <w:bCs/>
        </w:rPr>
        <w:t>(B)</w:t>
      </w:r>
      <w:r>
        <w:t xml:space="preserve"> Untreated control sample with and without PFA, as indicated. High magnification </w:t>
      </w:r>
      <w:r w:rsidR="0020711E">
        <w:t>(</w:t>
      </w:r>
      <w:r>
        <w:t>4800x</w:t>
      </w:r>
      <w:r w:rsidR="0020711E">
        <w:t>)</w:t>
      </w:r>
      <w:r>
        <w:t xml:space="preserve">, scale bars 1 µm. Zoomed cropped images from high magnification </w:t>
      </w:r>
      <w:r w:rsidR="0020711E">
        <w:t>(</w:t>
      </w:r>
      <w:r>
        <w:t>6800x</w:t>
      </w:r>
      <w:r w:rsidR="0020711E">
        <w:t>)</w:t>
      </w:r>
      <w:r>
        <w:t>, scale bars 200 nm.</w:t>
      </w:r>
    </w:p>
    <w:p w14:paraId="7572F17C" w14:textId="0BD0791E" w:rsidR="004B0C7E" w:rsidRDefault="004B0C7E" w:rsidP="004B0C7E">
      <w:pPr>
        <w:pStyle w:val="Heading2"/>
      </w:pPr>
      <w:bookmarkStart w:id="500" w:name="_Toc64276350"/>
      <w:bookmarkStart w:id="501" w:name="_Toc64276654"/>
      <w:bookmarkStart w:id="502" w:name="_Toc64276866"/>
      <w:bookmarkStart w:id="503" w:name="_Ref71889317"/>
      <w:bookmarkStart w:id="504" w:name="_Ref71998352"/>
      <w:bookmarkStart w:id="505" w:name="_Toc90216865"/>
      <w:r w:rsidRPr="005B0F81">
        <w:lastRenderedPageBreak/>
        <w:t>Freeze-subst</w:t>
      </w:r>
      <w:r w:rsidR="00003138">
        <w:t>itu</w:t>
      </w:r>
      <w:r w:rsidRPr="005B0F81">
        <w:t xml:space="preserve">tion </w:t>
      </w:r>
      <w:r w:rsidR="005E420A">
        <w:t xml:space="preserve">TEM </w:t>
      </w:r>
      <w:r w:rsidRPr="005B0F81">
        <w:t>for detailed morphological analysis</w:t>
      </w:r>
      <w:bookmarkEnd w:id="500"/>
      <w:bookmarkEnd w:id="501"/>
      <w:bookmarkEnd w:id="502"/>
      <w:bookmarkEnd w:id="503"/>
      <w:bookmarkEnd w:id="504"/>
      <w:r w:rsidR="007006CC">
        <w:t>.</w:t>
      </w:r>
      <w:bookmarkEnd w:id="505"/>
    </w:p>
    <w:p w14:paraId="5C5969A6" w14:textId="69579942" w:rsidR="003F25F6" w:rsidRPr="0056329D" w:rsidRDefault="00173A6E" w:rsidP="00173A6E">
      <w:r>
        <w:t>Various factors will have a differential effect on bacterial structure, with the chosen fixation method and fixatives being the most impactful.</w:t>
      </w:r>
      <w:r w:rsidR="003F25F6">
        <w:t xml:space="preserve"> </w:t>
      </w:r>
      <w:r w:rsidR="00811E08">
        <w:t>The focus o</w:t>
      </w:r>
      <w:r w:rsidR="00BE1D15">
        <w:t>n</w:t>
      </w:r>
      <w:r w:rsidR="00811E08">
        <w:t xml:space="preserve"> </w:t>
      </w:r>
      <w:r w:rsidR="00044A3D">
        <w:t xml:space="preserve">the </w:t>
      </w:r>
      <w:r w:rsidR="00811E08">
        <w:t xml:space="preserve">exoplasm in Chapter 4, dictated the need for a more in-depth phenotypic analysis and a better sample preparation than chemical fixation. </w:t>
      </w:r>
      <w:r w:rsidR="003F25F6">
        <w:t>As shown by Matias &amp; Beveridge (2006), freeze-substitution</w:t>
      </w:r>
      <w:r w:rsidR="0084164D">
        <w:t xml:space="preserve"> (FS)</w:t>
      </w:r>
      <w:r w:rsidR="003F25F6">
        <w:t xml:space="preserve"> provides much better structural preservation than standard chemical fixation </w:t>
      </w:r>
      <w:r w:rsidR="003F25F6">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5570428f-abef-4c52-8423-1f18c58db060"]}],"mendeley":{"formattedCitation":"&lt;sup&gt;[16]&lt;/sup&gt;","plainTextFormattedCitation":"[16]","previouslyFormattedCitation":"&lt;sup&gt;[16]&lt;/sup&gt;"},"properties":{"noteIndex":0},"schema":"https://github.com/citation-style-language/schema/raw/master/csl-citation.json"}</w:instrText>
      </w:r>
      <w:r w:rsidR="003F25F6">
        <w:fldChar w:fldCharType="separate"/>
      </w:r>
      <w:r w:rsidR="00DA0A83" w:rsidRPr="00DA0A83">
        <w:rPr>
          <w:noProof/>
          <w:vertAlign w:val="superscript"/>
        </w:rPr>
        <w:t>[16]</w:t>
      </w:r>
      <w:r w:rsidR="003F25F6">
        <w:fldChar w:fldCharType="end"/>
      </w:r>
      <w:r>
        <w:t xml:space="preserve"> due to the use of a cryo-fixation method and the slow </w:t>
      </w:r>
      <w:r w:rsidR="00C172B3">
        <w:t xml:space="preserve">dehydration and </w:t>
      </w:r>
      <w:r>
        <w:t xml:space="preserve">permeation of the chosen fixative at below-zero temperatures </w:t>
      </w:r>
      <w:r w:rsidR="005C5661">
        <w:fldChar w:fldCharType="begin" w:fldLock="1"/>
      </w:r>
      <w:r w:rsidR="0058736C">
        <w:instrText>ADDIN CSL_CITATION {"citationItems":[{"id":"ITEM-1","itemData":{"ISBN":"9780849372278","container-title":"Cellular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-1","issued":{"date-parts":[["2008"]]},"publisher":"CRC Publisher","publisher-place":"Boca Raton","title":"Handbook of Cryopreparation Methods for Electron Microscopy","type":"book","volume":"79"},"uris":["http://www.mendeley.com/documents/?uuid=d0314adf-0335-4087-adfc-77f2002bf131"]}],"mendeley":{"formattedCitation":"&lt;sup&gt;[215]&lt;/sup&gt;","plainTextFormattedCitation":"[215]","previouslyFormattedCitation":"&lt;sup&gt;[215]&lt;/sup&gt;"},"properties":{"noteIndex":0},"schema":"https://github.com/citation-style-language/schema/raw/master/csl-citation.json"}</w:instrText>
      </w:r>
      <w:r w:rsidR="005C5661">
        <w:fldChar w:fldCharType="separate"/>
      </w:r>
      <w:r w:rsidR="002659E5" w:rsidRPr="002659E5">
        <w:rPr>
          <w:noProof/>
          <w:vertAlign w:val="superscript"/>
        </w:rPr>
        <w:t>[215]</w:t>
      </w:r>
      <w:r w:rsidR="005C5661">
        <w:fldChar w:fldCharType="end"/>
      </w:r>
      <w:r w:rsidR="003F25F6">
        <w:t>.</w:t>
      </w:r>
      <w:r w:rsidR="0084164D">
        <w:t xml:space="preserve"> </w:t>
      </w:r>
      <w:r w:rsidR="007D2342">
        <w:t>I</w:t>
      </w:r>
      <w:r w:rsidR="0084164D">
        <w:t xml:space="preserve"> therefore tried to replicate</w:t>
      </w:r>
      <w:r w:rsidR="00DD4C60">
        <w:t xml:space="preserve">, troubleshoot and further develop </w:t>
      </w:r>
      <w:r w:rsidR="0084164D">
        <w:t>the FS methodology to obtain the best possible results</w:t>
      </w:r>
      <w:r w:rsidR="00F00FB4">
        <w:t xml:space="preserve"> for </w:t>
      </w:r>
      <w:r w:rsidR="007C4E6C">
        <w:t>this</w:t>
      </w:r>
      <w:r w:rsidR="00F00FB4">
        <w:t xml:space="preserve"> study</w:t>
      </w:r>
      <w:r w:rsidR="00DD4C60">
        <w:t>.</w:t>
      </w:r>
      <w:r w:rsidR="0084164D">
        <w:t xml:space="preserve"> </w:t>
      </w:r>
    </w:p>
    <w:p w14:paraId="0A6D52F9" w14:textId="57C31DA2" w:rsidR="004B0C7E" w:rsidRDefault="00AD67D7" w:rsidP="004B0C7E">
      <w:pPr>
        <w:pStyle w:val="Heading3"/>
      </w:pPr>
      <w:bookmarkStart w:id="506" w:name="_Ref72186741"/>
      <w:bookmarkStart w:id="507" w:name="_Toc90216866"/>
      <w:r>
        <w:t>Testing the best methodology and cryoprotectant for HPF</w:t>
      </w:r>
      <w:bookmarkEnd w:id="506"/>
      <w:r w:rsidR="007006CC">
        <w:t>.</w:t>
      </w:r>
      <w:bookmarkEnd w:id="507"/>
    </w:p>
    <w:p w14:paraId="731288B4" w14:textId="075CF16E" w:rsidR="00FB4901" w:rsidRPr="008534CC" w:rsidRDefault="000D250C" w:rsidP="00D829E7">
      <w:r>
        <w:t>High pressure freezing</w:t>
      </w:r>
      <w:r w:rsidR="00E671F1">
        <w:t xml:space="preserve"> (HPF)</w:t>
      </w:r>
      <w:r>
        <w:t xml:space="preserve"> </w:t>
      </w:r>
      <w:r w:rsidR="001D44B0">
        <w:t xml:space="preserve">is the initial </w:t>
      </w:r>
      <w:r>
        <w:t xml:space="preserve">cryo-fixation </w:t>
      </w:r>
      <w:r w:rsidR="001D44B0">
        <w:t>step of FS,</w:t>
      </w:r>
      <w:r>
        <w:t xml:space="preserve"> and the instrument used was the Leica EM PACT2</w:t>
      </w:r>
      <w:r w:rsidR="0016112C">
        <w:t xml:space="preserve"> RTS (rapid transfer system)</w:t>
      </w:r>
      <w:r w:rsidR="00E671F1">
        <w:t xml:space="preserve">. </w:t>
      </w:r>
      <w:r w:rsidR="00D37969">
        <w:t>The best carrier for HPF of bacterial pellets is the flat specimen carrier. This round copper carrier is gold plated and comes in three available size</w:t>
      </w:r>
      <w:r w:rsidR="001951B0">
        <w:t>s</w:t>
      </w:r>
      <w:r w:rsidR="00D37969">
        <w:t xml:space="preserve">. </w:t>
      </w:r>
      <w:r w:rsidR="00FB4901">
        <w:t xml:space="preserve">The carriers are attached to a rapid loader, and </w:t>
      </w:r>
      <w:r w:rsidR="001B5EBE">
        <w:t xml:space="preserve">then </w:t>
      </w:r>
      <w:r w:rsidR="00FB4901">
        <w:t xml:space="preserve">loaded with the bacterial sample. </w:t>
      </w:r>
      <w:r w:rsidR="00DA3567">
        <w:t xml:space="preserve">In the meantime, </w:t>
      </w:r>
      <w:r w:rsidR="00F521F3">
        <w:t xml:space="preserve">the </w:t>
      </w:r>
      <w:r w:rsidR="00AC482B">
        <w:t xml:space="preserve">HPF </w:t>
      </w:r>
      <w:r w:rsidR="00F521F3">
        <w:t>instrument</w:t>
      </w:r>
      <w:r w:rsidR="00FB4901">
        <w:t xml:space="preserve"> </w:t>
      </w:r>
      <w:r w:rsidR="009E48AD">
        <w:t xml:space="preserve">is prepared by attaching a bayonet pod into the </w:t>
      </w:r>
      <w:r w:rsidR="00FB4901">
        <w:t>RTS bayonet loading device</w:t>
      </w:r>
      <w:r w:rsidR="009E48AD">
        <w:t xml:space="preserve">. A correct </w:t>
      </w:r>
      <w:r w:rsidR="00DB0D1E">
        <w:t>alignment</w:t>
      </w:r>
      <w:r w:rsidR="009E48AD">
        <w:t xml:space="preserve"> of the pod and the bayonet loading device is key for its subsequent insertion into</w:t>
      </w:r>
      <w:r w:rsidR="009240BA">
        <w:t xml:space="preserve"> the</w:t>
      </w:r>
      <w:r w:rsidR="00FB4901">
        <w:t xml:space="preserve"> </w:t>
      </w:r>
      <w:r w:rsidR="00AC482B">
        <w:t>EM PACT2</w:t>
      </w:r>
      <w:r w:rsidR="00FB4901">
        <w:t>.</w:t>
      </w:r>
      <w:r w:rsidR="005F499D">
        <w:t xml:space="preserve"> The “preload” step consists of the </w:t>
      </w:r>
      <w:r w:rsidR="004F1903">
        <w:t xml:space="preserve">automated </w:t>
      </w:r>
      <w:r w:rsidR="005F499D">
        <w:t>unlocking of the diamond screw</w:t>
      </w:r>
      <w:r w:rsidR="009E48AD">
        <w:t xml:space="preserve"> in the pod,</w:t>
      </w:r>
      <w:r w:rsidR="005F499D">
        <w:t xml:space="preserve"> to its open position.</w:t>
      </w:r>
      <w:r w:rsidR="00FB4901">
        <w:t xml:space="preserve"> To carry out the fixation, the rapid loader with the loaded carrier is inserted into the instrument, and this action activates the bayonet loading device.</w:t>
      </w:r>
      <w:r w:rsidR="005F499D">
        <w:t xml:space="preserve"> The flat carrier with the specimen is locked in the bayonet pod and the diamond screw is automatically closed</w:t>
      </w:r>
      <w:r w:rsidR="00B00D96">
        <w:t>,</w:t>
      </w:r>
      <w:r w:rsidR="00F521F3">
        <w:t xml:space="preserve"> securing the specimen in place</w:t>
      </w:r>
      <w:r w:rsidR="008534CC">
        <w:t xml:space="preserve">. The locked specimen is propelled into the EM PACT2, where a </w:t>
      </w:r>
      <w:r w:rsidR="007B2D22">
        <w:t xml:space="preserve">double </w:t>
      </w:r>
      <w:r w:rsidR="008534CC">
        <w:t>jet of liquid nitrogen (L</w:t>
      </w:r>
      <w:r w:rsidR="00FD679B">
        <w:t>N</w:t>
      </w:r>
      <w:r w:rsidR="008534CC">
        <w:rPr>
          <w:vertAlign w:val="subscript"/>
        </w:rPr>
        <w:t>2</w:t>
      </w:r>
      <w:r w:rsidR="008534CC">
        <w:t xml:space="preserve">) at </w:t>
      </w:r>
      <w:r w:rsidR="006938AB">
        <w:t>– </w:t>
      </w:r>
      <w:r w:rsidR="008534CC">
        <w:t>196 </w:t>
      </w:r>
      <w:r w:rsidR="008534CC">
        <w:rPr>
          <w:rFonts w:ascii="Calibri" w:hAnsi="Calibri" w:cs="Calibri"/>
        </w:rPr>
        <w:t>°</w:t>
      </w:r>
      <w:r w:rsidR="008534CC">
        <w:t xml:space="preserve">C goes through it and vitrifies the specimen. </w:t>
      </w:r>
      <w:r w:rsidR="00BE72E1">
        <w:t>After</w:t>
      </w:r>
      <w:r w:rsidR="0038770E">
        <w:t xml:space="preserve"> 600 ms</w:t>
      </w:r>
      <w:r w:rsidR="008534CC">
        <w:t>, the bayonet pod is ejected into a LN</w:t>
      </w:r>
      <w:r w:rsidR="008534CC" w:rsidRPr="0038770E">
        <w:rPr>
          <w:vertAlign w:val="subscript"/>
        </w:rPr>
        <w:t>2</w:t>
      </w:r>
      <w:r w:rsidR="008534CC">
        <w:t xml:space="preserve"> bath</w:t>
      </w:r>
      <w:r w:rsidR="00DB2339">
        <w:t>.</w:t>
      </w:r>
      <w:r w:rsidR="00E62094">
        <w:t xml:space="preserve"> This is a complex instrument where many factors can affect the outcome. The two most determining steps are the correct loading of the specimen and the </w:t>
      </w:r>
      <w:r w:rsidR="00B82374">
        <w:t>instrument’s</w:t>
      </w:r>
      <w:r w:rsidR="00E62094">
        <w:t xml:space="preserve"> high pressure.</w:t>
      </w:r>
    </w:p>
    <w:p w14:paraId="6A05DFC3" w14:textId="75F9FF06" w:rsidR="00D468B5" w:rsidRDefault="001D363C" w:rsidP="00D829E7">
      <w:r>
        <w:t xml:space="preserve">Loading </w:t>
      </w:r>
      <w:r w:rsidR="00FB4901">
        <w:t xml:space="preserve">of the flat carrier system with </w:t>
      </w:r>
      <w:r w:rsidR="00D37969">
        <w:rPr>
          <w:i/>
          <w:iCs/>
        </w:rPr>
        <w:t xml:space="preserve">S. aureus </w:t>
      </w:r>
      <w:r>
        <w:t xml:space="preserve">sample was not a simple task. </w:t>
      </w:r>
      <w:r w:rsidR="002E6EE9">
        <w:t>The chosen</w:t>
      </w:r>
      <w:r w:rsidR="00B225EC">
        <w:t xml:space="preserve"> </w:t>
      </w:r>
      <w:r w:rsidR="002A5829">
        <w:t xml:space="preserve">carriers </w:t>
      </w:r>
      <w:r w:rsidR="00D37969">
        <w:t xml:space="preserve">have an inner diameter of </w:t>
      </w:r>
      <w:r w:rsidR="00744028">
        <w:t>1.5 mm with a recess of 200 µm,</w:t>
      </w:r>
      <w:r w:rsidR="002A5829">
        <w:t xml:space="preserve"> so the use of a stereoscope is highly recommended</w:t>
      </w:r>
      <w:r w:rsidR="00495648">
        <w:t xml:space="preserve"> (</w:t>
      </w:r>
      <w:r w:rsidR="00E46312">
        <w:rPr>
          <w:highlight w:val="yellow"/>
        </w:rPr>
        <w:fldChar w:fldCharType="begin"/>
      </w:r>
      <w:r w:rsidR="00E46312">
        <w:instrText xml:space="preserve"> REF _Ref72232452 \h </w:instrText>
      </w:r>
      <w:r w:rsidR="00E46312">
        <w:rPr>
          <w:highlight w:val="yellow"/>
        </w:rPr>
      </w:r>
      <w:r w:rsidR="00E46312">
        <w:rPr>
          <w:highlight w:val="yellow"/>
        </w:rPr>
        <w:fldChar w:fldCharType="separate"/>
      </w:r>
      <w:r w:rsidR="00183CC8">
        <w:t xml:space="preserve">Figure </w:t>
      </w:r>
      <w:r w:rsidR="00183CC8">
        <w:rPr>
          <w:noProof/>
        </w:rPr>
        <w:t>3</w:t>
      </w:r>
      <w:r w:rsidR="00183CC8">
        <w:t>.</w:t>
      </w:r>
      <w:r w:rsidR="00183CC8">
        <w:rPr>
          <w:noProof/>
        </w:rPr>
        <w:t>7</w:t>
      </w:r>
      <w:r w:rsidR="00E46312">
        <w:rPr>
          <w:highlight w:val="yellow"/>
        </w:rPr>
        <w:fldChar w:fldCharType="end"/>
      </w:r>
      <w:r w:rsidR="00E46312">
        <w:t>a</w:t>
      </w:r>
      <w:r w:rsidR="00495648">
        <w:t>)</w:t>
      </w:r>
      <w:r w:rsidR="002A5829">
        <w:t xml:space="preserve">. </w:t>
      </w:r>
      <w:r w:rsidR="0007481B">
        <w:t>To avoid the pellet from drying out, this step was carried out in a petri dish with a damp filter paper inside (</w:t>
      </w:r>
      <w:r w:rsidR="0007481B">
        <w:rPr>
          <w:highlight w:val="yellow"/>
        </w:rPr>
        <w:fldChar w:fldCharType="begin"/>
      </w:r>
      <w:r w:rsidR="0007481B">
        <w:instrText xml:space="preserve"> REF _Ref72232452 \h </w:instrText>
      </w:r>
      <w:r w:rsidR="0007481B">
        <w:rPr>
          <w:highlight w:val="yellow"/>
        </w:rPr>
      </w:r>
      <w:r w:rsidR="0007481B">
        <w:rPr>
          <w:highlight w:val="yellow"/>
        </w:rPr>
        <w:fldChar w:fldCharType="separate"/>
      </w:r>
      <w:r w:rsidR="00183CC8">
        <w:t xml:space="preserve">Figure </w:t>
      </w:r>
      <w:r w:rsidR="00183CC8">
        <w:rPr>
          <w:noProof/>
        </w:rPr>
        <w:t>3</w:t>
      </w:r>
      <w:r w:rsidR="00183CC8">
        <w:t>.</w:t>
      </w:r>
      <w:r w:rsidR="00183CC8">
        <w:rPr>
          <w:noProof/>
        </w:rPr>
        <w:t>7</w:t>
      </w:r>
      <w:r w:rsidR="0007481B">
        <w:rPr>
          <w:highlight w:val="yellow"/>
        </w:rPr>
        <w:fldChar w:fldCharType="end"/>
      </w:r>
      <w:r w:rsidR="0007481B">
        <w:t xml:space="preserve">a). </w:t>
      </w:r>
      <w:r>
        <w:t xml:space="preserve">The </w:t>
      </w:r>
      <w:r w:rsidR="00C756EF">
        <w:t>biggest</w:t>
      </w:r>
      <w:r>
        <w:t xml:space="preserve"> obstacle was the </w:t>
      </w:r>
      <w:r>
        <w:lastRenderedPageBreak/>
        <w:t>viscous and sticky consistency of the pellet</w:t>
      </w:r>
      <w:r w:rsidR="006D1882">
        <w:t xml:space="preserve"> (</w:t>
      </w:r>
      <w:r w:rsidR="00E46312">
        <w:rPr>
          <w:highlight w:val="yellow"/>
        </w:rPr>
        <w:fldChar w:fldCharType="begin"/>
      </w:r>
      <w:r w:rsidR="00E46312">
        <w:instrText xml:space="preserve"> REF _Ref72232452 \h </w:instrText>
      </w:r>
      <w:r w:rsidR="00E46312">
        <w:rPr>
          <w:highlight w:val="yellow"/>
        </w:rPr>
      </w:r>
      <w:r w:rsidR="00E46312">
        <w:rPr>
          <w:highlight w:val="yellow"/>
        </w:rPr>
        <w:fldChar w:fldCharType="separate"/>
      </w:r>
      <w:r w:rsidR="00183CC8">
        <w:t xml:space="preserve">Figure </w:t>
      </w:r>
      <w:r w:rsidR="00183CC8">
        <w:rPr>
          <w:noProof/>
        </w:rPr>
        <w:t>3</w:t>
      </w:r>
      <w:r w:rsidR="00183CC8">
        <w:t>.</w:t>
      </w:r>
      <w:r w:rsidR="00183CC8">
        <w:rPr>
          <w:noProof/>
        </w:rPr>
        <w:t>7</w:t>
      </w:r>
      <w:r w:rsidR="00E46312">
        <w:rPr>
          <w:highlight w:val="yellow"/>
        </w:rPr>
        <w:fldChar w:fldCharType="end"/>
      </w:r>
      <w:r w:rsidR="00E46312">
        <w:t>b</w:t>
      </w:r>
      <w:r w:rsidR="006D1882">
        <w:t>)</w:t>
      </w:r>
      <w:r>
        <w:t xml:space="preserve">. Using a pipette tip </w:t>
      </w:r>
      <w:r w:rsidR="00C074E1">
        <w:t>for</w:t>
      </w:r>
      <w:r>
        <w:t xml:space="preserve"> load</w:t>
      </w:r>
      <w:r w:rsidR="00C074E1">
        <w:t>ing</w:t>
      </w:r>
      <w:r>
        <w:t xml:space="preserve"> was not feasible, and cutting a 200 µl tip to get a bigger opening did not work either</w:t>
      </w:r>
      <w:r w:rsidR="0036690B">
        <w:t xml:space="preserve"> as the sample stuck to the walls of the plastic tip</w:t>
      </w:r>
      <w:r>
        <w:t>.</w:t>
      </w:r>
      <w:r w:rsidR="002123F2">
        <w:t xml:space="preserve"> The way around it was to </w:t>
      </w:r>
      <w:r w:rsidR="009955F2">
        <w:t xml:space="preserve">cut a </w:t>
      </w:r>
      <w:r w:rsidR="008D1CBC">
        <w:t xml:space="preserve">pipette </w:t>
      </w:r>
      <w:r w:rsidR="009955F2">
        <w:t>tip diagonally with a razo</w:t>
      </w:r>
      <w:r w:rsidR="00A94DBC">
        <w:t>r</w:t>
      </w:r>
      <w:r w:rsidR="009955F2">
        <w:t xml:space="preserve"> blade, and use it to scoop some of the pellet out</w:t>
      </w:r>
      <w:r w:rsidR="006D1882">
        <w:t xml:space="preserve"> (</w:t>
      </w:r>
      <w:r w:rsidR="00E46312">
        <w:rPr>
          <w:highlight w:val="yellow"/>
        </w:rPr>
        <w:fldChar w:fldCharType="begin"/>
      </w:r>
      <w:r w:rsidR="00E46312">
        <w:instrText xml:space="preserve"> REF _Ref72232452 \h </w:instrText>
      </w:r>
      <w:r w:rsidR="00E46312">
        <w:rPr>
          <w:highlight w:val="yellow"/>
        </w:rPr>
      </w:r>
      <w:r w:rsidR="00E46312">
        <w:rPr>
          <w:highlight w:val="yellow"/>
        </w:rPr>
        <w:fldChar w:fldCharType="separate"/>
      </w:r>
      <w:r w:rsidR="00183CC8">
        <w:t xml:space="preserve">Figure </w:t>
      </w:r>
      <w:r w:rsidR="00183CC8">
        <w:rPr>
          <w:noProof/>
        </w:rPr>
        <w:t>3</w:t>
      </w:r>
      <w:r w:rsidR="00183CC8">
        <w:t>.</w:t>
      </w:r>
      <w:r w:rsidR="00183CC8">
        <w:rPr>
          <w:noProof/>
        </w:rPr>
        <w:t>7</w:t>
      </w:r>
      <w:r w:rsidR="00E46312">
        <w:rPr>
          <w:highlight w:val="yellow"/>
        </w:rPr>
        <w:fldChar w:fldCharType="end"/>
      </w:r>
      <w:r w:rsidR="00E46312">
        <w:t>c</w:t>
      </w:r>
      <w:r w:rsidR="006D1882">
        <w:t>)</w:t>
      </w:r>
      <w:r w:rsidR="009955F2">
        <w:t>. Then, with the help of a toothpick</w:t>
      </w:r>
      <w:r w:rsidR="00E46312">
        <w:t xml:space="preserve"> or metal pick,</w:t>
      </w:r>
      <w:r w:rsidR="009955F2">
        <w:t xml:space="preserve"> </w:t>
      </w:r>
      <w:r w:rsidR="00116244">
        <w:t xml:space="preserve">the sample </w:t>
      </w:r>
      <w:r w:rsidR="007F0D55">
        <w:t>was</w:t>
      </w:r>
      <w:r w:rsidR="00116244">
        <w:t xml:space="preserve"> loaded into the carrier</w:t>
      </w:r>
      <w:r w:rsidR="009955F2">
        <w:t>.</w:t>
      </w:r>
      <w:r w:rsidR="0036690B">
        <w:t xml:space="preserve"> The use of a metal pick is not </w:t>
      </w:r>
      <w:r w:rsidR="007F0D55">
        <w:t>recommended</w:t>
      </w:r>
      <w:r w:rsidR="0036690B">
        <w:t xml:space="preserve"> as it could easily damage the gold plated carrier, while the toothpick can leave some wooden residues in the sample. Another alternative is to have a second pipette tip cut diagonally to a sharp point and use it to cut the specimen into place.</w:t>
      </w:r>
      <w:r w:rsidR="009955F2">
        <w:t xml:space="preserve"> </w:t>
      </w:r>
      <w:r w:rsidR="00116244">
        <w:t>This is not a straightforward process</w:t>
      </w:r>
      <w:r w:rsidR="0036690B">
        <w:t xml:space="preserve"> and different samples, including different mutants, might have a more or less viscous consistency that will require an adaptation of the loading technique</w:t>
      </w:r>
      <w:r w:rsidR="00116244">
        <w:t>.</w:t>
      </w:r>
      <w:r w:rsidR="0036690B">
        <w:t xml:space="preserve"> For example, a mutant lacking WTA seemed to stick even more to the pipette tips and a </w:t>
      </w:r>
      <w:r w:rsidR="00445BF5">
        <w:t>diagonally</w:t>
      </w:r>
      <w:r w:rsidR="0036690B">
        <w:t xml:space="preserve"> cut </w:t>
      </w:r>
      <w:r w:rsidR="00445BF5">
        <w:t xml:space="preserve">pipette </w:t>
      </w:r>
      <w:r w:rsidR="0036690B">
        <w:t xml:space="preserve">tip was not enough for separating a small </w:t>
      </w:r>
      <w:r w:rsidR="00341C7C">
        <w:t xml:space="preserve">sample </w:t>
      </w:r>
      <w:r w:rsidR="0036690B">
        <w:t xml:space="preserve">piece to put into the carrier. The way </w:t>
      </w:r>
      <w:r w:rsidR="00EC1931">
        <w:t>forward</w:t>
      </w:r>
      <w:r w:rsidR="0036690B">
        <w:t xml:space="preserve"> was to </w:t>
      </w:r>
      <w:r w:rsidR="00EC1931">
        <w:t>place</w:t>
      </w:r>
      <w:r w:rsidR="0036690B">
        <w:t xml:space="preserve"> the pellet onto a piece of</w:t>
      </w:r>
      <w:r w:rsidR="00EC1931">
        <w:t xml:space="preserve"> Parafilm®</w:t>
      </w:r>
      <w:r w:rsidR="00ED1388">
        <w:t>,</w:t>
      </w:r>
      <w:r w:rsidR="00EC1931">
        <w:t xml:space="preserve"> kept inside a Petri dish with a damp filter paper to avoid the pellet from drying out</w:t>
      </w:r>
      <w:r w:rsidR="00F707E4">
        <w:t>;</w:t>
      </w:r>
      <w:r w:rsidR="00ED1388">
        <w:t xml:space="preserve"> next,</w:t>
      </w:r>
      <w:r w:rsidR="00F707E4">
        <w:t xml:space="preserve"> </w:t>
      </w:r>
      <w:r w:rsidR="00F73D26">
        <w:t>c</w:t>
      </w:r>
      <w:r w:rsidR="00EC1931">
        <w:t>ut the desired size of sample with a razor blade</w:t>
      </w:r>
      <w:r w:rsidR="00F707E4">
        <w:t xml:space="preserve">, </w:t>
      </w:r>
      <w:r w:rsidR="00EC1931">
        <w:t xml:space="preserve">pick it up with a toothpick and place it into the carrier. </w:t>
      </w:r>
      <w:r w:rsidR="00116244">
        <w:t xml:space="preserve"> </w:t>
      </w:r>
      <w:r w:rsidR="0036690B">
        <w:t>In addition to this, the</w:t>
      </w:r>
      <w:r w:rsidR="00116244">
        <w:t xml:space="preserve"> gooey consistency of the pellet makes it almost impossible to fill in the carrier properly. </w:t>
      </w:r>
      <w:r w:rsidR="009955F2">
        <w:t>It is of greatest importance to fill in the whole area</w:t>
      </w:r>
      <w:r w:rsidR="00116244">
        <w:t xml:space="preserve">, making sure that </w:t>
      </w:r>
      <w:r w:rsidR="00DD2409">
        <w:t>it is not overfilled</w:t>
      </w:r>
      <w:r w:rsidR="00116244">
        <w:t>, and that it is flat</w:t>
      </w:r>
      <w:r w:rsidR="009955F2">
        <w:t xml:space="preserve"> </w:t>
      </w:r>
      <w:r w:rsidR="006D1882">
        <w:t>and levelled with the edge of the carrier</w:t>
      </w:r>
      <w:r w:rsidR="00ED1388">
        <w:t xml:space="preserve"> (</w:t>
      </w:r>
      <w:r w:rsidR="00ED1388">
        <w:rPr>
          <w:highlight w:val="yellow"/>
        </w:rPr>
        <w:fldChar w:fldCharType="begin"/>
      </w:r>
      <w:r w:rsidR="00ED1388">
        <w:instrText xml:space="preserve"> REF _Ref72232452 \h </w:instrText>
      </w:r>
      <w:r w:rsidR="00ED1388">
        <w:rPr>
          <w:highlight w:val="yellow"/>
        </w:rPr>
      </w:r>
      <w:r w:rsidR="00ED1388">
        <w:rPr>
          <w:highlight w:val="yellow"/>
        </w:rPr>
        <w:fldChar w:fldCharType="separate"/>
      </w:r>
      <w:r w:rsidR="00183CC8">
        <w:t xml:space="preserve">Figure </w:t>
      </w:r>
      <w:r w:rsidR="00183CC8">
        <w:rPr>
          <w:noProof/>
        </w:rPr>
        <w:t>3</w:t>
      </w:r>
      <w:r w:rsidR="00183CC8">
        <w:t>.</w:t>
      </w:r>
      <w:r w:rsidR="00183CC8">
        <w:rPr>
          <w:noProof/>
        </w:rPr>
        <w:t>7</w:t>
      </w:r>
      <w:r w:rsidR="00ED1388">
        <w:rPr>
          <w:highlight w:val="yellow"/>
        </w:rPr>
        <w:fldChar w:fldCharType="end"/>
      </w:r>
      <w:r w:rsidR="00ED1388">
        <w:t xml:space="preserve">d). </w:t>
      </w:r>
      <w:r w:rsidR="006D1882">
        <w:t xml:space="preserve">It is also </w:t>
      </w:r>
      <w:r w:rsidR="0071176E">
        <w:t>imperative</w:t>
      </w:r>
      <w:r w:rsidR="006D1882">
        <w:t xml:space="preserve"> to leave th</w:t>
      </w:r>
      <w:r w:rsidR="003F4BDE">
        <w:t>e</w:t>
      </w:r>
      <w:r w:rsidR="006D1882">
        <w:t xml:space="preserve"> edge free from any sample </w:t>
      </w:r>
      <w:r w:rsidR="009955F2">
        <w:t xml:space="preserve">and </w:t>
      </w:r>
      <w:r w:rsidR="003F4BDE">
        <w:t>avoid</w:t>
      </w:r>
      <w:r w:rsidR="006D1882">
        <w:t xml:space="preserve"> air</w:t>
      </w:r>
      <w:r w:rsidR="002A5829">
        <w:t xml:space="preserve"> bubbles for correct cryo-fix</w:t>
      </w:r>
      <w:r w:rsidR="006D1882">
        <w:t>ation</w:t>
      </w:r>
      <w:r w:rsidR="00116244">
        <w:t xml:space="preserve"> </w:t>
      </w:r>
      <w:r w:rsidR="00E46312">
        <w:t>(</w:t>
      </w:r>
      <w:r w:rsidR="00E46312">
        <w:rPr>
          <w:highlight w:val="yellow"/>
        </w:rPr>
        <w:fldChar w:fldCharType="begin"/>
      </w:r>
      <w:r w:rsidR="00E46312">
        <w:instrText xml:space="preserve"> REF _Ref72232452 \h </w:instrText>
      </w:r>
      <w:r w:rsidR="00E46312">
        <w:rPr>
          <w:highlight w:val="yellow"/>
        </w:rPr>
      </w:r>
      <w:r w:rsidR="00E46312">
        <w:rPr>
          <w:highlight w:val="yellow"/>
        </w:rPr>
        <w:fldChar w:fldCharType="separate"/>
      </w:r>
      <w:r w:rsidR="00183CC8">
        <w:t xml:space="preserve">Figure </w:t>
      </w:r>
      <w:r w:rsidR="00183CC8">
        <w:rPr>
          <w:noProof/>
        </w:rPr>
        <w:t>3</w:t>
      </w:r>
      <w:r w:rsidR="00183CC8">
        <w:t>.</w:t>
      </w:r>
      <w:r w:rsidR="00183CC8">
        <w:rPr>
          <w:noProof/>
        </w:rPr>
        <w:t>7</w:t>
      </w:r>
      <w:r w:rsidR="00E46312">
        <w:rPr>
          <w:highlight w:val="yellow"/>
        </w:rPr>
        <w:fldChar w:fldCharType="end"/>
      </w:r>
      <w:r w:rsidR="00E46312">
        <w:t>d</w:t>
      </w:r>
      <w:r w:rsidR="00116244">
        <w:t>)</w:t>
      </w:r>
      <w:r w:rsidR="007F73AE">
        <w:t>.</w:t>
      </w:r>
    </w:p>
    <w:p w14:paraId="14BC6E6C" w14:textId="6DA7D105" w:rsidR="005A516B" w:rsidRDefault="005A516B" w:rsidP="00D829E7"/>
    <w:p w14:paraId="7C4119A1" w14:textId="77777777" w:rsidR="00CD403F" w:rsidRDefault="00CD403F" w:rsidP="00D829E7">
      <w:pPr>
        <w:sectPr w:rsidR="00CD403F" w:rsidSect="004D0E05">
          <w:pgSz w:w="11906" w:h="16838"/>
          <w:pgMar w:top="1191" w:right="1247" w:bottom="1191" w:left="1247" w:header="709" w:footer="709" w:gutter="0"/>
          <w:cols w:space="708"/>
          <w:titlePg/>
          <w:docGrid w:linePitch="360"/>
        </w:sectPr>
      </w:pPr>
    </w:p>
    <w:p w14:paraId="6881256E" w14:textId="77777777" w:rsidR="00CD403F" w:rsidRDefault="00CD403F" w:rsidP="0089651C">
      <w:pPr>
        <w:keepNext/>
        <w:jc w:val="center"/>
      </w:pPr>
      <w:r>
        <w:rPr>
          <w:noProof/>
        </w:rPr>
        <w:lastRenderedPageBreak/>
        <w:drawing>
          <wp:inline distT="0" distB="0" distL="0" distR="0" wp14:anchorId="706567D6" wp14:editId="4012403A">
            <wp:extent cx="5879596" cy="6132235"/>
            <wp:effectExtent l="0" t="0" r="635"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92955" cy="6146168"/>
                    </a:xfrm>
                    <a:prstGeom prst="rect">
                      <a:avLst/>
                    </a:prstGeom>
                  </pic:spPr>
                </pic:pic>
              </a:graphicData>
            </a:graphic>
          </wp:inline>
        </w:drawing>
      </w:r>
    </w:p>
    <w:p w14:paraId="3D85D530" w14:textId="6D325E37" w:rsidR="00CD403F" w:rsidRPr="00CC35DE" w:rsidRDefault="00CD403F" w:rsidP="008A2B86">
      <w:pPr>
        <w:pStyle w:val="Caption"/>
      </w:pPr>
      <w:bookmarkStart w:id="508" w:name="_Ref72232452"/>
      <w:bookmarkStart w:id="509" w:name="_Toc90216942"/>
      <w:r>
        <w:t xml:space="preserve">Figure </w:t>
      </w:r>
      <w:r w:rsidR="003373BF">
        <w:fldChar w:fldCharType="begin"/>
      </w:r>
      <w:r w:rsidR="003373BF">
        <w:instrText xml:space="preserve"> STYLEREF 1 \s </w:instrText>
      </w:r>
      <w:r w:rsidR="003373BF">
        <w:fldChar w:fldCharType="separate"/>
      </w:r>
      <w:r w:rsidR="00183CC8">
        <w:rPr>
          <w:noProof/>
        </w:rPr>
        <w:t>3</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7</w:t>
      </w:r>
      <w:r w:rsidR="003373BF">
        <w:rPr>
          <w:noProof/>
        </w:rPr>
        <w:fldChar w:fldCharType="end"/>
      </w:r>
      <w:bookmarkEnd w:id="508"/>
      <w:r>
        <w:t xml:space="preserve"> </w:t>
      </w:r>
      <w:r w:rsidR="00457C76">
        <w:t>Methodology for l</w:t>
      </w:r>
      <w:r>
        <w:t xml:space="preserve">oading </w:t>
      </w:r>
      <w:r w:rsidR="00457C76">
        <w:t>the</w:t>
      </w:r>
      <w:r>
        <w:t xml:space="preserve"> flat specimen carrie</w:t>
      </w:r>
      <w:r w:rsidR="00457C76">
        <w:t>r</w:t>
      </w:r>
      <w:r>
        <w:t xml:space="preserve"> for HPF of </w:t>
      </w:r>
      <w:r>
        <w:rPr>
          <w:i/>
        </w:rPr>
        <w:t>S. aureus</w:t>
      </w:r>
      <w:r>
        <w:t>.</w:t>
      </w:r>
      <w:bookmarkEnd w:id="509"/>
    </w:p>
    <w:p w14:paraId="52505F50" w14:textId="6B5E303E" w:rsidR="00CD403F" w:rsidRDefault="00CD403F" w:rsidP="00CD403F">
      <w:pPr>
        <w:pStyle w:val="NoSpacing"/>
        <w:keepNext/>
        <w:rPr>
          <w:noProof/>
        </w:rPr>
        <w:sectPr w:rsidR="00CD403F" w:rsidSect="004D0E05">
          <w:pgSz w:w="11906" w:h="16838"/>
          <w:pgMar w:top="1191" w:right="1247" w:bottom="1191" w:left="1247" w:header="709" w:footer="709" w:gutter="0"/>
          <w:cols w:space="708"/>
          <w:titlePg/>
          <w:docGrid w:linePitch="360"/>
        </w:sectPr>
      </w:pPr>
      <w:r>
        <w:rPr>
          <w:b/>
          <w:bCs/>
        </w:rPr>
        <w:t>(A)</w:t>
      </w:r>
      <w:r>
        <w:t xml:space="preserve"> Setup for HPF of </w:t>
      </w:r>
      <w:r>
        <w:rPr>
          <w:i/>
          <w:iCs/>
        </w:rPr>
        <w:t>S. aureus</w:t>
      </w:r>
      <w:r>
        <w:t xml:space="preserve"> for freeze-substitution using a stereoscope. Flat specimen carriers are attached onto the rapid loader. Sample loading is carried </w:t>
      </w:r>
      <w:r w:rsidR="002E6EE9">
        <w:t>out over</w:t>
      </w:r>
      <w:r>
        <w:t xml:space="preserve"> a petri dish with a damp filter paper inside to keep moisture. </w:t>
      </w:r>
      <w:r>
        <w:rPr>
          <w:b/>
          <w:bCs/>
        </w:rPr>
        <w:t>(B)</w:t>
      </w:r>
      <w:r>
        <w:t xml:space="preserve"> Viscous and sticky consistency </w:t>
      </w:r>
      <w:r w:rsidR="002E6EE9">
        <w:t xml:space="preserve">of </w:t>
      </w:r>
      <w:r w:rsidR="002E6EE9" w:rsidRPr="002E6EE9">
        <w:rPr>
          <w:i/>
          <w:iCs/>
        </w:rPr>
        <w:t>S.</w:t>
      </w:r>
      <w:r>
        <w:rPr>
          <w:i/>
          <w:iCs/>
        </w:rPr>
        <w:t xml:space="preserve"> aureus</w:t>
      </w:r>
      <w:r>
        <w:t xml:space="preserve"> and its loading into the carriers. </w:t>
      </w:r>
      <w:r>
        <w:rPr>
          <w:b/>
          <w:bCs/>
        </w:rPr>
        <w:t xml:space="preserve">(C) </w:t>
      </w:r>
      <w:r>
        <w:t xml:space="preserve">Various tools used for collecting and loading the sample into the carriers. </w:t>
      </w:r>
      <w:r>
        <w:rPr>
          <w:b/>
          <w:bCs/>
        </w:rPr>
        <w:t>(D)</w:t>
      </w:r>
      <w:r>
        <w:t xml:space="preserve"> Examples of loaded carriers showing common mistakes to avoid (red frames) and the correct loading to aim for (green frame).</w:t>
      </w:r>
      <w:r w:rsidRPr="00AF6F66">
        <w:rPr>
          <w:noProof/>
        </w:rPr>
        <w:t xml:space="preserve"> </w:t>
      </w:r>
    </w:p>
    <w:p w14:paraId="15C2DD2E" w14:textId="4C79A6F7" w:rsidR="002022B5" w:rsidRDefault="000C6593" w:rsidP="00D829E7">
      <w:r>
        <w:lastRenderedPageBreak/>
        <w:t xml:space="preserve">In an attempt to improve the sample’s consistency and facilitate its loading into the </w:t>
      </w:r>
      <w:r w:rsidR="00E97925">
        <w:t xml:space="preserve">HPF </w:t>
      </w:r>
      <w:r>
        <w:t xml:space="preserve">carriers, </w:t>
      </w:r>
      <w:r w:rsidR="00AC1D8F">
        <w:t>I</w:t>
      </w:r>
      <w:r>
        <w:t xml:space="preserve"> tried the addition </w:t>
      </w:r>
      <w:r w:rsidR="007C4340">
        <w:t xml:space="preserve">of different cryoprotectants fillers. First, </w:t>
      </w:r>
      <w:r>
        <w:t xml:space="preserve">baker’s yeast paste </w:t>
      </w:r>
      <w:r w:rsidR="007C4340">
        <w:t>and</w:t>
      </w:r>
      <w:r>
        <w:t xml:space="preserve"> </w:t>
      </w:r>
      <w:r w:rsidR="00927854" w:rsidRPr="00927854">
        <w:t>polyvinylpyrrolidone</w:t>
      </w:r>
      <w:r w:rsidR="00927854">
        <w:t xml:space="preserve"> (</w:t>
      </w:r>
      <w:r>
        <w:t>PVP</w:t>
      </w:r>
      <w:r w:rsidR="00927854">
        <w:t>)</w:t>
      </w:r>
      <w:r w:rsidR="00C174E9">
        <w:t xml:space="preserve"> were tested</w:t>
      </w:r>
      <w:r>
        <w:t xml:space="preserve">. </w:t>
      </w:r>
      <w:r w:rsidR="00000510">
        <w:t>I</w:t>
      </w:r>
      <w:r w:rsidR="00CB545C">
        <w:t xml:space="preserve">mmediate results showed that the use of 20 % </w:t>
      </w:r>
      <w:r w:rsidR="007C4340">
        <w:t xml:space="preserve">(w/v) </w:t>
      </w:r>
      <w:r w:rsidR="00CB545C">
        <w:t xml:space="preserve">PVP in </w:t>
      </w:r>
      <w:r w:rsidR="005F5BA8">
        <w:t>buffer</w:t>
      </w:r>
      <w:r w:rsidR="00CB545C">
        <w:t xml:space="preserve"> made the sample more liquid and it </w:t>
      </w:r>
      <w:r w:rsidR="00EE3C4A">
        <w:t xml:space="preserve">was therefore </w:t>
      </w:r>
      <w:r w:rsidR="00CB545C">
        <w:t xml:space="preserve">easier to load with a 10 µl pipette tip directly into the carrier, while the yeast paste provided the best consistency for loading without becoming too liquid. Nevertheless, both tests still resulted in a </w:t>
      </w:r>
      <w:r w:rsidR="00AB66D2">
        <w:t xml:space="preserve">somewhat </w:t>
      </w:r>
      <w:r w:rsidR="00CB545C">
        <w:t>gooey, although improved, consistency. Unfortunately,</w:t>
      </w:r>
      <w:r w:rsidR="00EE3C4A">
        <w:t xml:space="preserve"> 8/10 of the HPF runs showed pressure failure and</w:t>
      </w:r>
      <w:r w:rsidR="00CB545C">
        <w:t xml:space="preserve"> the TEM micrographs </w:t>
      </w:r>
      <w:r w:rsidR="00EE3C4A">
        <w:t>confirmed that</w:t>
      </w:r>
      <w:r w:rsidR="00CB545C">
        <w:t xml:space="preserve"> many of the cells were not properly vitrified. As a results, the micrographs obtained </w:t>
      </w:r>
      <w:r w:rsidR="00396402">
        <w:t>could not</w:t>
      </w:r>
      <w:r w:rsidR="00CB545C">
        <w:t xml:space="preserve"> be analysed</w:t>
      </w:r>
      <w:r w:rsidR="00EE3C4A">
        <w:t xml:space="preserve"> properly to see if these fillers are affecting the vitrification of </w:t>
      </w:r>
      <w:r w:rsidR="00EE3C4A">
        <w:rPr>
          <w:i/>
          <w:iCs/>
        </w:rPr>
        <w:t>S. aureus</w:t>
      </w:r>
      <w:r w:rsidR="00CB545C">
        <w:t xml:space="preserve">. </w:t>
      </w:r>
      <w:r w:rsidR="005C09CE">
        <w:t>The</w:t>
      </w:r>
      <w:r w:rsidR="00CB00BA">
        <w:t xml:space="preserve"> micrographs showed a</w:t>
      </w:r>
      <w:r w:rsidR="00CB545C">
        <w:t xml:space="preserve"> lot of </w:t>
      </w:r>
      <w:r w:rsidR="00CB00BA">
        <w:t xml:space="preserve">background </w:t>
      </w:r>
      <w:r w:rsidR="00CB545C">
        <w:t>material that react</w:t>
      </w:r>
      <w:r w:rsidR="00CB00BA">
        <w:t>ed</w:t>
      </w:r>
      <w:r w:rsidR="00CB545C">
        <w:t xml:space="preserve"> to the </w:t>
      </w:r>
      <w:r w:rsidR="00CB545C" w:rsidRPr="00CB545C">
        <w:t>OsO</w:t>
      </w:r>
      <w:r w:rsidR="00CB545C" w:rsidRPr="00E9116B">
        <w:rPr>
          <w:vertAlign w:val="subscript"/>
        </w:rPr>
        <w:t>4</w:t>
      </w:r>
      <w:r w:rsidR="00CB545C">
        <w:t xml:space="preserve"> and post stain</w:t>
      </w:r>
      <w:r w:rsidR="00396402">
        <w:t xml:space="preserve"> (</w:t>
      </w:r>
      <w:r w:rsidR="00396402">
        <w:rPr>
          <w:highlight w:val="yellow"/>
        </w:rPr>
        <w:fldChar w:fldCharType="begin"/>
      </w:r>
      <w:r w:rsidR="00396402">
        <w:instrText xml:space="preserve"> REF _Ref72323331 \h </w:instrText>
      </w:r>
      <w:r w:rsidR="00396402">
        <w:rPr>
          <w:highlight w:val="yellow"/>
        </w:rPr>
      </w:r>
      <w:r w:rsidR="00396402">
        <w:rPr>
          <w:highlight w:val="yellow"/>
        </w:rPr>
        <w:fldChar w:fldCharType="separate"/>
      </w:r>
      <w:r w:rsidR="00183CC8">
        <w:t xml:space="preserve">Figure </w:t>
      </w:r>
      <w:r w:rsidR="00183CC8">
        <w:rPr>
          <w:noProof/>
        </w:rPr>
        <w:t>3</w:t>
      </w:r>
      <w:r w:rsidR="00183CC8">
        <w:t>.</w:t>
      </w:r>
      <w:r w:rsidR="00183CC8">
        <w:rPr>
          <w:noProof/>
        </w:rPr>
        <w:t>8</w:t>
      </w:r>
      <w:r w:rsidR="00396402">
        <w:rPr>
          <w:highlight w:val="yellow"/>
        </w:rPr>
        <w:fldChar w:fldCharType="end"/>
      </w:r>
      <w:r w:rsidR="00354890">
        <w:t>a</w:t>
      </w:r>
      <w:r w:rsidR="00396402">
        <w:t>)</w:t>
      </w:r>
      <w:r w:rsidR="00CB545C">
        <w:t>. This interfere</w:t>
      </w:r>
      <w:r w:rsidR="00CB00BA">
        <w:t>d</w:t>
      </w:r>
      <w:r w:rsidR="00CB545C">
        <w:t xml:space="preserve"> with the contrast and identification of the bacterial samples</w:t>
      </w:r>
      <w:r w:rsidR="00396402">
        <w:t>.</w:t>
      </w:r>
      <w:r w:rsidR="00F41F4C">
        <w:t xml:space="preserve"> </w:t>
      </w:r>
      <w:r w:rsidR="00C174E9">
        <w:t>This</w:t>
      </w:r>
      <w:r w:rsidR="00CB00BA">
        <w:t xml:space="preserve"> could have been the result of leaked cytoplasmic material from burst cells that were not </w:t>
      </w:r>
      <w:r w:rsidR="00396402">
        <w:t xml:space="preserve">properly </w:t>
      </w:r>
      <w:r w:rsidR="00CB00BA">
        <w:t xml:space="preserve">vitrified. </w:t>
      </w:r>
      <w:r w:rsidR="004D2EF1">
        <w:t xml:space="preserve">Similar results were obtained when trying two other cryoprotectants, 20 % </w:t>
      </w:r>
      <w:r w:rsidR="0026699C">
        <w:t xml:space="preserve">(w/v) </w:t>
      </w:r>
      <w:r w:rsidR="004D2EF1">
        <w:t xml:space="preserve">BSA in buffer and 2 % </w:t>
      </w:r>
      <w:r w:rsidR="0026699C">
        <w:t xml:space="preserve">(w/v) </w:t>
      </w:r>
      <w:r w:rsidR="004D2EF1">
        <w:t>low-melting point agarose (</w:t>
      </w:r>
      <w:r w:rsidR="00003ADE">
        <w:rPr>
          <w:highlight w:val="yellow"/>
        </w:rPr>
        <w:fldChar w:fldCharType="begin"/>
      </w:r>
      <w:r w:rsidR="00003ADE">
        <w:instrText xml:space="preserve"> REF _Ref72323331 \h </w:instrText>
      </w:r>
      <w:r w:rsidR="00003ADE">
        <w:rPr>
          <w:highlight w:val="yellow"/>
        </w:rPr>
      </w:r>
      <w:r w:rsidR="00003ADE">
        <w:rPr>
          <w:highlight w:val="yellow"/>
        </w:rPr>
        <w:fldChar w:fldCharType="separate"/>
      </w:r>
      <w:r w:rsidR="00183CC8">
        <w:t xml:space="preserve">Figure </w:t>
      </w:r>
      <w:r w:rsidR="00183CC8">
        <w:rPr>
          <w:noProof/>
        </w:rPr>
        <w:t>3</w:t>
      </w:r>
      <w:r w:rsidR="00183CC8">
        <w:t>.</w:t>
      </w:r>
      <w:r w:rsidR="00183CC8">
        <w:rPr>
          <w:noProof/>
        </w:rPr>
        <w:t>8</w:t>
      </w:r>
      <w:r w:rsidR="00003ADE">
        <w:rPr>
          <w:highlight w:val="yellow"/>
        </w:rPr>
        <w:fldChar w:fldCharType="end"/>
      </w:r>
      <w:r w:rsidR="00354890">
        <w:t>b</w:t>
      </w:r>
      <w:r w:rsidR="004D2EF1">
        <w:t xml:space="preserve">). Although both showed signs of HPF failure, with a high number of burst cells, </w:t>
      </w:r>
      <w:r w:rsidR="008F0EB6">
        <w:t>an improvement was perceived</w:t>
      </w:r>
      <w:r w:rsidR="004D2EF1">
        <w:t xml:space="preserve">. </w:t>
      </w:r>
      <w:r w:rsidR="00666C07">
        <w:t>This led us</w:t>
      </w:r>
      <w:r w:rsidR="004D2EF1">
        <w:t xml:space="preserve"> to put the 20 % </w:t>
      </w:r>
      <w:r w:rsidR="0026699C">
        <w:t xml:space="preserve">(w/v) </w:t>
      </w:r>
      <w:r w:rsidR="004D2EF1">
        <w:t xml:space="preserve">BSA to the test against the 10 % </w:t>
      </w:r>
      <w:r w:rsidR="0026699C">
        <w:t xml:space="preserve">(v/v) </w:t>
      </w:r>
      <w:r w:rsidR="004D2EF1">
        <w:t>glycerol from the standard protocol (</w:t>
      </w:r>
      <w:r w:rsidR="00003ADE">
        <w:rPr>
          <w:highlight w:val="yellow"/>
        </w:rPr>
        <w:fldChar w:fldCharType="begin"/>
      </w:r>
      <w:r w:rsidR="00003ADE">
        <w:instrText xml:space="preserve"> REF _Ref72323331 \h </w:instrText>
      </w:r>
      <w:r w:rsidR="00003ADE">
        <w:rPr>
          <w:highlight w:val="yellow"/>
        </w:rPr>
      </w:r>
      <w:r w:rsidR="00003ADE">
        <w:rPr>
          <w:highlight w:val="yellow"/>
        </w:rPr>
        <w:fldChar w:fldCharType="separate"/>
      </w:r>
      <w:r w:rsidR="00183CC8">
        <w:t xml:space="preserve">Figure </w:t>
      </w:r>
      <w:r w:rsidR="00183CC8">
        <w:rPr>
          <w:noProof/>
        </w:rPr>
        <w:t>3</w:t>
      </w:r>
      <w:r w:rsidR="00183CC8">
        <w:t>.</w:t>
      </w:r>
      <w:r w:rsidR="00183CC8">
        <w:rPr>
          <w:noProof/>
        </w:rPr>
        <w:t>8</w:t>
      </w:r>
      <w:r w:rsidR="00003ADE">
        <w:rPr>
          <w:highlight w:val="yellow"/>
        </w:rPr>
        <w:fldChar w:fldCharType="end"/>
      </w:r>
      <w:r w:rsidR="00354890">
        <w:t>c</w:t>
      </w:r>
      <w:r w:rsidR="004D2EF1">
        <w:t xml:space="preserve">). Both seem to have similar results, with more background material present with BSA. Once again, this could be either from the BSA itself and/or from those samples bursting due to a failed </w:t>
      </w:r>
      <w:r w:rsidR="0019191B">
        <w:t>cryo-fixation</w:t>
      </w:r>
      <w:r w:rsidR="004D2EF1">
        <w:t>, leaving cytoplasmic material in between the cells.</w:t>
      </w:r>
      <w:r w:rsidR="009A1BFE">
        <w:t xml:space="preserve"> The final test </w:t>
      </w:r>
      <w:r w:rsidR="00666C07">
        <w:t>involved</w:t>
      </w:r>
      <w:r w:rsidR="009A1BFE">
        <w:t xml:space="preserve"> the use of</w:t>
      </w:r>
      <w:r w:rsidR="008303CF">
        <w:t xml:space="preserve"> glycerol as</w:t>
      </w:r>
      <w:r w:rsidR="009A1BFE">
        <w:t xml:space="preserve"> </w:t>
      </w:r>
      <w:r w:rsidR="00E6695A">
        <w:t xml:space="preserve">a </w:t>
      </w:r>
      <w:r w:rsidR="009A1BFE">
        <w:t>cryoprotectant</w:t>
      </w:r>
      <w:r w:rsidR="00E6695A">
        <w:t xml:space="preserve"> together with TSB</w:t>
      </w:r>
      <w:r w:rsidR="009A1BFE">
        <w:t xml:space="preserve"> during cell growth</w:t>
      </w:r>
      <w:r w:rsidR="00E6695A">
        <w:t>,</w:t>
      </w:r>
      <w:r w:rsidR="009A1BFE">
        <w:t xml:space="preserve"> instead of </w:t>
      </w:r>
      <w:r w:rsidR="008303CF">
        <w:t xml:space="preserve">only using it with </w:t>
      </w:r>
      <w:r w:rsidR="00E6695A">
        <w:t xml:space="preserve">the </w:t>
      </w:r>
      <w:r w:rsidR="009A1BFE">
        <w:t xml:space="preserve">buffer </w:t>
      </w:r>
      <w:r w:rsidR="008303CF">
        <w:t xml:space="preserve">during </w:t>
      </w:r>
      <w:r w:rsidR="00E6695A">
        <w:t>sample wash before HPF</w:t>
      </w:r>
      <w:r w:rsidR="009A1BFE">
        <w:t xml:space="preserve">. </w:t>
      </w:r>
      <w:r w:rsidR="002F48CD">
        <w:t>The former</w:t>
      </w:r>
      <w:r w:rsidR="009A1BFE">
        <w:t xml:space="preserve">, regardless of the </w:t>
      </w:r>
      <w:r w:rsidR="0092307D">
        <w:t>vitrification</w:t>
      </w:r>
      <w:r w:rsidR="009A1BFE">
        <w:t xml:space="preserve"> issues, provide</w:t>
      </w:r>
      <w:r w:rsidR="00AB78E5">
        <w:t>d</w:t>
      </w:r>
      <w:r w:rsidR="009A1BFE">
        <w:t xml:space="preserve"> better results when growing cells with TSB + 10 % </w:t>
      </w:r>
      <w:r w:rsidR="0006092E">
        <w:t xml:space="preserve">(v/v) </w:t>
      </w:r>
      <w:r w:rsidR="009A1BFE">
        <w:t>glycerol (</w:t>
      </w:r>
      <w:r w:rsidR="00003ADE">
        <w:rPr>
          <w:highlight w:val="yellow"/>
        </w:rPr>
        <w:fldChar w:fldCharType="begin"/>
      </w:r>
      <w:r w:rsidR="00003ADE">
        <w:instrText xml:space="preserve"> REF _Ref72323331 \h </w:instrText>
      </w:r>
      <w:r w:rsidR="00003ADE">
        <w:rPr>
          <w:highlight w:val="yellow"/>
        </w:rPr>
      </w:r>
      <w:r w:rsidR="00003ADE">
        <w:rPr>
          <w:highlight w:val="yellow"/>
        </w:rPr>
        <w:fldChar w:fldCharType="separate"/>
      </w:r>
      <w:r w:rsidR="00183CC8">
        <w:t xml:space="preserve">Figure </w:t>
      </w:r>
      <w:r w:rsidR="00183CC8">
        <w:rPr>
          <w:noProof/>
        </w:rPr>
        <w:t>3</w:t>
      </w:r>
      <w:r w:rsidR="00183CC8">
        <w:t>.</w:t>
      </w:r>
      <w:r w:rsidR="00183CC8">
        <w:rPr>
          <w:noProof/>
        </w:rPr>
        <w:t>8</w:t>
      </w:r>
      <w:r w:rsidR="00003ADE">
        <w:rPr>
          <w:highlight w:val="yellow"/>
        </w:rPr>
        <w:fldChar w:fldCharType="end"/>
      </w:r>
      <w:r w:rsidR="00354890">
        <w:t>d</w:t>
      </w:r>
      <w:r w:rsidR="009A1BFE">
        <w:t>).</w:t>
      </w:r>
    </w:p>
    <w:p w14:paraId="73F8DB92" w14:textId="473EF488" w:rsidR="00A72F8C" w:rsidRDefault="00C174E9" w:rsidP="00D829E7">
      <w:pPr>
        <w:sectPr w:rsidR="00A72F8C" w:rsidSect="004D0E05">
          <w:pgSz w:w="11906" w:h="16838"/>
          <w:pgMar w:top="1191" w:right="1247" w:bottom="1191" w:left="1247" w:header="709" w:footer="709" w:gutter="0"/>
          <w:cols w:space="708"/>
          <w:titlePg/>
          <w:docGrid w:linePitch="360"/>
        </w:sectPr>
      </w:pPr>
      <w:r>
        <w:t>These</w:t>
      </w:r>
      <w:r w:rsidR="00CB00BA">
        <w:t xml:space="preserve"> test</w:t>
      </w:r>
      <w:r w:rsidR="002E67AC">
        <w:t>s</w:t>
      </w:r>
      <w:r w:rsidR="00CB00BA">
        <w:t xml:space="preserve"> should be </w:t>
      </w:r>
      <w:r w:rsidR="002022B5">
        <w:t>repeated</w:t>
      </w:r>
      <w:r>
        <w:t>,</w:t>
      </w:r>
      <w:r w:rsidR="002022B5">
        <w:t xml:space="preserve"> as </w:t>
      </w:r>
      <w:r w:rsidR="009A023C">
        <w:t>no certain conclusions can be</w:t>
      </w:r>
      <w:r w:rsidR="002E67AC">
        <w:t xml:space="preserve"> reach</w:t>
      </w:r>
      <w:r w:rsidR="009A023C">
        <w:t>ed</w:t>
      </w:r>
      <w:r w:rsidR="002E67AC">
        <w:t xml:space="preserve"> from </w:t>
      </w:r>
      <w:r>
        <w:t>the obtained</w:t>
      </w:r>
      <w:r w:rsidR="002E67AC">
        <w:t xml:space="preserve"> results because of the HPF failure experienced during this time.</w:t>
      </w:r>
    </w:p>
    <w:p w14:paraId="2D0C6095" w14:textId="77777777" w:rsidR="00A72F8C" w:rsidRDefault="00A72F8C" w:rsidP="00773AB3">
      <w:pPr>
        <w:pStyle w:val="NoSpacing"/>
        <w:keepNext/>
        <w:jc w:val="center"/>
      </w:pPr>
      <w:r>
        <w:rPr>
          <w:noProof/>
        </w:rPr>
        <w:lastRenderedPageBreak/>
        <w:drawing>
          <wp:inline distT="0" distB="0" distL="0" distR="0" wp14:anchorId="05753638" wp14:editId="6C944677">
            <wp:extent cx="5071443" cy="781158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75352" cy="7817609"/>
                    </a:xfrm>
                    <a:prstGeom prst="rect">
                      <a:avLst/>
                    </a:prstGeom>
                  </pic:spPr>
                </pic:pic>
              </a:graphicData>
            </a:graphic>
          </wp:inline>
        </w:drawing>
      </w:r>
    </w:p>
    <w:p w14:paraId="4EE20760" w14:textId="307A1102" w:rsidR="00A72F8C" w:rsidRDefault="00A72F8C" w:rsidP="008A2B86">
      <w:pPr>
        <w:pStyle w:val="Caption"/>
      </w:pPr>
      <w:bookmarkStart w:id="510" w:name="_Ref72323331"/>
      <w:bookmarkStart w:id="511" w:name="_Toc90216943"/>
      <w:r>
        <w:t xml:space="preserve">Figure </w:t>
      </w:r>
      <w:r w:rsidR="003373BF">
        <w:fldChar w:fldCharType="begin"/>
      </w:r>
      <w:r w:rsidR="003373BF">
        <w:instrText xml:space="preserve"> STYLEREF 1 \s </w:instrText>
      </w:r>
      <w:r w:rsidR="003373BF">
        <w:fldChar w:fldCharType="separate"/>
      </w:r>
      <w:r w:rsidR="00183CC8">
        <w:rPr>
          <w:noProof/>
        </w:rPr>
        <w:t>3</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8</w:t>
      </w:r>
      <w:r w:rsidR="003373BF">
        <w:rPr>
          <w:noProof/>
        </w:rPr>
        <w:fldChar w:fldCharType="end"/>
      </w:r>
      <w:bookmarkEnd w:id="510"/>
      <w:r>
        <w:t xml:space="preserve"> Effect of different cryo-protectants and fillers for HPF of </w:t>
      </w:r>
      <w:r>
        <w:rPr>
          <w:i/>
        </w:rPr>
        <w:t>S. aureus</w:t>
      </w:r>
      <w:r>
        <w:t>.</w:t>
      </w:r>
      <w:bookmarkEnd w:id="511"/>
    </w:p>
    <w:p w14:paraId="6C6ED381" w14:textId="1BBF08C4" w:rsidR="00AF6F66" w:rsidRDefault="00012123" w:rsidP="00CE77AB">
      <w:pPr>
        <w:pStyle w:val="NoSpacing"/>
        <w:sectPr w:rsidR="00AF6F66" w:rsidSect="004D0E05">
          <w:pgSz w:w="11906" w:h="16838"/>
          <w:pgMar w:top="1191" w:right="1247" w:bottom="1191" w:left="1247" w:header="709" w:footer="709" w:gutter="0"/>
          <w:cols w:space="708"/>
          <w:titlePg/>
          <w:docGrid w:linePitch="360"/>
        </w:sectPr>
      </w:pPr>
      <w:r>
        <w:rPr>
          <w:b/>
          <w:bCs/>
        </w:rPr>
        <w:t>(A)</w:t>
      </w:r>
      <w:r>
        <w:t xml:space="preserve"> Comparison between the use of 20 % (w/v) PVP or baker’s yeast paste as fillers and </w:t>
      </w:r>
      <w:r w:rsidRPr="00D7440B">
        <w:rPr>
          <w:b/>
          <w:bCs/>
        </w:rPr>
        <w:t>(</w:t>
      </w:r>
      <w:r>
        <w:rPr>
          <w:b/>
          <w:bCs/>
        </w:rPr>
        <w:t>B</w:t>
      </w:r>
      <w:r w:rsidRPr="00D7440B">
        <w:rPr>
          <w:b/>
          <w:bCs/>
        </w:rPr>
        <w:t>)</w:t>
      </w:r>
      <w:r>
        <w:t xml:space="preserve"> 20 % (w/v) BSA and 2 % (w/v) low-melting point agarose to improve sample consistency and cryoprotection. </w:t>
      </w:r>
      <w:r w:rsidR="00D7440B" w:rsidRPr="00D7440B">
        <w:rPr>
          <w:b/>
          <w:bCs/>
        </w:rPr>
        <w:t>(</w:t>
      </w:r>
      <w:r>
        <w:rPr>
          <w:b/>
          <w:bCs/>
        </w:rPr>
        <w:t>C</w:t>
      </w:r>
      <w:r w:rsidR="00D7440B" w:rsidRPr="00D7440B">
        <w:rPr>
          <w:b/>
          <w:bCs/>
        </w:rPr>
        <w:t>)</w:t>
      </w:r>
      <w:r w:rsidR="00D7440B">
        <w:t xml:space="preserve"> Comparison between the use of 10 % </w:t>
      </w:r>
      <w:r w:rsidR="00087B7B">
        <w:t xml:space="preserve">(v/v) </w:t>
      </w:r>
      <w:r w:rsidR="00D7440B">
        <w:t xml:space="preserve">glycerol (left) and 20 % </w:t>
      </w:r>
      <w:r w:rsidR="00087B7B">
        <w:t xml:space="preserve">(w/v) </w:t>
      </w:r>
      <w:r w:rsidR="00D7440B">
        <w:t xml:space="preserve">BSA (right) as cryoprotectants. </w:t>
      </w:r>
      <w:r w:rsidR="00D7440B">
        <w:rPr>
          <w:b/>
          <w:bCs/>
        </w:rPr>
        <w:t>(</w:t>
      </w:r>
      <w:r>
        <w:rPr>
          <w:b/>
          <w:bCs/>
        </w:rPr>
        <w:t>D</w:t>
      </w:r>
      <w:r w:rsidR="00D7440B">
        <w:rPr>
          <w:b/>
          <w:bCs/>
        </w:rPr>
        <w:t>)</w:t>
      </w:r>
      <w:r w:rsidR="00D7440B">
        <w:t xml:space="preserve"> Comparison of using 10 % </w:t>
      </w:r>
      <w:r w:rsidR="00FB3F1A">
        <w:t xml:space="preserve">(v/v) </w:t>
      </w:r>
      <w:r w:rsidR="00D7440B">
        <w:t xml:space="preserve">glycerol in the growth medium. </w:t>
      </w:r>
      <w:r w:rsidR="009D0B0E">
        <w:rPr>
          <w:b/>
          <w:bCs/>
        </w:rPr>
        <w:t>(A-B, D)</w:t>
      </w:r>
      <w:r w:rsidR="004831FE">
        <w:rPr>
          <w:b/>
          <w:bCs/>
        </w:rPr>
        <w:t xml:space="preserve"> </w:t>
      </w:r>
      <w:r w:rsidR="000041DE">
        <w:t>S</w:t>
      </w:r>
      <w:r w:rsidR="00CE77AB">
        <w:t>cale bar</w:t>
      </w:r>
      <w:r w:rsidR="004F6E2E">
        <w:t>s</w:t>
      </w:r>
      <w:r w:rsidR="00CE77AB">
        <w:t xml:space="preserve"> 500 nm.</w:t>
      </w:r>
      <w:r w:rsidR="009D0B0E">
        <w:t xml:space="preserve"> </w:t>
      </w:r>
      <w:r w:rsidR="009D0B0E">
        <w:rPr>
          <w:b/>
          <w:bCs/>
        </w:rPr>
        <w:t>(C)</w:t>
      </w:r>
      <w:r w:rsidR="009D0B0E">
        <w:t xml:space="preserve"> Mid magnification scale bar 1 µm, high magnification scale bar 500 nm.</w:t>
      </w:r>
    </w:p>
    <w:p w14:paraId="2D3B5D62" w14:textId="283DEF48" w:rsidR="00BD2509" w:rsidRDefault="00BD2509" w:rsidP="00A72F8C">
      <w:r>
        <w:lastRenderedPageBreak/>
        <w:t xml:space="preserve">Further along the sample preparation process, after the HPF and FS steps were completed, </w:t>
      </w:r>
      <w:r w:rsidR="00CB2730">
        <w:t>it was</w:t>
      </w:r>
      <w:r>
        <w:t xml:space="preserve"> noticed that getting the fixed sample out of the carrier was quite difficult and it required the use of the tools shown in </w:t>
      </w:r>
      <w:r>
        <w:fldChar w:fldCharType="begin"/>
      </w:r>
      <w:r>
        <w:instrText xml:space="preserve"> REF _Ref72232452 \h </w:instrText>
      </w:r>
      <w:r>
        <w:fldChar w:fldCharType="separate"/>
      </w:r>
      <w:r w:rsidR="00183CC8">
        <w:t xml:space="preserve">Figure </w:t>
      </w:r>
      <w:r w:rsidR="00183CC8">
        <w:rPr>
          <w:noProof/>
        </w:rPr>
        <w:t>3</w:t>
      </w:r>
      <w:r w:rsidR="00183CC8">
        <w:t>.</w:t>
      </w:r>
      <w:r w:rsidR="00183CC8">
        <w:rPr>
          <w:noProof/>
        </w:rPr>
        <w:t>7</w:t>
      </w:r>
      <w:r>
        <w:fldChar w:fldCharType="end"/>
      </w:r>
      <w:r>
        <w:t xml:space="preserve">c. To aid this process, a drop of 0.05–0.1 % </w:t>
      </w:r>
      <w:r w:rsidR="00B34FCF">
        <w:t xml:space="preserve">(w/v) </w:t>
      </w:r>
      <w:r>
        <w:t>egg lecithin in chloroform was applied to the flat carriers beforehand, making sure they were all fully coated. These were left to dry and after the chloroform evaporated, they were used as usual. This coating did allow for an easier specimen removal and helped to avoid the specimen from breaking into minute pieces.</w:t>
      </w:r>
    </w:p>
    <w:p w14:paraId="23069FB7" w14:textId="1E5B0118" w:rsidR="00A72F8C" w:rsidRDefault="00A72F8C" w:rsidP="00A72F8C">
      <w:r>
        <w:t xml:space="preserve">The Leica EM PACT2 was very inconsistent throughout </w:t>
      </w:r>
      <w:r w:rsidR="00000510">
        <w:t>this</w:t>
      </w:r>
      <w:r>
        <w:t xml:space="preserve"> optimisation, resulting in badly vitrified samples. A high pressure of &gt; 2000 bar is provided by the hydraulic system, with pressures &lt; 1950 bar or &gt; 2150 bar being unsuitable for good results. </w:t>
      </w:r>
      <w:r>
        <w:rPr>
          <w:highlight w:val="yellow"/>
        </w:rPr>
        <w:fldChar w:fldCharType="begin"/>
      </w:r>
      <w:r>
        <w:instrText xml:space="preserve"> REF _Ref72339957 \h </w:instrText>
      </w:r>
      <w:r>
        <w:rPr>
          <w:highlight w:val="yellow"/>
        </w:rPr>
      </w:r>
      <w:r>
        <w:rPr>
          <w:highlight w:val="yellow"/>
        </w:rPr>
        <w:fldChar w:fldCharType="separate"/>
      </w:r>
      <w:r w:rsidR="00183CC8">
        <w:t xml:space="preserve">Figure </w:t>
      </w:r>
      <w:r w:rsidR="00183CC8">
        <w:rPr>
          <w:noProof/>
        </w:rPr>
        <w:t>3</w:t>
      </w:r>
      <w:r w:rsidR="00183CC8">
        <w:t>.</w:t>
      </w:r>
      <w:r w:rsidR="00183CC8">
        <w:rPr>
          <w:noProof/>
        </w:rPr>
        <w:t>9</w:t>
      </w:r>
      <w:r>
        <w:rPr>
          <w:highlight w:val="yellow"/>
        </w:rPr>
        <w:fldChar w:fldCharType="end"/>
      </w:r>
      <w:r>
        <w:t xml:space="preserve"> shows representative outputs for optimal and incorrect pressure profiles obtained from the instrument during this optimisation. As seen from the micrograph</w:t>
      </w:r>
      <w:r w:rsidR="004453BE">
        <w:t>s</w:t>
      </w:r>
      <w:r>
        <w:t xml:space="preserve"> presented (</w:t>
      </w:r>
      <w:r>
        <w:rPr>
          <w:highlight w:val="yellow"/>
        </w:rPr>
        <w:fldChar w:fldCharType="begin"/>
      </w:r>
      <w:r>
        <w:instrText xml:space="preserve"> REF _Ref72339957 \h </w:instrText>
      </w:r>
      <w:r>
        <w:rPr>
          <w:highlight w:val="yellow"/>
        </w:rPr>
      </w:r>
      <w:r>
        <w:rPr>
          <w:highlight w:val="yellow"/>
        </w:rPr>
        <w:fldChar w:fldCharType="separate"/>
      </w:r>
      <w:r w:rsidR="00183CC8">
        <w:t xml:space="preserve">Figure </w:t>
      </w:r>
      <w:r w:rsidR="00183CC8">
        <w:rPr>
          <w:noProof/>
        </w:rPr>
        <w:t>3</w:t>
      </w:r>
      <w:r w:rsidR="00183CC8">
        <w:t>.</w:t>
      </w:r>
      <w:r w:rsidR="00183CC8">
        <w:rPr>
          <w:noProof/>
        </w:rPr>
        <w:t>9</w:t>
      </w:r>
      <w:r>
        <w:rPr>
          <w:highlight w:val="yellow"/>
        </w:rPr>
        <w:fldChar w:fldCharType="end"/>
      </w:r>
      <w:r w:rsidR="008F7388">
        <w:t>c</w:t>
      </w:r>
      <w:r>
        <w:t>), lower pressure levels result in burst cells and subsequent cytoplasmic material leakage</w:t>
      </w:r>
      <w:r w:rsidR="008F7388">
        <w:t xml:space="preserve"> (</w:t>
      </w:r>
      <w:r w:rsidR="008F7388">
        <w:rPr>
          <w:highlight w:val="yellow"/>
        </w:rPr>
        <w:fldChar w:fldCharType="begin"/>
      </w:r>
      <w:r w:rsidR="008F7388">
        <w:instrText xml:space="preserve"> REF _Ref72339957 \h </w:instrText>
      </w:r>
      <w:r w:rsidR="008F7388">
        <w:rPr>
          <w:highlight w:val="yellow"/>
        </w:rPr>
      </w:r>
      <w:r w:rsidR="008F7388">
        <w:rPr>
          <w:highlight w:val="yellow"/>
        </w:rPr>
        <w:fldChar w:fldCharType="separate"/>
      </w:r>
      <w:r w:rsidR="00183CC8">
        <w:t xml:space="preserve">Figure </w:t>
      </w:r>
      <w:r w:rsidR="00183CC8">
        <w:rPr>
          <w:noProof/>
        </w:rPr>
        <w:t>3</w:t>
      </w:r>
      <w:r w:rsidR="00183CC8">
        <w:t>.</w:t>
      </w:r>
      <w:r w:rsidR="00183CC8">
        <w:rPr>
          <w:noProof/>
        </w:rPr>
        <w:t>9</w:t>
      </w:r>
      <w:r w:rsidR="008F7388">
        <w:rPr>
          <w:highlight w:val="yellow"/>
        </w:rPr>
        <w:fldChar w:fldCharType="end"/>
      </w:r>
      <w:r w:rsidR="008F7388">
        <w:t>d)</w:t>
      </w:r>
      <w:r>
        <w:t>. Even though all the cooling cycles obtained from the EM PACT2 had cooling rates of &gt; 24,000 K/s (dT/dt), it is clearly seen that the pressure</w:t>
      </w:r>
      <w:r w:rsidR="008F7388">
        <w:t xml:space="preserve"> did not reach the necessary 2000 bar and</w:t>
      </w:r>
      <w:r>
        <w:t xml:space="preserve"> was not maintained long enough</w:t>
      </w:r>
      <w:r w:rsidR="008F7388">
        <w:t xml:space="preserve">, dropping </w:t>
      </w:r>
      <w:r>
        <w:t xml:space="preserve">considerably after a few milliseconds (red graph line in </w:t>
      </w:r>
      <w:r>
        <w:rPr>
          <w:highlight w:val="yellow"/>
        </w:rPr>
        <w:fldChar w:fldCharType="begin"/>
      </w:r>
      <w:r>
        <w:instrText xml:space="preserve"> REF _Ref72339957 \h </w:instrText>
      </w:r>
      <w:r>
        <w:rPr>
          <w:highlight w:val="yellow"/>
        </w:rPr>
      </w:r>
      <w:r>
        <w:rPr>
          <w:highlight w:val="yellow"/>
        </w:rPr>
        <w:fldChar w:fldCharType="separate"/>
      </w:r>
      <w:r w:rsidR="00183CC8">
        <w:t xml:space="preserve">Figure </w:t>
      </w:r>
      <w:r w:rsidR="00183CC8">
        <w:rPr>
          <w:noProof/>
        </w:rPr>
        <w:t>3</w:t>
      </w:r>
      <w:r w:rsidR="00183CC8">
        <w:t>.</w:t>
      </w:r>
      <w:r w:rsidR="00183CC8">
        <w:rPr>
          <w:noProof/>
        </w:rPr>
        <w:t>9</w:t>
      </w:r>
      <w:r>
        <w:rPr>
          <w:highlight w:val="yellow"/>
        </w:rPr>
        <w:fldChar w:fldCharType="end"/>
      </w:r>
      <w:r w:rsidR="00D43CAE">
        <w:t>d</w:t>
      </w:r>
      <w:r>
        <w:t xml:space="preserve">). In an attempt to obtain reproducible and consistent good results, </w:t>
      </w:r>
      <w:r w:rsidR="00302598">
        <w:t>it was</w:t>
      </w:r>
      <w:r>
        <w:t xml:space="preserve"> made sure that the liquid nitrogen (LN</w:t>
      </w:r>
      <w:r>
        <w:rPr>
          <w:vertAlign w:val="subscript"/>
        </w:rPr>
        <w:t>2</w:t>
      </w:r>
      <w:r>
        <w:t xml:space="preserve">) levels and the </w:t>
      </w:r>
      <w:r w:rsidRPr="002857F1">
        <w:t>hydraulic fluid</w:t>
      </w:r>
      <w:r>
        <w:t xml:space="preserve"> m</w:t>
      </w:r>
      <w:r w:rsidRPr="002857F1">
        <w:t>ethylcyclohexane (MCH)</w:t>
      </w:r>
      <w:r>
        <w:t xml:space="preserve"> levels</w:t>
      </w:r>
      <w:r w:rsidRPr="002857F1">
        <w:t xml:space="preserve"> </w:t>
      </w:r>
      <w:r>
        <w:t xml:space="preserve">were kept at the maximum. It </w:t>
      </w:r>
      <w:r w:rsidR="0089285D">
        <w:t>was also critical</w:t>
      </w:r>
      <w:r>
        <w:t xml:space="preserve"> to check that the compressor was always at 12 bar before shooting the rapid loader into the instrument. Whenever a drop to 11 bar was seen, an empty bayonet pod was shot to make the automatic compressor kick</w:t>
      </w:r>
      <w:r w:rsidR="00A957A6">
        <w:t>-</w:t>
      </w:r>
      <w:r>
        <w:t xml:space="preserve">in and increase the pressure to 12 bar. This did seem to make a difference, but the number of pressure failures was unfortunately still high. The instrument was serviced twice during </w:t>
      </w:r>
      <w:r w:rsidR="00000510">
        <w:t>this</w:t>
      </w:r>
      <w:r>
        <w:t xml:space="preserve"> optimisation, but further testing had to be done by the engineers.</w:t>
      </w:r>
    </w:p>
    <w:p w14:paraId="116F27CB" w14:textId="5C4264A6" w:rsidR="00024989" w:rsidRDefault="00024989" w:rsidP="00AF6F66">
      <w:pPr>
        <w:pStyle w:val="NoSpacing"/>
        <w:sectPr w:rsidR="00024989" w:rsidSect="004D0E05">
          <w:pgSz w:w="11906" w:h="16838"/>
          <w:pgMar w:top="1191" w:right="1247" w:bottom="1191" w:left="1247" w:header="709" w:footer="709" w:gutter="0"/>
          <w:cols w:space="708"/>
          <w:titlePg/>
          <w:docGrid w:linePitch="360"/>
        </w:sectPr>
      </w:pPr>
    </w:p>
    <w:p w14:paraId="43E099B1" w14:textId="77777777" w:rsidR="00A72F8C" w:rsidRDefault="00A72F8C" w:rsidP="000C780A">
      <w:pPr>
        <w:pStyle w:val="NoSpacing"/>
        <w:keepNext/>
        <w:jc w:val="center"/>
      </w:pPr>
      <w:r>
        <w:rPr>
          <w:noProof/>
        </w:rPr>
        <w:lastRenderedPageBreak/>
        <w:drawing>
          <wp:inline distT="0" distB="0" distL="0" distR="0" wp14:anchorId="08CBEDF4" wp14:editId="7BC8E621">
            <wp:extent cx="8039100" cy="519470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196107" cy="5296156"/>
                    </a:xfrm>
                    <a:prstGeom prst="rect">
                      <a:avLst/>
                    </a:prstGeom>
                  </pic:spPr>
                </pic:pic>
              </a:graphicData>
            </a:graphic>
          </wp:inline>
        </w:drawing>
      </w:r>
    </w:p>
    <w:p w14:paraId="1A74ED0D" w14:textId="0D763328" w:rsidR="00A72F8C" w:rsidRDefault="00A72F8C" w:rsidP="008A2B86">
      <w:pPr>
        <w:pStyle w:val="Caption"/>
      </w:pPr>
      <w:bookmarkStart w:id="512" w:name="_Ref72339957"/>
      <w:bookmarkStart w:id="513" w:name="_Toc90216944"/>
      <w:r>
        <w:t xml:space="preserve">Figure </w:t>
      </w:r>
      <w:r w:rsidR="003373BF">
        <w:fldChar w:fldCharType="begin"/>
      </w:r>
      <w:r w:rsidR="003373BF">
        <w:instrText xml:space="preserve"> STYLEREF </w:instrText>
      </w:r>
      <w:r w:rsidR="003373BF">
        <w:instrText xml:space="preserve">1 \s </w:instrText>
      </w:r>
      <w:r w:rsidR="003373BF">
        <w:fldChar w:fldCharType="separate"/>
      </w:r>
      <w:r w:rsidR="00183CC8">
        <w:rPr>
          <w:noProof/>
        </w:rPr>
        <w:t>3</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9</w:t>
      </w:r>
      <w:r w:rsidR="003373BF">
        <w:rPr>
          <w:noProof/>
        </w:rPr>
        <w:fldChar w:fldCharType="end"/>
      </w:r>
      <w:bookmarkEnd w:id="512"/>
      <w:r>
        <w:t xml:space="preserve"> Representative outputs for an optimal pressure </w:t>
      </w:r>
      <w:r>
        <w:rPr>
          <w:i/>
        </w:rPr>
        <w:t>vs</w:t>
      </w:r>
      <w:r w:rsidR="00486B0A">
        <w:rPr>
          <w:i/>
        </w:rPr>
        <w:t>.</w:t>
      </w:r>
      <w:r>
        <w:t xml:space="preserve"> failed pressure during HPF.</w:t>
      </w:r>
      <w:bookmarkEnd w:id="513"/>
    </w:p>
    <w:p w14:paraId="12B6C5B8" w14:textId="5CCABA67" w:rsidR="00A72F8C" w:rsidRDefault="00A72F8C" w:rsidP="00A72F8C">
      <w:pPr>
        <w:pStyle w:val="NoSpacing"/>
        <w:sectPr w:rsidR="00A72F8C" w:rsidSect="00AD0FFA">
          <w:pgSz w:w="16838" w:h="11906" w:orient="landscape"/>
          <w:pgMar w:top="1247" w:right="1191" w:bottom="1247" w:left="1191" w:header="709" w:footer="709" w:gutter="0"/>
          <w:cols w:space="708"/>
          <w:titlePg/>
          <w:docGrid w:linePitch="360"/>
        </w:sectPr>
      </w:pPr>
      <w:r>
        <w:rPr>
          <w:b/>
          <w:bCs/>
        </w:rPr>
        <w:t>(A)</w:t>
      </w:r>
      <w:r>
        <w:t xml:space="preserve"> Optimal pressure outputs </w:t>
      </w:r>
      <w:r w:rsidR="00BE17A4">
        <w:t xml:space="preserve">from </w:t>
      </w:r>
      <w:r w:rsidR="00D14A53">
        <w:t xml:space="preserve">the </w:t>
      </w:r>
      <w:r w:rsidR="00BE17A4">
        <w:t>Leica EM PACT2 HPF instrument</w:t>
      </w:r>
      <w:r w:rsidR="00D14A53">
        <w:t>,</w:t>
      </w:r>
      <w:r w:rsidR="00BE17A4">
        <w:t xml:space="preserve"> and </w:t>
      </w:r>
      <w:r w:rsidR="00BE17A4">
        <w:rPr>
          <w:b/>
          <w:bCs/>
        </w:rPr>
        <w:t>(B)</w:t>
      </w:r>
      <w:r w:rsidR="00BE17A4">
        <w:t xml:space="preserve"> representative TEM micrographs obtained from </w:t>
      </w:r>
      <w:r w:rsidR="00D14A53">
        <w:t xml:space="preserve">an </w:t>
      </w:r>
      <w:r w:rsidR="00BE17A4">
        <w:t>optimal vitrification</w:t>
      </w:r>
      <w:r w:rsidR="00D14A53">
        <w:t xml:space="preserve"> run</w:t>
      </w:r>
      <w:r w:rsidR="00BE17A4">
        <w:t xml:space="preserve">. </w:t>
      </w:r>
      <w:r>
        <w:rPr>
          <w:b/>
          <w:bCs/>
        </w:rPr>
        <w:t>(</w:t>
      </w:r>
      <w:r w:rsidR="00F60709">
        <w:rPr>
          <w:b/>
          <w:bCs/>
        </w:rPr>
        <w:t>C</w:t>
      </w:r>
      <w:r>
        <w:rPr>
          <w:b/>
          <w:bCs/>
        </w:rPr>
        <w:t>)</w:t>
      </w:r>
      <w:r>
        <w:t xml:space="preserve"> </w:t>
      </w:r>
      <w:r w:rsidR="00BE17A4">
        <w:t>P</w:t>
      </w:r>
      <w:r>
        <w:t>ressure failure outputs from Leica EM PACT2</w:t>
      </w:r>
      <w:r w:rsidR="00D14A53">
        <w:t>,</w:t>
      </w:r>
      <w:r w:rsidR="00BE17A4">
        <w:t xml:space="preserve"> and </w:t>
      </w:r>
      <w:r w:rsidR="00BE17A4">
        <w:rPr>
          <w:b/>
          <w:bCs/>
        </w:rPr>
        <w:t>(D)</w:t>
      </w:r>
      <w:r w:rsidR="00BE17A4">
        <w:t xml:space="preserve"> representative TEM micrographs from a failed vitrification run</w:t>
      </w:r>
      <w:r>
        <w:t>.</w:t>
      </w:r>
      <w:r w:rsidR="006A2CF1">
        <w:t xml:space="preserve"> </w:t>
      </w:r>
      <w:r w:rsidR="003A7649">
        <w:t>Each</w:t>
      </w:r>
      <w:r w:rsidR="006A2CF1">
        <w:t xml:space="preserve"> graph indicates the cooling rate (blue</w:t>
      </w:r>
      <w:r w:rsidR="00772C7C">
        <w:t>, dT/dt = K/s</w:t>
      </w:r>
      <w:r w:rsidR="006A2CF1">
        <w:t>) and pressure</w:t>
      </w:r>
      <w:r w:rsidR="003A7649">
        <w:t xml:space="preserve"> output</w:t>
      </w:r>
      <w:r w:rsidR="006A2CF1">
        <w:t xml:space="preserve"> (red</w:t>
      </w:r>
      <w:r w:rsidR="00772C7C">
        <w:t>, P = bar</w:t>
      </w:r>
      <w:r w:rsidR="006A2CF1">
        <w:t>)</w:t>
      </w:r>
      <w:r w:rsidR="00772C7C">
        <w:t>. M</w:t>
      </w:r>
      <w:r w:rsidR="0020711E">
        <w:t>id and high m</w:t>
      </w:r>
      <w:r>
        <w:t>agnification</w:t>
      </w:r>
      <w:r w:rsidR="003A7649">
        <w:t xml:space="preserve"> micrographs</w:t>
      </w:r>
      <w:r>
        <w:t xml:space="preserve"> </w:t>
      </w:r>
      <w:r w:rsidR="0020711E">
        <w:t>(</w:t>
      </w:r>
      <w:r>
        <w:t>4800x</w:t>
      </w:r>
      <w:r w:rsidR="003A7649">
        <w:t xml:space="preserve">, </w:t>
      </w:r>
      <w:r>
        <w:t>9300x</w:t>
      </w:r>
      <w:r w:rsidR="0020711E">
        <w:t>)</w:t>
      </w:r>
      <w:r>
        <w:t>, scale bars 50 nm.</w:t>
      </w:r>
    </w:p>
    <w:p w14:paraId="17F36BF9" w14:textId="16530800" w:rsidR="004B0C7E" w:rsidRDefault="00AD67D7" w:rsidP="004B0C7E">
      <w:pPr>
        <w:pStyle w:val="Heading3"/>
      </w:pPr>
      <w:bookmarkStart w:id="514" w:name="_Toc90216867"/>
      <w:r>
        <w:lastRenderedPageBreak/>
        <w:t>Choosing the best FS medium</w:t>
      </w:r>
      <w:r w:rsidR="007006CC">
        <w:t>.</w:t>
      </w:r>
      <w:bookmarkEnd w:id="514"/>
    </w:p>
    <w:p w14:paraId="366A71A9" w14:textId="212038BB" w:rsidR="00314680" w:rsidRDefault="00F60DFF" w:rsidP="005151FE">
      <w:r>
        <w:t xml:space="preserve">After HPF, the vitrified specimen carriers were swiftly transferred to a cryotube containing FS medium, and they were inserted into the Leica AFS2 instrument. </w:t>
      </w:r>
      <w:r w:rsidR="00407CEA">
        <w:t xml:space="preserve">The </w:t>
      </w:r>
      <w:r w:rsidR="001E4BEB">
        <w:t xml:space="preserve">FS medium used by Matias &amp; Beveridge </w:t>
      </w:r>
      <w:r w:rsidR="001E4BEB">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5570428f-abef-4c52-8423-1f18c58db060"]}],"mendeley":{"formattedCitation":"&lt;sup&gt;[16]&lt;/sup&gt;","plainTextFormattedCitation":"[16]","previouslyFormattedCitation":"&lt;sup&gt;[16]&lt;/sup&gt;"},"properties":{"noteIndex":0},"schema":"https://github.com/citation-style-language/schema/raw/master/csl-citation.json"}</w:instrText>
      </w:r>
      <w:r w:rsidR="001E4BEB">
        <w:fldChar w:fldCharType="separate"/>
      </w:r>
      <w:r w:rsidR="00DA0A83" w:rsidRPr="00DA0A83">
        <w:rPr>
          <w:noProof/>
          <w:vertAlign w:val="superscript"/>
        </w:rPr>
        <w:t>[16]</w:t>
      </w:r>
      <w:r w:rsidR="001E4BEB">
        <w:fldChar w:fldCharType="end"/>
      </w:r>
      <w:r w:rsidR="00B21618">
        <w:t xml:space="preserve">, composed </w:t>
      </w:r>
      <w:r w:rsidR="00CA58E0">
        <w:t>of</w:t>
      </w:r>
      <w:r w:rsidR="00B21618">
        <w:t xml:space="preserve"> 2 % </w:t>
      </w:r>
      <w:r w:rsidR="00B34FCF">
        <w:t xml:space="preserve">(w/v) </w:t>
      </w:r>
      <w:r w:rsidR="00B21618">
        <w:t>OsO</w:t>
      </w:r>
      <w:r w:rsidR="00B21618">
        <w:rPr>
          <w:vertAlign w:val="subscript"/>
        </w:rPr>
        <w:t>4</w:t>
      </w:r>
      <w:r w:rsidR="00B21618">
        <w:t xml:space="preserve"> and 2 % </w:t>
      </w:r>
      <w:r w:rsidR="00B34FCF">
        <w:t xml:space="preserve">(w/v) </w:t>
      </w:r>
      <w:r w:rsidR="00B21618">
        <w:t>uranyl acetate (UA) in anhydrous ethanol,</w:t>
      </w:r>
      <w:r w:rsidR="00304983">
        <w:t xml:space="preserve"> </w:t>
      </w:r>
      <w:r w:rsidR="007C1D8E">
        <w:t>was tested</w:t>
      </w:r>
      <w:r w:rsidR="00555376">
        <w:t xml:space="preserve"> first</w:t>
      </w:r>
      <w:r w:rsidR="007C1D8E">
        <w:t xml:space="preserve">. This medium </w:t>
      </w:r>
      <w:r w:rsidR="00304983">
        <w:t>turned black</w:t>
      </w:r>
      <w:r w:rsidR="007054F6">
        <w:t xml:space="preserve"> in some of the cryotubes of </w:t>
      </w:r>
      <w:r w:rsidR="00000510">
        <w:t>this</w:t>
      </w:r>
      <w:r w:rsidR="007054F6">
        <w:t xml:space="preserve"> initial attempt</w:t>
      </w:r>
      <w:r w:rsidR="00304983">
        <w:t>. OsO</w:t>
      </w:r>
      <w:r w:rsidR="00304983">
        <w:rPr>
          <w:vertAlign w:val="subscript"/>
        </w:rPr>
        <w:t>4</w:t>
      </w:r>
      <w:r w:rsidR="00304983" w:rsidRPr="00CF7A72">
        <w:t xml:space="preserve"> </w:t>
      </w:r>
      <w:r w:rsidR="00CF7A72" w:rsidRPr="00CF7A72">
        <w:t xml:space="preserve">is expected to </w:t>
      </w:r>
      <w:r w:rsidR="00304983">
        <w:t xml:space="preserve">react with fats </w:t>
      </w:r>
      <w:r w:rsidR="005927D3">
        <w:t>while</w:t>
      </w:r>
      <w:r w:rsidR="00304983">
        <w:t xml:space="preserve"> stain</w:t>
      </w:r>
      <w:r w:rsidR="005927D3">
        <w:t>ing</w:t>
      </w:r>
      <w:r w:rsidR="00304983">
        <w:t xml:space="preserve"> </w:t>
      </w:r>
      <w:r w:rsidR="00CF7A72">
        <w:t xml:space="preserve">the sample </w:t>
      </w:r>
      <w:r w:rsidR="00304983">
        <w:t>black,</w:t>
      </w:r>
      <w:r w:rsidR="00CA58E0">
        <w:t xml:space="preserve"> however, </w:t>
      </w:r>
      <w:r w:rsidR="00187E61">
        <w:t>turning</w:t>
      </w:r>
      <w:r w:rsidR="00CA58E0">
        <w:t xml:space="preserve"> the solution itself </w:t>
      </w:r>
      <w:r w:rsidR="00187E61">
        <w:t>black</w:t>
      </w:r>
      <w:r w:rsidR="00946D75">
        <w:t xml:space="preserve"> was unexpected and it</w:t>
      </w:r>
      <w:r w:rsidR="00187E61">
        <w:t xml:space="preserve"> </w:t>
      </w:r>
      <w:r w:rsidR="009C3FB8">
        <w:t>interfered</w:t>
      </w:r>
      <w:r w:rsidR="00CA58E0">
        <w:t xml:space="preserve"> with visibility</w:t>
      </w:r>
      <w:r w:rsidR="009C3FB8">
        <w:t xml:space="preserve">. </w:t>
      </w:r>
      <w:r w:rsidR="00796C02">
        <w:t>Difficulty to discern the minute particles that pop</w:t>
      </w:r>
      <w:r w:rsidR="0051265F">
        <w:t>-</w:t>
      </w:r>
      <w:r w:rsidR="00796C02">
        <w:t>out of the carrier</w:t>
      </w:r>
      <w:r w:rsidR="00D45CC2">
        <w:t>s</w:t>
      </w:r>
      <w:r w:rsidR="00796C02">
        <w:t xml:space="preserve"> from the solution</w:t>
      </w:r>
      <w:r w:rsidR="00A3321B">
        <w:t xml:space="preserve"> they are in,</w:t>
      </w:r>
      <w:r w:rsidR="00796C02">
        <w:t xml:space="preserve"> could </w:t>
      </w:r>
      <w:r w:rsidR="00A3321B">
        <w:t>result in the</w:t>
      </w:r>
      <w:r w:rsidR="00796C02">
        <w:t xml:space="preserve"> disposing of </w:t>
      </w:r>
      <w:r w:rsidR="00A3321B">
        <w:t>sample</w:t>
      </w:r>
      <w:r w:rsidR="00796C02">
        <w:t xml:space="preserve"> while washing</w:t>
      </w:r>
      <w:r w:rsidR="002F1FDA">
        <w:t xml:space="preserve"> out</w:t>
      </w:r>
      <w:r w:rsidR="00796C02">
        <w:t xml:space="preserve"> the FS medium (</w:t>
      </w:r>
      <w:r w:rsidR="00A85F20">
        <w:rPr>
          <w:highlight w:val="yellow"/>
        </w:rPr>
        <w:fldChar w:fldCharType="begin"/>
      </w:r>
      <w:r w:rsidR="00A85F20">
        <w:instrText xml:space="preserve"> REF _Ref72167301 \h </w:instrText>
      </w:r>
      <w:r w:rsidR="00A85F20">
        <w:rPr>
          <w:highlight w:val="yellow"/>
        </w:rPr>
      </w:r>
      <w:r w:rsidR="00A85F20">
        <w:rPr>
          <w:highlight w:val="yellow"/>
        </w:rPr>
        <w:fldChar w:fldCharType="separate"/>
      </w:r>
      <w:r w:rsidR="00183CC8">
        <w:t xml:space="preserve">Figure </w:t>
      </w:r>
      <w:r w:rsidR="00183CC8">
        <w:rPr>
          <w:noProof/>
        </w:rPr>
        <w:t>3</w:t>
      </w:r>
      <w:r w:rsidR="00183CC8">
        <w:t>.</w:t>
      </w:r>
      <w:r w:rsidR="00183CC8">
        <w:rPr>
          <w:noProof/>
        </w:rPr>
        <w:t>10</w:t>
      </w:r>
      <w:r w:rsidR="00A85F20">
        <w:rPr>
          <w:highlight w:val="yellow"/>
        </w:rPr>
        <w:fldChar w:fldCharType="end"/>
      </w:r>
      <w:r w:rsidR="00D36328">
        <w:t>b-</w:t>
      </w:r>
      <w:r w:rsidR="00A85F20">
        <w:t>c</w:t>
      </w:r>
      <w:r w:rsidR="00796C02">
        <w:t xml:space="preserve">). </w:t>
      </w:r>
      <w:r w:rsidR="00C9427C">
        <w:t xml:space="preserve">Therefore, a test was performed </w:t>
      </w:r>
      <w:r w:rsidR="004C4DDC">
        <w:t>trying a</w:t>
      </w:r>
      <w:r w:rsidR="00390C01">
        <w:t xml:space="preserve"> new batch of freshly prepared OsO</w:t>
      </w:r>
      <w:r w:rsidR="00390C01">
        <w:rPr>
          <w:vertAlign w:val="subscript"/>
        </w:rPr>
        <w:t>4</w:t>
      </w:r>
      <w:r w:rsidR="00390C01">
        <w:t xml:space="preserve"> medium</w:t>
      </w:r>
      <w:r w:rsidR="00C9427C">
        <w:t>,</w:t>
      </w:r>
      <w:r w:rsidR="00390C01">
        <w:t xml:space="preserve"> and </w:t>
      </w:r>
      <w:r w:rsidR="00C9427C">
        <w:t>to</w:t>
      </w:r>
      <w:r w:rsidR="00390C01">
        <w:t xml:space="preserve"> </w:t>
      </w:r>
      <w:r w:rsidR="00C9427C">
        <w:t>compare</w:t>
      </w:r>
      <w:r w:rsidR="00390C01">
        <w:t xml:space="preserve"> both ethanol and acetone as </w:t>
      </w:r>
      <w:r w:rsidR="00C9427C">
        <w:t>potential</w:t>
      </w:r>
      <w:r w:rsidR="00390C01">
        <w:t xml:space="preserve"> solvent</w:t>
      </w:r>
      <w:r w:rsidR="00C9427C">
        <w:t>s</w:t>
      </w:r>
      <w:r w:rsidR="00B54798">
        <w:t xml:space="preserve"> </w:t>
      </w:r>
      <w:r w:rsidR="00A85F20">
        <w:t>(</w:t>
      </w:r>
      <w:r w:rsidR="00A85F20">
        <w:rPr>
          <w:highlight w:val="yellow"/>
        </w:rPr>
        <w:fldChar w:fldCharType="begin"/>
      </w:r>
      <w:r w:rsidR="00A85F20">
        <w:instrText xml:space="preserve"> REF _Ref72167301 \h </w:instrText>
      </w:r>
      <w:r w:rsidR="00A85F20">
        <w:rPr>
          <w:highlight w:val="yellow"/>
        </w:rPr>
      </w:r>
      <w:r w:rsidR="00A85F20">
        <w:rPr>
          <w:highlight w:val="yellow"/>
        </w:rPr>
        <w:fldChar w:fldCharType="separate"/>
      </w:r>
      <w:r w:rsidR="00183CC8">
        <w:t xml:space="preserve">Figure </w:t>
      </w:r>
      <w:r w:rsidR="00183CC8">
        <w:rPr>
          <w:noProof/>
        </w:rPr>
        <w:t>3</w:t>
      </w:r>
      <w:r w:rsidR="00183CC8">
        <w:t>.</w:t>
      </w:r>
      <w:r w:rsidR="00183CC8">
        <w:rPr>
          <w:noProof/>
        </w:rPr>
        <w:t>10</w:t>
      </w:r>
      <w:r w:rsidR="00A85F20">
        <w:rPr>
          <w:highlight w:val="yellow"/>
        </w:rPr>
        <w:fldChar w:fldCharType="end"/>
      </w:r>
      <w:r w:rsidR="00A85F20">
        <w:t xml:space="preserve">a). </w:t>
      </w:r>
      <w:r w:rsidR="00CA58E0">
        <w:t xml:space="preserve">The results showed that the </w:t>
      </w:r>
      <w:r w:rsidR="008862AD">
        <w:t xml:space="preserve">issue did not rely on the batch of osmium tetroxide but on the use of ethanol as a solvent. </w:t>
      </w:r>
      <w:r w:rsidR="00767764">
        <w:t xml:space="preserve">Although acetone proved to be a good option, </w:t>
      </w:r>
      <w:r w:rsidR="00D36328">
        <w:t>additional</w:t>
      </w:r>
      <w:r w:rsidR="00767764">
        <w:t xml:space="preserve"> tests were carried out to explain why ethanol sometimes reacted and sometimes it did</w:t>
      </w:r>
      <w:r w:rsidR="004C4DDC">
        <w:t xml:space="preserve"> not</w:t>
      </w:r>
      <w:r w:rsidR="00767764">
        <w:t xml:space="preserve">. </w:t>
      </w:r>
      <w:r w:rsidR="005151FE">
        <w:t>The use of glass pipettes</w:t>
      </w:r>
      <w:r w:rsidR="00E57BDE">
        <w:t xml:space="preserve"> with rubber bulbs</w:t>
      </w:r>
      <w:r w:rsidR="005151FE">
        <w:t xml:space="preserve"> and glass </w:t>
      </w:r>
      <w:r w:rsidR="00E57BDE">
        <w:t>Dura</w:t>
      </w:r>
      <w:r w:rsidR="005151FE">
        <w:t>n</w:t>
      </w:r>
      <w:r w:rsidR="00E57BDE">
        <w:t>®</w:t>
      </w:r>
      <w:r w:rsidR="005151FE">
        <w:t xml:space="preserve"> jars for preparing FS medium was tested against the</w:t>
      </w:r>
      <w:r w:rsidR="00E57BDE">
        <w:t>ir</w:t>
      </w:r>
      <w:r w:rsidR="005151FE">
        <w:t xml:space="preserve"> </w:t>
      </w:r>
      <w:r w:rsidR="006C650D">
        <w:t>frequently</w:t>
      </w:r>
      <w:r w:rsidR="00E57BDE">
        <w:t xml:space="preserve"> used plastic alternatives (</w:t>
      </w:r>
      <w:r w:rsidR="00E57BDE">
        <w:rPr>
          <w:i/>
          <w:iCs/>
        </w:rPr>
        <w:t>i.e.,</w:t>
      </w:r>
      <w:r w:rsidR="00E57BDE">
        <w:t xml:space="preserve"> Falcon or universal tubes and polyethylene Pasteur pipettes)</w:t>
      </w:r>
      <w:r w:rsidR="005151FE">
        <w:t>. The results showed that OsO</w:t>
      </w:r>
      <w:r w:rsidR="005151FE">
        <w:rPr>
          <w:vertAlign w:val="subscript"/>
        </w:rPr>
        <w:t>4</w:t>
      </w:r>
      <w:r w:rsidR="005151FE">
        <w:t xml:space="preserve"> </w:t>
      </w:r>
      <w:r w:rsidR="00B25B60">
        <w:t>dissolved in</w:t>
      </w:r>
      <w:r w:rsidR="005151FE">
        <w:t xml:space="preserve"> ethanol reacts </w:t>
      </w:r>
      <w:r w:rsidR="004F06D6">
        <w:t>with</w:t>
      </w:r>
      <w:r w:rsidR="005151FE">
        <w:t xml:space="preserve"> plastic materials</w:t>
      </w:r>
      <w:r w:rsidR="00B25B60">
        <w:t xml:space="preserve"> and </w:t>
      </w:r>
      <w:r w:rsidR="006C650D">
        <w:t>should</w:t>
      </w:r>
      <w:r w:rsidR="00B25B60">
        <w:t xml:space="preserve"> therefore</w:t>
      </w:r>
      <w:r w:rsidR="006C650D">
        <w:t xml:space="preserve"> be avoided </w:t>
      </w:r>
      <w:r w:rsidR="00A85F20">
        <w:t>(</w:t>
      </w:r>
      <w:r w:rsidR="00A85F20">
        <w:rPr>
          <w:highlight w:val="yellow"/>
        </w:rPr>
        <w:fldChar w:fldCharType="begin"/>
      </w:r>
      <w:r w:rsidR="00A85F20">
        <w:instrText xml:space="preserve"> REF _Ref72167301 \h </w:instrText>
      </w:r>
      <w:r w:rsidR="00A85F20">
        <w:rPr>
          <w:highlight w:val="yellow"/>
        </w:rPr>
      </w:r>
      <w:r w:rsidR="00A85F20">
        <w:rPr>
          <w:highlight w:val="yellow"/>
        </w:rPr>
        <w:fldChar w:fldCharType="separate"/>
      </w:r>
      <w:r w:rsidR="00183CC8">
        <w:t xml:space="preserve">Figure </w:t>
      </w:r>
      <w:r w:rsidR="00183CC8">
        <w:rPr>
          <w:noProof/>
        </w:rPr>
        <w:t>3</w:t>
      </w:r>
      <w:r w:rsidR="00183CC8">
        <w:t>.</w:t>
      </w:r>
      <w:r w:rsidR="00183CC8">
        <w:rPr>
          <w:noProof/>
        </w:rPr>
        <w:t>10</w:t>
      </w:r>
      <w:r w:rsidR="00A85F20">
        <w:rPr>
          <w:highlight w:val="yellow"/>
        </w:rPr>
        <w:fldChar w:fldCharType="end"/>
      </w:r>
      <w:r w:rsidR="00A85F20">
        <w:t xml:space="preserve">b). </w:t>
      </w:r>
      <w:r w:rsidR="006C650D">
        <w:t xml:space="preserve">It is </w:t>
      </w:r>
      <w:r w:rsidR="00CD3130">
        <w:t>advised</w:t>
      </w:r>
      <w:r w:rsidR="00B25B60">
        <w:t xml:space="preserve"> to use all glassware for any ethanol-based FS medium preparation</w:t>
      </w:r>
      <w:r w:rsidR="00E03A2A">
        <w:t xml:space="preserve">. Ethanol is </w:t>
      </w:r>
      <w:r w:rsidR="003644F2">
        <w:t>fast</w:t>
      </w:r>
      <w:r w:rsidR="006D6D0D">
        <w:t>er</w:t>
      </w:r>
      <w:r w:rsidR="003644F2">
        <w:t>-reacting</w:t>
      </w:r>
      <w:r w:rsidR="00E03A2A">
        <w:t xml:space="preserve"> for FS than acetone, but </w:t>
      </w:r>
      <w:r w:rsidR="00D36328">
        <w:t xml:space="preserve">it </w:t>
      </w:r>
      <w:r w:rsidR="00E03A2A">
        <w:t xml:space="preserve">also reacts </w:t>
      </w:r>
      <w:r w:rsidR="00A5110D">
        <w:t>faster</w:t>
      </w:r>
      <w:r w:rsidR="00E03A2A">
        <w:t xml:space="preserve"> to osmium tetroxide</w:t>
      </w:r>
      <w:r w:rsidR="0070737F">
        <w:t xml:space="preserve"> </w:t>
      </w:r>
      <w:r w:rsidR="0070737F">
        <w:fldChar w:fldCharType="begin" w:fldLock="1"/>
      </w:r>
      <w:r w:rsidR="0058736C">
        <w:instrText>ADDIN CSL_CITATION {"citationItems":[{"id":"ITEM-1","itemData":{"ISBN":"9780849372278","container-title":"Cellular Electron Microscopy","editor":[{"dropping-particle":"","family":"Spenher","given":"D.","non-dropping-particle":"","parse-names":false,"suffix":""},{"dropping-particle":"","family":"Cavalier","given":"A.","non-dropping-particle":"","parse-names":false,"suffix":""},{"dropping-particle":"","family":"Humbel","given":"B.","non-dropping-particle":"","parse-names":false,"suffix":""}],"id":"ITEM-1","issued":{"date-parts":[["2008"]]},"publisher":"CRC Publisher","publisher-place":"Boca Raton","title":"Handbook of Cryopreparation Methods for Electron Microscopy","type":"book","volume":"79"},"uris":["http://www.mendeley.com/documents/?uuid=d0314adf-0335-4087-adfc-77f2002bf131"]}],"mendeley":{"formattedCitation":"&lt;sup&gt;[215]&lt;/sup&gt;","plainTextFormattedCitation":"[215]","previouslyFormattedCitation":"&lt;sup&gt;[215]&lt;/sup&gt;"},"properties":{"noteIndex":0},"schema":"https://github.com/citation-style-language/schema/raw/master/csl-citation.json"}</w:instrText>
      </w:r>
      <w:r w:rsidR="0070737F">
        <w:fldChar w:fldCharType="separate"/>
      </w:r>
      <w:r w:rsidR="002659E5" w:rsidRPr="002659E5">
        <w:rPr>
          <w:noProof/>
          <w:vertAlign w:val="superscript"/>
        </w:rPr>
        <w:t>[215]</w:t>
      </w:r>
      <w:r w:rsidR="0070737F">
        <w:fldChar w:fldCharType="end"/>
      </w:r>
      <w:r w:rsidR="00E03A2A">
        <w:t xml:space="preserve">. If acetone is chosen, it is recommended </w:t>
      </w:r>
      <w:r w:rsidR="00700364">
        <w:t>to keep it at – 20 </w:t>
      </w:r>
      <w:r w:rsidR="00700364">
        <w:rPr>
          <w:rFonts w:ascii="Calibri" w:hAnsi="Calibri" w:cs="Calibri"/>
        </w:rPr>
        <w:t>°</w:t>
      </w:r>
      <w:r w:rsidR="00700364">
        <w:t>C before preparing the FS medium.</w:t>
      </w:r>
    </w:p>
    <w:p w14:paraId="42BDE83D" w14:textId="77777777" w:rsidR="00E441DA" w:rsidRPr="005151FE" w:rsidRDefault="00E441DA" w:rsidP="00E441DA">
      <w:r>
        <w:t>Unlike the OsO</w:t>
      </w:r>
      <w:r>
        <w:rPr>
          <w:vertAlign w:val="subscript"/>
        </w:rPr>
        <w:t>4</w:t>
      </w:r>
      <w:r>
        <w:t xml:space="preserve"> solution ampoules used for the chemical fixation protocol (Agar Scientific, AGR1024 5 ml), FS medium was prepared from ampoules with OsO</w:t>
      </w:r>
      <w:r w:rsidRPr="00A24002">
        <w:rPr>
          <w:vertAlign w:val="subscript"/>
        </w:rPr>
        <w:t>4</w:t>
      </w:r>
      <w:r>
        <w:t xml:space="preserve"> crystals (Agar Scientific, AGR1015). These crystals were usually stuck to the inner glass walls of the ampoules and in order to accumulate them at the bottom, it was necessary to give them tap. If this did not work, its temperature was lowered by putting them on ice or in the freezer for a few minutes before tapping them again. Another alternative was to put them under hot running water, and after the crystals melted, place the ampoules upright and wait for it to cool down until the crystals reformed at the bottom.</w:t>
      </w:r>
      <w:r w:rsidRPr="000D03DE">
        <w:t xml:space="preserve"> </w:t>
      </w:r>
      <w:r>
        <w:t>Extreme caution should be taken when scoring and breaking the glass ampoules containing OsO</w:t>
      </w:r>
      <w:r>
        <w:rPr>
          <w:vertAlign w:val="subscript"/>
        </w:rPr>
        <w:t>4</w:t>
      </w:r>
      <w:r>
        <w:t xml:space="preserve">. Even when these ampoules are pre-scored, it is still recommended to use a glass scorer again over the scoring line. Once it snapped open, one of two methods were used: (1) adding some of the chosen solvent into the ampoule to dissolve the crystals, and </w:t>
      </w:r>
      <w:r>
        <w:lastRenderedPageBreak/>
        <w:t xml:space="preserve">then transferring the solution to a flask or beaker; or (2) adding the snapped ampoule into a glass flask with the desired solvent, and removing the ampoule once the solution had been made. Both methodologies work well but there is a higher risk of tiny fragments of shattered glass remaining in the solution with the second one. Filtering the solution using a glass pipette and filter paper resolves this issue. Failure to do this step could result in those fragments of glass being polymerised with the sample, and its subsequent ultra-thin sectioning could damage the edge of the diamond knife. </w:t>
      </w:r>
    </w:p>
    <w:p w14:paraId="0A833CB7" w14:textId="5A596B6A" w:rsidR="00E441DA" w:rsidRDefault="00E441DA" w:rsidP="00E441DA">
      <w:r>
        <w:t>To decide which FS medium was best for purpose, the following mixtures were tested: (A) 1 % (w/v) OsO</w:t>
      </w:r>
      <w:r>
        <w:rPr>
          <w:vertAlign w:val="subscript"/>
        </w:rPr>
        <w:t>4</w:t>
      </w:r>
      <w:r>
        <w:t xml:space="preserve"> in ethanol, (B) 2 % (w/v) OsO</w:t>
      </w:r>
      <w:r>
        <w:rPr>
          <w:vertAlign w:val="subscript"/>
        </w:rPr>
        <w:t>4</w:t>
      </w:r>
      <w:r>
        <w:t xml:space="preserve"> in ethanol, (C) 2 % (w/v) OsO</w:t>
      </w:r>
      <w:r>
        <w:rPr>
          <w:vertAlign w:val="subscript"/>
        </w:rPr>
        <w:t>4</w:t>
      </w:r>
      <w:r>
        <w:t xml:space="preserve"> + 2 % (w/v) UA in ethanol, (D) 1 % (w/v) OsO</w:t>
      </w:r>
      <w:r>
        <w:rPr>
          <w:vertAlign w:val="subscript"/>
        </w:rPr>
        <w:t>4</w:t>
      </w:r>
      <w:r>
        <w:t xml:space="preserve"> in acetone, (E) 2 % (w/v) OsO</w:t>
      </w:r>
      <w:r>
        <w:rPr>
          <w:vertAlign w:val="subscript"/>
        </w:rPr>
        <w:t>4</w:t>
      </w:r>
      <w:r>
        <w:t xml:space="preserve"> in acetone, (F) 1 % (w/v) OsO</w:t>
      </w:r>
      <w:r>
        <w:rPr>
          <w:vertAlign w:val="subscript"/>
        </w:rPr>
        <w:t>4</w:t>
      </w:r>
      <w:r>
        <w:t xml:space="preserve"> + 0.5 % (v/v) glutaraldehyde in acetone, (G) 1 % (w/v) OsO</w:t>
      </w:r>
      <w:r>
        <w:rPr>
          <w:vertAlign w:val="subscript"/>
        </w:rPr>
        <w:t>4</w:t>
      </w:r>
      <w:r>
        <w:t xml:space="preserve"> + 0.5 % (v/v) glutaraldehyde + 3 % (w/v) UA in acetone (</w:t>
      </w:r>
      <w:r>
        <w:fldChar w:fldCharType="begin"/>
      </w:r>
      <w:r>
        <w:instrText xml:space="preserve"> REF _Ref72446139 \h </w:instrText>
      </w:r>
      <w:r>
        <w:fldChar w:fldCharType="separate"/>
      </w:r>
      <w:r w:rsidR="00183CC8">
        <w:t xml:space="preserve">Figure </w:t>
      </w:r>
      <w:r w:rsidR="00183CC8">
        <w:rPr>
          <w:noProof/>
        </w:rPr>
        <w:t>3</w:t>
      </w:r>
      <w:r w:rsidR="00183CC8">
        <w:t>.</w:t>
      </w:r>
      <w:r w:rsidR="00183CC8">
        <w:rPr>
          <w:noProof/>
        </w:rPr>
        <w:t>11</w:t>
      </w:r>
      <w:r>
        <w:fldChar w:fldCharType="end"/>
      </w:r>
      <w:r>
        <w:t>). Micrographs for (B), (F) and (G) resulted in cells that seem to be lacking a CW. It is believed that this is the result of bad vitrification due to the inconsistencies encountered with HPF during this study. A closer look shows that micrographs (F) and (G) present cells with an oscillating membrane (pm). This might be the result of a higher sensitivity to the failed cryo-fixation (high pressure and temperature change exposure) due to lack of their protective CW. All micrographs present an electrodense material surrounding the cells, which probably corresponds to cytoplasmic material from burst cells that results from failed HPF. Overall, there is no apparent difference between 1 % and 2 % (w/v) of OsO</w:t>
      </w:r>
      <w:r>
        <w:rPr>
          <w:vertAlign w:val="subscript"/>
        </w:rPr>
        <w:t>4</w:t>
      </w:r>
      <w:r>
        <w:t xml:space="preserve"> in either solvent (</w:t>
      </w:r>
      <w:r>
        <w:fldChar w:fldCharType="begin"/>
      </w:r>
      <w:r>
        <w:instrText xml:space="preserve"> REF _Ref72446139 \h </w:instrText>
      </w:r>
      <w:r>
        <w:fldChar w:fldCharType="separate"/>
      </w:r>
      <w:r w:rsidR="00183CC8">
        <w:t xml:space="preserve">Figure </w:t>
      </w:r>
      <w:r w:rsidR="00183CC8">
        <w:rPr>
          <w:noProof/>
        </w:rPr>
        <w:t>3</w:t>
      </w:r>
      <w:r w:rsidR="00183CC8">
        <w:t>.</w:t>
      </w:r>
      <w:r w:rsidR="00183CC8">
        <w:rPr>
          <w:noProof/>
        </w:rPr>
        <w:t>11</w:t>
      </w:r>
      <w:r>
        <w:fldChar w:fldCharType="end"/>
      </w:r>
      <w:r>
        <w:t>A-B,D-E). More detailed structural information is seen on the acetone FS medium acetone (</w:t>
      </w:r>
      <w:r>
        <w:fldChar w:fldCharType="begin"/>
      </w:r>
      <w:r>
        <w:instrText xml:space="preserve"> REF _Ref72446139 \h </w:instrText>
      </w:r>
      <w:r>
        <w:fldChar w:fldCharType="separate"/>
      </w:r>
      <w:r w:rsidR="00183CC8">
        <w:t xml:space="preserve">Figure </w:t>
      </w:r>
      <w:r w:rsidR="00183CC8">
        <w:rPr>
          <w:noProof/>
        </w:rPr>
        <w:t>3</w:t>
      </w:r>
      <w:r w:rsidR="00183CC8">
        <w:t>.</w:t>
      </w:r>
      <w:r w:rsidR="00183CC8">
        <w:rPr>
          <w:noProof/>
        </w:rPr>
        <w:t>11</w:t>
      </w:r>
      <w:r>
        <w:fldChar w:fldCharType="end"/>
      </w:r>
      <w:r>
        <w:t>D,E), but this could have resulted from one of the lucky HPF runs. The addition of UA and glutaraldehyde seems to provide further contrast in the ethanol mixture (</w:t>
      </w:r>
      <w:r>
        <w:fldChar w:fldCharType="begin"/>
      </w:r>
      <w:r>
        <w:instrText xml:space="preserve"> REF _Ref72446139 \h </w:instrText>
      </w:r>
      <w:r>
        <w:fldChar w:fldCharType="separate"/>
      </w:r>
      <w:r w:rsidR="00183CC8">
        <w:t xml:space="preserve">Figure </w:t>
      </w:r>
      <w:r w:rsidR="00183CC8">
        <w:rPr>
          <w:noProof/>
        </w:rPr>
        <w:t>3</w:t>
      </w:r>
      <w:r w:rsidR="00183CC8">
        <w:t>.</w:t>
      </w:r>
      <w:r w:rsidR="00183CC8">
        <w:rPr>
          <w:noProof/>
        </w:rPr>
        <w:t>11</w:t>
      </w:r>
      <w:r>
        <w:fldChar w:fldCharType="end"/>
      </w:r>
      <w:r>
        <w:t xml:space="preserve">C,F,G). </w:t>
      </w:r>
      <w:r w:rsidRPr="0072100A">
        <w:t>Unfortunately</w:t>
      </w:r>
      <w:r>
        <w:t>, due to the issues with HPF, this test should be repeated for a more in depth analysis.</w:t>
      </w:r>
    </w:p>
    <w:p w14:paraId="6326B8CA" w14:textId="21060C47" w:rsidR="00E441DA" w:rsidRDefault="00E441DA" w:rsidP="005151FE">
      <w:pPr>
        <w:sectPr w:rsidR="00E441DA" w:rsidSect="004D0E05">
          <w:pgSz w:w="11906" w:h="16838"/>
          <w:pgMar w:top="1191" w:right="1247" w:bottom="1191" w:left="1247" w:header="709" w:footer="709" w:gutter="0"/>
          <w:cols w:space="708"/>
          <w:titlePg/>
          <w:docGrid w:linePitch="360"/>
        </w:sectPr>
      </w:pPr>
    </w:p>
    <w:p w14:paraId="79EC12B7" w14:textId="77777777" w:rsidR="00314680" w:rsidRDefault="00314680" w:rsidP="00314680">
      <w:pPr>
        <w:keepNext/>
        <w:jc w:val="center"/>
      </w:pPr>
      <w:r>
        <w:rPr>
          <w:noProof/>
        </w:rPr>
        <w:lastRenderedPageBreak/>
        <w:drawing>
          <wp:inline distT="0" distB="0" distL="0" distR="0" wp14:anchorId="5D9968DE" wp14:editId="615906A1">
            <wp:extent cx="5914662" cy="2493818"/>
            <wp:effectExtent l="0" t="0" r="3810" b="0"/>
            <wp:docPr id="53" name="Picture 5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51289" cy="2509261"/>
                    </a:xfrm>
                    <a:prstGeom prst="rect">
                      <a:avLst/>
                    </a:prstGeom>
                  </pic:spPr>
                </pic:pic>
              </a:graphicData>
            </a:graphic>
          </wp:inline>
        </w:drawing>
      </w:r>
    </w:p>
    <w:p w14:paraId="7096E7D8" w14:textId="1E70D8A3" w:rsidR="00314680" w:rsidRDefault="00314680" w:rsidP="00314680">
      <w:pPr>
        <w:pStyle w:val="Caption"/>
      </w:pPr>
      <w:bookmarkStart w:id="515" w:name="_Ref72167301"/>
      <w:bookmarkStart w:id="516" w:name="_Toc90216945"/>
      <w:r>
        <w:t xml:space="preserve">Figure </w:t>
      </w:r>
      <w:fldSimple w:instr=" STYLEREF 1 \s ">
        <w:r w:rsidR="00183CC8">
          <w:rPr>
            <w:noProof/>
          </w:rPr>
          <w:t>3</w:t>
        </w:r>
      </w:fldSimple>
      <w:r>
        <w:t>.</w:t>
      </w:r>
      <w:fldSimple w:instr=" SEQ Figure \* ARABIC \s 1 ">
        <w:r w:rsidR="00183CC8">
          <w:rPr>
            <w:noProof/>
          </w:rPr>
          <w:t>10</w:t>
        </w:r>
      </w:fldSimple>
      <w:bookmarkEnd w:id="515"/>
      <w:r>
        <w:t xml:space="preserve"> Osmium tetroxide reacting with the FS medium.</w:t>
      </w:r>
      <w:bookmarkEnd w:id="516"/>
    </w:p>
    <w:p w14:paraId="1D74D521" w14:textId="77777777" w:rsidR="00E441DA" w:rsidRDefault="00314680" w:rsidP="00314680">
      <w:pPr>
        <w:pStyle w:val="NoSpacing"/>
        <w:sectPr w:rsidR="00E441DA" w:rsidSect="004D0E05">
          <w:pgSz w:w="11906" w:h="16838"/>
          <w:pgMar w:top="1191" w:right="1247" w:bottom="1191" w:left="1247" w:header="709" w:footer="709" w:gutter="0"/>
          <w:cols w:space="708"/>
          <w:titlePg/>
          <w:docGrid w:linePitch="360"/>
        </w:sectPr>
      </w:pPr>
      <w:r>
        <w:rPr>
          <w:b/>
          <w:bCs/>
        </w:rPr>
        <w:t>(A)</w:t>
      </w:r>
      <w:r>
        <w:t xml:space="preserve"> Test between acetone and ethanol as the solvent for osmium tetroxide (OsO</w:t>
      </w:r>
      <w:r>
        <w:rPr>
          <w:vertAlign w:val="subscript"/>
        </w:rPr>
        <w:t>4</w:t>
      </w:r>
      <w:r>
        <w:t xml:space="preserve">). </w:t>
      </w:r>
      <w:r>
        <w:rPr>
          <w:b/>
          <w:bCs/>
        </w:rPr>
        <w:t>(B)</w:t>
      </w:r>
      <w:r>
        <w:t xml:space="preserve"> Difference between the use of plasticware or glassware for the preparation of ethanol-based FS medium. </w:t>
      </w:r>
      <w:r>
        <w:rPr>
          <w:b/>
          <w:bCs/>
        </w:rPr>
        <w:t>(C)</w:t>
      </w:r>
      <w:r>
        <w:t xml:space="preserve"> Freeze-substituted samples that popped out of the carriers on their own either intact (arrowhead) or by breaking into minute pieces (dashed circle).</w:t>
      </w:r>
    </w:p>
    <w:p w14:paraId="26211BE5" w14:textId="77777777" w:rsidR="00E441DA" w:rsidRDefault="00E441DA" w:rsidP="00E441DA">
      <w:pPr>
        <w:pStyle w:val="NoSpacing"/>
        <w:keepNext/>
        <w:jc w:val="center"/>
      </w:pPr>
      <w:r>
        <w:rPr>
          <w:noProof/>
        </w:rPr>
        <w:lastRenderedPageBreak/>
        <w:drawing>
          <wp:inline distT="0" distB="0" distL="0" distR="0" wp14:anchorId="7935EDEA" wp14:editId="24F51289">
            <wp:extent cx="5906617" cy="7658580"/>
            <wp:effectExtent l="0" t="0" r="0" b="0"/>
            <wp:docPr id="57" name="Picture 5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diagram&#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06617" cy="7658580"/>
                    </a:xfrm>
                    <a:prstGeom prst="rect">
                      <a:avLst/>
                    </a:prstGeom>
                  </pic:spPr>
                </pic:pic>
              </a:graphicData>
            </a:graphic>
          </wp:inline>
        </w:drawing>
      </w:r>
    </w:p>
    <w:p w14:paraId="5F37EFEA" w14:textId="18A02011" w:rsidR="00E441DA" w:rsidRDefault="00E441DA" w:rsidP="00E441DA">
      <w:pPr>
        <w:pStyle w:val="Caption"/>
        <w:rPr>
          <w:i/>
        </w:rPr>
      </w:pPr>
      <w:bookmarkStart w:id="517" w:name="_Ref72446139"/>
      <w:bookmarkStart w:id="518" w:name="_Toc90216946"/>
      <w:r>
        <w:t xml:space="preserve">Figure </w:t>
      </w:r>
      <w:fldSimple w:instr=" STYLEREF 1 \s ">
        <w:r w:rsidR="00183CC8">
          <w:rPr>
            <w:noProof/>
          </w:rPr>
          <w:t>3</w:t>
        </w:r>
      </w:fldSimple>
      <w:r>
        <w:t>.</w:t>
      </w:r>
      <w:fldSimple w:instr=" SEQ Figure \* ARABIC \s 1 ">
        <w:r w:rsidR="00183CC8">
          <w:rPr>
            <w:noProof/>
          </w:rPr>
          <w:t>11</w:t>
        </w:r>
      </w:fldSimple>
      <w:bookmarkEnd w:id="517"/>
      <w:r>
        <w:t xml:space="preserve"> Optimising freeze-substitution media for </w:t>
      </w:r>
      <w:r>
        <w:rPr>
          <w:i/>
        </w:rPr>
        <w:t>S. aureus.</w:t>
      </w:r>
      <w:bookmarkEnd w:id="518"/>
    </w:p>
    <w:p w14:paraId="7FFBC809" w14:textId="77777777" w:rsidR="00E441DA" w:rsidRDefault="00E441DA" w:rsidP="00E441DA">
      <w:pPr>
        <w:pStyle w:val="NoSpacing"/>
        <w:sectPr w:rsidR="00E441DA" w:rsidSect="004D0E05">
          <w:pgSz w:w="11906" w:h="16838"/>
          <w:pgMar w:top="1191" w:right="1247" w:bottom="1191" w:left="1247" w:header="709" w:footer="709" w:gutter="0"/>
          <w:cols w:space="708"/>
          <w:titlePg/>
          <w:docGrid w:linePitch="360"/>
        </w:sectPr>
      </w:pPr>
      <w:r>
        <w:rPr>
          <w:b/>
          <w:bCs/>
        </w:rPr>
        <w:t xml:space="preserve">(A-C) </w:t>
      </w:r>
      <w:r>
        <w:t xml:space="preserve">Comparison of ethanol based FS media with </w:t>
      </w:r>
      <w:r>
        <w:rPr>
          <w:b/>
          <w:bCs/>
        </w:rPr>
        <w:t>(A)</w:t>
      </w:r>
      <w:r>
        <w:t xml:space="preserve"> 1 % (w/v) OsO</w:t>
      </w:r>
      <w:r>
        <w:rPr>
          <w:vertAlign w:val="subscript"/>
        </w:rPr>
        <w:t>4</w:t>
      </w:r>
      <w:r>
        <w:t xml:space="preserve">, </w:t>
      </w:r>
      <w:r>
        <w:rPr>
          <w:b/>
          <w:bCs/>
        </w:rPr>
        <w:t>(B)</w:t>
      </w:r>
      <w:r>
        <w:t xml:space="preserve"> 2 % (w/v) OsO</w:t>
      </w:r>
      <w:r>
        <w:rPr>
          <w:vertAlign w:val="subscript"/>
        </w:rPr>
        <w:t>4</w:t>
      </w:r>
      <w:r>
        <w:t xml:space="preserve">, and </w:t>
      </w:r>
      <w:r>
        <w:rPr>
          <w:b/>
          <w:bCs/>
        </w:rPr>
        <w:t>(C)</w:t>
      </w:r>
      <w:r>
        <w:t xml:space="preserve"> 2 % (w/v) OsO</w:t>
      </w:r>
      <w:r>
        <w:rPr>
          <w:vertAlign w:val="subscript"/>
        </w:rPr>
        <w:t>4</w:t>
      </w:r>
      <w:r>
        <w:t xml:space="preserve"> + 2 % (w/v) uranyl acetate (UA). </w:t>
      </w:r>
      <w:r>
        <w:rPr>
          <w:b/>
          <w:bCs/>
        </w:rPr>
        <w:t>(D-G)</w:t>
      </w:r>
      <w:r>
        <w:t xml:space="preserve"> Comparison of acetone based FS medium containing </w:t>
      </w:r>
      <w:r>
        <w:rPr>
          <w:b/>
          <w:bCs/>
        </w:rPr>
        <w:t>(D)</w:t>
      </w:r>
      <w:r>
        <w:t xml:space="preserve"> 1 % (w/v) OsO</w:t>
      </w:r>
      <w:r>
        <w:rPr>
          <w:vertAlign w:val="subscript"/>
        </w:rPr>
        <w:t>4</w:t>
      </w:r>
      <w:r>
        <w:t xml:space="preserve">, </w:t>
      </w:r>
      <w:r>
        <w:rPr>
          <w:b/>
          <w:bCs/>
        </w:rPr>
        <w:t>(E)</w:t>
      </w:r>
      <w:r>
        <w:t xml:space="preserve"> 2 %</w:t>
      </w:r>
      <w:r w:rsidRPr="000B4CA7">
        <w:t xml:space="preserve"> </w:t>
      </w:r>
      <w:r>
        <w:t>(w/v) OsO</w:t>
      </w:r>
      <w:r>
        <w:rPr>
          <w:vertAlign w:val="subscript"/>
        </w:rPr>
        <w:t>4</w:t>
      </w:r>
      <w:r>
        <w:t xml:space="preserve">, </w:t>
      </w:r>
      <w:r>
        <w:rPr>
          <w:b/>
          <w:bCs/>
        </w:rPr>
        <w:t>(F)</w:t>
      </w:r>
      <w:r>
        <w:t xml:space="preserve"> 1 % (w/v) OsO</w:t>
      </w:r>
      <w:r>
        <w:rPr>
          <w:vertAlign w:val="subscript"/>
        </w:rPr>
        <w:t>4</w:t>
      </w:r>
      <w:r>
        <w:t xml:space="preserve"> + 0.5 % (v/v) glutaraldehyde, and </w:t>
      </w:r>
      <w:r>
        <w:rPr>
          <w:b/>
          <w:bCs/>
        </w:rPr>
        <w:t>(G)</w:t>
      </w:r>
      <w:r>
        <w:t xml:space="preserve"> 1 % (w/v) OsO</w:t>
      </w:r>
      <w:r>
        <w:rPr>
          <w:vertAlign w:val="subscript"/>
        </w:rPr>
        <w:t>4</w:t>
      </w:r>
      <w:r>
        <w:t xml:space="preserve"> + 0.5 % (v/v) glutaraldehyde + 3 % (w/v) UA. PM– plasma membrane, cw–cell wall, es–exoplasmic space. Mid magnification scale bar 500 nm. High magnification scale bar 50 nm.</w:t>
      </w:r>
    </w:p>
    <w:p w14:paraId="4195080C" w14:textId="77777777" w:rsidR="00314680" w:rsidRDefault="00314680" w:rsidP="00314680">
      <w:pPr>
        <w:pStyle w:val="Heading3"/>
      </w:pPr>
      <w:bookmarkStart w:id="519" w:name="_Toc64276353"/>
      <w:bookmarkStart w:id="520" w:name="_Toc64276657"/>
      <w:bookmarkStart w:id="521" w:name="_Toc64276869"/>
      <w:bookmarkStart w:id="522" w:name="_Toc90216868"/>
      <w:r>
        <w:lastRenderedPageBreak/>
        <w:t>Embedding, t</w:t>
      </w:r>
      <w:r w:rsidRPr="005B0F81">
        <w:t>hin-sectioning and staining</w:t>
      </w:r>
      <w:bookmarkEnd w:id="519"/>
      <w:bookmarkEnd w:id="520"/>
      <w:bookmarkEnd w:id="521"/>
      <w:r>
        <w:t>.</w:t>
      </w:r>
      <w:bookmarkEnd w:id="522"/>
    </w:p>
    <w:p w14:paraId="0D629372" w14:textId="71C0F1B1" w:rsidR="00314680" w:rsidRDefault="00314680" w:rsidP="00314680">
      <w:r>
        <w:t>After HPF and FS, the specimens sometimes pop out of the flat carriers (</w:t>
      </w:r>
      <w:r>
        <w:fldChar w:fldCharType="begin"/>
      </w:r>
      <w:r>
        <w:instrText xml:space="preserve"> REF _Ref72167301 \h </w:instrText>
      </w:r>
      <w:r>
        <w:fldChar w:fldCharType="separate"/>
      </w:r>
      <w:r w:rsidR="00183CC8">
        <w:t xml:space="preserve">Figure </w:t>
      </w:r>
      <w:r w:rsidR="00183CC8">
        <w:rPr>
          <w:noProof/>
        </w:rPr>
        <w:t>3</w:t>
      </w:r>
      <w:r w:rsidR="00183CC8">
        <w:t>.</w:t>
      </w:r>
      <w:r w:rsidR="00183CC8">
        <w:rPr>
          <w:noProof/>
        </w:rPr>
        <w:t>10</w:t>
      </w:r>
      <w:r>
        <w:fldChar w:fldCharType="end"/>
      </w:r>
      <w:r>
        <w:t xml:space="preserve">c), especially if these have been treated with egg lecithin as described in section </w:t>
      </w:r>
      <w:r>
        <w:fldChar w:fldCharType="begin"/>
      </w:r>
      <w:r>
        <w:instrText xml:space="preserve"> REF _Ref72186741 \r \h </w:instrText>
      </w:r>
      <w:r>
        <w:fldChar w:fldCharType="separate"/>
      </w:r>
      <w:r w:rsidR="00183CC8">
        <w:t>3.4.1</w:t>
      </w:r>
      <w:r>
        <w:fldChar w:fldCharType="end"/>
      </w:r>
      <w:r>
        <w:t>. Those specimens still attached were forced out of the carriers with the help of a pipette tip cut diagonally to a sharp end with a razor blade (</w:t>
      </w:r>
      <w:r>
        <w:fldChar w:fldCharType="begin"/>
      </w:r>
      <w:r>
        <w:instrText xml:space="preserve"> REF _Ref72232452 \h </w:instrText>
      </w:r>
      <w:r>
        <w:fldChar w:fldCharType="separate"/>
      </w:r>
      <w:r w:rsidR="00183CC8">
        <w:t xml:space="preserve">Figure </w:t>
      </w:r>
      <w:r w:rsidR="00183CC8">
        <w:rPr>
          <w:noProof/>
        </w:rPr>
        <w:t>3</w:t>
      </w:r>
      <w:r w:rsidR="00183CC8">
        <w:t>.</w:t>
      </w:r>
      <w:r w:rsidR="00183CC8">
        <w:rPr>
          <w:noProof/>
        </w:rPr>
        <w:t>7</w:t>
      </w:r>
      <w:r>
        <w:fldChar w:fldCharType="end"/>
      </w:r>
      <w:r>
        <w:t>c). Changing resins during the embedding process needs to be done carefully, as miniscule broken pieces of specimens could unintentionally be disposed of. This is particularly easy when dealing with viscous resins such as Epon (</w:t>
      </w:r>
      <w:r>
        <w:rPr>
          <w:highlight w:val="yellow"/>
        </w:rPr>
        <w:fldChar w:fldCharType="begin"/>
      </w:r>
      <w:r>
        <w:instrText xml:space="preserve"> REF _Ref72509660 \h </w:instrText>
      </w:r>
      <w:r>
        <w:rPr>
          <w:highlight w:val="yellow"/>
        </w:rPr>
      </w:r>
      <w:r>
        <w:rPr>
          <w:highlight w:val="yellow"/>
        </w:rPr>
        <w:fldChar w:fldCharType="separate"/>
      </w:r>
      <w:r w:rsidR="00183CC8">
        <w:t xml:space="preserve">Figure </w:t>
      </w:r>
      <w:r w:rsidR="00183CC8">
        <w:rPr>
          <w:noProof/>
        </w:rPr>
        <w:t>3</w:t>
      </w:r>
      <w:r w:rsidR="00183CC8">
        <w:t>.</w:t>
      </w:r>
      <w:r w:rsidR="00183CC8">
        <w:rPr>
          <w:noProof/>
        </w:rPr>
        <w:t>12</w:t>
      </w:r>
      <w:r>
        <w:rPr>
          <w:highlight w:val="yellow"/>
        </w:rPr>
        <w:fldChar w:fldCharType="end"/>
      </w:r>
      <w:r>
        <w:t>a insert). Therefore, the less viscous Spurr resin was tested. Most specimen fragments in Spurr sunk and were not as suspended in the resin as with Epon (</w:t>
      </w:r>
      <w:r>
        <w:rPr>
          <w:highlight w:val="yellow"/>
        </w:rPr>
        <w:fldChar w:fldCharType="begin"/>
      </w:r>
      <w:r>
        <w:instrText xml:space="preserve"> REF _Ref72509660 \h </w:instrText>
      </w:r>
      <w:r>
        <w:rPr>
          <w:highlight w:val="yellow"/>
        </w:rPr>
      </w:r>
      <w:r>
        <w:rPr>
          <w:highlight w:val="yellow"/>
        </w:rPr>
        <w:fldChar w:fldCharType="separate"/>
      </w:r>
      <w:r w:rsidR="00183CC8">
        <w:t xml:space="preserve">Figure </w:t>
      </w:r>
      <w:r w:rsidR="00183CC8">
        <w:rPr>
          <w:noProof/>
        </w:rPr>
        <w:t>3</w:t>
      </w:r>
      <w:r w:rsidR="00183CC8">
        <w:t>.</w:t>
      </w:r>
      <w:r w:rsidR="00183CC8">
        <w:rPr>
          <w:noProof/>
        </w:rPr>
        <w:t>12</w:t>
      </w:r>
      <w:r>
        <w:rPr>
          <w:highlight w:val="yellow"/>
        </w:rPr>
        <w:fldChar w:fldCharType="end"/>
      </w:r>
      <w:r>
        <w:t>a insert). The low viscosity of Spurr also allows for a better infiltration into the sample, while Epon provided better overall contrast (</w:t>
      </w:r>
      <w:r>
        <w:rPr>
          <w:highlight w:val="yellow"/>
        </w:rPr>
        <w:fldChar w:fldCharType="begin"/>
      </w:r>
      <w:r>
        <w:instrText xml:space="preserve"> REF _Ref72509660 \h </w:instrText>
      </w:r>
      <w:r>
        <w:rPr>
          <w:highlight w:val="yellow"/>
        </w:rPr>
      </w:r>
      <w:r>
        <w:rPr>
          <w:highlight w:val="yellow"/>
        </w:rPr>
        <w:fldChar w:fldCharType="separate"/>
      </w:r>
      <w:r w:rsidR="00183CC8">
        <w:t xml:space="preserve">Figure </w:t>
      </w:r>
      <w:r w:rsidR="00183CC8">
        <w:rPr>
          <w:noProof/>
        </w:rPr>
        <w:t>3</w:t>
      </w:r>
      <w:r w:rsidR="00183CC8">
        <w:t>.</w:t>
      </w:r>
      <w:r w:rsidR="00183CC8">
        <w:rPr>
          <w:noProof/>
        </w:rPr>
        <w:t>12</w:t>
      </w:r>
      <w:r>
        <w:rPr>
          <w:highlight w:val="yellow"/>
        </w:rPr>
        <w:fldChar w:fldCharType="end"/>
      </w:r>
      <w:r>
        <w:t>a).</w:t>
      </w:r>
    </w:p>
    <w:p w14:paraId="2D33B7EB" w14:textId="6B159D96" w:rsidR="00E441DA" w:rsidRDefault="00E441DA" w:rsidP="00E441DA">
      <w:r>
        <w:t xml:space="preserve">The initial protocol followed was adapted from Beveridge’s work </w:t>
      </w:r>
      <w:r>
        <w:fldChar w:fldCharType="begin" w:fldLock="1"/>
      </w:r>
      <w:r>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aureus","type":"article-journal","volume":"188"},"uris":["http://www.mendeley.com/documents/?uuid=e2b25489-46ff-4a6e-b016-855e621d8c6c"]},{"id":"ITEM-2","itemData":{"DOI":"10.1128/jb.176.5.1413-1421.1994","ISSN":"00219193","PMID":"8113182","abstract":"Exponential-growth-phase cultures of Bacillus subtilis 168 were probed with polycationized ferritin (PCF) or concanavalin A (localized by the addition of horseradish peroxidase conjugated to colloidal gold) to distinguish surface anionic sites and teichoic acid polymers, respectively. Isolated cell walls, lysozyme-digested cell walls, and cell walls treated with mild alkali to remove teichoic acid were also treated with PCF. After labelling, whole cells and walls were processed for electron microscopy by freeze-substitution. Thin sections of untreated cells showed a triphasic, fibrous wall extending more than 30 nm beyond the cytoplasmic membrane. Measurements of wall thickness indicated that the wall was thicker at locations adjacent to septa and at pole-cylinder junctions (P &lt; 0.001). Labelling studies showed that at saturating concentrations the PCF probe labelled the outermost limit of the cell wall, completely surrounding individual cells. However, at limiting PCF concentrations, labelling was observed at only discrete cell surface locations adjacent to or overlying septa and at the junction between pole and cylinder. Labelling was rarely observed along the cell cylinder or directly over the poles. Cells did not label along the cylindrical wall until there was visible evidence of a developing septum. Identical labelling patterns were observed by using concanavalin A-horseradish peroxidase-colloidal gold. Neither probe appeared to penetrate between the fibers of the wall. We suggest that the fibrous appearance of the wall seen in freeze-substituted cells reflects turnover of the wall matrix, that the specificity of labelling to discrete sites on the cell surface is indicative or regions of extreme hydrolytic activity in which α-glucose residues of the wall teichoic acids and electronegative sites (contributed by phosphate and carboxyl groups of the teichoic acids and carboxyl groups of the peptidoglycan polymers) are more readily accessible to our probes, and that the wall of exponentially growing B. subtilis cells contains regions of structural differentiation.","author":[{"dropping-particle":"","family":"Graham","given":"L. L.","non-dropping-particle":"","parse-names":false,"suffix":""},{"dropping-particle":"","family":"Beveridge","given":"T. J.","non-dropping-particle":"","parse-names":false,"suffix":""}],"container-title":"Journal of Bacteriology","id":"ITEM-2","issue":"5","issued":{"date-parts":[["1994"]]},"page":"1413-1421","title":"Structural differentiation of the Bacillus subtilis 168 cell wall","type":"article-journal","volume":"176"},"uris":["http://www.mendeley.com/documents/?uuid=0a6b9840-feee-4781-8f60-f03c063f2bac"]}],"mendeley":{"formattedCitation":"&lt;sup&gt;[16,268]&lt;/sup&gt;","plainTextFormattedCitation":"[16,268]","previouslyFormattedCitation":"&lt;sup&gt;[16,268]&lt;/sup&gt;"},"properties":{"noteIndex":0},"schema":"https://github.com/citation-style-language/schema/raw/master/csl-citation.json"}</w:instrText>
      </w:r>
      <w:r>
        <w:fldChar w:fldCharType="separate"/>
      </w:r>
      <w:r w:rsidRPr="002659E5">
        <w:rPr>
          <w:noProof/>
          <w:vertAlign w:val="superscript"/>
        </w:rPr>
        <w:t>[16,268]</w:t>
      </w:r>
      <w:r>
        <w:fldChar w:fldCharType="end"/>
      </w:r>
      <w:r>
        <w:t xml:space="preserve">, which consisted of washing out any remaining FS medium three times with either acetone or ethanol (depending on the chosen solvent for FS), each for a 30 min duration. This was followed by two 15 min washes with propylene oxide. This transitional solvent was used to help resin infiltration, and therefore a 50/50 mix of propylene oxide/Epon resin was added and left overnight. The next day, the majority of the 50/50 mix was removed, leaving a thin layer covering the sample. The containers were left open to allow the propylene oxide to evaporate and avoid its interference during polymerisation. Afterwards, two changes of fresh full resin were added, for 3-4 hours each, before preparing the final resin blocks to polymerise. This initial protocol gave good results, although sometimes some poor resin infiltration was apparent as electron-transparent areas inside the cell (yellow stars, </w:t>
      </w:r>
      <w:r>
        <w:fldChar w:fldCharType="begin"/>
      </w:r>
      <w:r>
        <w:instrText xml:space="preserve"> REF _Ref72769007 \h </w:instrText>
      </w:r>
      <w:r>
        <w:fldChar w:fldCharType="separate"/>
      </w:r>
      <w:r w:rsidR="00183CC8">
        <w:t xml:space="preserve">Figure </w:t>
      </w:r>
      <w:r w:rsidR="00183CC8">
        <w:rPr>
          <w:noProof/>
        </w:rPr>
        <w:t>3</w:t>
      </w:r>
      <w:r w:rsidR="00183CC8">
        <w:t>.</w:t>
      </w:r>
      <w:r w:rsidR="00183CC8">
        <w:rPr>
          <w:noProof/>
        </w:rPr>
        <w:t>13</w:t>
      </w:r>
      <w:r>
        <w:fldChar w:fldCharType="end"/>
      </w:r>
      <w:r>
        <w:t xml:space="preserve">a). Although infrequently, some cells appeared to be cut-out or breaking apart from the resin at their cell wall (orange arrow heads, </w:t>
      </w:r>
      <w:r>
        <w:fldChar w:fldCharType="begin"/>
      </w:r>
      <w:r>
        <w:instrText xml:space="preserve"> REF _Ref72769007 \h </w:instrText>
      </w:r>
      <w:r>
        <w:fldChar w:fldCharType="separate"/>
      </w:r>
      <w:r w:rsidR="00183CC8">
        <w:t xml:space="preserve">Figure </w:t>
      </w:r>
      <w:r w:rsidR="00183CC8">
        <w:rPr>
          <w:noProof/>
        </w:rPr>
        <w:t>3</w:t>
      </w:r>
      <w:r w:rsidR="00183CC8">
        <w:t>.</w:t>
      </w:r>
      <w:r w:rsidR="00183CC8">
        <w:rPr>
          <w:noProof/>
        </w:rPr>
        <w:t>13</w:t>
      </w:r>
      <w:r>
        <w:fldChar w:fldCharType="end"/>
      </w:r>
      <w:r>
        <w:t>a). It is difficult to discern if this last described characteristic arises from a faulty HFP, a poor resin embedding or both. It was therefore decided to optimise the infiltration and embedding process, and Dr. Fr</w:t>
      </w:r>
      <w:r w:rsidRPr="005E1B3D">
        <w:t>édéric Leroux</w:t>
      </w:r>
      <w:r>
        <w:t xml:space="preserve"> (Leica Microsystems) provided advice for a modified version of this protocol (</w:t>
      </w:r>
      <w:r>
        <w:fldChar w:fldCharType="begin"/>
      </w:r>
      <w:r>
        <w:instrText xml:space="preserve"> REF _Ref72762470 \h </w:instrText>
      </w:r>
      <w:r>
        <w:fldChar w:fldCharType="separate"/>
      </w:r>
      <w:r w:rsidR="00183CC8">
        <w:t xml:space="preserve">Table </w:t>
      </w:r>
      <w:r w:rsidR="00183CC8">
        <w:rPr>
          <w:noProof/>
        </w:rPr>
        <w:t>3</w:t>
      </w:r>
      <w:r w:rsidR="00183CC8">
        <w:t>.</w:t>
      </w:r>
      <w:r w:rsidR="00183CC8">
        <w:rPr>
          <w:noProof/>
        </w:rPr>
        <w:t>1</w:t>
      </w:r>
      <w:r>
        <w:fldChar w:fldCharType="end"/>
      </w:r>
      <w:r>
        <w:t>). This adjustment provided slightly better infiltration but did not solve the problem of cells breaking away from the resin at the cell wall (</w:t>
      </w:r>
      <w:r>
        <w:fldChar w:fldCharType="begin"/>
      </w:r>
      <w:r>
        <w:instrText xml:space="preserve"> REF _Ref72769007 \h </w:instrText>
      </w:r>
      <w:r>
        <w:fldChar w:fldCharType="separate"/>
      </w:r>
      <w:r w:rsidR="00183CC8">
        <w:t xml:space="preserve">Figure </w:t>
      </w:r>
      <w:r w:rsidR="00183CC8">
        <w:rPr>
          <w:noProof/>
        </w:rPr>
        <w:t>3</w:t>
      </w:r>
      <w:r w:rsidR="00183CC8">
        <w:t>.</w:t>
      </w:r>
      <w:r w:rsidR="00183CC8">
        <w:rPr>
          <w:noProof/>
        </w:rPr>
        <w:t>13</w:t>
      </w:r>
      <w:r>
        <w:fldChar w:fldCharType="end"/>
      </w:r>
      <w:r>
        <w:t>b). This issue was not consistent, as it appeared with both Epon and Spurr, and with both the initial and the adapted protocol. This supports the theory that it is the results of poorly vitrified cells due to the irregularities encountered with HPF during this study.</w:t>
      </w:r>
    </w:p>
    <w:p w14:paraId="34237FB3" w14:textId="77777777" w:rsidR="00E441DA" w:rsidRDefault="00E441DA" w:rsidP="00E441DA"/>
    <w:tbl>
      <w:tblPr>
        <w:tblStyle w:val="TableGrid"/>
        <w:tblW w:w="0" w:type="auto"/>
        <w:jc w:val="center"/>
        <w:tblLook w:val="04A0" w:firstRow="1" w:lastRow="0" w:firstColumn="1" w:lastColumn="0" w:noHBand="0" w:noVBand="1"/>
      </w:tblPr>
      <w:tblGrid>
        <w:gridCol w:w="4094"/>
        <w:gridCol w:w="4094"/>
      </w:tblGrid>
      <w:tr w:rsidR="00E441DA" w14:paraId="1222D6CC" w14:textId="77777777" w:rsidTr="00F12A23">
        <w:trPr>
          <w:jc w:val="center"/>
        </w:trPr>
        <w:tc>
          <w:tcPr>
            <w:tcW w:w="4094" w:type="dxa"/>
            <w:shd w:val="clear" w:color="auto" w:fill="AEAAAA" w:themeFill="background2" w:themeFillShade="BF"/>
          </w:tcPr>
          <w:p w14:paraId="50E6BAE3" w14:textId="77777777" w:rsidR="00E441DA" w:rsidRPr="00DD7FD7" w:rsidRDefault="00E441DA" w:rsidP="00F12A23">
            <w:pPr>
              <w:pStyle w:val="Tabletextnormal"/>
              <w:rPr>
                <w:b/>
                <w:bCs/>
                <w:color w:val="FFFFFF" w:themeColor="background1"/>
              </w:rPr>
            </w:pPr>
            <w:r w:rsidRPr="00DD7FD7">
              <w:rPr>
                <w:b/>
                <w:bCs/>
                <w:color w:val="FFFFFF" w:themeColor="background1"/>
              </w:rPr>
              <w:t xml:space="preserve">Initial </w:t>
            </w:r>
            <w:r>
              <w:rPr>
                <w:b/>
                <w:bCs/>
                <w:color w:val="FFFFFF" w:themeColor="background1"/>
              </w:rPr>
              <w:t xml:space="preserve">Infiltration </w:t>
            </w:r>
            <w:r w:rsidRPr="00DD7FD7">
              <w:rPr>
                <w:b/>
                <w:bCs/>
                <w:color w:val="FFFFFF" w:themeColor="background1"/>
              </w:rPr>
              <w:t>Protocol</w:t>
            </w:r>
          </w:p>
        </w:tc>
        <w:tc>
          <w:tcPr>
            <w:tcW w:w="4094" w:type="dxa"/>
            <w:shd w:val="clear" w:color="auto" w:fill="AEAAAA" w:themeFill="background2" w:themeFillShade="BF"/>
          </w:tcPr>
          <w:p w14:paraId="3E9C6D88" w14:textId="77777777" w:rsidR="00E441DA" w:rsidRPr="00DD7FD7" w:rsidRDefault="00E441DA" w:rsidP="00F12A23">
            <w:pPr>
              <w:pStyle w:val="Tabletextnormal"/>
              <w:rPr>
                <w:b/>
                <w:bCs/>
                <w:color w:val="FFFFFF" w:themeColor="background1"/>
              </w:rPr>
            </w:pPr>
            <w:r w:rsidRPr="00DD7FD7">
              <w:rPr>
                <w:b/>
                <w:bCs/>
                <w:color w:val="FFFFFF" w:themeColor="background1"/>
              </w:rPr>
              <w:t xml:space="preserve">Modified </w:t>
            </w:r>
            <w:r>
              <w:rPr>
                <w:b/>
                <w:bCs/>
                <w:color w:val="FFFFFF" w:themeColor="background1"/>
              </w:rPr>
              <w:t xml:space="preserve">Infiltration </w:t>
            </w:r>
            <w:r w:rsidRPr="00DD7FD7">
              <w:rPr>
                <w:b/>
                <w:bCs/>
                <w:color w:val="FFFFFF" w:themeColor="background1"/>
              </w:rPr>
              <w:t>Protocol</w:t>
            </w:r>
          </w:p>
        </w:tc>
      </w:tr>
      <w:tr w:rsidR="00E441DA" w14:paraId="057B315F" w14:textId="77777777" w:rsidTr="00F12A23">
        <w:trPr>
          <w:jc w:val="center"/>
        </w:trPr>
        <w:tc>
          <w:tcPr>
            <w:tcW w:w="4094" w:type="dxa"/>
          </w:tcPr>
          <w:p w14:paraId="5D970229" w14:textId="77777777" w:rsidR="00E441DA" w:rsidRDefault="00E441DA" w:rsidP="00F12A23">
            <w:pPr>
              <w:pStyle w:val="Tabletextnormal"/>
              <w:numPr>
                <w:ilvl w:val="0"/>
                <w:numId w:val="8"/>
              </w:numPr>
            </w:pPr>
            <w:r>
              <w:t>Quick wash with acetone/ethanol</w:t>
            </w:r>
          </w:p>
          <w:p w14:paraId="053AC5A0" w14:textId="77777777" w:rsidR="00E441DA" w:rsidRDefault="00E441DA" w:rsidP="00F12A23">
            <w:pPr>
              <w:pStyle w:val="Tabletextnormal"/>
              <w:numPr>
                <w:ilvl w:val="0"/>
                <w:numId w:val="8"/>
              </w:numPr>
            </w:pPr>
            <w:r>
              <w:t>100 % Acetone/ethanol – 30 min (x3)</w:t>
            </w:r>
          </w:p>
          <w:p w14:paraId="3ABC3FBA" w14:textId="77777777" w:rsidR="00E441DA" w:rsidRDefault="00E441DA" w:rsidP="00F12A23">
            <w:pPr>
              <w:pStyle w:val="Tabletextnormal"/>
              <w:numPr>
                <w:ilvl w:val="0"/>
                <w:numId w:val="8"/>
              </w:numPr>
            </w:pPr>
            <w:r>
              <w:t>100 % propylene oxide – 15 min (x2)</w:t>
            </w:r>
          </w:p>
          <w:p w14:paraId="62E589AD" w14:textId="77777777" w:rsidR="00E441DA" w:rsidRDefault="00E441DA" w:rsidP="00F12A23">
            <w:pPr>
              <w:pStyle w:val="Tabletextnormal"/>
              <w:numPr>
                <w:ilvl w:val="0"/>
                <w:numId w:val="8"/>
              </w:numPr>
            </w:pPr>
            <w:r>
              <w:t>50:50 propylene oxide/resin – overnight</w:t>
            </w:r>
          </w:p>
          <w:p w14:paraId="1ADF9A27" w14:textId="77777777" w:rsidR="00E441DA" w:rsidRDefault="00E441DA" w:rsidP="00F12A23">
            <w:pPr>
              <w:pStyle w:val="Tabletextnormal"/>
              <w:numPr>
                <w:ilvl w:val="0"/>
                <w:numId w:val="8"/>
              </w:numPr>
            </w:pPr>
            <w:r>
              <w:t>100 % fresh resin – 3-4 h (x2)</w:t>
            </w:r>
          </w:p>
        </w:tc>
        <w:tc>
          <w:tcPr>
            <w:tcW w:w="4094" w:type="dxa"/>
          </w:tcPr>
          <w:p w14:paraId="0F2977A7" w14:textId="77777777" w:rsidR="00E441DA" w:rsidRDefault="00E441DA" w:rsidP="00F12A23">
            <w:pPr>
              <w:pStyle w:val="Tabletextnormal"/>
              <w:numPr>
                <w:ilvl w:val="0"/>
                <w:numId w:val="8"/>
              </w:numPr>
            </w:pPr>
            <w:r>
              <w:t>Quick wash with acetone/ethanol</w:t>
            </w:r>
          </w:p>
          <w:p w14:paraId="44DFFEF6" w14:textId="77777777" w:rsidR="00E441DA" w:rsidRDefault="00E441DA" w:rsidP="00F12A23">
            <w:pPr>
              <w:pStyle w:val="Tabletextnormal"/>
              <w:numPr>
                <w:ilvl w:val="0"/>
                <w:numId w:val="8"/>
              </w:numPr>
            </w:pPr>
            <w:r>
              <w:t>1 % (w/v) UA in acetone/ethanol – 1 h</w:t>
            </w:r>
          </w:p>
          <w:p w14:paraId="6044ED2B" w14:textId="77777777" w:rsidR="00E441DA" w:rsidRDefault="00E441DA" w:rsidP="00F12A23">
            <w:pPr>
              <w:pStyle w:val="Tabletextnormal"/>
              <w:numPr>
                <w:ilvl w:val="0"/>
                <w:numId w:val="8"/>
              </w:numPr>
            </w:pPr>
            <w:r>
              <w:t>100 % acetone/ethanol – 30 min (x3)</w:t>
            </w:r>
          </w:p>
          <w:p w14:paraId="4F4B879A" w14:textId="77777777" w:rsidR="00E441DA" w:rsidRDefault="00E441DA" w:rsidP="00F12A23">
            <w:pPr>
              <w:pStyle w:val="Tabletextnormal"/>
              <w:numPr>
                <w:ilvl w:val="0"/>
                <w:numId w:val="8"/>
              </w:numPr>
            </w:pPr>
            <w:r>
              <w:t>Quick wash with acetone/ethanol</w:t>
            </w:r>
          </w:p>
          <w:p w14:paraId="1F9DF7E3" w14:textId="77777777" w:rsidR="00E441DA" w:rsidRDefault="00E441DA" w:rsidP="00F12A23">
            <w:pPr>
              <w:pStyle w:val="Tabletextnormal"/>
              <w:numPr>
                <w:ilvl w:val="0"/>
                <w:numId w:val="8"/>
              </w:numPr>
            </w:pPr>
            <w:r>
              <w:t>30 % (v/v) resin in acetone – 4 h</w:t>
            </w:r>
          </w:p>
          <w:p w14:paraId="0A3B8A3F" w14:textId="77777777" w:rsidR="00E441DA" w:rsidRDefault="00E441DA" w:rsidP="00F12A23">
            <w:pPr>
              <w:pStyle w:val="Tabletextnormal"/>
              <w:numPr>
                <w:ilvl w:val="0"/>
                <w:numId w:val="8"/>
              </w:numPr>
            </w:pPr>
            <w:r>
              <w:t>60 % (v/v) resin in acetone – overnight</w:t>
            </w:r>
          </w:p>
          <w:p w14:paraId="29335101" w14:textId="77777777" w:rsidR="00E441DA" w:rsidRDefault="00E441DA" w:rsidP="00F12A23">
            <w:pPr>
              <w:pStyle w:val="Tabletextnormal"/>
              <w:numPr>
                <w:ilvl w:val="0"/>
                <w:numId w:val="8"/>
              </w:numPr>
            </w:pPr>
            <w:r>
              <w:t>90 % (v/v) resin in acetone – 4 h</w:t>
            </w:r>
          </w:p>
          <w:p w14:paraId="30B75D18" w14:textId="77777777" w:rsidR="00E441DA" w:rsidRDefault="00E441DA" w:rsidP="00F12A23">
            <w:pPr>
              <w:pStyle w:val="Tabletextnormal"/>
              <w:keepNext/>
              <w:numPr>
                <w:ilvl w:val="0"/>
                <w:numId w:val="8"/>
              </w:numPr>
            </w:pPr>
            <w:r>
              <w:t>100 % resin – 2 h (x2)</w:t>
            </w:r>
          </w:p>
        </w:tc>
      </w:tr>
    </w:tbl>
    <w:p w14:paraId="31A5582F" w14:textId="46A82162" w:rsidR="00616AEA" w:rsidRDefault="00E441DA" w:rsidP="00616AEA">
      <w:pPr>
        <w:pStyle w:val="Caption"/>
      </w:pPr>
      <w:bookmarkStart w:id="523" w:name="_Ref72762470"/>
      <w:bookmarkStart w:id="524" w:name="_Toc90217052"/>
      <w:r>
        <w:t xml:space="preserve">Table </w:t>
      </w:r>
      <w:fldSimple w:instr=" STYLEREF 1 \s ">
        <w:r w:rsidR="00183CC8">
          <w:rPr>
            <w:noProof/>
          </w:rPr>
          <w:t>3</w:t>
        </w:r>
      </w:fldSimple>
      <w:r>
        <w:t>.</w:t>
      </w:r>
      <w:fldSimple w:instr=" SEQ Table \* ARABIC \s 1 ">
        <w:r w:rsidR="00183CC8">
          <w:rPr>
            <w:noProof/>
          </w:rPr>
          <w:t>1</w:t>
        </w:r>
      </w:fldSimple>
      <w:bookmarkEnd w:id="523"/>
      <w:r>
        <w:t xml:space="preserve"> Resin infiltration protocol for freeze-substitution.</w:t>
      </w:r>
      <w:bookmarkEnd w:id="524"/>
    </w:p>
    <w:p w14:paraId="2F34D652" w14:textId="3B2838AE" w:rsidR="00616AEA" w:rsidRDefault="00616AEA" w:rsidP="00616AEA">
      <w:r>
        <w:t>Appropriate preparation of the resin blocks for polymerisation can facilitate the sectioning step. It is recommended that the specimen is not added after the mould has already been filled with fresh resin. This could result in the sample being dispersed and suspended all over the mould, and this would make the sectioning process more time-consuming. The suggested method is to add one initial drop of freshly made resin to the mould and then add the specimen before filling it up completely. In this case, the use of BEEM® capsules for easier sectioning is recommended, as they provide a pointed tip. Then, utilise a toothpick to fish out each piece of specimen and place it into the drop of fresh resin at the bottom of the mould. The specimen piece selected should stick to the drop of resin. This is quite laborious, but it allows for all specimen pieces to be concentrated in one area instead of being suspended throughout the whole mould (</w:t>
      </w:r>
      <w:r>
        <w:rPr>
          <w:highlight w:val="yellow"/>
        </w:rPr>
        <w:fldChar w:fldCharType="begin"/>
      </w:r>
      <w:r>
        <w:instrText xml:space="preserve"> REF _Ref72509660 \h </w:instrText>
      </w:r>
      <w:r>
        <w:rPr>
          <w:highlight w:val="yellow"/>
        </w:rPr>
      </w:r>
      <w:r>
        <w:rPr>
          <w:highlight w:val="yellow"/>
        </w:rPr>
        <w:fldChar w:fldCharType="separate"/>
      </w:r>
      <w:r w:rsidR="00183CC8">
        <w:t xml:space="preserve">Figure </w:t>
      </w:r>
      <w:r w:rsidR="00183CC8">
        <w:rPr>
          <w:noProof/>
        </w:rPr>
        <w:t>3</w:t>
      </w:r>
      <w:r w:rsidR="00183CC8">
        <w:t>.</w:t>
      </w:r>
      <w:r w:rsidR="00183CC8">
        <w:rPr>
          <w:noProof/>
        </w:rPr>
        <w:t>12</w:t>
      </w:r>
      <w:r>
        <w:rPr>
          <w:highlight w:val="yellow"/>
        </w:rPr>
        <w:fldChar w:fldCharType="end"/>
      </w:r>
      <w:r>
        <w:t>b). To finalise, fresh resin is added to fill in the remainder of the capsule and it is placed at 60</w:t>
      </w:r>
      <w:r>
        <w:rPr>
          <w:rFonts w:ascii="Calibri" w:hAnsi="Calibri" w:cs="Calibri"/>
        </w:rPr>
        <w:t>°</w:t>
      </w:r>
      <w:r>
        <w:t xml:space="preserve">C for polymerisation for 2–3 days in the case of Epon or 16 h for Spurr. Thin-sectioning of the cured blocks is recommended between 70 and 90 nm, with the former being more stable and easier to work with. Overall, between 75-80 nm sections were chosen for this study, to obtain the best stability of the sections and best image contrast. Freshly cut sections floating on the knife boat, were then </w:t>
      </w:r>
      <w:r w:rsidRPr="00051DEA">
        <w:t xml:space="preserve">picked up onto TEM grids. These grids were previously prepared by adding a </w:t>
      </w:r>
      <w:r>
        <w:t xml:space="preserve">support </w:t>
      </w:r>
      <w:r w:rsidRPr="00051DEA">
        <w:t xml:space="preserve">film of 1.5 % </w:t>
      </w:r>
      <w:r>
        <w:t xml:space="preserve">(w/v) </w:t>
      </w:r>
      <w:r w:rsidRPr="00051DEA">
        <w:t>pyroxylin in amyl acetate (</w:t>
      </w:r>
      <w:r>
        <w:t>section</w:t>
      </w:r>
      <w:r w:rsidRPr="00051DEA">
        <w:t xml:space="preserve"> </w:t>
      </w:r>
      <w:r w:rsidRPr="00051DEA">
        <w:fldChar w:fldCharType="begin"/>
      </w:r>
      <w:r w:rsidRPr="00051DEA">
        <w:instrText xml:space="preserve"> REF _Ref72661560 \r \h </w:instrText>
      </w:r>
      <w:r>
        <w:instrText xml:space="preserve"> \* MERGEFORMAT </w:instrText>
      </w:r>
      <w:r w:rsidRPr="00051DEA">
        <w:fldChar w:fldCharType="separate"/>
      </w:r>
      <w:r w:rsidR="00183CC8">
        <w:t>2.20.3</w:t>
      </w:r>
      <w:r w:rsidRPr="00051DEA">
        <w:fldChar w:fldCharType="end"/>
      </w:r>
      <w:r w:rsidRPr="00051DEA">
        <w:t>).</w:t>
      </w:r>
      <w:r>
        <w:t xml:space="preserve"> The grids were originally left under a lamp overnight to dry before use; however, some issues were encountered with the support film lifting away while plunging the grid into the water of the knife boat. Drying TEM grids in an incubator set at 20-25 </w:t>
      </w:r>
      <w:r>
        <w:rPr>
          <w:rFonts w:ascii="Calibri" w:hAnsi="Calibri" w:cs="Calibri"/>
        </w:rPr>
        <w:t>°</w:t>
      </w:r>
      <w:r>
        <w:t>C overnight solved this matter. The results were successful and consistent.</w:t>
      </w:r>
    </w:p>
    <w:p w14:paraId="426F81D1" w14:textId="7477C3F4" w:rsidR="00616AEA" w:rsidRPr="00616AEA" w:rsidRDefault="00616AEA" w:rsidP="00616AEA">
      <w:pPr>
        <w:pStyle w:val="NoSpacing"/>
        <w:sectPr w:rsidR="00616AEA" w:rsidRPr="00616AEA" w:rsidSect="004D0E05">
          <w:pgSz w:w="11906" w:h="16838"/>
          <w:pgMar w:top="1191" w:right="1247" w:bottom="1191" w:left="1247" w:header="709" w:footer="709" w:gutter="0"/>
          <w:cols w:space="708"/>
          <w:titlePg/>
          <w:docGrid w:linePitch="360"/>
        </w:sectPr>
      </w:pPr>
    </w:p>
    <w:p w14:paraId="2C6FB5EF" w14:textId="77777777" w:rsidR="00314680" w:rsidRDefault="00314680" w:rsidP="00314680">
      <w:pPr>
        <w:keepNext/>
        <w:jc w:val="center"/>
      </w:pPr>
      <w:r>
        <w:rPr>
          <w:noProof/>
        </w:rPr>
        <w:lastRenderedPageBreak/>
        <w:drawing>
          <wp:inline distT="0" distB="0" distL="0" distR="0" wp14:anchorId="28706F2A" wp14:editId="7C6571A6">
            <wp:extent cx="5960574" cy="4764147"/>
            <wp:effectExtent l="0" t="0" r="0" b="0"/>
            <wp:docPr id="58" name="Picture 5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10;&#10;Description automatically generated with medium confidenc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60574" cy="4764147"/>
                    </a:xfrm>
                    <a:prstGeom prst="rect">
                      <a:avLst/>
                    </a:prstGeom>
                  </pic:spPr>
                </pic:pic>
              </a:graphicData>
            </a:graphic>
          </wp:inline>
        </w:drawing>
      </w:r>
    </w:p>
    <w:p w14:paraId="54A34DD8" w14:textId="748F2512" w:rsidR="00314680" w:rsidRDefault="00314680" w:rsidP="00314680">
      <w:pPr>
        <w:pStyle w:val="Caption"/>
      </w:pPr>
      <w:bookmarkStart w:id="525" w:name="_Ref72509660"/>
      <w:bookmarkStart w:id="526" w:name="_Toc90216947"/>
      <w:r>
        <w:t xml:space="preserve">Figure </w:t>
      </w:r>
      <w:fldSimple w:instr=" STYLEREF 1 \s ">
        <w:r w:rsidR="00183CC8">
          <w:rPr>
            <w:noProof/>
          </w:rPr>
          <w:t>3</w:t>
        </w:r>
      </w:fldSimple>
      <w:r>
        <w:t>.</w:t>
      </w:r>
      <w:fldSimple w:instr=" SEQ Figure \* ARABIC \s 1 ">
        <w:r w:rsidR="00183CC8">
          <w:rPr>
            <w:noProof/>
          </w:rPr>
          <w:t>12</w:t>
        </w:r>
      </w:fldSimple>
      <w:bookmarkEnd w:id="525"/>
      <w:r>
        <w:t xml:space="preserve"> Epon </w:t>
      </w:r>
      <w:r w:rsidRPr="00486B0A">
        <w:rPr>
          <w:i/>
        </w:rPr>
        <w:t>vs</w:t>
      </w:r>
      <w:r>
        <w:rPr>
          <w:i/>
        </w:rPr>
        <w:t>.</w:t>
      </w:r>
      <w:r>
        <w:t xml:space="preserve"> Spurr, and the best technique for preparing resin blocks.</w:t>
      </w:r>
      <w:bookmarkEnd w:id="526"/>
    </w:p>
    <w:p w14:paraId="17EE34E8" w14:textId="77777777" w:rsidR="00314680" w:rsidRDefault="00314680" w:rsidP="00314680">
      <w:pPr>
        <w:pStyle w:val="NoSpacing"/>
        <w:sectPr w:rsidR="00314680" w:rsidSect="004D0E05">
          <w:pgSz w:w="11906" w:h="16838"/>
          <w:pgMar w:top="1191" w:right="1247" w:bottom="1191" w:left="1247" w:header="709" w:footer="709" w:gutter="0"/>
          <w:cols w:space="708"/>
          <w:titlePg/>
          <w:docGrid w:linePitch="360"/>
        </w:sectPr>
      </w:pPr>
      <w:r>
        <w:rPr>
          <w:b/>
          <w:bCs/>
        </w:rPr>
        <w:t xml:space="preserve">(A) </w:t>
      </w:r>
      <w:r>
        <w:t>Difference in working with resins of high (Epon) or low viscosity (Spurr). Mid magnification (2900x), scale bar 500 nm.</w:t>
      </w:r>
      <w:r>
        <w:rPr>
          <w:b/>
          <w:bCs/>
        </w:rPr>
        <w:t xml:space="preserve"> (B)</w:t>
      </w:r>
      <w:r>
        <w:t xml:space="preserve"> Specimen suspended in the resin mould (left images) or carefully concentrated at the bottom (right image).</w:t>
      </w:r>
    </w:p>
    <w:p w14:paraId="073C4E7F" w14:textId="77777777" w:rsidR="00C802FA" w:rsidRDefault="00C802FA" w:rsidP="00C802FA">
      <w:pPr>
        <w:pStyle w:val="NoSpacing"/>
        <w:keepNext/>
        <w:jc w:val="center"/>
      </w:pPr>
      <w:r>
        <w:rPr>
          <w:noProof/>
        </w:rPr>
        <w:lastRenderedPageBreak/>
        <w:drawing>
          <wp:inline distT="0" distB="0" distL="0" distR="0" wp14:anchorId="4D3FB2EB" wp14:editId="1FBFB525">
            <wp:extent cx="5928484" cy="5850624"/>
            <wp:effectExtent l="0" t="0" r="2540" b="4445"/>
            <wp:docPr id="63" name="Picture 63"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map&#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28484" cy="5850624"/>
                    </a:xfrm>
                    <a:prstGeom prst="rect">
                      <a:avLst/>
                    </a:prstGeom>
                  </pic:spPr>
                </pic:pic>
              </a:graphicData>
            </a:graphic>
          </wp:inline>
        </w:drawing>
      </w:r>
    </w:p>
    <w:p w14:paraId="2F9C0361" w14:textId="6E22A0AF" w:rsidR="00C802FA" w:rsidRDefault="00C802FA" w:rsidP="00C802FA">
      <w:pPr>
        <w:pStyle w:val="Caption"/>
      </w:pPr>
      <w:bookmarkStart w:id="527" w:name="_Ref72769007"/>
      <w:bookmarkStart w:id="528" w:name="_Toc90216948"/>
      <w:r>
        <w:t xml:space="preserve">Figure </w:t>
      </w:r>
      <w:fldSimple w:instr=" STYLEREF 1 \s ">
        <w:r w:rsidR="00183CC8">
          <w:rPr>
            <w:noProof/>
          </w:rPr>
          <w:t>3</w:t>
        </w:r>
      </w:fldSimple>
      <w:r>
        <w:t>.</w:t>
      </w:r>
      <w:fldSimple w:instr=" SEQ Figure \* ARABIC \s 1 ">
        <w:r w:rsidR="00183CC8">
          <w:rPr>
            <w:noProof/>
          </w:rPr>
          <w:t>13</w:t>
        </w:r>
      </w:fldSimple>
      <w:bookmarkEnd w:id="527"/>
      <w:r>
        <w:t xml:space="preserve"> TEM micrographs showing different infiltration and embedding protocols for FS.</w:t>
      </w:r>
      <w:bookmarkEnd w:id="528"/>
    </w:p>
    <w:p w14:paraId="0F3A5E48" w14:textId="429C7277" w:rsidR="00C802FA" w:rsidRPr="0047701C" w:rsidRDefault="00C802FA" w:rsidP="00C802FA">
      <w:pPr>
        <w:pStyle w:val="NoSpacing"/>
        <w:sectPr w:rsidR="00C802FA" w:rsidRPr="0047701C" w:rsidSect="004D0E05">
          <w:pgSz w:w="11906" w:h="16838"/>
          <w:pgMar w:top="1191" w:right="1247" w:bottom="1191" w:left="1247" w:header="709" w:footer="709" w:gutter="0"/>
          <w:cols w:space="708"/>
          <w:titlePg/>
          <w:docGrid w:linePitch="360"/>
        </w:sectPr>
      </w:pPr>
      <w:r>
        <w:t xml:space="preserve">TEM micrographs of HPF-FS thin sections of </w:t>
      </w:r>
      <w:r>
        <w:rPr>
          <w:i/>
          <w:iCs/>
        </w:rPr>
        <w:t>S. aureus</w:t>
      </w:r>
      <w:r>
        <w:t xml:space="preserve"> showing the results of the </w:t>
      </w:r>
      <w:r>
        <w:rPr>
          <w:b/>
          <w:bCs/>
        </w:rPr>
        <w:t>(A)</w:t>
      </w:r>
      <w:r>
        <w:t xml:space="preserve"> initial infiltration protocol and the </w:t>
      </w:r>
      <w:r>
        <w:rPr>
          <w:b/>
          <w:bCs/>
        </w:rPr>
        <w:t>(B)</w:t>
      </w:r>
      <w:r>
        <w:t xml:space="preserve"> modified protocols described in </w:t>
      </w:r>
      <w:r>
        <w:fldChar w:fldCharType="begin"/>
      </w:r>
      <w:r>
        <w:instrText xml:space="preserve"> REF _Ref72762470 \h </w:instrText>
      </w:r>
      <w:r>
        <w:fldChar w:fldCharType="separate"/>
      </w:r>
      <w:r w:rsidR="00183CC8">
        <w:t xml:space="preserve">Table </w:t>
      </w:r>
      <w:r w:rsidR="00183CC8">
        <w:rPr>
          <w:noProof/>
        </w:rPr>
        <w:t>3</w:t>
      </w:r>
      <w:r w:rsidR="00183CC8">
        <w:t>.</w:t>
      </w:r>
      <w:r w:rsidR="00183CC8">
        <w:rPr>
          <w:noProof/>
        </w:rPr>
        <w:t>1</w:t>
      </w:r>
      <w:r>
        <w:fldChar w:fldCharType="end"/>
      </w:r>
      <w:r>
        <w:t>. Magnification 2800x, scale bars 1 µm.  Yellow stars– poor resin infiltration. Orange arrow heads– cells cut-out from the resin.</w:t>
      </w:r>
    </w:p>
    <w:p w14:paraId="289C2923" w14:textId="64E74101" w:rsidR="00B674A4" w:rsidRPr="000A1AA7" w:rsidRDefault="00B4307B" w:rsidP="00182281">
      <w:pPr>
        <w:sectPr w:rsidR="00B674A4" w:rsidRPr="000A1AA7" w:rsidSect="004D0E05">
          <w:pgSz w:w="11906" w:h="16838"/>
          <w:pgMar w:top="1191" w:right="1247" w:bottom="1191" w:left="1247" w:header="709" w:footer="709" w:gutter="0"/>
          <w:cols w:space="708"/>
          <w:titlePg/>
          <w:docGrid w:linePitch="360"/>
        </w:sectPr>
      </w:pPr>
      <w:r>
        <w:lastRenderedPageBreak/>
        <w:t>The</w:t>
      </w:r>
      <w:r w:rsidR="0038021C">
        <w:t xml:space="preserve"> sections</w:t>
      </w:r>
      <w:r>
        <w:t xml:space="preserve"> mounted on the TEM grids</w:t>
      </w:r>
      <w:r w:rsidR="00E43F76">
        <w:t xml:space="preserve"> where post stained with 3 % </w:t>
      </w:r>
      <w:r w:rsidR="009A425A">
        <w:t xml:space="preserve">(w/v) </w:t>
      </w:r>
      <w:r w:rsidR="00E43F76">
        <w:t>uranyl acetate (UA) and  Reynold’s lea</w:t>
      </w:r>
      <w:r w:rsidR="00AB47F1">
        <w:t>d</w:t>
      </w:r>
      <w:r w:rsidR="00E43F76">
        <w:t xml:space="preserve"> citrate (LC)</w:t>
      </w:r>
      <w:r w:rsidR="00AB47F1">
        <w:t xml:space="preserve"> </w:t>
      </w:r>
      <w:r w:rsidR="00AB47F1" w:rsidRPr="003917FE">
        <w:fldChar w:fldCharType="begin" w:fldLock="1"/>
      </w:r>
      <w:r w:rsidR="0058736C">
        <w:instrText>ADDIN CSL_CITATION {"citationItems":[{"id":"ITEM-1","itemData":{"DOI":"10.1083/jcb.17.1.208","ISBN":"0021-9525 (Print)\\r0021-9525 (Linking)","ISSN":"00219525","PMID":"13986422","abstract":"Aqueous solutions of lead salts (1, 2) and saturated solutions of lead hydroxide (1) have been used as stains to enhance the electron-scattering properties of components of biological materials examined in the electron microscope. Saturated solutions of lead hydroxide (1), while staining more intensely than either lead acetate or monobasic lead acetate (l, 2), form insoluble lead carbonate upon exposure to air. The avoidance of such precipitates which contaminate surfaces of sections during staining has been the stimulus for the development of elaborate procedures for exclusion of air or carbon dioxide (3, 4). Several modifications of Watson's lead hydroxide stain (1) have recently appeared (5-7). All utilize relatively high pH (approximately 12) and one contains small amounts of tartrate (6), a relatively weak complexing agent (8), in addition to lead. These modified lead stains are less liable to contaminate the surface of the section with precipitated stain products. The stain reported here differs from previous alkaline lead stains in that the chelating agent, citrate, is in sufficient excess to sequester all lead present. Lead citrate, soluble in high concentrations in basic solutions, is a chelate compound with an apparent association constant (log Ka) between ligand and lead ion of 6.5 (9). Tissue binding sites, presumably organophosphates, and other anionic species present in biological components following fixation, dehydration, and plastic embedding apparently have a greater affinity for this cation than lead citrate inasmuch as cellular and extracellular structures in the section sequester lead from the staining solution. Alkaline lead citrate solutions are less likely to contaminate sections, as no precipitates form when droplets of fresh staining solution are exposed to air for periods of up to 30 minutes. The resultant staining of the sections is of high intensity in sections of Araldite- or Epon-embedded material. Cytoplasmic membranes, ribosomes, glycogen, and nuclear material are stained (Figs. 1 to 3).","author":[{"dropping-particle":"","family":"Reynolds","given":"E. S.","non-dropping-particle":"","parse-names":false,"suffix":""}],"container-title":"The Journal of cell biology","id":"ITEM-1","issue":"1","issued":{"date-parts":[["1963"]]},"page":"208-212","title":"The use of lead citrate at high pH as an electron-opaque stain in electron microscopy.","type":"article-journal","volume":"17"},"uris":["http://www.mendeley.com/documents/?uuid=746afc7c-7d7f-40c0-83b9-eaabe050cff6"]}],"mendeley":{"formattedCitation":"&lt;sup&gt;[230]&lt;/sup&gt;","plainTextFormattedCitation":"[230]","previouslyFormattedCitation":"&lt;sup&gt;[230]&lt;/sup&gt;"},"properties":{"noteIndex":0},"schema":"https://github.com/citation-style-language/schema/raw/master/csl-citation.json"}</w:instrText>
      </w:r>
      <w:r w:rsidR="00AB47F1" w:rsidRPr="003917FE">
        <w:fldChar w:fldCharType="separate"/>
      </w:r>
      <w:r w:rsidR="002659E5" w:rsidRPr="002659E5">
        <w:rPr>
          <w:noProof/>
          <w:vertAlign w:val="superscript"/>
        </w:rPr>
        <w:t>[230]</w:t>
      </w:r>
      <w:r w:rsidR="00AB47F1" w:rsidRPr="003917FE">
        <w:fldChar w:fldCharType="end"/>
      </w:r>
      <w:r w:rsidR="00E43F76">
        <w:t>.</w:t>
      </w:r>
      <w:r w:rsidR="008F7CE5">
        <w:t xml:space="preserve"> A test was performed to analyse if the use of post-stain was necessary (</w:t>
      </w:r>
      <w:r w:rsidR="008F7CE5">
        <w:fldChar w:fldCharType="begin"/>
      </w:r>
      <w:r w:rsidR="008F7CE5">
        <w:instrText xml:space="preserve"> REF _Ref72658326 \h </w:instrText>
      </w:r>
      <w:r w:rsidR="008F7CE5">
        <w:fldChar w:fldCharType="separate"/>
      </w:r>
      <w:r w:rsidR="00183CC8">
        <w:t xml:space="preserve">Figure </w:t>
      </w:r>
      <w:r w:rsidR="00183CC8">
        <w:rPr>
          <w:noProof/>
        </w:rPr>
        <w:t>3</w:t>
      </w:r>
      <w:r w:rsidR="00183CC8">
        <w:t>.</w:t>
      </w:r>
      <w:r w:rsidR="00183CC8">
        <w:rPr>
          <w:noProof/>
        </w:rPr>
        <w:t>14</w:t>
      </w:r>
      <w:r w:rsidR="008F7CE5">
        <w:fldChar w:fldCharType="end"/>
      </w:r>
      <w:r w:rsidR="008F7CE5">
        <w:t>a), or if UA was enough on its own (</w:t>
      </w:r>
      <w:r w:rsidR="008F7CE5">
        <w:fldChar w:fldCharType="begin"/>
      </w:r>
      <w:r w:rsidR="008F7CE5">
        <w:instrText xml:space="preserve"> REF _Ref72658326 \h </w:instrText>
      </w:r>
      <w:r w:rsidR="008F7CE5">
        <w:fldChar w:fldCharType="separate"/>
      </w:r>
      <w:r w:rsidR="00183CC8">
        <w:t xml:space="preserve">Figure </w:t>
      </w:r>
      <w:r w:rsidR="00183CC8">
        <w:rPr>
          <w:noProof/>
        </w:rPr>
        <w:t>3</w:t>
      </w:r>
      <w:r w:rsidR="00183CC8">
        <w:t>.</w:t>
      </w:r>
      <w:r w:rsidR="00183CC8">
        <w:rPr>
          <w:noProof/>
        </w:rPr>
        <w:t>14</w:t>
      </w:r>
      <w:r w:rsidR="008F7CE5">
        <w:fldChar w:fldCharType="end"/>
      </w:r>
      <w:r w:rsidR="008F7CE5">
        <w:t xml:space="preserve">b)  compared to the </w:t>
      </w:r>
      <w:r w:rsidR="00E9576A">
        <w:t>use</w:t>
      </w:r>
      <w:r w:rsidR="008F7CE5">
        <w:t xml:space="preserve"> of both UA and LC (</w:t>
      </w:r>
      <w:r w:rsidR="008F7CE5">
        <w:fldChar w:fldCharType="begin"/>
      </w:r>
      <w:r w:rsidR="008F7CE5">
        <w:instrText xml:space="preserve"> REF _Ref72658326 \h </w:instrText>
      </w:r>
      <w:r w:rsidR="008F7CE5">
        <w:fldChar w:fldCharType="separate"/>
      </w:r>
      <w:r w:rsidR="00183CC8">
        <w:t xml:space="preserve">Figure </w:t>
      </w:r>
      <w:r w:rsidR="00183CC8">
        <w:rPr>
          <w:noProof/>
        </w:rPr>
        <w:t>3</w:t>
      </w:r>
      <w:r w:rsidR="00183CC8">
        <w:t>.</w:t>
      </w:r>
      <w:r w:rsidR="00183CC8">
        <w:rPr>
          <w:noProof/>
        </w:rPr>
        <w:t>14</w:t>
      </w:r>
      <w:r w:rsidR="008F7CE5">
        <w:fldChar w:fldCharType="end"/>
      </w:r>
      <w:r w:rsidR="008F7CE5">
        <w:t>c).</w:t>
      </w:r>
      <w:r w:rsidR="00766BE2">
        <w:t xml:space="preserve"> The lack of any post-stain shows that OsO</w:t>
      </w:r>
      <w:r w:rsidR="00766BE2">
        <w:rPr>
          <w:vertAlign w:val="subscript"/>
        </w:rPr>
        <w:t>4</w:t>
      </w:r>
      <w:r w:rsidR="00766BE2">
        <w:t xml:space="preserve"> provides enough contrast to the sample. However, </w:t>
      </w:r>
      <w:r w:rsidR="00F04B46">
        <w:t>this is highly improved by the use of both UA and LC.</w:t>
      </w:r>
      <w:r w:rsidR="00FB6E9C">
        <w:t xml:space="preserve"> </w:t>
      </w:r>
      <w:r w:rsidR="00AE2BBE">
        <w:t>During staining, s</w:t>
      </w:r>
      <w:r w:rsidR="00322DCE">
        <w:t>tain droplets were added onto a silicon mat, and the TEM grids were suspended onto the surface</w:t>
      </w:r>
      <w:r w:rsidR="005668C6">
        <w:t xml:space="preserve"> (</w:t>
      </w:r>
      <w:r w:rsidR="005668C6">
        <w:rPr>
          <w:highlight w:val="yellow"/>
        </w:rPr>
        <w:fldChar w:fldCharType="begin"/>
      </w:r>
      <w:r w:rsidR="005668C6">
        <w:instrText xml:space="preserve"> REF _Ref72669041 \h </w:instrText>
      </w:r>
      <w:r w:rsidR="005668C6">
        <w:rPr>
          <w:highlight w:val="yellow"/>
        </w:rPr>
      </w:r>
      <w:r w:rsidR="005668C6">
        <w:rPr>
          <w:highlight w:val="yellow"/>
        </w:rPr>
        <w:fldChar w:fldCharType="separate"/>
      </w:r>
      <w:r w:rsidR="00183CC8">
        <w:t xml:space="preserve">Figure </w:t>
      </w:r>
      <w:r w:rsidR="00183CC8">
        <w:rPr>
          <w:noProof/>
        </w:rPr>
        <w:t>3</w:t>
      </w:r>
      <w:r w:rsidR="00183CC8">
        <w:t>.</w:t>
      </w:r>
      <w:r w:rsidR="00183CC8">
        <w:rPr>
          <w:noProof/>
        </w:rPr>
        <w:t>15</w:t>
      </w:r>
      <w:r w:rsidR="005668C6">
        <w:rPr>
          <w:highlight w:val="yellow"/>
        </w:rPr>
        <w:fldChar w:fldCharType="end"/>
      </w:r>
      <w:r w:rsidR="005668C6">
        <w:t>a).</w:t>
      </w:r>
      <w:r w:rsidR="00322DCE">
        <w:t xml:space="preserve"> </w:t>
      </w:r>
      <w:r w:rsidR="00FB6E9C">
        <w:t>UA</w:t>
      </w:r>
      <w:r w:rsidR="00F43283">
        <w:t xml:space="preserve"> stain</w:t>
      </w:r>
      <w:r w:rsidR="00FB6E9C">
        <w:t xml:space="preserve"> </w:t>
      </w:r>
      <w:r w:rsidR="00322DCE">
        <w:t>is</w:t>
      </w:r>
      <w:r w:rsidR="00FB6E9C">
        <w:t xml:space="preserve"> sensitive to light, </w:t>
      </w:r>
      <w:r w:rsidR="00F43283">
        <w:t>and it can precipitate in the form of needles, and those crystals or aggregate</w:t>
      </w:r>
      <w:r w:rsidR="00B353FE">
        <w:t>s</w:t>
      </w:r>
      <w:r w:rsidR="00F43283">
        <w:t xml:space="preserve"> impair visualisation of the sample</w:t>
      </w:r>
      <w:r w:rsidR="004D795C">
        <w:t xml:space="preserve"> (</w:t>
      </w:r>
      <w:r w:rsidR="0052071D">
        <w:rPr>
          <w:highlight w:val="yellow"/>
        </w:rPr>
        <w:fldChar w:fldCharType="begin"/>
      </w:r>
      <w:r w:rsidR="0052071D">
        <w:instrText xml:space="preserve"> REF _Ref72669041 \h </w:instrText>
      </w:r>
      <w:r w:rsidR="0052071D">
        <w:rPr>
          <w:highlight w:val="yellow"/>
        </w:rPr>
      </w:r>
      <w:r w:rsidR="0052071D">
        <w:rPr>
          <w:highlight w:val="yellow"/>
        </w:rPr>
        <w:fldChar w:fldCharType="separate"/>
      </w:r>
      <w:r w:rsidR="00183CC8">
        <w:t xml:space="preserve">Figure </w:t>
      </w:r>
      <w:r w:rsidR="00183CC8">
        <w:rPr>
          <w:noProof/>
        </w:rPr>
        <w:t>3</w:t>
      </w:r>
      <w:r w:rsidR="00183CC8">
        <w:t>.</w:t>
      </w:r>
      <w:r w:rsidR="00183CC8">
        <w:rPr>
          <w:noProof/>
        </w:rPr>
        <w:t>15</w:t>
      </w:r>
      <w:r w:rsidR="0052071D">
        <w:rPr>
          <w:highlight w:val="yellow"/>
        </w:rPr>
        <w:fldChar w:fldCharType="end"/>
      </w:r>
      <w:r w:rsidR="0052071D">
        <w:t>b</w:t>
      </w:r>
      <w:r w:rsidR="004D795C">
        <w:t>)</w:t>
      </w:r>
      <w:r w:rsidR="00F43283">
        <w:t>. Therefore, the</w:t>
      </w:r>
      <w:r w:rsidR="00FB6E9C">
        <w:t xml:space="preserve"> post-staining processed was carried out in a black</w:t>
      </w:r>
      <w:r w:rsidR="00DC10AA">
        <w:t xml:space="preserve">ed </w:t>
      </w:r>
      <w:r w:rsidR="00FB6E9C">
        <w:t>out petri dish</w:t>
      </w:r>
      <w:r w:rsidR="00322DCE">
        <w:t xml:space="preserve"> (</w:t>
      </w:r>
      <w:r w:rsidR="0052071D">
        <w:rPr>
          <w:highlight w:val="yellow"/>
        </w:rPr>
        <w:fldChar w:fldCharType="begin"/>
      </w:r>
      <w:r w:rsidR="0052071D">
        <w:instrText xml:space="preserve"> REF _Ref72669041 \h </w:instrText>
      </w:r>
      <w:r w:rsidR="0052071D">
        <w:rPr>
          <w:highlight w:val="yellow"/>
        </w:rPr>
      </w:r>
      <w:r w:rsidR="0052071D">
        <w:rPr>
          <w:highlight w:val="yellow"/>
        </w:rPr>
        <w:fldChar w:fldCharType="separate"/>
      </w:r>
      <w:r w:rsidR="00183CC8">
        <w:t xml:space="preserve">Figure </w:t>
      </w:r>
      <w:r w:rsidR="00183CC8">
        <w:rPr>
          <w:noProof/>
        </w:rPr>
        <w:t>3</w:t>
      </w:r>
      <w:r w:rsidR="00183CC8">
        <w:t>.</w:t>
      </w:r>
      <w:r w:rsidR="00183CC8">
        <w:rPr>
          <w:noProof/>
        </w:rPr>
        <w:t>15</w:t>
      </w:r>
      <w:r w:rsidR="0052071D">
        <w:rPr>
          <w:highlight w:val="yellow"/>
        </w:rPr>
        <w:fldChar w:fldCharType="end"/>
      </w:r>
      <w:r w:rsidR="0052071D">
        <w:t>a</w:t>
      </w:r>
      <w:r w:rsidR="00322DCE">
        <w:t>)</w:t>
      </w:r>
      <w:r w:rsidR="00FB6E9C">
        <w:t xml:space="preserve">. </w:t>
      </w:r>
      <w:r w:rsidR="001D378D">
        <w:t xml:space="preserve">As </w:t>
      </w:r>
      <w:r w:rsidR="00FB6E9C">
        <w:t xml:space="preserve">LC </w:t>
      </w:r>
      <w:r w:rsidR="008936EC">
        <w:t xml:space="preserve">precipitates when exposed to </w:t>
      </w:r>
      <w:r w:rsidR="00FB6E9C">
        <w:t>CO</w:t>
      </w:r>
      <w:r w:rsidR="00FB6E9C">
        <w:rPr>
          <w:vertAlign w:val="subscript"/>
        </w:rPr>
        <w:t>2</w:t>
      </w:r>
      <w:r w:rsidR="0087201A">
        <w:t xml:space="preserve"> in the form of round black aggregates</w:t>
      </w:r>
      <w:r w:rsidR="008936EC">
        <w:t xml:space="preserve">, which then </w:t>
      </w:r>
      <w:r w:rsidR="00294CFE">
        <w:t xml:space="preserve">also </w:t>
      </w:r>
      <w:r w:rsidR="008936EC">
        <w:t>affects the visualisation of the sample</w:t>
      </w:r>
      <w:r w:rsidR="004D795C">
        <w:t xml:space="preserve"> (</w:t>
      </w:r>
      <w:r w:rsidR="0052071D">
        <w:rPr>
          <w:highlight w:val="yellow"/>
        </w:rPr>
        <w:fldChar w:fldCharType="begin"/>
      </w:r>
      <w:r w:rsidR="0052071D">
        <w:instrText xml:space="preserve"> REF _Ref72669041 \h </w:instrText>
      </w:r>
      <w:r w:rsidR="0052071D">
        <w:rPr>
          <w:highlight w:val="yellow"/>
        </w:rPr>
      </w:r>
      <w:r w:rsidR="0052071D">
        <w:rPr>
          <w:highlight w:val="yellow"/>
        </w:rPr>
        <w:fldChar w:fldCharType="separate"/>
      </w:r>
      <w:r w:rsidR="00183CC8">
        <w:t xml:space="preserve">Figure </w:t>
      </w:r>
      <w:r w:rsidR="00183CC8">
        <w:rPr>
          <w:noProof/>
        </w:rPr>
        <w:t>3</w:t>
      </w:r>
      <w:r w:rsidR="00183CC8">
        <w:t>.</w:t>
      </w:r>
      <w:r w:rsidR="00183CC8">
        <w:rPr>
          <w:noProof/>
        </w:rPr>
        <w:t>15</w:t>
      </w:r>
      <w:r w:rsidR="0052071D">
        <w:rPr>
          <w:highlight w:val="yellow"/>
        </w:rPr>
        <w:fldChar w:fldCharType="end"/>
      </w:r>
      <w:r w:rsidR="0052071D">
        <w:t>b</w:t>
      </w:r>
      <w:r w:rsidR="004D795C">
        <w:t>)</w:t>
      </w:r>
      <w:r w:rsidR="00FB6E9C">
        <w:t>, it was of high importance to use degassed dH</w:t>
      </w:r>
      <w:r w:rsidR="00FB6E9C">
        <w:rPr>
          <w:vertAlign w:val="subscript"/>
        </w:rPr>
        <w:t>2</w:t>
      </w:r>
      <w:r w:rsidR="00FB6E9C">
        <w:t>O for washing the grids between stains</w:t>
      </w:r>
      <w:r w:rsidR="00D02690">
        <w:t xml:space="preserve">. </w:t>
      </w:r>
      <w:r w:rsidR="00FB6E9C">
        <w:t xml:space="preserve">As an extra precaution, </w:t>
      </w:r>
      <w:r w:rsidR="000A1AA7">
        <w:t>pellets of NaOH</w:t>
      </w:r>
      <w:r w:rsidR="00FB6E9C">
        <w:t xml:space="preserve"> were added to the petri dis</w:t>
      </w:r>
      <w:r w:rsidR="000A1AA7">
        <w:t xml:space="preserve">h to capture </w:t>
      </w:r>
      <w:r w:rsidR="00215F52">
        <w:t xml:space="preserve">any ambient </w:t>
      </w:r>
      <w:r w:rsidR="000A1AA7">
        <w:t>CO</w:t>
      </w:r>
      <w:r w:rsidR="000A1AA7">
        <w:rPr>
          <w:vertAlign w:val="subscript"/>
        </w:rPr>
        <w:t>2</w:t>
      </w:r>
      <w:r w:rsidR="00884B5F">
        <w:t xml:space="preserve"> (</w:t>
      </w:r>
      <w:r w:rsidR="0052071D">
        <w:rPr>
          <w:highlight w:val="yellow"/>
        </w:rPr>
        <w:fldChar w:fldCharType="begin"/>
      </w:r>
      <w:r w:rsidR="0052071D">
        <w:instrText xml:space="preserve"> REF _Ref72669041 \h </w:instrText>
      </w:r>
      <w:r w:rsidR="0052071D">
        <w:rPr>
          <w:highlight w:val="yellow"/>
        </w:rPr>
      </w:r>
      <w:r w:rsidR="0052071D">
        <w:rPr>
          <w:highlight w:val="yellow"/>
        </w:rPr>
        <w:fldChar w:fldCharType="separate"/>
      </w:r>
      <w:r w:rsidR="00183CC8">
        <w:t xml:space="preserve">Figure </w:t>
      </w:r>
      <w:r w:rsidR="00183CC8">
        <w:rPr>
          <w:noProof/>
        </w:rPr>
        <w:t>3</w:t>
      </w:r>
      <w:r w:rsidR="00183CC8">
        <w:t>.</w:t>
      </w:r>
      <w:r w:rsidR="00183CC8">
        <w:rPr>
          <w:noProof/>
        </w:rPr>
        <w:t>15</w:t>
      </w:r>
      <w:r w:rsidR="0052071D">
        <w:rPr>
          <w:highlight w:val="yellow"/>
        </w:rPr>
        <w:fldChar w:fldCharType="end"/>
      </w:r>
      <w:r w:rsidR="0052071D">
        <w:t>a</w:t>
      </w:r>
      <w:r w:rsidR="00884B5F">
        <w:t>)</w:t>
      </w:r>
      <w:r w:rsidR="000A1AA7">
        <w:t>.</w:t>
      </w:r>
      <w:r w:rsidR="00A96195">
        <w:t xml:space="preserve"> </w:t>
      </w:r>
      <w:r w:rsidR="00D02690">
        <w:t xml:space="preserve">For best results and longer shelf-life, </w:t>
      </w:r>
      <w:r w:rsidR="00A96195">
        <w:t>both stains</w:t>
      </w:r>
      <w:r w:rsidR="00D02690">
        <w:t xml:space="preserve"> were</w:t>
      </w:r>
      <w:r w:rsidR="00A96195">
        <w:t xml:space="preserve"> </w:t>
      </w:r>
      <w:r w:rsidR="004D55F2">
        <w:t xml:space="preserve">prepared </w:t>
      </w:r>
      <w:r w:rsidR="00A96195">
        <w:t>with CO</w:t>
      </w:r>
      <w:r w:rsidR="00A96195">
        <w:rPr>
          <w:vertAlign w:val="subscript"/>
        </w:rPr>
        <w:t>2</w:t>
      </w:r>
      <w:r w:rsidR="00A96195">
        <w:t>-free water, both were filtered</w:t>
      </w:r>
      <w:r w:rsidR="00D02690">
        <w:t xml:space="preserve"> regularly</w:t>
      </w:r>
      <w:r w:rsidR="00A96195">
        <w:t xml:space="preserve"> and kept in a blackout Falcon tube at 4 </w:t>
      </w:r>
      <w:r w:rsidR="00A96195">
        <w:rPr>
          <w:rFonts w:ascii="Calibri" w:hAnsi="Calibri" w:cs="Calibri"/>
        </w:rPr>
        <w:t>°</w:t>
      </w:r>
      <w:r w:rsidR="00A96195">
        <w:t xml:space="preserve">C. These were </w:t>
      </w:r>
      <w:r w:rsidR="00D02690">
        <w:t xml:space="preserve">replaced </w:t>
      </w:r>
      <w:r w:rsidR="00A96195">
        <w:t>with freshly made stains every few months</w:t>
      </w:r>
      <w:r w:rsidR="00D02690">
        <w:t xml:space="preserve"> (refer to section </w:t>
      </w:r>
      <w:r w:rsidR="00D02690">
        <w:fldChar w:fldCharType="begin"/>
      </w:r>
      <w:r w:rsidR="00D02690">
        <w:instrText xml:space="preserve"> REF _Ref73184746 \r \h </w:instrText>
      </w:r>
      <w:r w:rsidR="00D02690">
        <w:fldChar w:fldCharType="separate"/>
      </w:r>
      <w:r w:rsidR="00183CC8">
        <w:t>2.7</w:t>
      </w:r>
      <w:r w:rsidR="00D02690">
        <w:fldChar w:fldCharType="end"/>
      </w:r>
      <w:r w:rsidR="00D02690">
        <w:t xml:space="preserve"> and </w:t>
      </w:r>
      <w:r w:rsidR="00D02690">
        <w:fldChar w:fldCharType="begin"/>
      </w:r>
      <w:r w:rsidR="00D02690">
        <w:instrText xml:space="preserve"> REF _Ref73184761 \r \h </w:instrText>
      </w:r>
      <w:r w:rsidR="00D02690">
        <w:fldChar w:fldCharType="separate"/>
      </w:r>
      <w:r w:rsidR="00183CC8">
        <w:t>2.20.6</w:t>
      </w:r>
      <w:r w:rsidR="00D02690">
        <w:fldChar w:fldCharType="end"/>
      </w:r>
      <w:r w:rsidR="00D02690">
        <w:t xml:space="preserve"> for a detailed description of stain preparation and staining process).</w:t>
      </w:r>
    </w:p>
    <w:p w14:paraId="2E578A7D" w14:textId="77777777" w:rsidR="0075599B" w:rsidRDefault="0075599B" w:rsidP="0092181B">
      <w:pPr>
        <w:pStyle w:val="NoSpacing"/>
        <w:keepNext/>
        <w:jc w:val="center"/>
      </w:pPr>
      <w:r>
        <w:rPr>
          <w:noProof/>
        </w:rPr>
        <w:lastRenderedPageBreak/>
        <w:drawing>
          <wp:inline distT="0" distB="0" distL="0" distR="0" wp14:anchorId="2DBE2435" wp14:editId="444D534E">
            <wp:extent cx="5831226" cy="603476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831226" cy="6034760"/>
                    </a:xfrm>
                    <a:prstGeom prst="rect">
                      <a:avLst/>
                    </a:prstGeom>
                  </pic:spPr>
                </pic:pic>
              </a:graphicData>
            </a:graphic>
          </wp:inline>
        </w:drawing>
      </w:r>
    </w:p>
    <w:p w14:paraId="65D36660" w14:textId="330EA86D" w:rsidR="00A159F1" w:rsidRDefault="0075599B" w:rsidP="008A2B86">
      <w:pPr>
        <w:pStyle w:val="Caption"/>
      </w:pPr>
      <w:bookmarkStart w:id="529" w:name="_Ref72658326"/>
      <w:bookmarkStart w:id="530" w:name="_Toc90216949"/>
      <w:r>
        <w:t xml:space="preserve">Figure </w:t>
      </w:r>
      <w:r w:rsidR="003373BF">
        <w:fldChar w:fldCharType="begin"/>
      </w:r>
      <w:r w:rsidR="003373BF">
        <w:instrText xml:space="preserve"> STYLEREF 1 \s </w:instrText>
      </w:r>
      <w:r w:rsidR="003373BF">
        <w:fldChar w:fldCharType="separate"/>
      </w:r>
      <w:r w:rsidR="00183CC8">
        <w:rPr>
          <w:noProof/>
        </w:rPr>
        <w:t>3</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14</w:t>
      </w:r>
      <w:r w:rsidR="003373BF">
        <w:rPr>
          <w:noProof/>
        </w:rPr>
        <w:fldChar w:fldCharType="end"/>
      </w:r>
      <w:bookmarkEnd w:id="529"/>
      <w:r>
        <w:t xml:space="preserve"> </w:t>
      </w:r>
      <w:r w:rsidR="00294506">
        <w:t>Post-stain selection</w:t>
      </w:r>
      <w:r>
        <w:t>.</w:t>
      </w:r>
      <w:bookmarkEnd w:id="530"/>
    </w:p>
    <w:p w14:paraId="768DB57A" w14:textId="4D2E45AE" w:rsidR="0075599B" w:rsidRPr="0008787E" w:rsidRDefault="00294506" w:rsidP="0075599B">
      <w:pPr>
        <w:pStyle w:val="NoSpacing"/>
        <w:sectPr w:rsidR="0075599B" w:rsidRPr="0008787E" w:rsidSect="004D0E05">
          <w:pgSz w:w="11906" w:h="16838"/>
          <w:pgMar w:top="1191" w:right="1247" w:bottom="1191" w:left="1247" w:header="709" w:footer="709" w:gutter="0"/>
          <w:cols w:space="708"/>
          <w:titlePg/>
          <w:docGrid w:linePitch="360"/>
        </w:sectPr>
      </w:pPr>
      <w:r>
        <w:t xml:space="preserve">TEM micrographs of HPF-FS </w:t>
      </w:r>
      <w:r>
        <w:rPr>
          <w:i/>
          <w:iCs/>
        </w:rPr>
        <w:t>S. aureus</w:t>
      </w:r>
      <w:r w:rsidR="0075347F">
        <w:t xml:space="preserve"> showing the difference between </w:t>
      </w:r>
      <w:r w:rsidR="0075347F">
        <w:rPr>
          <w:b/>
          <w:bCs/>
        </w:rPr>
        <w:t>(A)</w:t>
      </w:r>
      <w:r w:rsidR="0075347F">
        <w:t xml:space="preserve"> no post-stain, </w:t>
      </w:r>
      <w:r w:rsidR="0075347F">
        <w:rPr>
          <w:b/>
          <w:bCs/>
        </w:rPr>
        <w:t>(B)</w:t>
      </w:r>
      <w:r w:rsidR="0075347F">
        <w:t xml:space="preserve"> 3 % </w:t>
      </w:r>
      <w:r w:rsidR="004A4F67">
        <w:t xml:space="preserve">(w/v) </w:t>
      </w:r>
      <w:r w:rsidR="0075347F">
        <w:t xml:space="preserve">uranyl acetate (UA), or </w:t>
      </w:r>
      <w:r w:rsidR="0075347F">
        <w:rPr>
          <w:b/>
          <w:bCs/>
        </w:rPr>
        <w:t>(C)</w:t>
      </w:r>
      <w:r w:rsidR="0075347F">
        <w:t xml:space="preserve"> 3 % </w:t>
      </w:r>
      <w:r w:rsidR="004A4F67">
        <w:t xml:space="preserve">(w/v) </w:t>
      </w:r>
      <w:r w:rsidR="0075347F">
        <w:t>UA plus Reynold’s lea</w:t>
      </w:r>
      <w:r w:rsidR="003D139C">
        <w:t>d</w:t>
      </w:r>
      <w:r w:rsidR="0075347F">
        <w:t xml:space="preserve"> citrate (LC).</w:t>
      </w:r>
      <w:r w:rsidR="0008787E">
        <w:t xml:space="preserve"> </w:t>
      </w:r>
      <w:r w:rsidR="007D3A3A">
        <w:t>Mid</w:t>
      </w:r>
      <w:r w:rsidR="0008787E">
        <w:t xml:space="preserve"> magnification </w:t>
      </w:r>
      <w:r w:rsidR="0008787E">
        <w:rPr>
          <w:b/>
          <w:bCs/>
        </w:rPr>
        <w:t>(A)</w:t>
      </w:r>
      <w:r w:rsidR="0008787E">
        <w:t xml:space="preserve"> 4800x, </w:t>
      </w:r>
      <w:r w:rsidR="0008787E">
        <w:rPr>
          <w:b/>
          <w:bCs/>
        </w:rPr>
        <w:t>(B-C)</w:t>
      </w:r>
      <w:r w:rsidR="0008787E">
        <w:t xml:space="preserve"> 6800x, scale bar 500 nm.</w:t>
      </w:r>
      <w:r w:rsidR="007D3A3A">
        <w:t xml:space="preserve"> </w:t>
      </w:r>
      <w:r w:rsidR="007D3A3A">
        <w:rPr>
          <w:b/>
          <w:bCs/>
        </w:rPr>
        <w:t xml:space="preserve">(A-C) </w:t>
      </w:r>
      <w:r w:rsidR="007D3A3A">
        <w:t>High magnification</w:t>
      </w:r>
      <w:r w:rsidR="00290013">
        <w:t>,</w:t>
      </w:r>
      <w:r w:rsidR="007D3A3A">
        <w:t xml:space="preserve"> 11000x scale bar 200 nm</w:t>
      </w:r>
      <w:r w:rsidR="00290013">
        <w:t xml:space="preserve">. Orange </w:t>
      </w:r>
      <w:r w:rsidR="00D3300E">
        <w:t>inserts</w:t>
      </w:r>
      <w:r w:rsidR="00290013">
        <w:t xml:space="preserve"> cropped from 11000x micrographs, scale bar 50 nm.</w:t>
      </w:r>
    </w:p>
    <w:p w14:paraId="18528080" w14:textId="77777777" w:rsidR="00FB0C04" w:rsidRDefault="00FB0C04" w:rsidP="00BE2F66">
      <w:pPr>
        <w:pStyle w:val="NoSpacing"/>
        <w:keepNext/>
        <w:jc w:val="center"/>
      </w:pPr>
      <w:r>
        <w:rPr>
          <w:noProof/>
        </w:rPr>
        <w:lastRenderedPageBreak/>
        <w:drawing>
          <wp:inline distT="0" distB="0" distL="0" distR="0" wp14:anchorId="6C138314" wp14:editId="05DCDD0E">
            <wp:extent cx="5851873" cy="5094514"/>
            <wp:effectExtent l="0" t="0" r="3175" b="0"/>
            <wp:docPr id="60" name="Picture 60" descr="A picture containing tex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text, differen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862312" cy="5103602"/>
                    </a:xfrm>
                    <a:prstGeom prst="rect">
                      <a:avLst/>
                    </a:prstGeom>
                  </pic:spPr>
                </pic:pic>
              </a:graphicData>
            </a:graphic>
          </wp:inline>
        </w:drawing>
      </w:r>
    </w:p>
    <w:p w14:paraId="787075D0" w14:textId="25C9D45D" w:rsidR="0075599B" w:rsidRDefault="00FB0C04" w:rsidP="008A2B86">
      <w:pPr>
        <w:pStyle w:val="Caption"/>
      </w:pPr>
      <w:bookmarkStart w:id="531" w:name="_Ref72669041"/>
      <w:bookmarkStart w:id="532" w:name="_Toc90216950"/>
      <w:r>
        <w:t xml:space="preserve">Figure </w:t>
      </w:r>
      <w:r w:rsidR="003373BF">
        <w:fldChar w:fldCharType="begin"/>
      </w:r>
      <w:r w:rsidR="003373BF">
        <w:instrText xml:space="preserve"> STYLEREF 1 \s </w:instrText>
      </w:r>
      <w:r w:rsidR="003373BF">
        <w:fldChar w:fldCharType="separate"/>
      </w:r>
      <w:r w:rsidR="00183CC8">
        <w:rPr>
          <w:noProof/>
        </w:rPr>
        <w:t>3</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15</w:t>
      </w:r>
      <w:r w:rsidR="003373BF">
        <w:rPr>
          <w:noProof/>
        </w:rPr>
        <w:fldChar w:fldCharType="end"/>
      </w:r>
      <w:bookmarkEnd w:id="531"/>
      <w:r>
        <w:t xml:space="preserve"> Post staining of TEM grids.</w:t>
      </w:r>
      <w:bookmarkEnd w:id="532"/>
    </w:p>
    <w:p w14:paraId="05792351" w14:textId="68A4C20B" w:rsidR="006F4E59" w:rsidRDefault="00FB0C04" w:rsidP="00FB0C04">
      <w:pPr>
        <w:pStyle w:val="NoSpacing"/>
        <w:sectPr w:rsidR="006F4E59" w:rsidSect="004D0E05">
          <w:pgSz w:w="11906" w:h="16838"/>
          <w:pgMar w:top="1191" w:right="1247" w:bottom="1191" w:left="1247" w:header="709" w:footer="709" w:gutter="0"/>
          <w:cols w:space="708"/>
          <w:titlePg/>
          <w:docGrid w:linePitch="360"/>
        </w:sectPr>
      </w:pPr>
      <w:r>
        <w:rPr>
          <w:b/>
          <w:bCs/>
        </w:rPr>
        <w:t>(A)</w:t>
      </w:r>
      <w:r>
        <w:t xml:space="preserve"> Post staining set-up for TEM grids using a blackout Petri dish, a silicone mat and NaOH pellets to capture CO</w:t>
      </w:r>
      <w:r>
        <w:rPr>
          <w:vertAlign w:val="subscript"/>
        </w:rPr>
        <w:t>2</w:t>
      </w:r>
      <w:r>
        <w:t xml:space="preserve">. </w:t>
      </w:r>
      <w:r>
        <w:rPr>
          <w:b/>
          <w:bCs/>
        </w:rPr>
        <w:t>(B)</w:t>
      </w:r>
      <w:r>
        <w:t xml:space="preserve"> </w:t>
      </w:r>
      <w:r w:rsidR="00617B96">
        <w:t xml:space="preserve">TEM micrographs of </w:t>
      </w:r>
      <w:r>
        <w:t>FS thin</w:t>
      </w:r>
      <w:r w:rsidR="00065856">
        <w:t>-</w:t>
      </w:r>
      <w:r>
        <w:t>sections of samples stained with UA and LC</w:t>
      </w:r>
      <w:r w:rsidR="00617B96">
        <w:t xml:space="preserve">. Samples were </w:t>
      </w:r>
      <w:r>
        <w:t>exposed to light and CO</w:t>
      </w:r>
      <w:r>
        <w:rPr>
          <w:vertAlign w:val="subscript"/>
        </w:rPr>
        <w:t>2</w:t>
      </w:r>
      <w:r w:rsidR="00617B96">
        <w:t xml:space="preserve"> to exaggerate the results of the</w:t>
      </w:r>
      <w:r>
        <w:t xml:space="preserve"> precipitation of UA (orange arrowhead) and LC (yellow arrowhead), that manifest in the form of needles or round aggregates respectively.</w:t>
      </w:r>
      <w:r w:rsidR="0064028F">
        <w:t xml:space="preserve"> </w:t>
      </w:r>
      <w:r w:rsidR="006A32C4">
        <w:t>High magnification 18500x, 13000x and 1100x, scale bars 200 nm.</w:t>
      </w:r>
    </w:p>
    <w:p w14:paraId="4BD65ACE" w14:textId="6FA99694" w:rsidR="00182281" w:rsidRPr="00182281" w:rsidRDefault="005E25D3" w:rsidP="00182281">
      <w:pPr>
        <w:pStyle w:val="Heading3"/>
      </w:pPr>
      <w:bookmarkStart w:id="533" w:name="_Toc64276355"/>
      <w:bookmarkStart w:id="534" w:name="_Toc64276659"/>
      <w:bookmarkStart w:id="535" w:name="_Toc64276871"/>
      <w:bookmarkStart w:id="536" w:name="_Toc90216869"/>
      <w:r>
        <w:lastRenderedPageBreak/>
        <w:t>A quicker</w:t>
      </w:r>
      <w:r w:rsidR="004B0C7E" w:rsidRPr="005B0F81">
        <w:t xml:space="preserve"> freeze-substitution for faster processing</w:t>
      </w:r>
      <w:bookmarkEnd w:id="533"/>
      <w:bookmarkEnd w:id="534"/>
      <w:bookmarkEnd w:id="535"/>
      <w:r w:rsidR="007C2612">
        <w:t xml:space="preserve"> (SQ</w:t>
      </w:r>
      <w:r w:rsidR="005767F7">
        <w:t>F</w:t>
      </w:r>
      <w:r w:rsidR="007C2612">
        <w:t>S)</w:t>
      </w:r>
      <w:r w:rsidR="007006CC">
        <w:t>.</w:t>
      </w:r>
      <w:bookmarkEnd w:id="536"/>
    </w:p>
    <w:p w14:paraId="62B0505F" w14:textId="3149B85E" w:rsidR="00054D44" w:rsidRPr="005E1B3D" w:rsidRDefault="00441D16" w:rsidP="00182281">
      <w:r>
        <w:t xml:space="preserve">Conventional FS with the Leica AFS2 </w:t>
      </w:r>
      <w:r w:rsidR="009F5734">
        <w:t>takes</w:t>
      </w:r>
      <w:r>
        <w:t xml:space="preserve"> around 3 days</w:t>
      </w:r>
      <w:r w:rsidR="009F5734">
        <w:t>, followed by 5 days of infiltration</w:t>
      </w:r>
      <w:r w:rsidR="00AC6184">
        <w:t>, embedding</w:t>
      </w:r>
      <w:r w:rsidR="009F5734">
        <w:t xml:space="preserve"> and </w:t>
      </w:r>
      <w:r w:rsidR="008A4D26">
        <w:t>polymerisation</w:t>
      </w:r>
      <w:r w:rsidR="009F5734">
        <w:t>.</w:t>
      </w:r>
      <w:r>
        <w:t xml:space="preserve"> </w:t>
      </w:r>
      <w:r w:rsidR="009F5734">
        <w:t xml:space="preserve">In an attempt to shorten this 8-day lengthy process, a </w:t>
      </w:r>
      <w:r>
        <w:t>quicker FS programme was tested</w:t>
      </w:r>
      <w:r w:rsidR="00020C54">
        <w:t xml:space="preserve">. The standard protocol </w:t>
      </w:r>
      <w:r w:rsidR="00D47B2A">
        <w:t xml:space="preserve">used </w:t>
      </w:r>
      <w:r w:rsidR="00054D44">
        <w:t>up to</w:t>
      </w:r>
      <w:r w:rsidR="00D47B2A">
        <w:t xml:space="preserve"> this point, </w:t>
      </w:r>
      <w:r w:rsidR="00020C54">
        <w:t xml:space="preserve">obtained from Matias &amp; Beveridge (2006) </w:t>
      </w:r>
      <w:r w:rsidR="00020C54">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e2b25489-46ff-4a6e-b016-855e621d8c6c"]}],"mendeley":{"formattedCitation":"&lt;sup&gt;[16]&lt;/sup&gt;","plainTextFormattedCitation":"[16]","previouslyFormattedCitation":"&lt;sup&gt;[16]&lt;/sup&gt;"},"properties":{"noteIndex":0},"schema":"https://github.com/citation-style-language/schema/raw/master/csl-citation.json"}</w:instrText>
      </w:r>
      <w:r w:rsidR="00020C54">
        <w:fldChar w:fldCharType="separate"/>
      </w:r>
      <w:r w:rsidR="00DA0A83" w:rsidRPr="00DA0A83">
        <w:rPr>
          <w:noProof/>
          <w:vertAlign w:val="superscript"/>
        </w:rPr>
        <w:t>[16]</w:t>
      </w:r>
      <w:r w:rsidR="00020C54">
        <w:fldChar w:fldCharType="end"/>
      </w:r>
      <w:r w:rsidR="00D47B2A">
        <w:t xml:space="preserve">, consisted of </w:t>
      </w:r>
      <w:r w:rsidR="00020C54">
        <w:t xml:space="preserve">18 h at </w:t>
      </w:r>
      <w:r w:rsidR="005C3EEA">
        <w:t>– </w:t>
      </w:r>
      <w:r w:rsidR="00020C54">
        <w:t>90 </w:t>
      </w:r>
      <w:r w:rsidR="00020C54">
        <w:rPr>
          <w:rFonts w:ascii="Calibri" w:hAnsi="Calibri" w:cs="Calibri"/>
        </w:rPr>
        <w:t>°</w:t>
      </w:r>
      <w:r w:rsidR="00020C54">
        <w:t xml:space="preserve">C, 15 h at </w:t>
      </w:r>
      <w:r w:rsidR="005C3EEA">
        <w:t>– </w:t>
      </w:r>
      <w:r w:rsidR="00020C54">
        <w:t>60 </w:t>
      </w:r>
      <w:r w:rsidR="00020C54">
        <w:rPr>
          <w:rFonts w:ascii="Calibri" w:hAnsi="Calibri" w:cs="Calibri"/>
        </w:rPr>
        <w:t>°</w:t>
      </w:r>
      <w:r w:rsidR="00020C54">
        <w:t xml:space="preserve">C, 12 h at </w:t>
      </w:r>
      <w:r w:rsidR="005C3EEA">
        <w:t>– </w:t>
      </w:r>
      <w:r w:rsidR="00020C54">
        <w:t>30 </w:t>
      </w:r>
      <w:r w:rsidR="00020C54">
        <w:rPr>
          <w:rFonts w:ascii="Calibri" w:hAnsi="Calibri" w:cs="Calibri"/>
        </w:rPr>
        <w:t>°</w:t>
      </w:r>
      <w:r w:rsidR="00020C54">
        <w:t xml:space="preserve">C, with the temperature slowly </w:t>
      </w:r>
      <w:r w:rsidR="00AC6184">
        <w:t>incremented</w:t>
      </w:r>
      <w:r w:rsidR="00020C54">
        <w:t xml:space="preserve"> to room temperature during a period of 18 h.</w:t>
      </w:r>
      <w:r w:rsidR="00D47B2A">
        <w:t xml:space="preserve"> This whole process lasts around 6</w:t>
      </w:r>
      <w:r w:rsidR="00C40037">
        <w:t>5</w:t>
      </w:r>
      <w:r w:rsidR="00D47B2A">
        <w:t> h (</w:t>
      </w:r>
      <w:r w:rsidR="00C40037">
        <w:fldChar w:fldCharType="begin"/>
      </w:r>
      <w:r w:rsidR="00C40037">
        <w:instrText xml:space="preserve"> REF _Ref72750363 \h </w:instrText>
      </w:r>
      <w:r w:rsidR="00C40037">
        <w:fldChar w:fldCharType="separate"/>
      </w:r>
      <w:r w:rsidR="00183CC8">
        <w:t xml:space="preserve">Figure </w:t>
      </w:r>
      <w:r w:rsidR="00183CC8">
        <w:rPr>
          <w:noProof/>
        </w:rPr>
        <w:t>3</w:t>
      </w:r>
      <w:r w:rsidR="00183CC8">
        <w:t>.</w:t>
      </w:r>
      <w:r w:rsidR="00183CC8">
        <w:rPr>
          <w:noProof/>
        </w:rPr>
        <w:t>16</w:t>
      </w:r>
      <w:r w:rsidR="00C40037">
        <w:fldChar w:fldCharType="end"/>
      </w:r>
      <w:r w:rsidR="00C40037">
        <w:t>a</w:t>
      </w:r>
      <w:r w:rsidR="00D47B2A">
        <w:t>).</w:t>
      </w:r>
      <w:r w:rsidR="005E1B3D">
        <w:t xml:space="preserve"> An optimisation suggested by Dr. Fr</w:t>
      </w:r>
      <w:r w:rsidR="005E1B3D" w:rsidRPr="005E1B3D">
        <w:t>édéric Leroux</w:t>
      </w:r>
      <w:r w:rsidR="005E1B3D">
        <w:t xml:space="preserve"> (Leica Microsystems) </w:t>
      </w:r>
      <w:r w:rsidR="00AC6184">
        <w:t>involved the</w:t>
      </w:r>
      <w:r w:rsidR="00D07416">
        <w:t xml:space="preserve"> following steps: 12 h at </w:t>
      </w:r>
      <w:r w:rsidR="00C31B8A">
        <w:t>– </w:t>
      </w:r>
      <w:r w:rsidR="00D07416">
        <w:t>90 </w:t>
      </w:r>
      <w:r w:rsidR="00D07416">
        <w:rPr>
          <w:rFonts w:ascii="Calibri" w:hAnsi="Calibri" w:cs="Calibri"/>
        </w:rPr>
        <w:t>°</w:t>
      </w:r>
      <w:r w:rsidR="00D07416">
        <w:t xml:space="preserve">C, 8 h from </w:t>
      </w:r>
      <w:r w:rsidR="00C31B8A">
        <w:t>– </w:t>
      </w:r>
      <w:r w:rsidR="00D07416">
        <w:t>90 </w:t>
      </w:r>
      <w:r w:rsidR="00D07416">
        <w:rPr>
          <w:rFonts w:ascii="Calibri" w:hAnsi="Calibri" w:cs="Calibri"/>
        </w:rPr>
        <w:t>°</w:t>
      </w:r>
      <w:r w:rsidR="00D07416">
        <w:t xml:space="preserve">C to </w:t>
      </w:r>
      <w:r w:rsidR="00C31B8A">
        <w:t>– </w:t>
      </w:r>
      <w:r w:rsidR="00D07416">
        <w:t>60 </w:t>
      </w:r>
      <w:r w:rsidR="00D07416">
        <w:rPr>
          <w:rFonts w:ascii="Calibri" w:hAnsi="Calibri" w:cs="Calibri"/>
        </w:rPr>
        <w:t>°</w:t>
      </w:r>
      <w:r w:rsidR="00D07416">
        <w:t xml:space="preserve">C, 5 h at </w:t>
      </w:r>
      <w:r w:rsidR="00C31B8A">
        <w:t>– </w:t>
      </w:r>
      <w:r w:rsidR="00D07416">
        <w:t>60 </w:t>
      </w:r>
      <w:r w:rsidR="00D07416">
        <w:rPr>
          <w:rFonts w:ascii="Calibri" w:hAnsi="Calibri" w:cs="Calibri"/>
        </w:rPr>
        <w:t>°</w:t>
      </w:r>
      <w:r w:rsidR="00D07416">
        <w:t xml:space="preserve">C, 7 h from </w:t>
      </w:r>
      <w:r w:rsidR="00C31B8A">
        <w:t>– </w:t>
      </w:r>
      <w:r w:rsidR="00D07416">
        <w:t>60 </w:t>
      </w:r>
      <w:r w:rsidR="00D07416">
        <w:rPr>
          <w:rFonts w:ascii="Calibri" w:hAnsi="Calibri" w:cs="Calibri"/>
        </w:rPr>
        <w:t>°</w:t>
      </w:r>
      <w:r w:rsidR="00D07416">
        <w:t xml:space="preserve">C to </w:t>
      </w:r>
      <w:r w:rsidR="00C31B8A">
        <w:t>– </w:t>
      </w:r>
      <w:r w:rsidR="00D07416">
        <w:t>30 </w:t>
      </w:r>
      <w:r w:rsidR="00D07416">
        <w:rPr>
          <w:rFonts w:ascii="Calibri" w:hAnsi="Calibri" w:cs="Calibri"/>
        </w:rPr>
        <w:t>°</w:t>
      </w:r>
      <w:r w:rsidR="00D07416">
        <w:t xml:space="preserve">C, 5 h at </w:t>
      </w:r>
      <w:r w:rsidR="00C31B8A">
        <w:t>– </w:t>
      </w:r>
      <w:r w:rsidR="00D07416">
        <w:t>30 </w:t>
      </w:r>
      <w:r w:rsidR="00D07416">
        <w:rPr>
          <w:rFonts w:ascii="Calibri" w:hAnsi="Calibri" w:cs="Calibri"/>
        </w:rPr>
        <w:t>°</w:t>
      </w:r>
      <w:r w:rsidR="00D07416">
        <w:t xml:space="preserve">C, and finally 5 h </w:t>
      </w:r>
      <w:r w:rsidR="00E31295">
        <w:t>to reach</w:t>
      </w:r>
      <w:r w:rsidR="00D07416">
        <w:t xml:space="preserve"> 0 </w:t>
      </w:r>
      <w:r w:rsidR="00D07416">
        <w:rPr>
          <w:rFonts w:ascii="Calibri" w:hAnsi="Calibri" w:cs="Calibri"/>
        </w:rPr>
        <w:t>°</w:t>
      </w:r>
      <w:r w:rsidR="00D07416">
        <w:t>C</w:t>
      </w:r>
      <w:r w:rsidR="00A631EA">
        <w:t xml:space="preserve"> (</w:t>
      </w:r>
      <w:r w:rsidR="00C40037">
        <w:fldChar w:fldCharType="begin"/>
      </w:r>
      <w:r w:rsidR="00C40037">
        <w:instrText xml:space="preserve"> REF _Ref72750363 \h </w:instrText>
      </w:r>
      <w:r w:rsidR="00C40037">
        <w:fldChar w:fldCharType="separate"/>
      </w:r>
      <w:r w:rsidR="00183CC8">
        <w:t xml:space="preserve">Figure </w:t>
      </w:r>
      <w:r w:rsidR="00183CC8">
        <w:rPr>
          <w:noProof/>
        </w:rPr>
        <w:t>3</w:t>
      </w:r>
      <w:r w:rsidR="00183CC8">
        <w:t>.</w:t>
      </w:r>
      <w:r w:rsidR="00183CC8">
        <w:rPr>
          <w:noProof/>
        </w:rPr>
        <w:t>16</w:t>
      </w:r>
      <w:r w:rsidR="00C40037">
        <w:fldChar w:fldCharType="end"/>
      </w:r>
      <w:r w:rsidR="00C40037">
        <w:t>b</w:t>
      </w:r>
      <w:r w:rsidR="00A631EA">
        <w:t>).</w:t>
      </w:r>
      <w:r w:rsidR="008F00BC">
        <w:t xml:space="preserve"> Dr. Laroux’s suggested programme helped cut down </w:t>
      </w:r>
      <w:r w:rsidR="00EB7756">
        <w:t>~ </w:t>
      </w:r>
      <w:r w:rsidR="008F00BC">
        <w:t>18 h of the FS process.</w:t>
      </w:r>
    </w:p>
    <w:p w14:paraId="55C32D57" w14:textId="6CE942E8" w:rsidR="00441D16" w:rsidRPr="00267749" w:rsidRDefault="00441D16" w:rsidP="00182281">
      <w:r>
        <w:t xml:space="preserve">Another attempt to speed up this process was to follow </w:t>
      </w:r>
      <w:r w:rsidR="005743D2">
        <w:t xml:space="preserve">Dr. </w:t>
      </w:r>
      <w:r>
        <w:t xml:space="preserve">Kent McDonald’s </w:t>
      </w:r>
      <w:r w:rsidR="00BE4380">
        <w:t xml:space="preserve">quick freeze-substitution (QFS) or </w:t>
      </w:r>
      <w:r>
        <w:t>super quick freeze</w:t>
      </w:r>
      <w:r w:rsidR="00BE4380">
        <w:t>-</w:t>
      </w:r>
      <w:r>
        <w:t>substitution (SQFS)</w:t>
      </w:r>
      <w:r w:rsidR="00FF30DC">
        <w:t xml:space="preserve"> </w:t>
      </w:r>
      <w:r w:rsidR="00FF30DC">
        <w:fldChar w:fldCharType="begin" w:fldLock="1"/>
      </w:r>
      <w:r w:rsidR="0058736C">
        <w:instrText>ADDIN CSL_CITATION {"citationItems":[{"id":"ITEM-1","itemData":{"DOI":"10.1111/j.1365-2818.2011.03526.x","author":[{"dropping-particle":"","family":"Mcdonald","given":"K L","non-dropping-particle":"","parse-names":false,"suffix":""},{"dropping-particle":"","family":"Webb","given":"R I","non-dropping-particle":"","parse-names":false,"suffix":""}],"container-title":"Journal of Microscopy","id":"ITEM-1","issue":"March","issued":{"date-parts":[["2011"]]},"page":"227-233","title":"Freeze substitution in 3 hours or less","type":"article-journal","volume":"243"},"uris":["http://www.mendeley.com/documents/?uuid=9ff483a3-13a9-477e-90cb-f250a2166d02"]}],"mendeley":{"formattedCitation":"&lt;sup&gt;[240]&lt;/sup&gt;","plainTextFormattedCitation":"[240]","previouslyFormattedCitation":"&lt;sup&gt;[240]&lt;/sup&gt;"},"properties":{"noteIndex":0},"schema":"https://github.com/citation-style-language/schema/raw/master/csl-citation.json"}</w:instrText>
      </w:r>
      <w:r w:rsidR="00FF30DC">
        <w:fldChar w:fldCharType="separate"/>
      </w:r>
      <w:r w:rsidR="002659E5" w:rsidRPr="002659E5">
        <w:rPr>
          <w:noProof/>
          <w:vertAlign w:val="superscript"/>
        </w:rPr>
        <w:t>[240]</w:t>
      </w:r>
      <w:r w:rsidR="00FF30DC">
        <w:fldChar w:fldCharType="end"/>
      </w:r>
      <w:r>
        <w:t>. Th</w:t>
      </w:r>
      <w:r w:rsidR="00BE4380">
        <w:t>ese</w:t>
      </w:r>
      <w:r>
        <w:t xml:space="preserve"> </w:t>
      </w:r>
      <w:r w:rsidR="00BE4380">
        <w:t>protocols</w:t>
      </w:r>
      <w:r>
        <w:t xml:space="preserve"> </w:t>
      </w:r>
      <w:r w:rsidR="00BE4380">
        <w:t>were</w:t>
      </w:r>
      <w:r>
        <w:t xml:space="preserve"> expected to deli</w:t>
      </w:r>
      <w:r w:rsidR="004C55CC">
        <w:t>v</w:t>
      </w:r>
      <w:r>
        <w:t xml:space="preserve">er </w:t>
      </w:r>
      <w:r w:rsidR="00BE4380">
        <w:t>similar</w:t>
      </w:r>
      <w:r>
        <w:t xml:space="preserve"> results as the 3-day standard FS in just </w:t>
      </w:r>
      <w:r w:rsidR="00BE4380">
        <w:t xml:space="preserve">1.5 or </w:t>
      </w:r>
      <w:r>
        <w:t xml:space="preserve">3 h </w:t>
      </w:r>
      <w:r w:rsidR="00BE4380">
        <w:t xml:space="preserve">respectively. Another advantage is that these protocols do not require the use of </w:t>
      </w:r>
      <w:r>
        <w:t xml:space="preserve">the Leica AFS2 </w:t>
      </w:r>
      <w:r w:rsidR="00BF5614">
        <w:t>instrument</w:t>
      </w:r>
      <w:r>
        <w:t>.</w:t>
      </w:r>
      <w:r w:rsidR="003F029A">
        <w:t xml:space="preserve"> QFS is done with </w:t>
      </w:r>
      <w:r w:rsidR="00395C8D">
        <w:t>LN</w:t>
      </w:r>
      <w:r w:rsidR="00395C8D">
        <w:rPr>
          <w:vertAlign w:val="subscript"/>
        </w:rPr>
        <w:t>2</w:t>
      </w:r>
      <w:r w:rsidR="00395C8D">
        <w:t xml:space="preserve"> and </w:t>
      </w:r>
      <w:r w:rsidR="003F029A">
        <w:t>dry ice</w:t>
      </w:r>
      <w:r w:rsidR="00395C8D">
        <w:t>,</w:t>
      </w:r>
      <w:r w:rsidR="003F029A">
        <w:t xml:space="preserve"> whereas SQFS </w:t>
      </w:r>
      <w:r w:rsidR="00395C8D">
        <w:t xml:space="preserve">only </w:t>
      </w:r>
      <w:r w:rsidR="003F029A">
        <w:t>uses LN</w:t>
      </w:r>
      <w:r w:rsidR="003F029A" w:rsidRPr="003F029A">
        <w:rPr>
          <w:vertAlign w:val="subscript"/>
        </w:rPr>
        <w:t>2</w:t>
      </w:r>
      <w:r w:rsidR="003F029A">
        <w:t>.</w:t>
      </w:r>
      <w:r w:rsidR="00816445">
        <w:t xml:space="preserve"> The latter was chosen due to its faster processing and convenience.</w:t>
      </w:r>
      <w:r w:rsidR="00FF30DC">
        <w:t xml:space="preserve"> The protocol described by McDonald &amp; Webb (2011) </w:t>
      </w:r>
      <w:r w:rsidR="00FF30DC">
        <w:fldChar w:fldCharType="begin" w:fldLock="1"/>
      </w:r>
      <w:r w:rsidR="0058736C">
        <w:instrText>ADDIN CSL_CITATION {"citationItems":[{"id":"ITEM-1","itemData":{"DOI":"10.1111/j.1365-2818.2011.03526.x","author":[{"dropping-particle":"","family":"Mcdonald","given":"K L","non-dropping-particle":"","parse-names":false,"suffix":""},{"dropping-particle":"","family":"Webb","given":"R I","non-dropping-particle":"","parse-names":false,"suffix":""}],"container-title":"Journal of Microscopy","id":"ITEM-1","issue":"March","issued":{"date-parts":[["2011"]]},"page":"227-233","title":"Freeze substitution in 3 hours or less","type":"article-journal","volume":"243"},"uris":["http://www.mendeley.com/documents/?uuid=9ff483a3-13a9-477e-90cb-f250a2166d02"]}],"mendeley":{"formattedCitation":"&lt;sup&gt;[240]&lt;/sup&gt;","plainTextFormattedCitation":"[240]","previouslyFormattedCitation":"&lt;sup&gt;[240]&lt;/sup&gt;"},"properties":{"noteIndex":0},"schema":"https://github.com/citation-style-language/schema/raw/master/csl-citation.json"}</w:instrText>
      </w:r>
      <w:r w:rsidR="00FF30DC">
        <w:fldChar w:fldCharType="separate"/>
      </w:r>
      <w:r w:rsidR="002659E5" w:rsidRPr="002659E5">
        <w:rPr>
          <w:noProof/>
          <w:vertAlign w:val="superscript"/>
        </w:rPr>
        <w:t>[240]</w:t>
      </w:r>
      <w:r w:rsidR="00FF30DC">
        <w:fldChar w:fldCharType="end"/>
      </w:r>
      <w:r w:rsidR="00FF30DC">
        <w:t xml:space="preserve"> for SQFS involves the</w:t>
      </w:r>
      <w:r w:rsidR="000008FE">
        <w:t xml:space="preserve"> precooling of a </w:t>
      </w:r>
      <w:r w:rsidR="00267749">
        <w:t xml:space="preserve">heat block for 13 mm tubes, </w:t>
      </w:r>
      <w:r w:rsidR="000008FE">
        <w:t>by covering it with LN</w:t>
      </w:r>
      <w:r w:rsidR="000008FE">
        <w:rPr>
          <w:vertAlign w:val="subscript"/>
        </w:rPr>
        <w:t>2</w:t>
      </w:r>
      <w:r w:rsidR="000008FE">
        <w:t xml:space="preserve"> for 5-10 min</w:t>
      </w:r>
      <w:r w:rsidR="00267749">
        <w:t xml:space="preserve"> inside a Styrofoam® box</w:t>
      </w:r>
      <w:r w:rsidR="000008FE">
        <w:t>.</w:t>
      </w:r>
      <w:r w:rsidR="00DA5281">
        <w:t xml:space="preserve"> Meanwhile, the frozen samples are inserted into cryotubes with the chosen fixative at LN</w:t>
      </w:r>
      <w:r w:rsidR="00DA5281">
        <w:rPr>
          <w:vertAlign w:val="subscript"/>
        </w:rPr>
        <w:t>2</w:t>
      </w:r>
      <w:r w:rsidR="00DA5281">
        <w:t xml:space="preserve"> temperatures. The lid is kept at room temperature to ensure that the O-ring is pliable and provides a tight seal. In order to record the temperature in real time</w:t>
      </w:r>
      <w:r w:rsidR="00FA227F">
        <w:t>,</w:t>
      </w:r>
      <w:r w:rsidR="00DA5281">
        <w:t xml:space="preserve"> a dummy tube with a </w:t>
      </w:r>
      <w:r w:rsidR="00FA227F">
        <w:t>thermocouple</w:t>
      </w:r>
      <w:r w:rsidR="00DA5281">
        <w:t xml:space="preserve"> is added. This is constructed by perforating a small hole </w:t>
      </w:r>
      <w:r w:rsidR="00FA227F">
        <w:t>i</w:t>
      </w:r>
      <w:r w:rsidR="00B54B63">
        <w:t>n</w:t>
      </w:r>
      <w:r w:rsidR="00DA5281">
        <w:t xml:space="preserve"> the cap of a cryotube, inserting a temperature probe, and sealing the hole with </w:t>
      </w:r>
      <w:r w:rsidR="00B906D0">
        <w:t xml:space="preserve">epoxy resin to avoid </w:t>
      </w:r>
      <w:r w:rsidR="003D383E">
        <w:t>leakage</w:t>
      </w:r>
      <w:r w:rsidR="00B906D0">
        <w:t>.</w:t>
      </w:r>
      <w:r w:rsidR="00855461">
        <w:t xml:space="preserve"> The set up recommended is a Type T thermocouple attached to a temperature datalogger.</w:t>
      </w:r>
      <w:r w:rsidR="00644C21">
        <w:t xml:space="preserve"> This dummy tube is then filled with the same solvent used in the FS medium</w:t>
      </w:r>
      <w:r w:rsidR="003D383E">
        <w:t xml:space="preserve"> </w:t>
      </w:r>
      <w:r w:rsidR="00644C21">
        <w:t>and placed in the heat block</w:t>
      </w:r>
      <w:r w:rsidR="00267749">
        <w:t xml:space="preserve"> together with the samples. The LN</w:t>
      </w:r>
      <w:r w:rsidR="00267749">
        <w:rPr>
          <w:vertAlign w:val="subscript"/>
        </w:rPr>
        <w:t>2</w:t>
      </w:r>
      <w:r w:rsidR="00267749">
        <w:t xml:space="preserve"> is then poured out </w:t>
      </w:r>
      <w:r w:rsidR="00157EE3">
        <w:t>from the foam box and the holes</w:t>
      </w:r>
      <w:r w:rsidR="00C14CEA">
        <w:t xml:space="preserve"> of the</w:t>
      </w:r>
      <w:r w:rsidR="00157EE3">
        <w:t xml:space="preserve"> block. The block with the samples is </w:t>
      </w:r>
      <w:r w:rsidR="002A35D7">
        <w:t>turned</w:t>
      </w:r>
      <w:r w:rsidR="00157EE3">
        <w:t xml:space="preserve"> on its side, and </w:t>
      </w:r>
      <w:r w:rsidR="002A35D7">
        <w:t>t</w:t>
      </w:r>
      <w:r w:rsidR="00157EE3">
        <w:t>he box is placed on a shaker running at 100 rpm until the temperature reaches 0 </w:t>
      </w:r>
      <w:r w:rsidR="00157EE3">
        <w:rPr>
          <w:rFonts w:ascii="Calibri" w:hAnsi="Calibri" w:cs="Calibri"/>
        </w:rPr>
        <w:t>°</w:t>
      </w:r>
      <w:r w:rsidR="00157EE3">
        <w:t>C</w:t>
      </w:r>
      <w:r w:rsidR="00207355">
        <w:t>;</w:t>
      </w:r>
      <w:r w:rsidR="007A7D75">
        <w:t xml:space="preserve"> time after which they are removed from the foam box and placed on the shaker until they reach room temperature.</w:t>
      </w:r>
    </w:p>
    <w:p w14:paraId="6A52E476" w14:textId="4E13580E" w:rsidR="00640C93" w:rsidRPr="00363107" w:rsidRDefault="005743D2" w:rsidP="00182281">
      <w:r>
        <w:t xml:space="preserve">Dr. </w:t>
      </w:r>
      <w:r w:rsidR="00640C93">
        <w:t>McDonald suggested to use a box with the interior dimensions of 8 x 11 x 15 cm (H x D x W), with 2.5 cm wall thickness</w:t>
      </w:r>
      <w:r w:rsidR="002D5640">
        <w:t xml:space="preserve"> </w:t>
      </w:r>
      <w:r w:rsidR="002D5640">
        <w:fldChar w:fldCharType="begin" w:fldLock="1"/>
      </w:r>
      <w:r w:rsidR="0058736C">
        <w:instrText>ADDIN CSL_CITATION {"citationItems":[{"id":"ITEM-1","itemData":{"DOI":"10.1111/j.1365-2818.2011.03526.x","author":[{"dropping-particle":"","family":"Mcdonald","given":"K L","non-dropping-particle":"","parse-names":false,"suffix":""},{"dropping-particle":"","family":"Webb","given":"R I","non-dropping-particle":"","parse-names":false,"suffix":""}],"container-title":"Journal of Microscopy","id":"ITEM-1","issue":"March","issued":{"date-parts":[["2011"]]},"page":"227-233","title":"Freeze substitution in 3 hours or less","type":"article-journal","volume":"243"},"uris":["http://www.mendeley.com/documents/?uuid=9ff483a3-13a9-477e-90cb-f250a2166d02"]}],"mendeley":{"formattedCitation":"&lt;sup&gt;[240]&lt;/sup&gt;","plainTextFormattedCitation":"[240]","previouslyFormattedCitation":"&lt;sup&gt;[240]&lt;/sup&gt;"},"properties":{"noteIndex":0},"schema":"https://github.com/citation-style-language/schema/raw/master/csl-citation.json"}</w:instrText>
      </w:r>
      <w:r w:rsidR="002D5640">
        <w:fldChar w:fldCharType="separate"/>
      </w:r>
      <w:r w:rsidR="002659E5" w:rsidRPr="002659E5">
        <w:rPr>
          <w:noProof/>
          <w:vertAlign w:val="superscript"/>
        </w:rPr>
        <w:t>[240]</w:t>
      </w:r>
      <w:r w:rsidR="002D5640">
        <w:fldChar w:fldCharType="end"/>
      </w:r>
      <w:r w:rsidR="00640C93">
        <w:t>. Unfortunately</w:t>
      </w:r>
      <w:r w:rsidR="002D5640">
        <w:t>,</w:t>
      </w:r>
      <w:r w:rsidR="00640C93">
        <w:t xml:space="preserve"> </w:t>
      </w:r>
      <w:r w:rsidR="00B363BE">
        <w:t>a</w:t>
      </w:r>
      <w:r w:rsidR="00640C93">
        <w:t xml:space="preserve"> </w:t>
      </w:r>
      <w:r w:rsidR="00516608">
        <w:t>similar</w:t>
      </w:r>
      <w:r w:rsidR="00640C93">
        <w:t xml:space="preserve"> box</w:t>
      </w:r>
      <w:r w:rsidR="00B363BE">
        <w:t xml:space="preserve"> was not found</w:t>
      </w:r>
      <w:r w:rsidR="00640C93">
        <w:t xml:space="preserve"> </w:t>
      </w:r>
      <w:r w:rsidR="00B363BE">
        <w:t xml:space="preserve">and a </w:t>
      </w:r>
      <w:r w:rsidR="00640C93">
        <w:t>bigger</w:t>
      </w:r>
      <w:r w:rsidR="00DB71B2">
        <w:t xml:space="preserve"> </w:t>
      </w:r>
      <w:r w:rsidR="00B363BE">
        <w:t xml:space="preserve">one </w:t>
      </w:r>
      <w:r w:rsidR="00DB71B2">
        <w:lastRenderedPageBreak/>
        <w:t xml:space="preserve">(17.5 x 19 x 19 cm) </w:t>
      </w:r>
      <w:r w:rsidR="00640C93">
        <w:t>with the same 2.5 cm wall thickness</w:t>
      </w:r>
      <w:r w:rsidR="0056284E">
        <w:t xml:space="preserve"> was used in</w:t>
      </w:r>
      <w:r w:rsidR="004A45AA">
        <w:t>s</w:t>
      </w:r>
      <w:r w:rsidR="0056284E">
        <w:t>tead</w:t>
      </w:r>
      <w:r w:rsidR="00640C93">
        <w:t xml:space="preserve"> (</w:t>
      </w:r>
      <w:r w:rsidR="00640C93">
        <w:fldChar w:fldCharType="begin"/>
      </w:r>
      <w:r w:rsidR="00640C93">
        <w:instrText xml:space="preserve"> REF _Ref72702481 \h </w:instrText>
      </w:r>
      <w:r w:rsidR="00640C93">
        <w:fldChar w:fldCharType="separate"/>
      </w:r>
      <w:r w:rsidR="00183CC8">
        <w:t xml:space="preserve">Figure </w:t>
      </w:r>
      <w:r w:rsidR="00183CC8">
        <w:rPr>
          <w:noProof/>
        </w:rPr>
        <w:t>3</w:t>
      </w:r>
      <w:r w:rsidR="00183CC8">
        <w:t>.</w:t>
      </w:r>
      <w:r w:rsidR="00183CC8">
        <w:rPr>
          <w:noProof/>
        </w:rPr>
        <w:t>17</w:t>
      </w:r>
      <w:r w:rsidR="00640C93">
        <w:fldChar w:fldCharType="end"/>
      </w:r>
      <w:r w:rsidR="00640C93">
        <w:t>a).</w:t>
      </w:r>
      <w:r w:rsidR="00363107">
        <w:t xml:space="preserve"> The modular heating block with the cryotubes was cooled down with LN</w:t>
      </w:r>
      <w:r w:rsidR="00363107">
        <w:rPr>
          <w:vertAlign w:val="subscript"/>
        </w:rPr>
        <w:t>2</w:t>
      </w:r>
      <w:r w:rsidR="00363107">
        <w:t xml:space="preserve"> and inserted into the foam box. </w:t>
      </w:r>
      <w:r w:rsidR="00B75433">
        <w:t xml:space="preserve">The block rested on its side to allow </w:t>
      </w:r>
      <w:r w:rsidR="00B03128">
        <w:t>a thorough mix of</w:t>
      </w:r>
      <w:r w:rsidR="00B75433">
        <w:t xml:space="preserve"> the FS medium and </w:t>
      </w:r>
      <w:r w:rsidR="00B03128">
        <w:t xml:space="preserve">the </w:t>
      </w:r>
      <w:r w:rsidR="00B75433">
        <w:t xml:space="preserve">flat carriers. </w:t>
      </w:r>
      <w:r w:rsidR="00831514">
        <w:t>Paper roll</w:t>
      </w:r>
      <w:r w:rsidR="00363107">
        <w:t xml:space="preserve"> was added </w:t>
      </w:r>
      <w:r w:rsidR="00A16EB7">
        <w:t xml:space="preserve">around the heating block </w:t>
      </w:r>
      <w:r w:rsidR="00363107">
        <w:t>to make sure that the cryotubes did not fall out with the movement of the shaker</w:t>
      </w:r>
      <w:r w:rsidR="005A2673">
        <w:t xml:space="preserve"> (</w:t>
      </w:r>
      <w:r w:rsidR="005A2673">
        <w:fldChar w:fldCharType="begin"/>
      </w:r>
      <w:r w:rsidR="005A2673">
        <w:instrText xml:space="preserve"> REF _Ref72702481 \h </w:instrText>
      </w:r>
      <w:r w:rsidR="005A2673">
        <w:fldChar w:fldCharType="separate"/>
      </w:r>
      <w:r w:rsidR="00183CC8">
        <w:t xml:space="preserve">Figure </w:t>
      </w:r>
      <w:r w:rsidR="00183CC8">
        <w:rPr>
          <w:noProof/>
        </w:rPr>
        <w:t>3</w:t>
      </w:r>
      <w:r w:rsidR="00183CC8">
        <w:t>.</w:t>
      </w:r>
      <w:r w:rsidR="00183CC8">
        <w:rPr>
          <w:noProof/>
        </w:rPr>
        <w:t>17</w:t>
      </w:r>
      <w:r w:rsidR="005A2673">
        <w:fldChar w:fldCharType="end"/>
      </w:r>
      <w:r w:rsidR="005A2673">
        <w:t>a)</w:t>
      </w:r>
      <w:r w:rsidR="00363107">
        <w:t>.</w:t>
      </w:r>
      <w:r w:rsidR="002D5640">
        <w:t xml:space="preserve"> Two different types of </w:t>
      </w:r>
      <w:r w:rsidR="00A77F3D">
        <w:t>self-standing cryotubes</w:t>
      </w:r>
      <w:r w:rsidR="002D5640">
        <w:t xml:space="preserve"> with an O-ring seal where tested</w:t>
      </w:r>
      <w:r w:rsidR="00C56989">
        <w:t xml:space="preserve">. As one of them leaked, </w:t>
      </w:r>
      <w:r w:rsidR="00957602">
        <w:t>it is</w:t>
      </w:r>
      <w:r w:rsidR="00C56989">
        <w:t xml:space="preserve"> </w:t>
      </w:r>
      <w:r w:rsidR="00D3300E">
        <w:t>recommended</w:t>
      </w:r>
      <w:r w:rsidR="00C56989">
        <w:t xml:space="preserve"> </w:t>
      </w:r>
      <w:r w:rsidR="00957602">
        <w:t>to run</w:t>
      </w:r>
      <w:r w:rsidR="00C56989">
        <w:t xml:space="preserve"> a test in </w:t>
      </w:r>
      <w:r w:rsidR="00C56989" w:rsidRPr="00C56989">
        <w:t>LN</w:t>
      </w:r>
      <w:r w:rsidR="00C56989" w:rsidRPr="00C56989">
        <w:rPr>
          <w:vertAlign w:val="subscript"/>
        </w:rPr>
        <w:t>2</w:t>
      </w:r>
      <w:r w:rsidR="00C56989">
        <w:t xml:space="preserve"> beforehand. </w:t>
      </w:r>
      <w:r w:rsidR="00AF00E2" w:rsidRPr="00C56989">
        <w:t>McDonald</w:t>
      </w:r>
      <w:r w:rsidR="00AF00E2">
        <w:t xml:space="preserve"> &amp; Webb indicate that the temperature should reach 0 </w:t>
      </w:r>
      <w:r w:rsidR="00AF00E2">
        <w:rPr>
          <w:rFonts w:ascii="Calibri" w:hAnsi="Calibri" w:cs="Calibri"/>
        </w:rPr>
        <w:t>°</w:t>
      </w:r>
      <w:r w:rsidR="00AF00E2">
        <w:t xml:space="preserve">C at approximately 80-85 min, however </w:t>
      </w:r>
      <w:r w:rsidR="00000510">
        <w:t>when tested</w:t>
      </w:r>
      <w:r w:rsidR="00DF6C86">
        <w:t>,</w:t>
      </w:r>
      <w:r w:rsidR="009E77B5">
        <w:t xml:space="preserve"> this point</w:t>
      </w:r>
      <w:r w:rsidR="00000510">
        <w:t xml:space="preserve"> was reached</w:t>
      </w:r>
      <w:r w:rsidR="00AF00E2">
        <w:t xml:space="preserve"> after ~ </w:t>
      </w:r>
      <w:r w:rsidR="00946059">
        <w:t>222 min</w:t>
      </w:r>
      <w:r w:rsidR="0034525E">
        <w:t xml:space="preserve"> (</w:t>
      </w:r>
      <w:r w:rsidR="0034525E">
        <w:fldChar w:fldCharType="begin"/>
      </w:r>
      <w:r w:rsidR="0034525E">
        <w:instrText xml:space="preserve"> REF _Ref72702481 \h </w:instrText>
      </w:r>
      <w:r w:rsidR="0034525E">
        <w:fldChar w:fldCharType="separate"/>
      </w:r>
      <w:r w:rsidR="00183CC8">
        <w:t xml:space="preserve">Figure </w:t>
      </w:r>
      <w:r w:rsidR="00183CC8">
        <w:rPr>
          <w:noProof/>
        </w:rPr>
        <w:t>3</w:t>
      </w:r>
      <w:r w:rsidR="00183CC8">
        <w:t>.</w:t>
      </w:r>
      <w:r w:rsidR="00183CC8">
        <w:rPr>
          <w:noProof/>
        </w:rPr>
        <w:t>17</w:t>
      </w:r>
      <w:r w:rsidR="0034525E">
        <w:fldChar w:fldCharType="end"/>
      </w:r>
      <w:r w:rsidR="0061288B">
        <w:t>b</w:t>
      </w:r>
      <w:r w:rsidR="0034525E">
        <w:t>)</w:t>
      </w:r>
      <w:r w:rsidR="00AF00E2">
        <w:t>.</w:t>
      </w:r>
      <w:r w:rsidR="00B31387">
        <w:t xml:space="preserve"> This showed a delay of 137 min indicating that </w:t>
      </w:r>
      <w:r w:rsidR="00D3300E">
        <w:t>this attempt</w:t>
      </w:r>
      <w:r w:rsidR="00B31387">
        <w:t xml:space="preserve"> was not successful. Overall,</w:t>
      </w:r>
      <w:r w:rsidR="00946059">
        <w:t xml:space="preserve"> </w:t>
      </w:r>
      <w:r w:rsidR="00B31387">
        <w:t xml:space="preserve">the standard </w:t>
      </w:r>
      <w:r w:rsidR="00946059">
        <w:t xml:space="preserve">FS process </w:t>
      </w:r>
      <w:r w:rsidR="00B31387">
        <w:t xml:space="preserve">that lasts </w:t>
      </w:r>
      <w:r w:rsidR="00946059">
        <w:t xml:space="preserve">65 or 47 h, </w:t>
      </w:r>
      <w:r w:rsidR="00B31387">
        <w:t>was reduced to 5 h. This is definitely an improvement, but it was decided to push further and try to reduce it to the 1.5 h achieved by McDonald &amp; Webb.</w:t>
      </w:r>
    </w:p>
    <w:p w14:paraId="3D002F53" w14:textId="1E366B63" w:rsidR="00236CF4" w:rsidRDefault="00477CC6" w:rsidP="00182281">
      <w:pPr>
        <w:sectPr w:rsidR="00236CF4" w:rsidSect="004D0E05">
          <w:pgSz w:w="11906" w:h="16838"/>
          <w:pgMar w:top="1191" w:right="1247" w:bottom="1191" w:left="1247" w:header="709" w:footer="709" w:gutter="0"/>
          <w:cols w:space="708"/>
          <w:titlePg/>
          <w:docGrid w:linePitch="360"/>
        </w:sectPr>
      </w:pPr>
      <w:r>
        <w:t>For the second attempt,</w:t>
      </w:r>
      <w:r w:rsidR="00640C93">
        <w:t xml:space="preserve"> a narrower box with thinner walls</w:t>
      </w:r>
      <w:r>
        <w:t xml:space="preserve"> was chosen</w:t>
      </w:r>
      <w:r w:rsidR="00640C93">
        <w:t>.</w:t>
      </w:r>
      <w:r w:rsidR="004551D8">
        <w:t xml:space="preserve"> This time it was also decided not to use </w:t>
      </w:r>
      <w:r w:rsidR="00831514">
        <w:t>paper</w:t>
      </w:r>
      <w:r w:rsidR="004551D8">
        <w:t xml:space="preserve"> to </w:t>
      </w:r>
      <w:r w:rsidR="00F67418">
        <w:t>hold</w:t>
      </w:r>
      <w:r w:rsidR="004551D8">
        <w:t xml:space="preserve"> the block in place, </w:t>
      </w:r>
      <w:r w:rsidR="00377CBC">
        <w:t xml:space="preserve">to speed up the </w:t>
      </w:r>
      <w:r w:rsidR="0010781C">
        <w:t xml:space="preserve">increase in </w:t>
      </w:r>
      <w:r w:rsidR="00377CBC">
        <w:t>temperature</w:t>
      </w:r>
      <w:r w:rsidR="004551D8">
        <w:t>. The box was place</w:t>
      </w:r>
      <w:r w:rsidR="00FE1078">
        <w:t>d</w:t>
      </w:r>
      <w:r w:rsidR="004551D8">
        <w:t xml:space="preserve"> on its side with the opening right next to the wall of the box (</w:t>
      </w:r>
      <w:r w:rsidR="004551D8">
        <w:fldChar w:fldCharType="begin"/>
      </w:r>
      <w:r w:rsidR="004551D8">
        <w:instrText xml:space="preserve"> REF _Ref72702481 \h </w:instrText>
      </w:r>
      <w:r w:rsidR="004551D8">
        <w:fldChar w:fldCharType="separate"/>
      </w:r>
      <w:r w:rsidR="00183CC8">
        <w:t xml:space="preserve">Figure </w:t>
      </w:r>
      <w:r w:rsidR="00183CC8">
        <w:rPr>
          <w:noProof/>
        </w:rPr>
        <w:t>3</w:t>
      </w:r>
      <w:r w:rsidR="00183CC8">
        <w:t>.</w:t>
      </w:r>
      <w:r w:rsidR="00183CC8">
        <w:rPr>
          <w:noProof/>
        </w:rPr>
        <w:t>17</w:t>
      </w:r>
      <w:r w:rsidR="004551D8">
        <w:fldChar w:fldCharType="end"/>
      </w:r>
      <w:r w:rsidR="005D3641">
        <w:t>c</w:t>
      </w:r>
      <w:r w:rsidR="004551D8">
        <w:t>).</w:t>
      </w:r>
      <w:r w:rsidR="00EF4A31">
        <w:t xml:space="preserve"> Because of the weight of the block and the opening facing the wall, any movement did not result in the cryotubes falling out.</w:t>
      </w:r>
      <w:r w:rsidR="005D3641">
        <w:t xml:space="preserve"> These changes resulted in the SQFS </w:t>
      </w:r>
      <w:r w:rsidR="002D02B2">
        <w:t>2</w:t>
      </w:r>
      <w:r w:rsidR="002D02B2" w:rsidRPr="002D02B2">
        <w:rPr>
          <w:vertAlign w:val="superscript"/>
        </w:rPr>
        <w:t>nd</w:t>
      </w:r>
      <w:r w:rsidR="002D02B2">
        <w:t xml:space="preserve"> </w:t>
      </w:r>
      <w:r w:rsidR="005D3641">
        <w:t>test being 100 min faster than test 1 (</w:t>
      </w:r>
      <w:r w:rsidR="005D3641">
        <w:fldChar w:fldCharType="begin"/>
      </w:r>
      <w:r w:rsidR="005D3641">
        <w:instrText xml:space="preserve"> REF _Ref72702481 \h </w:instrText>
      </w:r>
      <w:r w:rsidR="005D3641">
        <w:fldChar w:fldCharType="separate"/>
      </w:r>
      <w:r w:rsidR="00183CC8">
        <w:t xml:space="preserve">Figure </w:t>
      </w:r>
      <w:r w:rsidR="00183CC8">
        <w:rPr>
          <w:noProof/>
        </w:rPr>
        <w:t>3</w:t>
      </w:r>
      <w:r w:rsidR="00183CC8">
        <w:t>.</w:t>
      </w:r>
      <w:r w:rsidR="00183CC8">
        <w:rPr>
          <w:noProof/>
        </w:rPr>
        <w:t>17</w:t>
      </w:r>
      <w:r w:rsidR="005D3641">
        <w:fldChar w:fldCharType="end"/>
      </w:r>
      <w:r w:rsidR="005D3641">
        <w:t>d)</w:t>
      </w:r>
      <w:r w:rsidR="00C44327">
        <w:t xml:space="preserve">. </w:t>
      </w:r>
      <w:r w:rsidR="002D02B2">
        <w:t>This</w:t>
      </w:r>
      <w:r w:rsidR="00EA373E">
        <w:t xml:space="preserve"> modified</w:t>
      </w:r>
      <w:r w:rsidR="00C44327">
        <w:t xml:space="preserve"> setup </w:t>
      </w:r>
      <w:r w:rsidR="00290BDB">
        <w:t xml:space="preserve">achieved a </w:t>
      </w:r>
      <w:r w:rsidR="00C44327">
        <w:t>SQFS of 3</w:t>
      </w:r>
      <w:r w:rsidR="005E7AFD">
        <w:t>:20</w:t>
      </w:r>
      <w:r w:rsidR="00C44327">
        <w:t xml:space="preserve"> hours, closer to </w:t>
      </w:r>
      <w:r w:rsidR="005743D2">
        <w:t xml:space="preserve">Dr. </w:t>
      </w:r>
      <w:r w:rsidR="00C44327">
        <w:t xml:space="preserve">Kent McDonald’s 3 h QFS attempt, but far from the </w:t>
      </w:r>
      <w:r w:rsidR="005E7AFD">
        <w:t>90 min</w:t>
      </w:r>
      <w:r w:rsidR="00C44327">
        <w:t xml:space="preserve"> SQFS protocol.</w:t>
      </w:r>
      <w:r w:rsidR="002E45A7">
        <w:t xml:space="preserve"> Find</w:t>
      </w:r>
      <w:r w:rsidR="002F28BC">
        <w:t>ing</w:t>
      </w:r>
      <w:r w:rsidR="002E45A7">
        <w:t xml:space="preserve"> a foam box closer to the dimensions used by him could help reduce </w:t>
      </w:r>
      <w:r w:rsidR="00290BDB">
        <w:t>the overall</w:t>
      </w:r>
      <w:r w:rsidR="002E45A7">
        <w:t xml:space="preserve"> timing.</w:t>
      </w:r>
    </w:p>
    <w:p w14:paraId="737E317E" w14:textId="07770BA4" w:rsidR="00CE33AD" w:rsidRDefault="00054D44" w:rsidP="006D67A7">
      <w:pPr>
        <w:jc w:val="center"/>
      </w:pPr>
      <w:r>
        <w:rPr>
          <w:noProof/>
        </w:rPr>
        <w:lastRenderedPageBreak/>
        <w:drawing>
          <wp:inline distT="0" distB="0" distL="0" distR="0" wp14:anchorId="67BCB3E8" wp14:editId="309811C9">
            <wp:extent cx="3771740" cy="3075709"/>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784349" cy="3085991"/>
                    </a:xfrm>
                    <a:prstGeom prst="rect">
                      <a:avLst/>
                    </a:prstGeom>
                  </pic:spPr>
                </pic:pic>
              </a:graphicData>
            </a:graphic>
          </wp:inline>
        </w:drawing>
      </w:r>
    </w:p>
    <w:p w14:paraId="3F117563" w14:textId="063E4822" w:rsidR="00054D44" w:rsidRDefault="00CE33AD" w:rsidP="008A2B86">
      <w:pPr>
        <w:pStyle w:val="Caption"/>
      </w:pPr>
      <w:bookmarkStart w:id="537" w:name="_Ref72750363"/>
      <w:bookmarkStart w:id="538" w:name="_Toc90216951"/>
      <w:r>
        <w:t xml:space="preserve">Figure </w:t>
      </w:r>
      <w:r w:rsidR="003373BF">
        <w:fldChar w:fldCharType="begin"/>
      </w:r>
      <w:r w:rsidR="003373BF">
        <w:instrText xml:space="preserve"> STYLEREF 1 \s </w:instrText>
      </w:r>
      <w:r w:rsidR="003373BF">
        <w:fldChar w:fldCharType="separate"/>
      </w:r>
      <w:r w:rsidR="00183CC8">
        <w:rPr>
          <w:noProof/>
        </w:rPr>
        <w:t>3</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16</w:t>
      </w:r>
      <w:r w:rsidR="003373BF">
        <w:rPr>
          <w:noProof/>
        </w:rPr>
        <w:fldChar w:fldCharType="end"/>
      </w:r>
      <w:bookmarkEnd w:id="537"/>
      <w:r>
        <w:t xml:space="preserve"> Leica AFS 2 programmes.</w:t>
      </w:r>
      <w:bookmarkEnd w:id="538"/>
    </w:p>
    <w:p w14:paraId="5D9C5E45" w14:textId="2BDAC64F" w:rsidR="00CE33AD" w:rsidRPr="00CE33AD" w:rsidRDefault="00CE33AD" w:rsidP="00CE33AD">
      <w:pPr>
        <w:pStyle w:val="NoSpacing"/>
        <w:sectPr w:rsidR="00CE33AD" w:rsidRPr="00CE33AD" w:rsidSect="004D0E05">
          <w:pgSz w:w="11906" w:h="16838"/>
          <w:pgMar w:top="1191" w:right="1247" w:bottom="1191" w:left="1247" w:header="709" w:footer="709" w:gutter="0"/>
          <w:cols w:space="708"/>
          <w:titlePg/>
          <w:docGrid w:linePitch="360"/>
        </w:sectPr>
      </w:pPr>
      <w:r>
        <w:rPr>
          <w:b/>
          <w:bCs/>
        </w:rPr>
        <w:t>(A)</w:t>
      </w:r>
      <w:r>
        <w:t xml:space="preserve"> </w:t>
      </w:r>
      <w:r w:rsidR="006C5D18">
        <w:t xml:space="preserve">FS programme obtained from Matias &amp; Beveridge (2006) </w:t>
      </w:r>
      <w:r w:rsidR="006C5D18">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e2b25489-46ff-4a6e-b016-855e621d8c6c"]}],"mendeley":{"formattedCitation":"&lt;sup&gt;[16]&lt;/sup&gt;","plainTextFormattedCitation":"[16]","previouslyFormattedCitation":"&lt;sup&gt;[16]&lt;/sup&gt;"},"properties":{"noteIndex":0},"schema":"https://github.com/citation-style-language/schema/raw/master/csl-citation.json"}</w:instrText>
      </w:r>
      <w:r w:rsidR="006C5D18">
        <w:fldChar w:fldCharType="separate"/>
      </w:r>
      <w:r w:rsidR="00DA0A83" w:rsidRPr="00DA0A83">
        <w:rPr>
          <w:noProof/>
          <w:vertAlign w:val="superscript"/>
        </w:rPr>
        <w:t>[16]</w:t>
      </w:r>
      <w:r w:rsidR="006C5D18">
        <w:fldChar w:fldCharType="end"/>
      </w:r>
      <w:r w:rsidR="006C5D18">
        <w:t xml:space="preserve"> lastin</w:t>
      </w:r>
      <w:r w:rsidR="00BA4BB9">
        <w:t>g</w:t>
      </w:r>
      <w:r w:rsidR="006C5D18">
        <w:t xml:space="preserve"> ~ 65 h. </w:t>
      </w:r>
      <w:r w:rsidR="006C5D18">
        <w:rPr>
          <w:b/>
          <w:bCs/>
        </w:rPr>
        <w:t>(B)</w:t>
      </w:r>
      <w:r w:rsidR="006C5D18">
        <w:t xml:space="preserve"> FS programme suggested by Dr. Fr</w:t>
      </w:r>
      <w:r w:rsidR="006C5D18" w:rsidRPr="00CE33AD">
        <w:t>édéric L</w:t>
      </w:r>
      <w:r w:rsidR="006C5D18">
        <w:t>aroux from Leica Microsystems, lasting ~ 47 h.</w:t>
      </w:r>
    </w:p>
    <w:p w14:paraId="0784301E" w14:textId="78B5481C" w:rsidR="00A52D84" w:rsidRDefault="00A52D84" w:rsidP="00545A17">
      <w:pPr>
        <w:keepNext/>
        <w:jc w:val="center"/>
      </w:pPr>
      <w:r>
        <w:rPr>
          <w:noProof/>
        </w:rPr>
        <w:lastRenderedPageBreak/>
        <w:drawing>
          <wp:inline distT="0" distB="0" distL="0" distR="0" wp14:anchorId="7284A47B" wp14:editId="4FCB41A1">
            <wp:extent cx="7119953" cy="5305425"/>
            <wp:effectExtent l="0" t="0" r="508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177306" cy="5348161"/>
                    </a:xfrm>
                    <a:prstGeom prst="rect">
                      <a:avLst/>
                    </a:prstGeom>
                  </pic:spPr>
                </pic:pic>
              </a:graphicData>
            </a:graphic>
          </wp:inline>
        </w:drawing>
      </w:r>
    </w:p>
    <w:p w14:paraId="621465A5" w14:textId="7EC410C6" w:rsidR="00182281" w:rsidRDefault="00A52D84" w:rsidP="008A2B86">
      <w:pPr>
        <w:pStyle w:val="Caption"/>
      </w:pPr>
      <w:bookmarkStart w:id="539" w:name="_Ref72702481"/>
      <w:bookmarkStart w:id="540" w:name="_Toc90216952"/>
      <w:r>
        <w:t xml:space="preserve">Figure </w:t>
      </w:r>
      <w:r w:rsidR="003373BF">
        <w:fldChar w:fldCharType="begin"/>
      </w:r>
      <w:r w:rsidR="003373BF">
        <w:instrText xml:space="preserve"> STYLEREF 1 \s </w:instrText>
      </w:r>
      <w:r w:rsidR="003373BF">
        <w:fldChar w:fldCharType="separate"/>
      </w:r>
      <w:r w:rsidR="00183CC8">
        <w:rPr>
          <w:noProof/>
        </w:rPr>
        <w:t>3</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17</w:t>
      </w:r>
      <w:r w:rsidR="003373BF">
        <w:rPr>
          <w:noProof/>
        </w:rPr>
        <w:fldChar w:fldCharType="end"/>
      </w:r>
      <w:bookmarkEnd w:id="539"/>
      <w:r>
        <w:t xml:space="preserve"> </w:t>
      </w:r>
      <w:r w:rsidR="00F00047">
        <w:t>Super q</w:t>
      </w:r>
      <w:r>
        <w:t>uick freeze-substitution setup</w:t>
      </w:r>
      <w:r w:rsidR="00F00047">
        <w:t xml:space="preserve"> and test runs</w:t>
      </w:r>
      <w:r>
        <w:t>.</w:t>
      </w:r>
      <w:bookmarkEnd w:id="540"/>
    </w:p>
    <w:p w14:paraId="0A35C737" w14:textId="0507AD6A" w:rsidR="00AF3D21" w:rsidRDefault="00A52D84" w:rsidP="00A52D84">
      <w:pPr>
        <w:pStyle w:val="NoSpacing"/>
        <w:sectPr w:rsidR="00AF3D21" w:rsidSect="00B67239">
          <w:pgSz w:w="16838" w:h="11906" w:orient="landscape"/>
          <w:pgMar w:top="1247" w:right="1191" w:bottom="1247" w:left="1191" w:header="709" w:footer="709" w:gutter="0"/>
          <w:cols w:space="708"/>
          <w:titlePg/>
          <w:docGrid w:linePitch="360"/>
        </w:sectPr>
      </w:pPr>
      <w:r>
        <w:t xml:space="preserve">Set up </w:t>
      </w:r>
      <w:r w:rsidR="00E64A23">
        <w:t xml:space="preserve">and test runs </w:t>
      </w:r>
      <w:r>
        <w:t xml:space="preserve">for </w:t>
      </w:r>
      <w:r w:rsidR="00E64A23">
        <w:t xml:space="preserve">super </w:t>
      </w:r>
      <w:r>
        <w:t>quick freeze-substitution (</w:t>
      </w:r>
      <w:r w:rsidR="00E64A23">
        <w:t>S</w:t>
      </w:r>
      <w:r>
        <w:t xml:space="preserve">QFS) for </w:t>
      </w:r>
      <w:r>
        <w:rPr>
          <w:b/>
          <w:bCs/>
        </w:rPr>
        <w:t>(A-B)</w:t>
      </w:r>
      <w:r>
        <w:t xml:space="preserve"> test 1 and </w:t>
      </w:r>
      <w:r>
        <w:rPr>
          <w:b/>
          <w:bCs/>
        </w:rPr>
        <w:t>(C-D)</w:t>
      </w:r>
      <w:r>
        <w:t xml:space="preserve"> test 2.</w:t>
      </w:r>
      <w:r w:rsidR="003F59E1">
        <w:t xml:space="preserve"> Set up obtained from McDonald &amp; Webb (2011) </w:t>
      </w:r>
      <w:r w:rsidR="003F59E1">
        <w:fldChar w:fldCharType="begin" w:fldLock="1"/>
      </w:r>
      <w:r w:rsidR="0058736C">
        <w:instrText>ADDIN CSL_CITATION {"citationItems":[{"id":"ITEM-1","itemData":{"DOI":"10.1111/j.1365-2818.2011.03526.x","author":[{"dropping-particle":"","family":"Mcdonald","given":"K L","non-dropping-particle":"","parse-names":false,"suffix":""},{"dropping-particle":"","family":"Webb","given":"R I","non-dropping-particle":"","parse-names":false,"suffix":""}],"container-title":"Journal of Microscopy","id":"ITEM-1","issue":"March","issued":{"date-parts":[["2011"]]},"page":"227-233","title":"Freeze substitution in 3 hours or less","type":"article-journal","volume":"243"},"uris":["http://www.mendeley.com/documents/?uuid=9ff483a3-13a9-477e-90cb-f250a2166d02"]}],"mendeley":{"formattedCitation":"&lt;sup&gt;[240]&lt;/sup&gt;","plainTextFormattedCitation":"[240]","previouslyFormattedCitation":"&lt;sup&gt;[240]&lt;/sup&gt;"},"properties":{"noteIndex":0},"schema":"https://github.com/citation-style-language/schema/raw/master/csl-citation.json"}</w:instrText>
      </w:r>
      <w:r w:rsidR="003F59E1">
        <w:fldChar w:fldCharType="separate"/>
      </w:r>
      <w:r w:rsidR="002659E5" w:rsidRPr="002659E5">
        <w:rPr>
          <w:noProof/>
          <w:vertAlign w:val="superscript"/>
        </w:rPr>
        <w:t>[240]</w:t>
      </w:r>
      <w:r w:rsidR="003F59E1">
        <w:fldChar w:fldCharType="end"/>
      </w:r>
      <w:r w:rsidR="003F59E1">
        <w:t>.</w:t>
      </w:r>
    </w:p>
    <w:p w14:paraId="79F8DB57" w14:textId="09D495FA" w:rsidR="004B0C7E" w:rsidRDefault="00FA34C9" w:rsidP="004B0C7E">
      <w:pPr>
        <w:pStyle w:val="Heading3"/>
      </w:pPr>
      <w:bookmarkStart w:id="541" w:name="_Toc64276357"/>
      <w:bookmarkStart w:id="542" w:name="_Toc64276661"/>
      <w:bookmarkStart w:id="543" w:name="_Toc64276873"/>
      <w:bookmarkStart w:id="544" w:name="_Toc90216870"/>
      <w:r>
        <w:lastRenderedPageBreak/>
        <w:t>Rapid</w:t>
      </w:r>
      <w:r w:rsidR="004B0C7E" w:rsidRPr="005B0F81">
        <w:t xml:space="preserve"> infiltration</w:t>
      </w:r>
      <w:r>
        <w:t xml:space="preserve"> and </w:t>
      </w:r>
      <w:bookmarkEnd w:id="541"/>
      <w:bookmarkEnd w:id="542"/>
      <w:bookmarkEnd w:id="543"/>
      <w:r w:rsidR="00105A84">
        <w:t>polymerisation</w:t>
      </w:r>
      <w:r>
        <w:t xml:space="preserve"> for FS</w:t>
      </w:r>
      <w:r w:rsidR="007006CC">
        <w:t>.</w:t>
      </w:r>
      <w:bookmarkEnd w:id="544"/>
    </w:p>
    <w:p w14:paraId="361357A1" w14:textId="6114745B" w:rsidR="007D6480" w:rsidRDefault="00441D16" w:rsidP="007D6480">
      <w:r>
        <w:t>Conventional</w:t>
      </w:r>
      <w:r w:rsidR="006E2F95">
        <w:t xml:space="preserve"> </w:t>
      </w:r>
      <w:r>
        <w:t>infiltration</w:t>
      </w:r>
      <w:r w:rsidR="003C0FBE">
        <w:t xml:space="preserve"> and polymerisation</w:t>
      </w:r>
      <w:r>
        <w:t xml:space="preserve"> lasts </w:t>
      </w:r>
      <w:r w:rsidR="006E2F95">
        <w:t>2</w:t>
      </w:r>
      <w:r>
        <w:t xml:space="preserve"> days</w:t>
      </w:r>
      <w:r w:rsidR="006E2F95">
        <w:t xml:space="preserve"> </w:t>
      </w:r>
      <w:r w:rsidR="003C0FBE">
        <w:t>and</w:t>
      </w:r>
      <w:r w:rsidR="006E2F95">
        <w:t xml:space="preserve"> 2-3 days </w:t>
      </w:r>
      <w:r w:rsidR="003C0FBE">
        <w:t>respectively</w:t>
      </w:r>
      <w:r w:rsidR="006E2F95">
        <w:t>.</w:t>
      </w:r>
      <w:r>
        <w:t xml:space="preserve"> In an attempt to speed up this </w:t>
      </w:r>
      <w:r w:rsidR="00AA49A9">
        <w:t>process</w:t>
      </w:r>
      <w:r>
        <w:t xml:space="preserve">, a </w:t>
      </w:r>
      <w:r w:rsidR="006E2F95">
        <w:t xml:space="preserve">protocol of </w:t>
      </w:r>
      <w:r>
        <w:t xml:space="preserve">rapid infiltration </w:t>
      </w:r>
      <w:r w:rsidR="006E2F95">
        <w:t>and rapid embedding of 3 h each was tested</w:t>
      </w:r>
      <w:r w:rsidR="00582756">
        <w:t xml:space="preserve"> </w:t>
      </w:r>
      <w:r w:rsidR="00582756">
        <w:fldChar w:fldCharType="begin" w:fldLock="1"/>
      </w:r>
      <w:r w:rsidR="0058736C">
        <w:instrText>ADDIN CSL_CITATION {"citationItems":[{"id":"ITEM-1","itemData":{"DOI":"10.1017/S1431927613013846","ISSN":"14358115","PMID":"24252586","abstract":"A variety of specimens including bacteria, ciliates, choanoflagellates (Salpingoeca rosetta), zebrafish (Danio rerio) embryos, nematode worms (Caenorhabditis elegans), and leaves of white clover (Trifolium repens) plants were high pressure frozen, freeze-substituted, infiltrated with either Epon, Epon-Araldite, or LR White resins, and polymerized. Total processing time from freezing to blocks ready to section was about 6 h. For epoxy embedding the specimens were freeze-substituted in 1% osmium tetroxide plus 0.1% uranyl acetate in acetone. For embedding in LR White the freeze-substitution medium was 0.2% uranyl acetate in acetone. Rapid infiltration was achieved by centrifugation through increasing concentrations of resin followed by polymerization at 100°C for 1.5-2 h. The preservation of ultrastructure was comparable to standard freeze substitution and resin embedding methods that take days to complete. On-section immunolabeling results for actin and tubulin molecules were positive with very low background labeling. The LR White methods offer a safer, quicker, and less-expensive alternative to Lowicryl embedding of specimens processed for on-section immunolabeling without traditional aldehyde fixatives. © Microscopy Society of America 2014.","author":[{"dropping-particle":"","family":"McDonald","given":"Kent L.","non-dropping-particle":"","parse-names":false,"suffix":""}],"container-title":"Microscopy and Microanalysis","id":"ITEM-1","issue":"1","issued":{"date-parts":[["2014"]]},"page":"152-163","title":"Rapid embedding methods into epoxy and LR white resins for morphological and immunological analysis of cryofixed biological specimens","type":"article-journal","volume":"20"},"uris":["http://www.mendeley.com/documents/?uuid=8f6950fe-fd6b-4fc1-8c6e-9eae39ad1a5a"]}],"mendeley":{"formattedCitation":"&lt;sup&gt;[241]&lt;/sup&gt;","plainTextFormattedCitation":"[241]","previouslyFormattedCitation":"&lt;sup&gt;[241]&lt;/sup&gt;"},"properties":{"noteIndex":0},"schema":"https://github.com/citation-style-language/schema/raw/master/csl-citation.json"}</w:instrText>
      </w:r>
      <w:r w:rsidR="00582756">
        <w:fldChar w:fldCharType="separate"/>
      </w:r>
      <w:r w:rsidR="002659E5" w:rsidRPr="002659E5">
        <w:rPr>
          <w:noProof/>
          <w:vertAlign w:val="superscript"/>
        </w:rPr>
        <w:t>[241]</w:t>
      </w:r>
      <w:r w:rsidR="00582756">
        <w:fldChar w:fldCharType="end"/>
      </w:r>
      <w:r w:rsidR="006E2F95">
        <w:t>.</w:t>
      </w:r>
    </w:p>
    <w:p w14:paraId="7182605D" w14:textId="70C4C417" w:rsidR="0069484F" w:rsidRDefault="00F57E97" w:rsidP="007D6480">
      <w:r>
        <w:t xml:space="preserve">After FS, the </w:t>
      </w:r>
      <w:r w:rsidR="00C168E3">
        <w:t>medium</w:t>
      </w:r>
      <w:r>
        <w:t xml:space="preserve"> was</w:t>
      </w:r>
      <w:r w:rsidR="00534465">
        <w:t xml:space="preserve"> rinsed with</w:t>
      </w:r>
      <w:r>
        <w:t xml:space="preserve"> pure acetone, followed by another 3 washes</w:t>
      </w:r>
      <w:r w:rsidR="00D349E0">
        <w:t xml:space="preserve"> of 10 min each</w:t>
      </w:r>
      <w:r>
        <w:t xml:space="preserve">. Samples were removed from the flat carriers with the help of a cut pipette tip, as shown in </w:t>
      </w:r>
      <w:r>
        <w:fldChar w:fldCharType="begin"/>
      </w:r>
      <w:r>
        <w:instrText xml:space="preserve"> REF _Ref72232452 \h </w:instrText>
      </w:r>
      <w:r>
        <w:fldChar w:fldCharType="separate"/>
      </w:r>
      <w:r w:rsidR="00183CC8">
        <w:t xml:space="preserve">Figure </w:t>
      </w:r>
      <w:r w:rsidR="00183CC8">
        <w:rPr>
          <w:noProof/>
        </w:rPr>
        <w:t>3</w:t>
      </w:r>
      <w:r w:rsidR="00183CC8">
        <w:t>.</w:t>
      </w:r>
      <w:r w:rsidR="00183CC8">
        <w:rPr>
          <w:noProof/>
        </w:rPr>
        <w:t>7</w:t>
      </w:r>
      <w:r>
        <w:fldChar w:fldCharType="end"/>
      </w:r>
      <w:r>
        <w:t xml:space="preserve">c. Increasing resin/acetone mixtures were used for infiltration, starting with a 25 % </w:t>
      </w:r>
      <w:r w:rsidR="00080B04">
        <w:t xml:space="preserve">(v/v) </w:t>
      </w:r>
      <w:r>
        <w:t>resin in acetone, followed by 50, 75,</w:t>
      </w:r>
      <w:r w:rsidR="00080B04">
        <w:t xml:space="preserve"> and</w:t>
      </w:r>
      <w:r>
        <w:t xml:space="preserve"> 100 %</w:t>
      </w:r>
      <w:r w:rsidR="00080B04">
        <w:t xml:space="preserve"> (v/v)</w:t>
      </w:r>
      <w:r>
        <w:t>. This last pure resin</w:t>
      </w:r>
      <w:r w:rsidR="00550AEE">
        <w:t xml:space="preserve"> step</w:t>
      </w:r>
      <w:r>
        <w:t xml:space="preserve"> was repeated three times.  </w:t>
      </w:r>
      <w:r w:rsidR="003A0B15">
        <w:t>Re</w:t>
      </w:r>
      <w:r>
        <w:t>-suspension and mixing are critical</w:t>
      </w:r>
      <w:r w:rsidR="003A0B15">
        <w:t xml:space="preserve"> for a rapid infiltration</w:t>
      </w:r>
      <w:r>
        <w:t>. Therefore, the samples with the resin/acetone mixture were sp</w:t>
      </w:r>
      <w:r w:rsidR="00D349E0">
        <w:t>u</w:t>
      </w:r>
      <w:r>
        <w:t>n for 30-60 s at 6000 rpm</w:t>
      </w:r>
      <w:r w:rsidR="00464EFA">
        <w:t xml:space="preserve"> (~ 2000 </w:t>
      </w:r>
      <w:r w:rsidR="00464EFA">
        <w:rPr>
          <w:i/>
          <w:iCs/>
        </w:rPr>
        <w:t>g</w:t>
      </w:r>
      <w:r w:rsidR="00464EFA">
        <w:t>)</w:t>
      </w:r>
      <w:r>
        <w:t>.</w:t>
      </w:r>
      <w:r w:rsidR="000E10A1">
        <w:t xml:space="preserve"> Rapid polymerisation </w:t>
      </w:r>
      <w:r w:rsidR="00127E5A">
        <w:t>occurred</w:t>
      </w:r>
      <w:r w:rsidR="000E10A1">
        <w:t xml:space="preserve"> at 100 </w:t>
      </w:r>
      <w:r w:rsidR="000E10A1">
        <w:rPr>
          <w:rFonts w:ascii="Calibri" w:hAnsi="Calibri" w:cs="Calibri"/>
        </w:rPr>
        <w:t>°</w:t>
      </w:r>
      <w:r w:rsidR="000E10A1">
        <w:t>C, instead of the standard 60 </w:t>
      </w:r>
      <w:r w:rsidR="000E10A1">
        <w:rPr>
          <w:rFonts w:ascii="Calibri" w:hAnsi="Calibri" w:cs="Calibri"/>
        </w:rPr>
        <w:t>°</w:t>
      </w:r>
      <w:r w:rsidR="000E10A1">
        <w:t>C, and it last</w:t>
      </w:r>
      <w:r w:rsidR="007439EF">
        <w:t>ed</w:t>
      </w:r>
      <w:r w:rsidR="000E10A1">
        <w:t xml:space="preserve"> for 2 h for </w:t>
      </w:r>
      <w:r w:rsidR="008D02E9">
        <w:t>epoxy resins or 90 min of LR white resin.</w:t>
      </w:r>
      <w:r w:rsidR="00127E5A">
        <w:t xml:space="preserve"> </w:t>
      </w:r>
      <w:r w:rsidR="00203A19">
        <w:t>These</w:t>
      </w:r>
      <w:r w:rsidR="0069484F">
        <w:t xml:space="preserve"> results</w:t>
      </w:r>
      <w:r w:rsidR="00127E5A">
        <w:t xml:space="preserve"> suggested that</w:t>
      </w:r>
      <w:r w:rsidR="005743D2">
        <w:t xml:space="preserve"> Dr.</w:t>
      </w:r>
      <w:r w:rsidR="00127E5A">
        <w:t xml:space="preserve"> McDonald’s </w:t>
      </w:r>
      <w:r w:rsidR="003A0B15">
        <w:t xml:space="preserve">rapid </w:t>
      </w:r>
      <w:r w:rsidR="00127E5A">
        <w:t xml:space="preserve">protocol </w:t>
      </w:r>
      <w:r w:rsidR="00127E5A">
        <w:fldChar w:fldCharType="begin" w:fldLock="1"/>
      </w:r>
      <w:r w:rsidR="0058736C">
        <w:instrText>ADDIN CSL_CITATION {"citationItems":[{"id":"ITEM-1","itemData":{"DOI":"10.1017/S1431927613013846","ISSN":"14358115","PMID":"24252586","abstract":"A variety of specimens including bacteria, ciliates, choanoflagellates (Salpingoeca rosetta), zebrafish (Danio rerio) embryos, nematode worms (Caenorhabditis elegans), and leaves of white clover (Trifolium repens) plants were high pressure frozen, freeze-substituted, infiltrated with either Epon, Epon-Araldite, or LR White resins, and polymerized. Total processing time from freezing to blocks ready to section was about 6 h. For epoxy embedding the specimens were freeze-substituted in 1% osmium tetroxide plus 0.1% uranyl acetate in acetone. For embedding in LR White the freeze-substitution medium was 0.2% uranyl acetate in acetone. Rapid infiltration was achieved by centrifugation through increasing concentrations of resin followed by polymerization at 100°C for 1.5-2 h. The preservation of ultrastructure was comparable to standard freeze substitution and resin embedding methods that take days to complete. On-section immunolabeling results for actin and tubulin molecules were positive with very low background labeling. The LR White methods offer a safer, quicker, and less-expensive alternative to Lowicryl embedding of specimens processed for on-section immunolabeling without traditional aldehyde fixatives. © Microscopy Society of America 2014.","author":[{"dropping-particle":"","family":"McDonald","given":"Kent L.","non-dropping-particle":"","parse-names":false,"suffix":""}],"container-title":"Microscopy and Microanalysis","id":"ITEM-1","issue":"1","issued":{"date-parts":[["2014"]]},"page":"152-163","title":"Rapid embedding methods into epoxy and LR white resins for morphological and immunological analysis of cryofixed biological specimens","type":"article-journal","volume":"20"},"uris":["http://www.mendeley.com/documents/?uuid=8f6950fe-fd6b-4fc1-8c6e-9eae39ad1a5a"]}],"mendeley":{"formattedCitation":"&lt;sup&gt;[241]&lt;/sup&gt;","plainTextFormattedCitation":"[241]","previouslyFormattedCitation":"&lt;sup&gt;[241]&lt;/sup&gt;"},"properties":{"noteIndex":0},"schema":"https://github.com/citation-style-language/schema/raw/master/csl-citation.json"}</w:instrText>
      </w:r>
      <w:r w:rsidR="00127E5A">
        <w:fldChar w:fldCharType="separate"/>
      </w:r>
      <w:r w:rsidR="002659E5" w:rsidRPr="002659E5">
        <w:rPr>
          <w:noProof/>
          <w:vertAlign w:val="superscript"/>
        </w:rPr>
        <w:t>[241]</w:t>
      </w:r>
      <w:r w:rsidR="00127E5A">
        <w:fldChar w:fldCharType="end"/>
      </w:r>
      <w:r w:rsidR="00127E5A">
        <w:t xml:space="preserve"> can replace the standard protocol. Yet, some of the samples presented the already described issues seen in </w:t>
      </w:r>
      <w:r w:rsidR="00127E5A">
        <w:fldChar w:fldCharType="begin"/>
      </w:r>
      <w:r w:rsidR="00127E5A">
        <w:instrText xml:space="preserve"> REF _Ref72769007 \h </w:instrText>
      </w:r>
      <w:r w:rsidR="00127E5A">
        <w:fldChar w:fldCharType="separate"/>
      </w:r>
      <w:r w:rsidR="00183CC8">
        <w:t xml:space="preserve">Figure </w:t>
      </w:r>
      <w:r w:rsidR="00183CC8">
        <w:rPr>
          <w:noProof/>
        </w:rPr>
        <w:t>3</w:t>
      </w:r>
      <w:r w:rsidR="00183CC8">
        <w:t>.</w:t>
      </w:r>
      <w:r w:rsidR="00183CC8">
        <w:rPr>
          <w:noProof/>
        </w:rPr>
        <w:t>13</w:t>
      </w:r>
      <w:r w:rsidR="00127E5A">
        <w:fldChar w:fldCharType="end"/>
      </w:r>
      <w:r w:rsidR="00127E5A">
        <w:t>, which again could be the consequence of poorly vitrifie</w:t>
      </w:r>
      <w:r w:rsidR="00105A84">
        <w:t>d</w:t>
      </w:r>
      <w:r w:rsidR="00127E5A">
        <w:t xml:space="preserve"> cells. </w:t>
      </w:r>
      <w:r w:rsidR="00881F45">
        <w:t>Hence, i</w:t>
      </w:r>
      <w:r w:rsidR="00127E5A">
        <w:t xml:space="preserve">t is recommended </w:t>
      </w:r>
      <w:r w:rsidR="00881F45">
        <w:t>to</w:t>
      </w:r>
      <w:r w:rsidR="00127E5A">
        <w:t xml:space="preserve"> </w:t>
      </w:r>
      <w:r w:rsidR="00881F45">
        <w:t>repeat this test</w:t>
      </w:r>
      <w:r w:rsidR="00127E5A">
        <w:t xml:space="preserve"> </w:t>
      </w:r>
      <w:r w:rsidR="00881F45">
        <w:t>on chemically fixed samples</w:t>
      </w:r>
      <w:r w:rsidR="00127E5A">
        <w:t xml:space="preserve"> </w:t>
      </w:r>
      <w:r w:rsidR="00D76604">
        <w:t>to remove the HPF factor.</w:t>
      </w:r>
      <w:r w:rsidR="00BC6FD1">
        <w:t xml:space="preserve"> </w:t>
      </w:r>
    </w:p>
    <w:p w14:paraId="2ADF1DC8" w14:textId="3B8A58EF" w:rsidR="007D6480" w:rsidRDefault="007D6480" w:rsidP="007D6480">
      <w:pPr>
        <w:pStyle w:val="Heading3"/>
      </w:pPr>
      <w:bookmarkStart w:id="545" w:name="_Toc90216871"/>
      <w:r>
        <w:t>Freeze-substitution provides better structural preservation than chemical fixation</w:t>
      </w:r>
      <w:r w:rsidR="007006CC">
        <w:t>.</w:t>
      </w:r>
      <w:bookmarkEnd w:id="545"/>
    </w:p>
    <w:p w14:paraId="5D890963" w14:textId="2039DCBB" w:rsidR="00A577F1" w:rsidRDefault="007D6480" w:rsidP="007D6480">
      <w:pPr>
        <w:sectPr w:rsidR="00A577F1" w:rsidSect="004D0E05">
          <w:pgSz w:w="11906" w:h="16838"/>
          <w:pgMar w:top="1191" w:right="1247" w:bottom="1191" w:left="1247" w:header="709" w:footer="709" w:gutter="0"/>
          <w:cols w:space="708"/>
          <w:titlePg/>
          <w:docGrid w:linePitch="360"/>
        </w:sectPr>
      </w:pPr>
      <w:r>
        <w:t xml:space="preserve">Regardless of the issues encountered with HPF, </w:t>
      </w:r>
      <w:r w:rsidR="00B336D1">
        <w:t>some</w:t>
      </w:r>
      <w:r w:rsidR="001C5F82">
        <w:t xml:space="preserve"> </w:t>
      </w:r>
      <w:r w:rsidR="00597B48">
        <w:t>successful</w:t>
      </w:r>
      <w:r>
        <w:t xml:space="preserve"> results with good vitrification</w:t>
      </w:r>
      <w:r w:rsidR="00B336D1">
        <w:t xml:space="preserve"> were attained</w:t>
      </w:r>
      <w:r w:rsidR="001C5F82">
        <w:t xml:space="preserve"> (</w:t>
      </w:r>
      <w:r w:rsidR="00D022EE">
        <w:rPr>
          <w:highlight w:val="yellow"/>
        </w:rPr>
        <w:fldChar w:fldCharType="begin"/>
      </w:r>
      <w:r w:rsidR="00D022EE">
        <w:instrText xml:space="preserve"> REF _Ref72791321 \h </w:instrText>
      </w:r>
      <w:r w:rsidR="00D022EE">
        <w:rPr>
          <w:highlight w:val="yellow"/>
        </w:rPr>
      </w:r>
      <w:r w:rsidR="00D022EE">
        <w:rPr>
          <w:highlight w:val="yellow"/>
        </w:rPr>
        <w:fldChar w:fldCharType="separate"/>
      </w:r>
      <w:r w:rsidR="00183CC8">
        <w:t xml:space="preserve">Figure </w:t>
      </w:r>
      <w:r w:rsidR="00183CC8">
        <w:rPr>
          <w:noProof/>
        </w:rPr>
        <w:t>3</w:t>
      </w:r>
      <w:r w:rsidR="00183CC8">
        <w:t>.</w:t>
      </w:r>
      <w:r w:rsidR="00183CC8">
        <w:rPr>
          <w:noProof/>
        </w:rPr>
        <w:t>18</w:t>
      </w:r>
      <w:r w:rsidR="00D022EE">
        <w:rPr>
          <w:highlight w:val="yellow"/>
        </w:rPr>
        <w:fldChar w:fldCharType="end"/>
      </w:r>
      <w:r w:rsidR="00D022EE">
        <w:t>a</w:t>
      </w:r>
      <w:r w:rsidR="001C5F82">
        <w:t>).</w:t>
      </w:r>
      <w:r w:rsidR="001003DC">
        <w:t xml:space="preserve"> </w:t>
      </w:r>
      <w:r w:rsidR="002824B5">
        <w:t>The FS protocol</w:t>
      </w:r>
      <w:r w:rsidR="0079136E">
        <w:t xml:space="preserve"> </w:t>
      </w:r>
      <w:r w:rsidR="002824B5">
        <w:t xml:space="preserve">is described in section </w:t>
      </w:r>
      <w:r w:rsidR="002824B5">
        <w:fldChar w:fldCharType="begin"/>
      </w:r>
      <w:r w:rsidR="002824B5">
        <w:instrText xml:space="preserve"> REF _Ref73105687 \r \h </w:instrText>
      </w:r>
      <w:r w:rsidR="002824B5">
        <w:fldChar w:fldCharType="separate"/>
      </w:r>
      <w:r w:rsidR="00183CC8">
        <w:t>2.20.2</w:t>
      </w:r>
      <w:r w:rsidR="002824B5">
        <w:fldChar w:fldCharType="end"/>
      </w:r>
      <w:r w:rsidR="002824B5">
        <w:t>. TEM micrographs</w:t>
      </w:r>
      <w:r w:rsidR="002824B5" w:rsidRPr="00C54DC5">
        <w:t xml:space="preserve"> were obtained using the FEI Tecnai T12 Spirit TEM operating at 80 kV, and captured on a GATAN ORIUS</w:t>
      </w:r>
      <w:r w:rsidR="002824B5" w:rsidRPr="00C54DC5">
        <w:rPr>
          <w:vertAlign w:val="superscript"/>
        </w:rPr>
        <w:t>TM</w:t>
      </w:r>
      <w:r w:rsidR="002824B5" w:rsidRPr="00C54DC5">
        <w:t xml:space="preserve"> SC1000B bottom-mounted CCD camera.</w:t>
      </w:r>
      <w:r w:rsidR="00864DD4">
        <w:t xml:space="preserve"> </w:t>
      </w:r>
      <w:r w:rsidR="001C5F82">
        <w:t xml:space="preserve">These results provide </w:t>
      </w:r>
      <w:r w:rsidR="004A5C21">
        <w:t>proof</w:t>
      </w:r>
      <w:r w:rsidR="001C5F82">
        <w:t xml:space="preserve"> that FS has the power to produc</w:t>
      </w:r>
      <w:r w:rsidR="00BD3B23">
        <w:t>e</w:t>
      </w:r>
      <w:r w:rsidR="001C5F82">
        <w:t xml:space="preserve"> better structural preservation for </w:t>
      </w:r>
      <w:r w:rsidR="00C972E1">
        <w:t>detailed</w:t>
      </w:r>
      <w:r w:rsidR="00720C91">
        <w:t xml:space="preserve"> morphological </w:t>
      </w:r>
      <w:r w:rsidR="001C5F82">
        <w:t xml:space="preserve">analysis </w:t>
      </w:r>
      <w:r w:rsidR="00D022EE">
        <w:t>(</w:t>
      </w:r>
      <w:r w:rsidR="00196BD6">
        <w:rPr>
          <w:highlight w:val="yellow"/>
        </w:rPr>
        <w:fldChar w:fldCharType="begin"/>
      </w:r>
      <w:r w:rsidR="00196BD6">
        <w:instrText xml:space="preserve"> REF _Ref72791321 \h </w:instrText>
      </w:r>
      <w:r w:rsidR="00196BD6">
        <w:rPr>
          <w:highlight w:val="yellow"/>
        </w:rPr>
      </w:r>
      <w:r w:rsidR="00196BD6">
        <w:rPr>
          <w:highlight w:val="yellow"/>
        </w:rPr>
        <w:fldChar w:fldCharType="separate"/>
      </w:r>
      <w:r w:rsidR="00183CC8">
        <w:t xml:space="preserve">Figure </w:t>
      </w:r>
      <w:r w:rsidR="00183CC8">
        <w:rPr>
          <w:noProof/>
        </w:rPr>
        <w:t>3</w:t>
      </w:r>
      <w:r w:rsidR="00183CC8">
        <w:t>.</w:t>
      </w:r>
      <w:r w:rsidR="00183CC8">
        <w:rPr>
          <w:noProof/>
        </w:rPr>
        <w:t>18</w:t>
      </w:r>
      <w:r w:rsidR="00196BD6">
        <w:rPr>
          <w:highlight w:val="yellow"/>
        </w:rPr>
        <w:fldChar w:fldCharType="end"/>
      </w:r>
      <w:r w:rsidR="00EA0384">
        <w:t>b</w:t>
      </w:r>
      <w:r w:rsidR="00D022EE">
        <w:t>)</w:t>
      </w:r>
      <w:r w:rsidR="001C5F82">
        <w:t>. A parallel collaboration and optimisation of the HPF-FS protocol with Dr. Ainhoa Dafis-Sagarmendi (University of Sheffield)</w:t>
      </w:r>
      <w:r w:rsidR="003305EE">
        <w:t xml:space="preserve"> </w:t>
      </w:r>
      <w:r w:rsidR="003305EE">
        <w:fldChar w:fldCharType="begin" w:fldLock="1"/>
      </w:r>
      <w:r w:rsidR="0058736C">
        <w:instrText>ADDIN CSL_CITATION {"citationItems":[{"id":"ITEM-1","itemData":{"author":[{"dropping-particle":"","family":"Dafis-sagarmendi","given":"By Ainhoa","non-dropping-particle":"","parse-names":false,"suffix":""}],"id":"ITEM-1","issue":"February","issued":{"date-parts":[["2021"]]},"publisher":"The University of Sheffield","title":"Ultrastructure of Clostridial endospores","type":"thesis"},"uris":["http://www.mendeley.com/documents/?uuid=595e150f-1bf7-4118-aaac-9a291254ca42"]}],"mendeley":{"formattedCitation":"&lt;sup&gt;[269]&lt;/sup&gt;","plainTextFormattedCitation":"[269]","previouslyFormattedCitation":"&lt;sup&gt;[269]&lt;/sup&gt;"},"properties":{"noteIndex":0},"schema":"https://github.com/citation-style-language/schema/raw/master/csl-citation.json"}</w:instrText>
      </w:r>
      <w:r w:rsidR="003305EE">
        <w:fldChar w:fldCharType="separate"/>
      </w:r>
      <w:r w:rsidR="002659E5" w:rsidRPr="002659E5">
        <w:rPr>
          <w:noProof/>
          <w:vertAlign w:val="superscript"/>
        </w:rPr>
        <w:t>[269]</w:t>
      </w:r>
      <w:r w:rsidR="003305EE">
        <w:fldChar w:fldCharType="end"/>
      </w:r>
      <w:r w:rsidR="00DA744C">
        <w:t xml:space="preserve"> provided further confirmation that </w:t>
      </w:r>
      <w:r w:rsidR="00FA013F">
        <w:t>FS</w:t>
      </w:r>
      <w:r w:rsidR="00DA744C">
        <w:t xml:space="preserve"> delivers more structural detail and contrast than standard chemical fixation TEM</w:t>
      </w:r>
      <w:r w:rsidR="005E0EE0">
        <w:t xml:space="preserve"> (</w:t>
      </w:r>
      <w:r w:rsidR="000E2FF6">
        <w:rPr>
          <w:highlight w:val="yellow"/>
        </w:rPr>
        <w:fldChar w:fldCharType="begin"/>
      </w:r>
      <w:r w:rsidR="000E2FF6">
        <w:instrText xml:space="preserve"> REF _Ref72794210 \h </w:instrText>
      </w:r>
      <w:r w:rsidR="000E2FF6">
        <w:rPr>
          <w:highlight w:val="yellow"/>
        </w:rPr>
      </w:r>
      <w:r w:rsidR="000E2FF6">
        <w:rPr>
          <w:highlight w:val="yellow"/>
        </w:rPr>
        <w:fldChar w:fldCharType="separate"/>
      </w:r>
      <w:r w:rsidR="00183CC8">
        <w:t xml:space="preserve">Figure </w:t>
      </w:r>
      <w:r w:rsidR="00183CC8">
        <w:rPr>
          <w:noProof/>
        </w:rPr>
        <w:t>3</w:t>
      </w:r>
      <w:r w:rsidR="00183CC8">
        <w:t>.</w:t>
      </w:r>
      <w:r w:rsidR="00183CC8">
        <w:rPr>
          <w:noProof/>
        </w:rPr>
        <w:t>19</w:t>
      </w:r>
      <w:r w:rsidR="000E2FF6">
        <w:rPr>
          <w:highlight w:val="yellow"/>
        </w:rPr>
        <w:fldChar w:fldCharType="end"/>
      </w:r>
      <w:r w:rsidR="005E0EE0">
        <w:t>).</w:t>
      </w:r>
    </w:p>
    <w:p w14:paraId="20C48B4D" w14:textId="77777777" w:rsidR="00A577F1" w:rsidRDefault="00A577F1" w:rsidP="00964786">
      <w:pPr>
        <w:keepNext/>
        <w:jc w:val="center"/>
      </w:pPr>
      <w:r>
        <w:rPr>
          <w:noProof/>
        </w:rPr>
        <w:lastRenderedPageBreak/>
        <w:drawing>
          <wp:inline distT="0" distB="0" distL="0" distR="0" wp14:anchorId="544CD9CF" wp14:editId="340A2A83">
            <wp:extent cx="5934050" cy="6266518"/>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53542" cy="6287102"/>
                    </a:xfrm>
                    <a:prstGeom prst="rect">
                      <a:avLst/>
                    </a:prstGeom>
                  </pic:spPr>
                </pic:pic>
              </a:graphicData>
            </a:graphic>
          </wp:inline>
        </w:drawing>
      </w:r>
    </w:p>
    <w:p w14:paraId="4C865DBE" w14:textId="1F5FA38D" w:rsidR="007D6480" w:rsidRPr="00D91EB0" w:rsidRDefault="00A577F1" w:rsidP="008A2B86">
      <w:pPr>
        <w:pStyle w:val="Caption"/>
      </w:pPr>
      <w:bookmarkStart w:id="546" w:name="_Ref72791321"/>
      <w:bookmarkStart w:id="547" w:name="_Toc90216953"/>
      <w:r>
        <w:t xml:space="preserve">Figure </w:t>
      </w:r>
      <w:r w:rsidR="003373BF">
        <w:fldChar w:fldCharType="begin"/>
      </w:r>
      <w:r w:rsidR="003373BF">
        <w:instrText xml:space="preserve"> STYLEREF 1 \s </w:instrText>
      </w:r>
      <w:r w:rsidR="003373BF">
        <w:fldChar w:fldCharType="separate"/>
      </w:r>
      <w:r w:rsidR="00183CC8">
        <w:rPr>
          <w:noProof/>
        </w:rPr>
        <w:t>3</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18</w:t>
      </w:r>
      <w:r w:rsidR="003373BF">
        <w:rPr>
          <w:noProof/>
        </w:rPr>
        <w:fldChar w:fldCharType="end"/>
      </w:r>
      <w:bookmarkEnd w:id="546"/>
      <w:r w:rsidR="0029168D">
        <w:t xml:space="preserve"> </w:t>
      </w:r>
      <w:r w:rsidR="00D91EB0">
        <w:t xml:space="preserve">Freeze-substitution for better structural preservation of </w:t>
      </w:r>
      <w:r w:rsidR="00D91EB0">
        <w:rPr>
          <w:i/>
        </w:rPr>
        <w:t>S. aureus</w:t>
      </w:r>
      <w:r w:rsidR="00D91EB0">
        <w:t>.</w:t>
      </w:r>
      <w:bookmarkEnd w:id="547"/>
    </w:p>
    <w:p w14:paraId="1DB29F62" w14:textId="7BAD8C7B" w:rsidR="00A577F1" w:rsidRDefault="00031883" w:rsidP="00A577F1">
      <w:pPr>
        <w:pStyle w:val="NoSpacing"/>
      </w:pPr>
      <w:r>
        <w:rPr>
          <w:b/>
          <w:bCs/>
        </w:rPr>
        <w:t>(A)</w:t>
      </w:r>
      <w:r>
        <w:t xml:space="preserve"> </w:t>
      </w:r>
      <w:r w:rsidR="006C2C47">
        <w:t>Example of g</w:t>
      </w:r>
      <w:r>
        <w:t xml:space="preserve">ood results from TEM FS micrographs of </w:t>
      </w:r>
      <w:r>
        <w:rPr>
          <w:i/>
          <w:iCs/>
        </w:rPr>
        <w:t>S. aureus</w:t>
      </w:r>
      <w:r>
        <w:t xml:space="preserve">. Low and high magnification </w:t>
      </w:r>
      <w:r w:rsidR="0049540B">
        <w:t>(</w:t>
      </w:r>
      <w:r>
        <w:t>1900x and 4800x</w:t>
      </w:r>
      <w:r w:rsidR="0049540B">
        <w:t>)</w:t>
      </w:r>
      <w:r>
        <w:t xml:space="preserve">. Scale bars 1 µm and 500 nm, respectively. </w:t>
      </w:r>
      <w:r>
        <w:rPr>
          <w:b/>
          <w:bCs/>
        </w:rPr>
        <w:t>(B)</w:t>
      </w:r>
      <w:r>
        <w:t xml:space="preserve"> Comparison between the structural preservation between standard chemical fixation and HPF-FS as indicated</w:t>
      </w:r>
      <w:r w:rsidR="00A577F1">
        <w:t>.</w:t>
      </w:r>
      <w:r>
        <w:t xml:space="preserve"> Cropped from 9300x and 11000x, respectively. Scale bars 200 nm.</w:t>
      </w:r>
    </w:p>
    <w:p w14:paraId="6854F421" w14:textId="77777777" w:rsidR="00A577F1" w:rsidRDefault="00A577F1">
      <w:pPr>
        <w:spacing w:before="0" w:line="259" w:lineRule="auto"/>
        <w:rPr>
          <w:sz w:val="20"/>
        </w:rPr>
      </w:pPr>
      <w:r>
        <w:br w:type="page"/>
      </w:r>
    </w:p>
    <w:p w14:paraId="3DA62E5F" w14:textId="77777777" w:rsidR="00A577F1" w:rsidRDefault="00A577F1" w:rsidP="00964786">
      <w:pPr>
        <w:pStyle w:val="NoSpacing"/>
        <w:keepNext/>
        <w:jc w:val="center"/>
      </w:pPr>
      <w:r>
        <w:rPr>
          <w:noProof/>
        </w:rPr>
        <w:lastRenderedPageBreak/>
        <w:drawing>
          <wp:inline distT="0" distB="0" distL="0" distR="0" wp14:anchorId="46078DFA" wp14:editId="266E2CCB">
            <wp:extent cx="4405852" cy="8121159"/>
            <wp:effectExtent l="0" t="0" r="127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46319" cy="8195751"/>
                    </a:xfrm>
                    <a:prstGeom prst="rect">
                      <a:avLst/>
                    </a:prstGeom>
                  </pic:spPr>
                </pic:pic>
              </a:graphicData>
            </a:graphic>
          </wp:inline>
        </w:drawing>
      </w:r>
    </w:p>
    <w:p w14:paraId="5B798C9E" w14:textId="50D5020B" w:rsidR="00A577F1" w:rsidRPr="00C67CB4" w:rsidRDefault="00A577F1" w:rsidP="008A2B86">
      <w:pPr>
        <w:pStyle w:val="Caption"/>
        <w:rPr>
          <w:i/>
        </w:rPr>
      </w:pPr>
      <w:bookmarkStart w:id="548" w:name="_Ref72794210"/>
      <w:bookmarkStart w:id="549" w:name="_Toc90216954"/>
      <w:r>
        <w:t xml:space="preserve">Figure </w:t>
      </w:r>
      <w:r w:rsidR="003373BF">
        <w:fldChar w:fldCharType="begin"/>
      </w:r>
      <w:r w:rsidR="003373BF">
        <w:instrText xml:space="preserve"> STYLEREF 1 \s </w:instrText>
      </w:r>
      <w:r w:rsidR="003373BF">
        <w:fldChar w:fldCharType="separate"/>
      </w:r>
      <w:r w:rsidR="00183CC8">
        <w:rPr>
          <w:noProof/>
        </w:rPr>
        <w:t>3</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19</w:t>
      </w:r>
      <w:r w:rsidR="003373BF">
        <w:rPr>
          <w:noProof/>
        </w:rPr>
        <w:fldChar w:fldCharType="end"/>
      </w:r>
      <w:bookmarkEnd w:id="548"/>
      <w:r w:rsidR="00C67CB4">
        <w:t xml:space="preserve"> HPF-FS structural preservation in </w:t>
      </w:r>
      <w:r w:rsidR="00C67CB4">
        <w:rPr>
          <w:i/>
        </w:rPr>
        <w:t>C</w:t>
      </w:r>
      <w:r w:rsidR="009B0927">
        <w:rPr>
          <w:i/>
        </w:rPr>
        <w:t>lostridium</w:t>
      </w:r>
      <w:r w:rsidR="00C67CB4">
        <w:rPr>
          <w:i/>
        </w:rPr>
        <w:t xml:space="preserve"> sporogenes.</w:t>
      </w:r>
      <w:bookmarkEnd w:id="549"/>
    </w:p>
    <w:p w14:paraId="0CA94D2D" w14:textId="5C0DC9D1" w:rsidR="00A577F1" w:rsidRDefault="00B3734D" w:rsidP="00A577F1">
      <w:pPr>
        <w:pStyle w:val="NoSpacing"/>
        <w:sectPr w:rsidR="00A577F1" w:rsidSect="004D0E05">
          <w:pgSz w:w="11906" w:h="16838"/>
          <w:pgMar w:top="1191" w:right="1247" w:bottom="1191" w:left="1247" w:header="709" w:footer="709" w:gutter="0"/>
          <w:cols w:space="708"/>
          <w:titlePg/>
          <w:docGrid w:linePitch="360"/>
        </w:sectPr>
      </w:pPr>
      <w:r>
        <w:t xml:space="preserve">TEM micrograph of </w:t>
      </w:r>
      <w:r>
        <w:rPr>
          <w:i/>
          <w:iCs/>
        </w:rPr>
        <w:t>C. sporogenes</w:t>
      </w:r>
      <w:r w:rsidR="0022737F">
        <w:t xml:space="preserve"> spores</w:t>
      </w:r>
      <w:r w:rsidR="00C500F3">
        <w:t xml:space="preserve">. </w:t>
      </w:r>
      <w:r w:rsidR="00C500F3">
        <w:rPr>
          <w:b/>
          <w:bCs/>
        </w:rPr>
        <w:t xml:space="preserve">(A) </w:t>
      </w:r>
      <w:r w:rsidR="00C500F3">
        <w:t>HPF-FS representative spore,</w:t>
      </w:r>
      <w:r w:rsidR="0022737F">
        <w:t xml:space="preserve"> </w:t>
      </w:r>
      <w:r w:rsidR="00C500F3">
        <w:t xml:space="preserve">scale bars 500 nm. </w:t>
      </w:r>
      <w:r w:rsidR="00C500F3">
        <w:rPr>
          <w:b/>
          <w:bCs/>
        </w:rPr>
        <w:t>(B)</w:t>
      </w:r>
      <w:r w:rsidR="00C500F3">
        <w:t xml:space="preserve"> Comparison between the detailed obtained with chemical fixation and FS, as indicated. Scale bars 200 nm. Micrographs </w:t>
      </w:r>
      <w:r w:rsidR="0022737F">
        <w:t xml:space="preserve">obtained </w:t>
      </w:r>
      <w:r w:rsidR="005F029E">
        <w:t>with permission of</w:t>
      </w:r>
      <w:r w:rsidR="0022737F">
        <w:t xml:space="preserve"> Dr. Ainhoa Dafis-Sagarmendi </w:t>
      </w:r>
      <w:r w:rsidR="0022737F">
        <w:fldChar w:fldCharType="begin" w:fldLock="1"/>
      </w:r>
      <w:r w:rsidR="0058736C">
        <w:instrText>ADDIN CSL_CITATION {"citationItems":[{"id":"ITEM-1","itemData":{"author":[{"dropping-particle":"","family":"Dafis-sagarmendi","given":"By Ainhoa","non-dropping-particle":"","parse-names":false,"suffix":""}],"id":"ITEM-1","issue":"February","issued":{"date-parts":[["2021"]]},"publisher":"The University of Sheffield","title":"Ultrastructure of Clostridial endospores","type":"thesis"},"uris":["http://www.mendeley.com/documents/?uuid=595e150f-1bf7-4118-aaac-9a291254ca42"]}],"mendeley":{"formattedCitation":"&lt;sup&gt;[269]&lt;/sup&gt;","plainTextFormattedCitation":"[269]","previouslyFormattedCitation":"&lt;sup&gt;[269]&lt;/sup&gt;"},"properties":{"noteIndex":0},"schema":"https://github.com/citation-style-language/schema/raw/master/csl-citation.json"}</w:instrText>
      </w:r>
      <w:r w:rsidR="0022737F">
        <w:fldChar w:fldCharType="separate"/>
      </w:r>
      <w:r w:rsidR="002659E5" w:rsidRPr="002659E5">
        <w:rPr>
          <w:noProof/>
          <w:vertAlign w:val="superscript"/>
        </w:rPr>
        <w:t>[269]</w:t>
      </w:r>
      <w:r w:rsidR="0022737F">
        <w:fldChar w:fldCharType="end"/>
      </w:r>
      <w:r w:rsidR="00A577F1">
        <w:t>.</w:t>
      </w:r>
    </w:p>
    <w:p w14:paraId="088A28FA" w14:textId="45829CBE" w:rsidR="004B0C7E" w:rsidRDefault="0016628A" w:rsidP="004B0C7E">
      <w:pPr>
        <w:pStyle w:val="Heading2"/>
      </w:pPr>
      <w:bookmarkStart w:id="550" w:name="_Toc64276358"/>
      <w:bookmarkStart w:id="551" w:name="_Toc64276662"/>
      <w:bookmarkStart w:id="552" w:name="_Toc64276874"/>
      <w:bookmarkStart w:id="553" w:name="_Ref71889332"/>
      <w:bookmarkStart w:id="554" w:name="_Ref71998370"/>
      <w:bookmarkStart w:id="555" w:name="_Ref74174546"/>
      <w:bookmarkStart w:id="556" w:name="_Toc90216872"/>
      <w:r>
        <w:lastRenderedPageBreak/>
        <w:t>Cryo-electron microscopy of vitreous sections (CEMOVIS)</w:t>
      </w:r>
      <w:r w:rsidR="004B0C7E" w:rsidRPr="005B0F81">
        <w:t xml:space="preserve"> for observing the exoplasm</w:t>
      </w:r>
      <w:bookmarkEnd w:id="550"/>
      <w:bookmarkEnd w:id="551"/>
      <w:bookmarkEnd w:id="552"/>
      <w:bookmarkEnd w:id="553"/>
      <w:bookmarkEnd w:id="554"/>
      <w:bookmarkEnd w:id="555"/>
      <w:r w:rsidR="007006CC">
        <w:t>.</w:t>
      </w:r>
      <w:bookmarkEnd w:id="556"/>
    </w:p>
    <w:p w14:paraId="3BCA2985" w14:textId="2FFD7EE0" w:rsidR="00182281" w:rsidRPr="00182281" w:rsidRDefault="0056329D" w:rsidP="00182281">
      <w:r>
        <w:t xml:space="preserve">Chapter </w:t>
      </w:r>
      <w:r>
        <w:fldChar w:fldCharType="begin"/>
      </w:r>
      <w:r>
        <w:instrText xml:space="preserve"> REF _Ref72153090 \r \h </w:instrText>
      </w:r>
      <w:r>
        <w:fldChar w:fldCharType="separate"/>
      </w:r>
      <w:r w:rsidR="00183CC8">
        <w:t>4</w:t>
      </w:r>
      <w:r>
        <w:fldChar w:fldCharType="end"/>
      </w:r>
      <w:r>
        <w:t xml:space="preserve"> of this study focuses on the exoplasmic space between the cell membrane and the </w:t>
      </w:r>
      <w:r w:rsidR="009355CE">
        <w:t>cell wall (</w:t>
      </w:r>
      <w:r>
        <w:t>CW</w:t>
      </w:r>
      <w:r w:rsidR="009355CE">
        <w:t>)</w:t>
      </w:r>
      <w:r>
        <w:t xml:space="preserve">. This space was never fully studied until Matias and Beveridge (2006) </w:t>
      </w:r>
      <w:r>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5570428f-abef-4c52-8423-1f18c58db060"]}],"mendeley":{"formattedCitation":"&lt;sup&gt;[16]&lt;/sup&gt;","plainTextFormattedCitation":"[16]","previouslyFormattedCitation":"&lt;sup&gt;[16]&lt;/sup&gt;"},"properties":{"noteIndex":0},"schema":"https://github.com/citation-style-language/schema/raw/master/csl-citation.json"}</w:instrText>
      </w:r>
      <w:r>
        <w:fldChar w:fldCharType="separate"/>
      </w:r>
      <w:r w:rsidR="00DA0A83" w:rsidRPr="00DA0A83">
        <w:rPr>
          <w:noProof/>
          <w:vertAlign w:val="superscript"/>
        </w:rPr>
        <w:t>[16]</w:t>
      </w:r>
      <w:r>
        <w:fldChar w:fldCharType="end"/>
      </w:r>
      <w:r>
        <w:t xml:space="preserve"> analysed cryo-EM micrographs of </w:t>
      </w:r>
      <w:r w:rsidR="00AA4A6D">
        <w:t>frozen-</w:t>
      </w:r>
      <w:r>
        <w:t xml:space="preserve">hydrated </w:t>
      </w:r>
      <w:r>
        <w:rPr>
          <w:i/>
          <w:iCs/>
        </w:rPr>
        <w:t>S. aureus</w:t>
      </w:r>
      <w:r>
        <w:t xml:space="preserve"> samples.</w:t>
      </w:r>
      <w:r w:rsidR="008C2911">
        <w:t xml:space="preserve"> The idea of </w:t>
      </w:r>
      <w:r w:rsidR="007D10E1">
        <w:t>analysi</w:t>
      </w:r>
      <w:r w:rsidR="00AA4A6D">
        <w:t>ng</w:t>
      </w:r>
      <w:r w:rsidR="008C2911">
        <w:t xml:space="preserve"> cells in a hydrated states allows to study the exoplasmic space that otherwise would be dehydrated and would be more difficult to </w:t>
      </w:r>
      <w:r w:rsidR="00D3636E">
        <w:t>recognize</w:t>
      </w:r>
      <w:r w:rsidR="008C2911">
        <w:t>.</w:t>
      </w:r>
      <w:r w:rsidR="00371AAC">
        <w:t xml:space="preserve"> In this section </w:t>
      </w:r>
      <w:r w:rsidR="00D333E8">
        <w:t>I</w:t>
      </w:r>
      <w:r w:rsidR="00371AAC">
        <w:t xml:space="preserve"> followed and optimised the frozen-hydration protocol described by Matias &amp; Beveridge </w:t>
      </w:r>
      <w:r w:rsidR="00371AAC">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8bb7082d-43a0-4e8f-a038-4e3e8366bb9a"]}],"mendeley":{"formattedCitation":"&lt;sup&gt;[16]&lt;/sup&gt;","plainTextFormattedCitation":"[16]","previouslyFormattedCitation":"&lt;sup&gt;[16]&lt;/sup&gt;"},"properties":{"noteIndex":0},"schema":"https://github.com/citation-style-language/schema/raw/master/csl-citation.json"}</w:instrText>
      </w:r>
      <w:r w:rsidR="00371AAC">
        <w:fldChar w:fldCharType="separate"/>
      </w:r>
      <w:r w:rsidR="00DA0A83" w:rsidRPr="00DA0A83">
        <w:rPr>
          <w:noProof/>
          <w:vertAlign w:val="superscript"/>
        </w:rPr>
        <w:t>[16]</w:t>
      </w:r>
      <w:r w:rsidR="00371AAC">
        <w:fldChar w:fldCharType="end"/>
      </w:r>
      <w:r w:rsidR="00371AAC">
        <w:t>.</w:t>
      </w:r>
    </w:p>
    <w:p w14:paraId="6E90BFEC" w14:textId="3EC40FA6" w:rsidR="004B0C7E" w:rsidRDefault="004B0C7E" w:rsidP="004B0C7E">
      <w:pPr>
        <w:pStyle w:val="Heading3"/>
      </w:pPr>
      <w:bookmarkStart w:id="557" w:name="_Toc64276359"/>
      <w:bookmarkStart w:id="558" w:name="_Toc64276663"/>
      <w:bookmarkStart w:id="559" w:name="_Toc64276875"/>
      <w:bookmarkStart w:id="560" w:name="_Toc90216873"/>
      <w:r w:rsidRPr="005B0F81">
        <w:t>HPF</w:t>
      </w:r>
      <w:bookmarkEnd w:id="557"/>
      <w:bookmarkEnd w:id="558"/>
      <w:bookmarkEnd w:id="559"/>
      <w:r w:rsidR="007E0E34">
        <w:t xml:space="preserve"> – specimen tube system for </w:t>
      </w:r>
      <w:r w:rsidR="00AE4210">
        <w:t>CEMOV</w:t>
      </w:r>
      <w:r w:rsidR="00BC619F">
        <w:t>I</w:t>
      </w:r>
      <w:r w:rsidR="00AE4210">
        <w:t>S</w:t>
      </w:r>
      <w:r w:rsidR="007006CC">
        <w:t>.</w:t>
      </w:r>
      <w:bookmarkEnd w:id="560"/>
    </w:p>
    <w:p w14:paraId="4CB201CD" w14:textId="67A7C11A" w:rsidR="00AD233A" w:rsidRDefault="006F7D70" w:rsidP="00182281">
      <w:r>
        <w:t xml:space="preserve">Sample preparation for </w:t>
      </w:r>
      <w:r w:rsidR="00AE4210">
        <w:t>CEMOVIS</w:t>
      </w:r>
      <w:r>
        <w:t xml:space="preserve"> was identical to freeze-substitution, with cells grown in TSB + 10 % </w:t>
      </w:r>
      <w:r w:rsidR="00D05BB1">
        <w:t xml:space="preserve">(v/v) </w:t>
      </w:r>
      <w:r>
        <w:t xml:space="preserve">glycerol as a cryoprotectant (section </w:t>
      </w:r>
      <w:r>
        <w:fldChar w:fldCharType="begin"/>
      </w:r>
      <w:r>
        <w:instrText xml:space="preserve"> REF _Ref72838362 \r \h </w:instrText>
      </w:r>
      <w:r>
        <w:fldChar w:fldCharType="separate"/>
      </w:r>
      <w:r w:rsidR="00183CC8">
        <w:t>2.11.3</w:t>
      </w:r>
      <w:r>
        <w:fldChar w:fldCharType="end"/>
      </w:r>
      <w:r>
        <w:t xml:space="preserve">). </w:t>
      </w:r>
      <w:r w:rsidR="00340056">
        <w:t xml:space="preserve">The cryo-fixation step is similar to the one described in section </w:t>
      </w:r>
      <w:r w:rsidR="00340056">
        <w:fldChar w:fldCharType="begin"/>
      </w:r>
      <w:r w:rsidR="00340056">
        <w:instrText xml:space="preserve"> REF _Ref72186741 \r \h </w:instrText>
      </w:r>
      <w:r w:rsidR="00340056">
        <w:fldChar w:fldCharType="separate"/>
      </w:r>
      <w:r w:rsidR="00183CC8">
        <w:t>3.4.1</w:t>
      </w:r>
      <w:r w:rsidR="00340056">
        <w:fldChar w:fldCharType="end"/>
      </w:r>
      <w:r w:rsidR="00340056">
        <w:t xml:space="preserve">, with the difference that HPF is carried out with </w:t>
      </w:r>
      <w:r w:rsidR="009A02B8">
        <w:t xml:space="preserve">Leica’s </w:t>
      </w:r>
      <w:r w:rsidR="00230C18">
        <w:t>specimen</w:t>
      </w:r>
      <w:r w:rsidR="00340056">
        <w:t xml:space="preserve"> tube system instead of the flat carriers.</w:t>
      </w:r>
      <w:r w:rsidR="0094734D">
        <w:t xml:space="preserve"> </w:t>
      </w:r>
      <w:r w:rsidR="00D3300E">
        <w:t>This system</w:t>
      </w:r>
      <w:r w:rsidR="0094734D">
        <w:t xml:space="preserve"> comprises of 16.3 mm long copper tubes with an outer diameter of 650 µm and an inner diameter of 350 µm.</w:t>
      </w:r>
      <w:r w:rsidR="008A2429">
        <w:t xml:space="preserve"> Unlike the flat carrier system, the </w:t>
      </w:r>
      <w:r w:rsidR="00AD233A">
        <w:t>sample</w:t>
      </w:r>
      <w:r w:rsidR="008A2429">
        <w:t xml:space="preserve"> is loaded directly into the copper</w:t>
      </w:r>
      <w:r w:rsidR="00FC39D3">
        <w:t xml:space="preserve"> (Cu)</w:t>
      </w:r>
      <w:r w:rsidR="008A2429">
        <w:t xml:space="preserve"> tube, which is in turn inserted into a 16 mm tube holder and attached to the loading device that goes into the Leica EM PACT2</w:t>
      </w:r>
      <w:r w:rsidR="00A41DE2">
        <w:t>.</w:t>
      </w:r>
      <w:r w:rsidR="00AD233A">
        <w:t xml:space="preserve"> There are many ways to load the sample into the </w:t>
      </w:r>
      <w:r w:rsidR="00FC39D3">
        <w:t>Cu</w:t>
      </w:r>
      <w:r w:rsidR="00AD233A">
        <w:t xml:space="preserve"> tubes. </w:t>
      </w:r>
      <w:r w:rsidR="0054556B">
        <w:t>To load a</w:t>
      </w:r>
      <w:r w:rsidR="00AD233A">
        <w:t xml:space="preserve"> suspension made from the sample, wire needles with a 250 µm diameter inserted into the </w:t>
      </w:r>
      <w:r w:rsidR="00FC39D3">
        <w:t>Cu</w:t>
      </w:r>
      <w:r w:rsidR="00AD233A">
        <w:t xml:space="preserve"> tube can be used to pull the suspension through them.</w:t>
      </w:r>
      <w:r w:rsidR="008340D3">
        <w:t xml:space="preserve"> Alternatively, </w:t>
      </w:r>
      <w:r w:rsidR="00B91CD1">
        <w:t xml:space="preserve">cellulose capillaries with 200 µm in diameter than can be inserted into the tube and draw the suspension in. These capillaries are then cut with a razor blade at each end. A third option is to cut </w:t>
      </w:r>
      <w:r w:rsidR="008340D3">
        <w:t xml:space="preserve">a 200 µl pipette tip to fit the </w:t>
      </w:r>
      <w:r w:rsidR="00FC39D3">
        <w:t>Cu</w:t>
      </w:r>
      <w:r w:rsidR="008340D3">
        <w:t xml:space="preserve"> tube in, and a 1 ml syringe with the suspension can be used</w:t>
      </w:r>
      <w:r w:rsidR="00277347">
        <w:t xml:space="preserve"> to fill the tube.</w:t>
      </w:r>
      <w:r w:rsidR="00E471D0">
        <w:t xml:space="preserve"> </w:t>
      </w:r>
      <w:r w:rsidR="0093065F">
        <w:t xml:space="preserve">Matias &amp; </w:t>
      </w:r>
      <w:r w:rsidR="000F29D2">
        <w:t>Beveridge</w:t>
      </w:r>
      <w:r w:rsidR="0093065F">
        <w:t xml:space="preserve"> suggested to </w:t>
      </w:r>
      <w:r w:rsidR="002B5D2A">
        <w:t xml:space="preserve">use </w:t>
      </w:r>
      <w:r w:rsidR="00182142">
        <w:t>this last method</w:t>
      </w:r>
      <w:r w:rsidR="002B5D2A">
        <w:t>.</w:t>
      </w:r>
    </w:p>
    <w:p w14:paraId="6CB48C9F" w14:textId="27AFE43B" w:rsidR="008E72EC" w:rsidRDefault="003366E6" w:rsidP="00182281">
      <w:r>
        <w:t>The bacterial</w:t>
      </w:r>
      <w:r w:rsidR="008E72EC">
        <w:t xml:space="preserve"> pellets were very difficult to inject with the syringe, so </w:t>
      </w:r>
      <w:r>
        <w:t>a</w:t>
      </w:r>
      <w:r w:rsidR="008E72EC">
        <w:t xml:space="preserve"> 2.3 M sucrose solution </w:t>
      </w:r>
      <w:r>
        <w:t xml:space="preserve">was added </w:t>
      </w:r>
      <w:r w:rsidR="008E72EC">
        <w:t xml:space="preserve">to make </w:t>
      </w:r>
      <w:r>
        <w:t>a</w:t>
      </w:r>
      <w:r w:rsidR="008E72EC">
        <w:t xml:space="preserve"> </w:t>
      </w:r>
      <w:r w:rsidR="00E1364D">
        <w:t>suspension</w:t>
      </w:r>
      <w:r w:rsidR="008E72EC">
        <w:t xml:space="preserve"> and </w:t>
      </w:r>
      <w:r>
        <w:t xml:space="preserve">improve its </w:t>
      </w:r>
      <w:r w:rsidR="008E72EC">
        <w:t>density.</w:t>
      </w:r>
      <w:r w:rsidR="00F101DA">
        <w:t xml:space="preserve"> The first loading attempt was carried out by</w:t>
      </w:r>
      <w:r w:rsidR="00E1364D">
        <w:t xml:space="preserve"> lifting the sample/sucrose suspension with a pipette and inserting it into the 200 µ</w:t>
      </w:r>
      <w:r w:rsidR="00161B8E">
        <w:t>l</w:t>
      </w:r>
      <w:r w:rsidR="00E1364D">
        <w:t xml:space="preserve"> cut pipette tip attached to </w:t>
      </w:r>
      <w:r w:rsidR="00127615">
        <w:t>a</w:t>
      </w:r>
      <w:r w:rsidR="00E1364D">
        <w:t xml:space="preserve"> </w:t>
      </w:r>
      <w:r w:rsidR="00D61278">
        <w:t>Cu</w:t>
      </w:r>
      <w:r w:rsidR="00E1364D">
        <w:t xml:space="preserve"> tube.</w:t>
      </w:r>
      <w:r w:rsidR="0053696F">
        <w:t xml:space="preserve"> </w:t>
      </w:r>
      <w:r w:rsidR="00E2522F">
        <w:t>A</w:t>
      </w:r>
      <w:r w:rsidR="0053696F">
        <w:t xml:space="preserve"> 1 ml syringe was then attached </w:t>
      </w:r>
      <w:r w:rsidR="00E2522F">
        <w:t xml:space="preserve">to the other end of the tip, </w:t>
      </w:r>
      <w:r w:rsidR="0053696F">
        <w:t>and air was pushed</w:t>
      </w:r>
      <w:r w:rsidR="00E67403">
        <w:t>-</w:t>
      </w:r>
      <w:r w:rsidR="0053696F">
        <w:t xml:space="preserve">in to force the sample into the </w:t>
      </w:r>
      <w:r w:rsidR="00D61278">
        <w:t>Cu</w:t>
      </w:r>
      <w:r w:rsidR="0053696F">
        <w:t xml:space="preserve"> tube until some sample came out the other side.</w:t>
      </w:r>
      <w:r w:rsidR="006943CF">
        <w:t xml:space="preserve"> The loaded tube was then inserted into the tube holder, and by using the recycling tool provided by Leica, a flange </w:t>
      </w:r>
      <w:r w:rsidR="00BD2F49">
        <w:t>was</w:t>
      </w:r>
      <w:r w:rsidR="006943CF">
        <w:t xml:space="preserve"> made on both sides so that it connects to the loading </w:t>
      </w:r>
      <w:r w:rsidR="006943CF">
        <w:lastRenderedPageBreak/>
        <w:t>device.</w:t>
      </w:r>
      <w:r w:rsidR="000D075D">
        <w:t xml:space="preserve"> </w:t>
      </w:r>
      <w:r w:rsidR="00005C02">
        <w:t xml:space="preserve">The second loading attempt consisted on </w:t>
      </w:r>
      <w:r w:rsidR="00941A39">
        <w:t xml:space="preserve">having the </w:t>
      </w:r>
      <w:r w:rsidR="00D61278">
        <w:t>Cu</w:t>
      </w:r>
      <w:r w:rsidR="00941A39">
        <w:t xml:space="preserve"> tube already </w:t>
      </w:r>
      <w:r w:rsidR="00127615">
        <w:t xml:space="preserve">fixed and ready </w:t>
      </w:r>
      <w:r w:rsidR="00941A39">
        <w:t>in</w:t>
      </w:r>
      <w:r w:rsidR="00127615">
        <w:t>side</w:t>
      </w:r>
      <w:r w:rsidR="00941A39">
        <w:t xml:space="preserve"> the tube holder</w:t>
      </w:r>
      <w:r w:rsidR="00127615">
        <w:t xml:space="preserve">. A </w:t>
      </w:r>
      <w:r w:rsidR="00941A39">
        <w:t>200 µ</w:t>
      </w:r>
      <w:r w:rsidR="00161B8E">
        <w:t>l</w:t>
      </w:r>
      <w:r w:rsidR="00941A39">
        <w:t xml:space="preserve"> pipette tip </w:t>
      </w:r>
      <w:r w:rsidR="005023C5">
        <w:t>was</w:t>
      </w:r>
      <w:r w:rsidR="00127615">
        <w:t xml:space="preserve"> cut </w:t>
      </w:r>
      <w:r w:rsidR="00941A39">
        <w:t xml:space="preserve">to fit the 1 ml syringe on one end and the tube on the other. </w:t>
      </w:r>
      <w:r w:rsidR="00127615">
        <w:t xml:space="preserve">Before attaching the </w:t>
      </w:r>
      <w:r w:rsidR="00D61278">
        <w:t>Cu</w:t>
      </w:r>
      <w:r w:rsidR="00127615">
        <w:t xml:space="preserve"> tube to it, the tip attached to the </w:t>
      </w:r>
      <w:r w:rsidR="00941A39">
        <w:t>syringe</w:t>
      </w:r>
      <w:r w:rsidR="00127615">
        <w:t xml:space="preserve"> was used to pick up</w:t>
      </w:r>
      <w:r w:rsidR="00941A39">
        <w:t xml:space="preserve"> the suspension</w:t>
      </w:r>
      <w:r w:rsidR="00127615">
        <w:t xml:space="preserve">. Then, the </w:t>
      </w:r>
      <w:r w:rsidR="00D61278">
        <w:t>Cu</w:t>
      </w:r>
      <w:r w:rsidR="00127615">
        <w:t xml:space="preserve"> tube was attached,</w:t>
      </w:r>
      <w:r w:rsidR="00941A39">
        <w:t xml:space="preserve"> and </w:t>
      </w:r>
      <w:r w:rsidR="00127615">
        <w:t>the suspension was transferred into the</w:t>
      </w:r>
      <w:r w:rsidR="00941A39">
        <w:t xml:space="preserve"> tube until sample started to come out the other end.</w:t>
      </w:r>
      <w:r w:rsidR="00443C58">
        <w:t xml:space="preserve"> This second attempt seemed to deliver better and more consistent results, and was faster, as the tubes </w:t>
      </w:r>
      <w:r w:rsidR="002C2DFC">
        <w:t>could</w:t>
      </w:r>
      <w:r w:rsidR="00443C58">
        <w:t xml:space="preserve"> be prepared in the tube holders </w:t>
      </w:r>
      <w:r w:rsidR="00555504">
        <w:t>beforehand</w:t>
      </w:r>
      <w:r w:rsidR="00443C58">
        <w:t>.</w:t>
      </w:r>
    </w:p>
    <w:p w14:paraId="1A48C453" w14:textId="7B4D1A42" w:rsidR="00731A73" w:rsidRPr="001E1A7A" w:rsidRDefault="007A2800" w:rsidP="00182281">
      <w:r>
        <w:t>Unfortunately, as explained before, the HPF encountered some consistency issues and many pressure failures during this cryo-fixation.</w:t>
      </w:r>
      <w:r w:rsidR="009C0DB1">
        <w:t xml:space="preserve"> </w:t>
      </w:r>
      <w:r w:rsidR="00731A73">
        <w:t>After vitrification,</w:t>
      </w:r>
      <w:r w:rsidR="001E1A7A">
        <w:t xml:space="preserve"> each</w:t>
      </w:r>
      <w:r w:rsidR="00731A73">
        <w:t xml:space="preserve"> </w:t>
      </w:r>
      <w:r w:rsidR="009C0DB1">
        <w:t xml:space="preserve">tube holder </w:t>
      </w:r>
      <w:r w:rsidR="001E1A7A">
        <w:t>was quickly transferred from</w:t>
      </w:r>
      <w:r w:rsidR="009C0DB1">
        <w:t xml:space="preserve"> the LN</w:t>
      </w:r>
      <w:r w:rsidR="009C0DB1" w:rsidRPr="009C0DB1">
        <w:rPr>
          <w:vertAlign w:val="subscript"/>
        </w:rPr>
        <w:t>2</w:t>
      </w:r>
      <w:r w:rsidR="009C0DB1">
        <w:t xml:space="preserve"> bath</w:t>
      </w:r>
      <w:r w:rsidR="001E1A7A">
        <w:t xml:space="preserve"> in the EM PACT2 to an insulated cryo containe</w:t>
      </w:r>
      <w:r w:rsidR="00BA6AD1">
        <w:t>r</w:t>
      </w:r>
      <w:r w:rsidR="001E1A7A">
        <w:t xml:space="preserve"> filled with LN</w:t>
      </w:r>
      <w:r w:rsidR="001E1A7A" w:rsidRPr="009C0DB1">
        <w:rPr>
          <w:vertAlign w:val="subscript"/>
        </w:rPr>
        <w:t>2</w:t>
      </w:r>
      <w:r w:rsidR="001E1A7A">
        <w:t>. This containe</w:t>
      </w:r>
      <w:r w:rsidR="00C130ED">
        <w:t>r</w:t>
      </w:r>
      <w:r w:rsidR="001E1A7A">
        <w:t xml:space="preserve"> was then placed under the stereoscope with all the necessary tools to remove the tube from the holder. E</w:t>
      </w:r>
      <w:r w:rsidR="00731A73">
        <w:t>ach vitrifie</w:t>
      </w:r>
      <w:r w:rsidR="009C0DB1">
        <w:t>d</w:t>
      </w:r>
      <w:r w:rsidR="00731A73">
        <w:t xml:space="preserve"> specimen tube had to be punched out of its tube holder</w:t>
      </w:r>
      <w:r w:rsidR="001E1A7A">
        <w:t xml:space="preserve"> using the punching tool provided by Leica. This step cuts out the middle section of the vitrified </w:t>
      </w:r>
      <w:r w:rsidR="002A4107">
        <w:t>Cu</w:t>
      </w:r>
      <w:r w:rsidR="001E1A7A">
        <w:t xml:space="preserve"> tube. All the cut vitrified tubes were then inserted into cryotubes with LN</w:t>
      </w:r>
      <w:r w:rsidR="001E1A7A">
        <w:rPr>
          <w:vertAlign w:val="subscript"/>
        </w:rPr>
        <w:t>2</w:t>
      </w:r>
      <w:r w:rsidR="001E1A7A">
        <w:t xml:space="preserve"> and kept in a LN</w:t>
      </w:r>
      <w:r w:rsidR="001E1A7A">
        <w:rPr>
          <w:vertAlign w:val="subscript"/>
        </w:rPr>
        <w:t>2</w:t>
      </w:r>
      <w:r w:rsidR="001E1A7A">
        <w:t xml:space="preserve"> Dewar until it was time to cryo-section the samples.</w:t>
      </w:r>
    </w:p>
    <w:p w14:paraId="7A0FCFD1" w14:textId="029918FE" w:rsidR="004B0C7E" w:rsidRDefault="004B0C7E" w:rsidP="004B0C7E">
      <w:pPr>
        <w:pStyle w:val="Heading3"/>
      </w:pPr>
      <w:bookmarkStart w:id="561" w:name="_Toc64276360"/>
      <w:bookmarkStart w:id="562" w:name="_Toc64276664"/>
      <w:bookmarkStart w:id="563" w:name="_Toc64276876"/>
      <w:bookmarkStart w:id="564" w:name="_Toc90216874"/>
      <w:r w:rsidRPr="005B0F81">
        <w:t>Cryo-sectioning</w:t>
      </w:r>
      <w:bookmarkEnd w:id="561"/>
      <w:bookmarkEnd w:id="562"/>
      <w:bookmarkEnd w:id="563"/>
      <w:r w:rsidR="00002C00">
        <w:t xml:space="preserve"> for </w:t>
      </w:r>
      <w:r w:rsidR="001D3E10">
        <w:t>CEMOVIS</w:t>
      </w:r>
      <w:r w:rsidR="007006CC">
        <w:t>.</w:t>
      </w:r>
      <w:bookmarkEnd w:id="564"/>
    </w:p>
    <w:p w14:paraId="1E960EBB" w14:textId="398F3CED" w:rsidR="00182281" w:rsidRDefault="00D508C1" w:rsidP="00182281">
      <w:r>
        <w:t>Cryo-sectioning was carried out by using the Leica EM UC6</w:t>
      </w:r>
      <w:r w:rsidR="00A03520">
        <w:t>/FC6 cryo</w:t>
      </w:r>
      <w:r w:rsidR="005C3A8C">
        <w:t>-</w:t>
      </w:r>
      <w:r w:rsidR="00A03520">
        <w:t>ultramicrotome</w:t>
      </w:r>
      <w:r w:rsidR="007D43CB">
        <w:t xml:space="preserve"> in a humidity controlled room</w:t>
      </w:r>
      <w:r w:rsidR="00A03520">
        <w:t>.</w:t>
      </w:r>
      <w:r w:rsidR="00E34563">
        <w:t xml:space="preserve"> LN</w:t>
      </w:r>
      <w:r w:rsidR="00E34563">
        <w:rPr>
          <w:vertAlign w:val="subscript"/>
        </w:rPr>
        <w:t>2</w:t>
      </w:r>
      <w:r w:rsidR="00E34563">
        <w:t xml:space="preserve"> was pumped from the Dewar to the cryochamber FC6 attached to the UC6 ultramicrotome.</w:t>
      </w:r>
      <w:r w:rsidR="005C3A8C">
        <w:t xml:space="preserve"> The</w:t>
      </w:r>
      <w:r w:rsidR="00F240F3">
        <w:t xml:space="preserve"> specimen, knife and chamber temperature </w:t>
      </w:r>
      <w:r w:rsidR="00D3300E">
        <w:t>were</w:t>
      </w:r>
      <w:r w:rsidR="00F240F3">
        <w:t xml:space="preserve"> set to </w:t>
      </w:r>
      <w:r w:rsidR="00BF0598">
        <w:t>– </w:t>
      </w:r>
      <w:r w:rsidR="00F240F3">
        <w:t>120 </w:t>
      </w:r>
      <w:r w:rsidR="00F240F3">
        <w:rPr>
          <w:rFonts w:ascii="Calibri" w:hAnsi="Calibri" w:cs="Calibri"/>
        </w:rPr>
        <w:t>°</w:t>
      </w:r>
      <w:r w:rsidR="00F240F3">
        <w:t>C.</w:t>
      </w:r>
      <w:r w:rsidR="00E66A62">
        <w:t xml:space="preserve"> While waiting for the temperature to drop down, the specimen holder, knife holder, and selected knives were fixed and set into the cryochamber</w:t>
      </w:r>
      <w:r w:rsidR="001957F2">
        <w:t xml:space="preserve"> (</w:t>
      </w:r>
      <w:r w:rsidR="001957F2">
        <w:fldChar w:fldCharType="begin"/>
      </w:r>
      <w:r w:rsidR="001957F2">
        <w:instrText xml:space="preserve"> REF _Ref72872430 \h </w:instrText>
      </w:r>
      <w:r w:rsidR="001957F2">
        <w:fldChar w:fldCharType="separate"/>
      </w:r>
      <w:r w:rsidR="00183CC8">
        <w:t xml:space="preserve">Figure </w:t>
      </w:r>
      <w:r w:rsidR="00183CC8">
        <w:rPr>
          <w:noProof/>
        </w:rPr>
        <w:t>3</w:t>
      </w:r>
      <w:r w:rsidR="00183CC8">
        <w:t>.</w:t>
      </w:r>
      <w:r w:rsidR="00183CC8">
        <w:rPr>
          <w:noProof/>
        </w:rPr>
        <w:t>20</w:t>
      </w:r>
      <w:r w:rsidR="001957F2">
        <w:fldChar w:fldCharType="end"/>
      </w:r>
      <w:r w:rsidR="001957F2">
        <w:t>a)</w:t>
      </w:r>
      <w:r w:rsidR="00E66A62">
        <w:t>.</w:t>
      </w:r>
      <w:r w:rsidR="00617922">
        <w:t xml:space="preserve"> Two knives were chosen: the Di</w:t>
      </w:r>
      <w:r w:rsidR="00E03084">
        <w:t>ATOME</w:t>
      </w:r>
      <w:r w:rsidR="00617922">
        <w:t xml:space="preserve"> cryo</w:t>
      </w:r>
      <w:r w:rsidR="00F2026F">
        <w:t>t</w:t>
      </w:r>
      <w:r w:rsidR="00617922">
        <w:t>rim 45</w:t>
      </w:r>
      <w:r w:rsidR="00617922">
        <w:rPr>
          <w:rFonts w:ascii="Calibri" w:hAnsi="Calibri" w:cs="Calibri"/>
        </w:rPr>
        <w:t>°</w:t>
      </w:r>
      <w:r w:rsidR="00617922">
        <w:t xml:space="preserve"> (CT600) for trimming the copper tube, and the Di</w:t>
      </w:r>
      <w:r w:rsidR="00E03084">
        <w:t>ATOME</w:t>
      </w:r>
      <w:r w:rsidR="00617922">
        <w:t xml:space="preserve"> cryo 25</w:t>
      </w:r>
      <w:r w:rsidR="00617922">
        <w:rPr>
          <w:rFonts w:ascii="Calibri" w:hAnsi="Calibri" w:cs="Calibri"/>
        </w:rPr>
        <w:t>° (MT16094) for sectioning frozen hydrated specimens</w:t>
      </w:r>
      <w:r w:rsidR="00107DC9">
        <w:rPr>
          <w:rFonts w:ascii="Calibri" w:hAnsi="Calibri" w:cs="Calibri"/>
        </w:rPr>
        <w:t>.</w:t>
      </w:r>
      <w:r w:rsidR="00C542E4">
        <w:rPr>
          <w:rFonts w:ascii="Calibri" w:hAnsi="Calibri" w:cs="Calibri"/>
        </w:rPr>
        <w:t xml:space="preserve"> The cryotubes containing the vitrified specimen tubes were quickly moved with precool</w:t>
      </w:r>
      <w:r w:rsidR="004C1724">
        <w:rPr>
          <w:rFonts w:ascii="Calibri" w:hAnsi="Calibri" w:cs="Calibri"/>
        </w:rPr>
        <w:t>ed</w:t>
      </w:r>
      <w:r w:rsidR="00C542E4">
        <w:rPr>
          <w:rFonts w:ascii="Calibri" w:hAnsi="Calibri" w:cs="Calibri"/>
        </w:rPr>
        <w:t xml:space="preserve"> forceps from the </w:t>
      </w:r>
      <w:r w:rsidR="00C542E4">
        <w:t>LN</w:t>
      </w:r>
      <w:r w:rsidR="00C542E4">
        <w:rPr>
          <w:vertAlign w:val="subscript"/>
        </w:rPr>
        <w:t>2</w:t>
      </w:r>
      <w:r w:rsidR="00C542E4">
        <w:t xml:space="preserve"> storage Dewar into an insulated container with LN</w:t>
      </w:r>
      <w:r w:rsidR="00C542E4">
        <w:rPr>
          <w:vertAlign w:val="subscript"/>
        </w:rPr>
        <w:t>2</w:t>
      </w:r>
      <w:r w:rsidR="00C542E4">
        <w:t>. This container was then placed next to the FC6</w:t>
      </w:r>
      <w:r w:rsidR="00BC0925">
        <w:t xml:space="preserve"> chamber</w:t>
      </w:r>
      <w:r w:rsidR="00C542E4">
        <w:t xml:space="preserve">, and the cryotubes were </w:t>
      </w:r>
      <w:r w:rsidR="002A1DF2">
        <w:t>swiftly mo</w:t>
      </w:r>
      <w:r w:rsidR="00D22491">
        <w:t>ved</w:t>
      </w:r>
      <w:r w:rsidR="00C542E4">
        <w:t xml:space="preserve"> into the cryochamber. All transfer movements were done </w:t>
      </w:r>
      <w:r w:rsidR="00BC0925">
        <w:t>quickly</w:t>
      </w:r>
      <w:r w:rsidR="00C542E4">
        <w:t xml:space="preserve"> and with precooled forceps to maintain cold temperatures and avoid ice formation.</w:t>
      </w:r>
      <w:r w:rsidR="00FC39D3">
        <w:t xml:space="preserve"> The specimen Cu tubes were then removed from the cryotubes and placed in a storage </w:t>
      </w:r>
      <w:r w:rsidR="00BC0925">
        <w:t>box</w:t>
      </w:r>
      <w:r w:rsidR="00FC39D3">
        <w:t xml:space="preserve"> for punched</w:t>
      </w:r>
      <w:r w:rsidR="00BC0925">
        <w:t>-</w:t>
      </w:r>
      <w:r w:rsidR="00FC39D3">
        <w:t>out Cu</w:t>
      </w:r>
      <w:r w:rsidR="00117BBF">
        <w:t xml:space="preserve"> tubes</w:t>
      </w:r>
      <w:r w:rsidR="00BC0925">
        <w:t>,</w:t>
      </w:r>
      <w:r w:rsidR="00117BBF">
        <w:t xml:space="preserve"> and left in the cryochamber</w:t>
      </w:r>
      <w:r w:rsidR="00BC0925">
        <w:t xml:space="preserve"> (</w:t>
      </w:r>
      <w:r w:rsidR="00BC0925">
        <w:fldChar w:fldCharType="begin"/>
      </w:r>
      <w:r w:rsidR="00BC0925">
        <w:instrText xml:space="preserve"> REF _Ref72872430 \h </w:instrText>
      </w:r>
      <w:r w:rsidR="00BC0925">
        <w:fldChar w:fldCharType="separate"/>
      </w:r>
      <w:r w:rsidR="00183CC8">
        <w:t xml:space="preserve">Figure </w:t>
      </w:r>
      <w:r w:rsidR="00183CC8">
        <w:rPr>
          <w:noProof/>
        </w:rPr>
        <w:t>3</w:t>
      </w:r>
      <w:r w:rsidR="00183CC8">
        <w:t>.</w:t>
      </w:r>
      <w:r w:rsidR="00183CC8">
        <w:rPr>
          <w:noProof/>
        </w:rPr>
        <w:t>20</w:t>
      </w:r>
      <w:r w:rsidR="00BC0925">
        <w:fldChar w:fldCharType="end"/>
      </w:r>
      <w:r w:rsidR="00BC0925">
        <w:t>a</w:t>
      </w:r>
      <w:r w:rsidR="001957F2">
        <w:t xml:space="preserve"> – red selection</w:t>
      </w:r>
      <w:r w:rsidR="00BC0925">
        <w:t>)</w:t>
      </w:r>
      <w:r w:rsidR="00117BBF">
        <w:t xml:space="preserve">. The first tube was then </w:t>
      </w:r>
      <w:r w:rsidR="005E6D86">
        <w:t>inserted and secured into</w:t>
      </w:r>
      <w:r w:rsidR="00117BBF">
        <w:t xml:space="preserve"> the specimen holder at the back of </w:t>
      </w:r>
      <w:r w:rsidR="00117BBF">
        <w:lastRenderedPageBreak/>
        <w:t>the UC6</w:t>
      </w:r>
      <w:r w:rsidR="005E6D86">
        <w:t xml:space="preserve"> and the cryotrim knife place in position</w:t>
      </w:r>
      <w:r w:rsidR="00BC0925">
        <w:t xml:space="preserve"> (</w:t>
      </w:r>
      <w:r w:rsidR="00BC0925">
        <w:fldChar w:fldCharType="begin"/>
      </w:r>
      <w:r w:rsidR="00BC0925">
        <w:instrText xml:space="preserve"> REF _Ref72872430 \h </w:instrText>
      </w:r>
      <w:r w:rsidR="00BC0925">
        <w:fldChar w:fldCharType="separate"/>
      </w:r>
      <w:r w:rsidR="00183CC8">
        <w:t xml:space="preserve">Figure </w:t>
      </w:r>
      <w:r w:rsidR="00183CC8">
        <w:rPr>
          <w:noProof/>
        </w:rPr>
        <w:t>3</w:t>
      </w:r>
      <w:r w:rsidR="00183CC8">
        <w:t>.</w:t>
      </w:r>
      <w:r w:rsidR="00183CC8">
        <w:rPr>
          <w:noProof/>
        </w:rPr>
        <w:t>20</w:t>
      </w:r>
      <w:r w:rsidR="00BC0925">
        <w:fldChar w:fldCharType="end"/>
      </w:r>
      <w:r w:rsidR="00BC0925">
        <w:t>a)</w:t>
      </w:r>
      <w:r w:rsidR="005E6D86">
        <w:t>.</w:t>
      </w:r>
      <w:r w:rsidR="008D69A3">
        <w:t xml:space="preserve"> The ioniser antistatic device </w:t>
      </w:r>
      <w:r w:rsidR="00B21646">
        <w:t>was</w:t>
      </w:r>
      <w:r w:rsidR="008D69A3">
        <w:t xml:space="preserve"> situated on the front of the chamber, pointing at the specimen</w:t>
      </w:r>
      <w:r w:rsidR="007A0286">
        <w:t xml:space="preserve"> (</w:t>
      </w:r>
      <w:r w:rsidR="007A0286">
        <w:fldChar w:fldCharType="begin"/>
      </w:r>
      <w:r w:rsidR="007A0286">
        <w:instrText xml:space="preserve"> REF _Ref72872430 \h </w:instrText>
      </w:r>
      <w:r w:rsidR="007A0286">
        <w:fldChar w:fldCharType="separate"/>
      </w:r>
      <w:r w:rsidR="00183CC8">
        <w:t xml:space="preserve">Figure </w:t>
      </w:r>
      <w:r w:rsidR="00183CC8">
        <w:rPr>
          <w:noProof/>
        </w:rPr>
        <w:t>3</w:t>
      </w:r>
      <w:r w:rsidR="00183CC8">
        <w:t>.</w:t>
      </w:r>
      <w:r w:rsidR="00183CC8">
        <w:rPr>
          <w:noProof/>
        </w:rPr>
        <w:t>20</w:t>
      </w:r>
      <w:r w:rsidR="007A0286">
        <w:fldChar w:fldCharType="end"/>
      </w:r>
      <w:r w:rsidR="007A0286">
        <w:t>b)</w:t>
      </w:r>
      <w:r w:rsidR="008D69A3">
        <w:t>.</w:t>
      </w:r>
    </w:p>
    <w:p w14:paraId="240736CA" w14:textId="1D1C2D7B" w:rsidR="00514512" w:rsidRDefault="00804F39" w:rsidP="00182281">
      <w:r>
        <w:t xml:space="preserve">The cryo-sectioning protocol was modified </w:t>
      </w:r>
      <w:r w:rsidR="00590404">
        <w:t>from</w:t>
      </w:r>
      <w:r>
        <w:t xml:space="preserve"> Ng </w:t>
      </w:r>
      <w:r>
        <w:rPr>
          <w:i/>
          <w:iCs/>
        </w:rPr>
        <w:t>et al</w:t>
      </w:r>
      <w:r>
        <w:t>.</w:t>
      </w:r>
      <w:r w:rsidR="004A7BD7">
        <w:t>,</w:t>
      </w:r>
      <w:r>
        <w:t xml:space="preserve"> (2020) </w:t>
      </w:r>
      <w:r>
        <w:fldChar w:fldCharType="begin" w:fldLock="1"/>
      </w:r>
      <w:r w:rsidR="0058736C">
        <w:instrText>ADDIN CSL_CITATION {"citationItems":[{"id":"ITEM-1","itemData":{"DOI":"10.21769/bioprotoc.3831","ISSN":"2331-8325","author":[{"dropping-particle":"","family":"Ng","given":"Cai Tong","non-dropping-particle":"","parse-names":false,"suffix":""},{"dropping-particle":"","family":"Ladinsky","given":"Mark","non-dropping-particle":"","parse-names":false,"suffix":""},{"dropping-particle":"","family":"Gan","given":"Lu","non-dropping-particle":"","parse-names":false,"suffix":""}],"container-title":"Bio-Protocol","id":"ITEM-1","issue":"22","issued":{"date-parts":[["2020"]]},"page":"1-15","title":"Serial Cryomicrotomy of Saccharomyces cerevisiae for Serial Electron Cryotomography","type":"article-journal","volume":"10"},"uris":["http://www.mendeley.com/documents/?uuid=a9514d30-8a7c-405e-a337-b5325669a8d1"]}],"mendeley":{"formattedCitation":"&lt;sup&gt;[243]&lt;/sup&gt;","plainTextFormattedCitation":"[243]","previouslyFormattedCitation":"&lt;sup&gt;[243]&lt;/sup&gt;"},"properties":{"noteIndex":0},"schema":"https://github.com/citation-style-language/schema/raw/master/csl-citation.json"}</w:instrText>
      </w:r>
      <w:r>
        <w:fldChar w:fldCharType="separate"/>
      </w:r>
      <w:r w:rsidR="002659E5" w:rsidRPr="002659E5">
        <w:rPr>
          <w:noProof/>
          <w:vertAlign w:val="superscript"/>
        </w:rPr>
        <w:t>[243]</w:t>
      </w:r>
      <w:r>
        <w:fldChar w:fldCharType="end"/>
      </w:r>
      <w:r>
        <w:t xml:space="preserve">. </w:t>
      </w:r>
      <w:r w:rsidR="00F53679">
        <w:t xml:space="preserve">The </w:t>
      </w:r>
      <w:r w:rsidR="00681602">
        <w:t>initial</w:t>
      </w:r>
      <w:r w:rsidR="00F53679">
        <w:t xml:space="preserve"> step of cryo-sectioning involves exposing the sample inside the Cu tube. To do so, the cryotrim 45</w:t>
      </w:r>
      <w:r w:rsidR="00F53679">
        <w:rPr>
          <w:rFonts w:ascii="Calibri" w:hAnsi="Calibri" w:cs="Calibri"/>
        </w:rPr>
        <w:t>°</w:t>
      </w:r>
      <w:r w:rsidR="00F53679">
        <w:t xml:space="preserve"> was used to shave the face of the tube</w:t>
      </w:r>
      <w:r w:rsidR="008127D6">
        <w:t xml:space="preserve"> until the sample was visible</w:t>
      </w:r>
      <w:r w:rsidR="00692A5D">
        <w:t xml:space="preserve"> (</w:t>
      </w:r>
      <w:r w:rsidR="00692A5D">
        <w:fldChar w:fldCharType="begin"/>
      </w:r>
      <w:r w:rsidR="00692A5D">
        <w:instrText xml:space="preserve"> REF _Ref72872430 \h </w:instrText>
      </w:r>
      <w:r w:rsidR="00692A5D">
        <w:fldChar w:fldCharType="separate"/>
      </w:r>
      <w:r w:rsidR="00183CC8">
        <w:t xml:space="preserve">Figure </w:t>
      </w:r>
      <w:r w:rsidR="00183CC8">
        <w:rPr>
          <w:noProof/>
        </w:rPr>
        <w:t>3</w:t>
      </w:r>
      <w:r w:rsidR="00183CC8">
        <w:t>.</w:t>
      </w:r>
      <w:r w:rsidR="00183CC8">
        <w:rPr>
          <w:noProof/>
        </w:rPr>
        <w:t>20</w:t>
      </w:r>
      <w:r w:rsidR="00692A5D">
        <w:fldChar w:fldCharType="end"/>
      </w:r>
      <w:r w:rsidR="00692A5D">
        <w:t>c)</w:t>
      </w:r>
      <w:r w:rsidR="008127D6">
        <w:t>.</w:t>
      </w:r>
      <w:r w:rsidR="00D2755E">
        <w:t xml:space="preserve"> The </w:t>
      </w:r>
      <w:r w:rsidR="00222AF9">
        <w:t xml:space="preserve">vitrified </w:t>
      </w:r>
      <w:r w:rsidR="00D2755E">
        <w:t>sample appear</w:t>
      </w:r>
      <w:r w:rsidR="00222AF9">
        <w:t>ed</w:t>
      </w:r>
      <w:r w:rsidR="00D2755E">
        <w:t xml:space="preserve"> smooth and dark</w:t>
      </w:r>
      <w:r w:rsidR="00222AF9">
        <w:t xml:space="preserve"> as expected</w:t>
      </w:r>
      <w:r w:rsidR="00D2755E">
        <w:t>.</w:t>
      </w:r>
      <w:r w:rsidR="00681602">
        <w:t xml:space="preserve"> </w:t>
      </w:r>
      <w:r w:rsidR="003848EC">
        <w:t xml:space="preserve">Trimming was carried out at a 50 mm/s speed and 500 nm feed with a medium return speed. The last 1 µm trim was done at 25 mm/s speed and 200 nm feed. </w:t>
      </w:r>
    </w:p>
    <w:p w14:paraId="669790F6" w14:textId="06AEAB79" w:rsidR="002C5848" w:rsidRPr="00FE76DD" w:rsidRDefault="00681602" w:rsidP="00182281">
      <w:pPr>
        <w:sectPr w:rsidR="002C5848" w:rsidRPr="00FE76DD" w:rsidSect="004D0E05">
          <w:pgSz w:w="11906" w:h="16838"/>
          <w:pgMar w:top="1191" w:right="1247" w:bottom="1191" w:left="1247" w:header="709" w:footer="709" w:gutter="0"/>
          <w:cols w:space="708"/>
          <w:titlePg/>
          <w:docGrid w:linePitch="360"/>
        </w:sectPr>
      </w:pPr>
      <w:r>
        <w:t>The following step was to trim away the sides of the Cu tube to expose the specimen further and be able to section it without Cu surrounding it</w:t>
      </w:r>
      <w:r w:rsidR="00692A5D">
        <w:t xml:space="preserve"> (</w:t>
      </w:r>
      <w:r w:rsidR="00692A5D">
        <w:fldChar w:fldCharType="begin"/>
      </w:r>
      <w:r w:rsidR="00692A5D">
        <w:instrText xml:space="preserve"> REF _Ref72872430 \h </w:instrText>
      </w:r>
      <w:r w:rsidR="00692A5D">
        <w:fldChar w:fldCharType="separate"/>
      </w:r>
      <w:r w:rsidR="00183CC8">
        <w:t xml:space="preserve">Figure </w:t>
      </w:r>
      <w:r w:rsidR="00183CC8">
        <w:rPr>
          <w:noProof/>
        </w:rPr>
        <w:t>3</w:t>
      </w:r>
      <w:r w:rsidR="00183CC8">
        <w:t>.</w:t>
      </w:r>
      <w:r w:rsidR="00183CC8">
        <w:rPr>
          <w:noProof/>
        </w:rPr>
        <w:t>20</w:t>
      </w:r>
      <w:r w:rsidR="00692A5D">
        <w:fldChar w:fldCharType="end"/>
      </w:r>
      <w:r w:rsidR="00692A5D">
        <w:t>d)</w:t>
      </w:r>
      <w:r w:rsidR="00514512">
        <w:t>; this creates a square mesa</w:t>
      </w:r>
      <w:r w:rsidR="00692A5D">
        <w:t xml:space="preserve"> (</w:t>
      </w:r>
      <w:r w:rsidR="00692A5D">
        <w:fldChar w:fldCharType="begin"/>
      </w:r>
      <w:r w:rsidR="00692A5D">
        <w:instrText xml:space="preserve"> REF _Ref72872430 \h </w:instrText>
      </w:r>
      <w:r w:rsidR="00692A5D">
        <w:fldChar w:fldCharType="separate"/>
      </w:r>
      <w:r w:rsidR="00183CC8">
        <w:t xml:space="preserve">Figure </w:t>
      </w:r>
      <w:r w:rsidR="00183CC8">
        <w:rPr>
          <w:noProof/>
        </w:rPr>
        <w:t>3</w:t>
      </w:r>
      <w:r w:rsidR="00183CC8">
        <w:t>.</w:t>
      </w:r>
      <w:r w:rsidR="00183CC8">
        <w:rPr>
          <w:noProof/>
        </w:rPr>
        <w:t>20</w:t>
      </w:r>
      <w:r w:rsidR="00692A5D">
        <w:fldChar w:fldCharType="end"/>
      </w:r>
      <w:r w:rsidR="00692A5D">
        <w:t>e)</w:t>
      </w:r>
      <w:r w:rsidR="00514512">
        <w:t>.</w:t>
      </w:r>
      <w:r>
        <w:t xml:space="preserve"> </w:t>
      </w:r>
      <w:r w:rsidR="003A1165">
        <w:t>First, t</w:t>
      </w:r>
      <w:r>
        <w:t xml:space="preserve">he cryotrim knife </w:t>
      </w:r>
      <w:r w:rsidR="00634000">
        <w:t>was</w:t>
      </w:r>
      <w:r>
        <w:t xml:space="preserve"> moved to one side,</w:t>
      </w:r>
      <w:r w:rsidR="00B474E4">
        <w:t xml:space="preserve"> and positioned so that the corner </w:t>
      </w:r>
      <w:r w:rsidR="00634000">
        <w:t>closest</w:t>
      </w:r>
      <w:r w:rsidR="00B474E4">
        <w:t xml:space="preserve"> to the Cu tube </w:t>
      </w:r>
      <w:r w:rsidR="00F40294">
        <w:t>was</w:t>
      </w:r>
      <w:r w:rsidR="00B474E4">
        <w:t xml:space="preserve"> ~ 0.1 mm away from its inner wall</w:t>
      </w:r>
      <w:r w:rsidR="00692A5D">
        <w:t xml:space="preserve"> (</w:t>
      </w:r>
      <w:r w:rsidR="00692A5D">
        <w:fldChar w:fldCharType="begin"/>
      </w:r>
      <w:r w:rsidR="00692A5D">
        <w:instrText xml:space="preserve"> REF _Ref72872430 \h </w:instrText>
      </w:r>
      <w:r w:rsidR="00692A5D">
        <w:fldChar w:fldCharType="separate"/>
      </w:r>
      <w:r w:rsidR="00183CC8">
        <w:t xml:space="preserve">Figure </w:t>
      </w:r>
      <w:r w:rsidR="00183CC8">
        <w:rPr>
          <w:noProof/>
        </w:rPr>
        <w:t>3</w:t>
      </w:r>
      <w:r w:rsidR="00183CC8">
        <w:t>.</w:t>
      </w:r>
      <w:r w:rsidR="00183CC8">
        <w:rPr>
          <w:noProof/>
        </w:rPr>
        <w:t>20</w:t>
      </w:r>
      <w:r w:rsidR="00692A5D">
        <w:fldChar w:fldCharType="end"/>
      </w:r>
      <w:r w:rsidR="00692A5D">
        <w:t>d)</w:t>
      </w:r>
      <w:r w:rsidR="00B474E4">
        <w:t>.</w:t>
      </w:r>
      <w:r>
        <w:t xml:space="preserve"> </w:t>
      </w:r>
      <w:r w:rsidR="00B474E4">
        <w:t xml:space="preserve">Roughly </w:t>
      </w:r>
      <w:r w:rsidR="00123154">
        <w:t>4</w:t>
      </w:r>
      <w:r w:rsidR="00B474E4">
        <w:t>0-50 µm</w:t>
      </w:r>
      <w:r>
        <w:t xml:space="preserve"> of the tube </w:t>
      </w:r>
      <w:r w:rsidR="003A1165">
        <w:t>were</w:t>
      </w:r>
      <w:r>
        <w:t xml:space="preserve"> trimmed away, followed by moving the knife to the opposite side to repeat the process. Secondly, the specimen </w:t>
      </w:r>
      <w:r w:rsidR="00E76730">
        <w:t>holder</w:t>
      </w:r>
      <w:r>
        <w:t xml:space="preserve"> </w:t>
      </w:r>
      <w:r w:rsidR="00634000">
        <w:t>was</w:t>
      </w:r>
      <w:r>
        <w:t xml:space="preserve"> turned 90 </w:t>
      </w:r>
      <w:r>
        <w:rPr>
          <w:rFonts w:ascii="Calibri" w:hAnsi="Calibri" w:cs="Calibri"/>
        </w:rPr>
        <w:t>°</w:t>
      </w:r>
      <w:r>
        <w:t xml:space="preserve"> and th</w:t>
      </w:r>
      <w:r w:rsidR="00634000">
        <w:t>is</w:t>
      </w:r>
      <w:r>
        <w:t xml:space="preserve"> process </w:t>
      </w:r>
      <w:r w:rsidR="00634000">
        <w:t>was</w:t>
      </w:r>
      <w:r>
        <w:t xml:space="preserve"> repeated on each side </w:t>
      </w:r>
      <w:r w:rsidR="00634000">
        <w:t>to</w:t>
      </w:r>
      <w:r>
        <w:t xml:space="preserve"> trim what </w:t>
      </w:r>
      <w:r w:rsidR="00131950">
        <w:t xml:space="preserve">initially </w:t>
      </w:r>
      <w:r>
        <w:t>was the top and bottom of the tube before rotation.</w:t>
      </w:r>
      <w:r w:rsidR="00B64B83">
        <w:t xml:space="preserve"> </w:t>
      </w:r>
      <w:r w:rsidR="00514512">
        <w:t>Th</w:t>
      </w:r>
      <w:r w:rsidR="00692A5D">
        <w:t>is</w:t>
      </w:r>
      <w:r w:rsidR="00514512">
        <w:t xml:space="preserve"> square mesa trimming </w:t>
      </w:r>
      <w:r w:rsidR="00F40294">
        <w:t>was</w:t>
      </w:r>
      <w:r w:rsidR="00514512">
        <w:t xml:space="preserve"> </w:t>
      </w:r>
      <w:r w:rsidR="00F40294">
        <w:t>performed</w:t>
      </w:r>
      <w:r w:rsidR="00514512">
        <w:t xml:space="preserve"> at 25-50 mm/s and 200 nm feed with medium return speed. </w:t>
      </w:r>
      <w:r w:rsidR="00B64B83">
        <w:t xml:space="preserve">During the trimming of the Cu tube, the ioniser </w:t>
      </w:r>
      <w:r w:rsidR="00265572">
        <w:t>was</w:t>
      </w:r>
      <w:r w:rsidR="00B64B83">
        <w:t xml:space="preserve"> se</w:t>
      </w:r>
      <w:r w:rsidR="00265572">
        <w:t>t to</w:t>
      </w:r>
      <w:r w:rsidR="00B64B83">
        <w:t xml:space="preserve"> high to make sure that the Cu shavings d</w:t>
      </w:r>
      <w:r w:rsidR="00BA726C">
        <w:t>id</w:t>
      </w:r>
      <w:r w:rsidR="00B64B83">
        <w:t xml:space="preserve"> not stick to the knife</w:t>
      </w:r>
      <w:r w:rsidR="006D2B4F">
        <w:t xml:space="preserve"> edge</w:t>
      </w:r>
      <w:r w:rsidR="00B64B83">
        <w:t>.</w:t>
      </w:r>
      <w:r w:rsidR="002A6C6D">
        <w:t xml:space="preserve"> </w:t>
      </w:r>
      <w:r w:rsidR="00FE76DD">
        <w:t xml:space="preserve"> Sometimes, drop amounts of LN</w:t>
      </w:r>
      <w:r w:rsidR="00FE76DD">
        <w:rPr>
          <w:vertAlign w:val="subscript"/>
        </w:rPr>
        <w:t>2</w:t>
      </w:r>
      <w:r w:rsidR="00FE76DD">
        <w:t xml:space="preserve"> had to be added to help remove Cu debris.</w:t>
      </w:r>
    </w:p>
    <w:p w14:paraId="5879832B" w14:textId="77777777" w:rsidR="002C5848" w:rsidRDefault="002C5848" w:rsidP="00176378">
      <w:pPr>
        <w:keepNext/>
        <w:jc w:val="center"/>
      </w:pPr>
      <w:r>
        <w:rPr>
          <w:noProof/>
        </w:rPr>
        <w:lastRenderedPageBreak/>
        <w:drawing>
          <wp:inline distT="0" distB="0" distL="0" distR="0" wp14:anchorId="2F276EEA" wp14:editId="4EEE9166">
            <wp:extent cx="5911215" cy="6879772"/>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42" cstate="print">
                      <a:extLst>
                        <a:ext uri="{BEBA8EAE-BF5A-486C-A8C5-ECC9F3942E4B}">
                          <a14:imgProps xmlns:a14="http://schemas.microsoft.com/office/drawing/2010/main">
                            <a14:imgLayer r:embed="rId43">
                              <a14:imgEffect>
                                <a14:brightnessContrast bright="15000"/>
                              </a14:imgEffect>
                            </a14:imgLayer>
                          </a14:imgProps>
                        </a:ext>
                        <a:ext uri="{28A0092B-C50C-407E-A947-70E740481C1C}">
                          <a14:useLocalDpi xmlns:a14="http://schemas.microsoft.com/office/drawing/2010/main" val="0"/>
                        </a:ext>
                      </a:extLst>
                    </a:blip>
                    <a:stretch>
                      <a:fillRect/>
                    </a:stretch>
                  </pic:blipFill>
                  <pic:spPr>
                    <a:xfrm>
                      <a:off x="0" y="0"/>
                      <a:ext cx="5927629" cy="6898876"/>
                    </a:xfrm>
                    <a:prstGeom prst="rect">
                      <a:avLst/>
                    </a:prstGeom>
                  </pic:spPr>
                </pic:pic>
              </a:graphicData>
            </a:graphic>
          </wp:inline>
        </w:drawing>
      </w:r>
    </w:p>
    <w:p w14:paraId="573888A7" w14:textId="50152BE4" w:rsidR="00B64B83" w:rsidRDefault="002C5848" w:rsidP="008A2B86">
      <w:pPr>
        <w:pStyle w:val="Caption"/>
      </w:pPr>
      <w:bookmarkStart w:id="565" w:name="_Ref72872430"/>
      <w:bookmarkStart w:id="566" w:name="_Toc90216955"/>
      <w:r>
        <w:t xml:space="preserve">Figure </w:t>
      </w:r>
      <w:r w:rsidR="003373BF">
        <w:fldChar w:fldCharType="begin"/>
      </w:r>
      <w:r w:rsidR="003373BF">
        <w:instrText xml:space="preserve"> STYLEREF 1 \s </w:instrText>
      </w:r>
      <w:r w:rsidR="003373BF">
        <w:fldChar w:fldCharType="separate"/>
      </w:r>
      <w:r w:rsidR="00183CC8">
        <w:rPr>
          <w:noProof/>
        </w:rPr>
        <w:t>3</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20</w:t>
      </w:r>
      <w:r w:rsidR="003373BF">
        <w:rPr>
          <w:noProof/>
        </w:rPr>
        <w:fldChar w:fldCharType="end"/>
      </w:r>
      <w:bookmarkEnd w:id="565"/>
      <w:r>
        <w:t xml:space="preserve"> </w:t>
      </w:r>
      <w:r w:rsidR="00A31651">
        <w:t>Cryo-microtome</w:t>
      </w:r>
      <w:r>
        <w:t xml:space="preserve"> set</w:t>
      </w:r>
      <w:r w:rsidR="00A31651">
        <w:t>up</w:t>
      </w:r>
      <w:r>
        <w:t xml:space="preserve"> for cryo-sectioning of frozen-hydrated samples.</w:t>
      </w:r>
      <w:bookmarkEnd w:id="566"/>
    </w:p>
    <w:p w14:paraId="78D7CE94" w14:textId="255EFED9" w:rsidR="003B399B" w:rsidRDefault="00D93F02" w:rsidP="003B399B">
      <w:pPr>
        <w:pStyle w:val="NoSpacing"/>
        <w:sectPr w:rsidR="003B399B" w:rsidSect="004D0E05">
          <w:pgSz w:w="11906" w:h="16838"/>
          <w:pgMar w:top="1191" w:right="1247" w:bottom="1191" w:left="1247" w:header="709" w:footer="709" w:gutter="0"/>
          <w:cols w:space="708"/>
          <w:titlePg/>
          <w:docGrid w:linePitch="360"/>
        </w:sectPr>
      </w:pPr>
      <w:r>
        <w:rPr>
          <w:b/>
          <w:bCs/>
        </w:rPr>
        <w:t>(A)</w:t>
      </w:r>
      <w:r>
        <w:t xml:space="preserve"> Cryo-chamber showing the setup of all components for c</w:t>
      </w:r>
      <w:r w:rsidR="00715946">
        <w:t>r</w:t>
      </w:r>
      <w:r>
        <w:t xml:space="preserve">yo-sectioning. </w:t>
      </w:r>
      <w:r>
        <w:rPr>
          <w:b/>
          <w:bCs/>
        </w:rPr>
        <w:t>(B)</w:t>
      </w:r>
      <w:r>
        <w:t xml:space="preserve"> </w:t>
      </w:r>
      <w:r w:rsidR="00375027">
        <w:t xml:space="preserve">Positioning of the antistatic device during sectioning. </w:t>
      </w:r>
      <w:r w:rsidR="00375027">
        <w:rPr>
          <w:b/>
          <w:bCs/>
        </w:rPr>
        <w:t>(C)</w:t>
      </w:r>
      <w:r w:rsidR="00375027">
        <w:t xml:space="preserve"> Trimming of the </w:t>
      </w:r>
      <w:r w:rsidR="009D671F">
        <w:t>copper (</w:t>
      </w:r>
      <w:r w:rsidR="00375027">
        <w:t>Cu</w:t>
      </w:r>
      <w:r w:rsidR="009D671F">
        <w:t>)</w:t>
      </w:r>
      <w:r w:rsidR="00375027">
        <w:t xml:space="preserve"> tube with the vitrified sample and polishing of the face of the specimen. </w:t>
      </w:r>
      <w:r w:rsidR="00375027">
        <w:rPr>
          <w:b/>
          <w:bCs/>
        </w:rPr>
        <w:t>(D)</w:t>
      </w:r>
      <w:r w:rsidR="00375027">
        <w:t xml:space="preserve"> </w:t>
      </w:r>
      <w:r w:rsidR="005F288E">
        <w:t xml:space="preserve">Trimming of the sides of the Cu tube to form a </w:t>
      </w:r>
      <w:r w:rsidR="005F288E">
        <w:rPr>
          <w:b/>
          <w:bCs/>
        </w:rPr>
        <w:t>(E)</w:t>
      </w:r>
      <w:r w:rsidR="005F288E">
        <w:t xml:space="preserve"> square mesa</w:t>
      </w:r>
      <w:r w:rsidR="003B399B">
        <w:t>.</w:t>
      </w:r>
    </w:p>
    <w:p w14:paraId="31E5CB1A" w14:textId="2469F1B3" w:rsidR="008E202C" w:rsidRPr="006E3C6F" w:rsidRDefault="002A6C6D" w:rsidP="00182281">
      <w:r>
        <w:lastRenderedPageBreak/>
        <w:t xml:space="preserve">Once the specimen </w:t>
      </w:r>
      <w:r w:rsidR="003F2792">
        <w:t>was</w:t>
      </w:r>
      <w:r>
        <w:t xml:space="preserve"> exposed,</w:t>
      </w:r>
      <w:r w:rsidR="00C948E8">
        <w:t xml:space="preserve"> </w:t>
      </w:r>
      <w:r>
        <w:t>the cry</w:t>
      </w:r>
      <w:r w:rsidR="002E21A8">
        <w:t>o</w:t>
      </w:r>
      <w:r>
        <w:t xml:space="preserve">trim knife </w:t>
      </w:r>
      <w:r w:rsidR="003F2792">
        <w:t>was</w:t>
      </w:r>
      <w:r>
        <w:t xml:space="preserve"> moved out of the way and the cryo 25</w:t>
      </w:r>
      <w:r>
        <w:rPr>
          <w:rFonts w:ascii="Calibri" w:hAnsi="Calibri" w:cs="Calibri"/>
        </w:rPr>
        <w:t>°</w:t>
      </w:r>
      <w:r>
        <w:t xml:space="preserve"> knife </w:t>
      </w:r>
      <w:r w:rsidR="003F2792">
        <w:t>was</w:t>
      </w:r>
      <w:r>
        <w:t xml:space="preserve"> set in place to start sectioning the frozen hydrated sample.</w:t>
      </w:r>
      <w:r w:rsidR="00D179A0">
        <w:t xml:space="preserve"> </w:t>
      </w:r>
      <w:r w:rsidR="003F2792">
        <w:t xml:space="preserve">Sections were </w:t>
      </w:r>
      <w:r w:rsidR="00D3300E">
        <w:t>obtained</w:t>
      </w:r>
      <w:r w:rsidR="003F2792">
        <w:t xml:space="preserve"> with</w:t>
      </w:r>
      <w:r w:rsidR="00D179A0">
        <w:t xml:space="preserve"> a </w:t>
      </w:r>
      <w:r w:rsidR="00B75871">
        <w:t>1</w:t>
      </w:r>
      <w:r w:rsidR="00DB65FC">
        <w:t> mm/s</w:t>
      </w:r>
      <w:r w:rsidR="00D179A0">
        <w:t xml:space="preserve"> </w:t>
      </w:r>
      <w:r w:rsidR="003F2792">
        <w:t xml:space="preserve">cutting </w:t>
      </w:r>
      <w:r w:rsidR="00D179A0">
        <w:t xml:space="preserve">speed and </w:t>
      </w:r>
      <w:r w:rsidR="00B75871">
        <w:t>50 nm</w:t>
      </w:r>
      <w:r w:rsidR="00D179A0">
        <w:t xml:space="preserve"> feed</w:t>
      </w:r>
      <w:r w:rsidR="00B75871">
        <w:t xml:space="preserve"> with </w:t>
      </w:r>
      <w:r w:rsidR="00906511">
        <w:t xml:space="preserve">a </w:t>
      </w:r>
      <w:r w:rsidR="00B75871">
        <w:t>slow return speed</w:t>
      </w:r>
      <w:r w:rsidR="00D179A0">
        <w:t xml:space="preserve">. The ioniser’s intensity and position </w:t>
      </w:r>
      <w:r w:rsidR="00D3300E">
        <w:t>were</w:t>
      </w:r>
      <w:r w:rsidR="00D179A0">
        <w:t xml:space="preserve"> constantly modified according to what was needed. If the ribbon of sections stuck to the knife, the intensity was increased or the ioniser was slightly moved forward. If the ribbon started to lift away, the opposite action was taken.</w:t>
      </w:r>
      <w:r w:rsidR="00336BF6">
        <w:t xml:space="preserve"> This is the most difficult and crucial step of cryo-sectioning.</w:t>
      </w:r>
      <w:r w:rsidR="00E200C1">
        <w:t xml:space="preserve"> The use of clothing with natural fabrics is highly recommended to avoid affecting the static of the sections. </w:t>
      </w:r>
      <w:r w:rsidR="00D12635">
        <w:t xml:space="preserve">Obtaining a ribbon of sections requires a lot of practice and patience. </w:t>
      </w:r>
      <w:r w:rsidR="00C34A37">
        <w:t xml:space="preserve">Caution should be taken, especially to avoid burning of the fingers </w:t>
      </w:r>
      <w:r w:rsidR="00DA78C1">
        <w:t>during</w:t>
      </w:r>
      <w:r w:rsidR="00C34A37">
        <w:t xml:space="preserve"> long manipulation</w:t>
      </w:r>
      <w:r w:rsidR="00430356">
        <w:t>s</w:t>
      </w:r>
      <w:r w:rsidR="00C34A37">
        <w:t xml:space="preserve"> near the cryochamber. </w:t>
      </w:r>
      <w:r w:rsidR="00D12635">
        <w:t xml:space="preserve">An eyelash glued to a wooden stick was used to </w:t>
      </w:r>
      <w:r w:rsidR="008E202C">
        <w:t xml:space="preserve">manipulate the ribbon of </w:t>
      </w:r>
      <w:r w:rsidR="007C4949">
        <w:t xml:space="preserve">the </w:t>
      </w:r>
      <w:r w:rsidR="00EA4E78">
        <w:t>obtained</w:t>
      </w:r>
      <w:r w:rsidR="007C4949">
        <w:t xml:space="preserve"> </w:t>
      </w:r>
      <w:r w:rsidR="008E202C">
        <w:t xml:space="preserve">sections. The angle at which this manipulation occurs makes it very difficult to be precise. </w:t>
      </w:r>
      <w:r w:rsidR="006E3C6F">
        <w:t xml:space="preserve">Ng </w:t>
      </w:r>
      <w:r w:rsidR="006E3C6F">
        <w:rPr>
          <w:i/>
          <w:iCs/>
        </w:rPr>
        <w:t>et al</w:t>
      </w:r>
      <w:r w:rsidR="006E3C6F">
        <w:t>.</w:t>
      </w:r>
      <w:r w:rsidR="004A7BD7">
        <w:t>,</w:t>
      </w:r>
      <w:r w:rsidR="006E3C6F">
        <w:t xml:space="preserve"> (2020) </w:t>
      </w:r>
      <w:r w:rsidR="006E3C6F">
        <w:fldChar w:fldCharType="begin" w:fldLock="1"/>
      </w:r>
      <w:r w:rsidR="0058736C">
        <w:instrText>ADDIN CSL_CITATION {"citationItems":[{"id":"ITEM-1","itemData":{"DOI":"10.21769/bioprotoc.3831","ISSN":"2331-8325","author":[{"dropping-particle":"","family":"Ng","given":"Cai Tong","non-dropping-particle":"","parse-names":false,"suffix":""},{"dropping-particle":"","family":"Ladinsky","given":"Mark","non-dropping-particle":"","parse-names":false,"suffix":""},{"dropping-particle":"","family":"Gan","given":"Lu","non-dropping-particle":"","parse-names":false,"suffix":""}],"container-title":"Bio-Protocol","id":"ITEM-1","issue":"22","issued":{"date-parts":[["2020"]]},"page":"1-15","title":"Serial Cryomicrotomy of Saccharomyces cerevisiae for Serial Electron Cryotomography","type":"article-journal","volume":"10"},"uris":["http://www.mendeley.com/documents/?uuid=a9514d30-8a7c-405e-a337-b5325669a8d1"]}],"mendeley":{"formattedCitation":"&lt;sup&gt;[243]&lt;/sup&gt;","plainTextFormattedCitation":"[243]","previouslyFormattedCitation":"&lt;sup&gt;[243]&lt;/sup&gt;"},"properties":{"noteIndex":0},"schema":"https://github.com/citation-style-language/schema/raw/master/csl-citation.json"}</w:instrText>
      </w:r>
      <w:r w:rsidR="006E3C6F">
        <w:fldChar w:fldCharType="separate"/>
      </w:r>
      <w:r w:rsidR="002659E5" w:rsidRPr="002659E5">
        <w:rPr>
          <w:noProof/>
          <w:vertAlign w:val="superscript"/>
        </w:rPr>
        <w:t>[243]</w:t>
      </w:r>
      <w:r w:rsidR="006E3C6F">
        <w:fldChar w:fldCharType="end"/>
      </w:r>
      <w:r w:rsidR="006E3C6F">
        <w:t xml:space="preserve"> describe</w:t>
      </w:r>
      <w:r w:rsidR="005F5E54">
        <w:t>d</w:t>
      </w:r>
      <w:r w:rsidR="006E3C6F">
        <w:t xml:space="preserve"> the use of a custom-made fibre tool </w:t>
      </w:r>
      <w:r w:rsidR="006918D7">
        <w:t>paired up with a commercial micromanipulator adapted for cryo-microtomy</w:t>
      </w:r>
      <w:r w:rsidR="00F748FC">
        <w:t xml:space="preserve"> (</w:t>
      </w:r>
      <w:r w:rsidR="00F748FC">
        <w:fldChar w:fldCharType="begin"/>
      </w:r>
      <w:r w:rsidR="00F748FC">
        <w:instrText xml:space="preserve"> REF _Ref72877425 \h </w:instrText>
      </w:r>
      <w:r w:rsidR="00F748FC">
        <w:fldChar w:fldCharType="separate"/>
      </w:r>
      <w:r w:rsidR="00183CC8">
        <w:t xml:space="preserve">Figure </w:t>
      </w:r>
      <w:r w:rsidR="00183CC8">
        <w:rPr>
          <w:noProof/>
        </w:rPr>
        <w:t>3</w:t>
      </w:r>
      <w:r w:rsidR="00183CC8">
        <w:t>.</w:t>
      </w:r>
      <w:r w:rsidR="00183CC8">
        <w:rPr>
          <w:noProof/>
        </w:rPr>
        <w:t>21</w:t>
      </w:r>
      <w:r w:rsidR="00F748FC">
        <w:fldChar w:fldCharType="end"/>
      </w:r>
      <w:r w:rsidR="00F748FC">
        <w:t>a)</w:t>
      </w:r>
      <w:r w:rsidR="006918D7">
        <w:t xml:space="preserve">. Such a tool would provide </w:t>
      </w:r>
      <w:r w:rsidR="006E3C6F">
        <w:t xml:space="preserve">a more precise </w:t>
      </w:r>
      <w:r w:rsidR="00EA4E78">
        <w:t>manoeuvring</w:t>
      </w:r>
      <w:r w:rsidR="006E3C6F">
        <w:t xml:space="preserve"> of the ribbon</w:t>
      </w:r>
      <w:r w:rsidR="006918D7">
        <w:t xml:space="preserve"> and adapting a similar setting for this technique should be considered.</w:t>
      </w:r>
    </w:p>
    <w:p w14:paraId="234C88B1" w14:textId="3DD588DA" w:rsidR="00571457" w:rsidRDefault="006609C6" w:rsidP="00182281">
      <w:r>
        <w:t>The</w:t>
      </w:r>
      <w:r w:rsidR="00D12635">
        <w:t xml:space="preserve"> process </w:t>
      </w:r>
      <w:r>
        <w:t xml:space="preserve">of pulling the ribbon towards the user </w:t>
      </w:r>
      <w:r w:rsidR="00D12635">
        <w:t xml:space="preserve">is a delicate balance between </w:t>
      </w:r>
      <w:r>
        <w:t>extending the ribbon onto a</w:t>
      </w:r>
      <w:r w:rsidR="00FA064E">
        <w:t>n</w:t>
      </w:r>
      <w:r>
        <w:t xml:space="preserve"> EM grid</w:t>
      </w:r>
      <w:r w:rsidR="00D12635">
        <w:t xml:space="preserve"> while avoiding breakage</w:t>
      </w:r>
      <w:r w:rsidR="009B2FAC">
        <w:t xml:space="preserve">. </w:t>
      </w:r>
      <w:r w:rsidR="00BA6202">
        <w:t xml:space="preserve">Ng </w:t>
      </w:r>
      <w:r w:rsidR="00BA6202">
        <w:rPr>
          <w:i/>
          <w:iCs/>
        </w:rPr>
        <w:t>et al</w:t>
      </w:r>
      <w:r w:rsidR="00BA6202">
        <w:t>.</w:t>
      </w:r>
      <w:r w:rsidR="004A7BD7">
        <w:t>,</w:t>
      </w:r>
      <w:r w:rsidR="00BA6202">
        <w:t xml:space="preserve"> (2020) </w:t>
      </w:r>
      <w:r w:rsidR="00BA6202">
        <w:fldChar w:fldCharType="begin" w:fldLock="1"/>
      </w:r>
      <w:r w:rsidR="0058736C">
        <w:instrText>ADDIN CSL_CITATION {"citationItems":[{"id":"ITEM-1","itemData":{"DOI":"10.21769/bioprotoc.3831","ISSN":"2331-8325","author":[{"dropping-particle":"","family":"Ng","given":"Cai Tong","non-dropping-particle":"","parse-names":false,"suffix":""},{"dropping-particle":"","family":"Ladinsky","given":"Mark","non-dropping-particle":"","parse-names":false,"suffix":""},{"dropping-particle":"","family":"Gan","given":"Lu","non-dropping-particle":"","parse-names":false,"suffix":""}],"container-title":"Bio-Protocol","id":"ITEM-1","issue":"22","issued":{"date-parts":[["2020"]]},"page":"1-15","title":"Serial Cryomicrotomy of Saccharomyces cerevisiae for Serial Electron Cryotomography","type":"article-journal","volume":"10"},"uris":["http://www.mendeley.com/documents/?uuid=a9514d30-8a7c-405e-a337-b5325669a8d1"]}],"mendeley":{"formattedCitation":"&lt;sup&gt;[243]&lt;/sup&gt;","plainTextFormattedCitation":"[243]","previouslyFormattedCitation":"&lt;sup&gt;[243]&lt;/sup&gt;"},"properties":{"noteIndex":0},"schema":"https://github.com/citation-style-language/schema/raw/master/csl-citation.json"}</w:instrText>
      </w:r>
      <w:r w:rsidR="00BA6202">
        <w:fldChar w:fldCharType="separate"/>
      </w:r>
      <w:r w:rsidR="002659E5" w:rsidRPr="002659E5">
        <w:rPr>
          <w:noProof/>
          <w:vertAlign w:val="superscript"/>
        </w:rPr>
        <w:t>[243]</w:t>
      </w:r>
      <w:r w:rsidR="00BA6202">
        <w:fldChar w:fldCharType="end"/>
      </w:r>
      <w:r w:rsidR="00BA6202">
        <w:t xml:space="preserve"> described a technique where the ribbon is looped over the eyelash, which in turn makes pulling the ribbon easier as it is more secured around the eyelash. Unfortunately, </w:t>
      </w:r>
      <w:r w:rsidR="008A0A34">
        <w:t>I</w:t>
      </w:r>
      <w:r w:rsidR="00BA6202">
        <w:t xml:space="preserve"> failed to achieve a successful loop with the current set up. Having the custom-made fibre tool and micromanipulator described in </w:t>
      </w:r>
      <w:r w:rsidR="00C64216">
        <w:t>N</w:t>
      </w:r>
      <w:r w:rsidR="00BA6202">
        <w:t>g’s protocol would probably allow for better control of the ribbon and its looping around the eyelash.</w:t>
      </w:r>
      <w:r w:rsidR="00F56757">
        <w:t xml:space="preserve"> </w:t>
      </w:r>
      <w:r w:rsidR="000E387E">
        <w:t>Hence, the</w:t>
      </w:r>
      <w:r w:rsidR="00F56757">
        <w:t xml:space="preserve"> ribbon</w:t>
      </w:r>
      <w:r w:rsidR="000E387E">
        <w:t xml:space="preserve"> was controlled</w:t>
      </w:r>
      <w:r w:rsidR="00F56757">
        <w:t xml:space="preserve"> by placing the eyelash underneath </w:t>
      </w:r>
      <w:r w:rsidR="000E387E">
        <w:t>it</w:t>
      </w:r>
      <w:r w:rsidR="00F56757">
        <w:t>.</w:t>
      </w:r>
      <w:r w:rsidR="00916BED" w:rsidRPr="00916BED">
        <w:t xml:space="preserve"> </w:t>
      </w:r>
      <w:r w:rsidR="00916BED">
        <w:t xml:space="preserve">A steady hand </w:t>
      </w:r>
      <w:r w:rsidR="00242EAA">
        <w:t>was</w:t>
      </w:r>
      <w:r w:rsidR="00916BED">
        <w:t xml:space="preserve"> </w:t>
      </w:r>
      <w:r w:rsidR="001C53B5">
        <w:t>essential</w:t>
      </w:r>
      <w:r w:rsidR="00916BED">
        <w:t>.</w:t>
      </w:r>
    </w:p>
    <w:p w14:paraId="49F6EB65" w14:textId="010D84BF" w:rsidR="002B289B" w:rsidRDefault="008F7B2F" w:rsidP="00182281">
      <w:pPr>
        <w:sectPr w:rsidR="002B289B" w:rsidSect="004D0E05">
          <w:pgSz w:w="11906" w:h="16838"/>
          <w:pgMar w:top="1191" w:right="1247" w:bottom="1191" w:left="1247" w:header="709" w:footer="709" w:gutter="0"/>
          <w:cols w:space="708"/>
          <w:titlePg/>
          <w:docGrid w:linePitch="360"/>
        </w:sectPr>
      </w:pPr>
      <w:r>
        <w:t>Once a long enough</w:t>
      </w:r>
      <w:r w:rsidR="00F565D4" w:rsidRPr="00F565D4">
        <w:t xml:space="preserve"> </w:t>
      </w:r>
      <w:r w:rsidR="00F565D4">
        <w:t>ribbon</w:t>
      </w:r>
      <w:r>
        <w:t xml:space="preserve"> </w:t>
      </w:r>
      <w:r w:rsidR="00F565D4">
        <w:t>was</w:t>
      </w:r>
      <w:r>
        <w:t xml:space="preserve"> obtained, a</w:t>
      </w:r>
      <w:r w:rsidR="00D12635">
        <w:t xml:space="preserve"> carbon-coated fine-mesh grid </w:t>
      </w:r>
      <w:r w:rsidR="00F565D4">
        <w:t>was</w:t>
      </w:r>
      <w:r w:rsidR="00D12635">
        <w:t xml:space="preserve"> </w:t>
      </w:r>
      <w:r w:rsidR="00B07535">
        <w:t>placed</w:t>
      </w:r>
      <w:r w:rsidR="00D12635">
        <w:t xml:space="preserve"> </w:t>
      </w:r>
      <w:r w:rsidR="003C1D55">
        <w:t>beneath</w:t>
      </w:r>
      <w:r w:rsidR="00677F5C">
        <w:t xml:space="preserve"> it</w:t>
      </w:r>
      <w:r w:rsidR="00D12635">
        <w:t>.</w:t>
      </w:r>
      <w:r w:rsidR="003A0EE5">
        <w:t xml:space="preserve"> Manipulating the grid with one hand while controlling the eyelash and the ribbon with the other is extremely difficult, especially when an extra hand is needed to constantly modify the controls of the FC6 and the ioniser. </w:t>
      </w:r>
      <w:r w:rsidR="008A0A34">
        <w:t>T</w:t>
      </w:r>
      <w:r w:rsidR="008E7E58">
        <w:t>herefore</w:t>
      </w:r>
      <w:r w:rsidR="008A0A34">
        <w:t>,</w:t>
      </w:r>
      <w:r w:rsidR="008E7E58">
        <w:t xml:space="preserve"> the grid holder provided in the FC6</w:t>
      </w:r>
      <w:r w:rsidR="008A0A34">
        <w:t xml:space="preserve"> was used</w:t>
      </w:r>
      <w:r w:rsidR="00F748FC">
        <w:t xml:space="preserve"> (</w:t>
      </w:r>
      <w:r w:rsidR="00F748FC">
        <w:fldChar w:fldCharType="begin"/>
      </w:r>
      <w:r w:rsidR="00F748FC">
        <w:instrText xml:space="preserve"> REF _Ref72877425 \h </w:instrText>
      </w:r>
      <w:r w:rsidR="00F748FC">
        <w:fldChar w:fldCharType="separate"/>
      </w:r>
      <w:r w:rsidR="00183CC8">
        <w:t xml:space="preserve">Figure </w:t>
      </w:r>
      <w:r w:rsidR="00183CC8">
        <w:rPr>
          <w:noProof/>
        </w:rPr>
        <w:t>3</w:t>
      </w:r>
      <w:r w:rsidR="00183CC8">
        <w:t>.</w:t>
      </w:r>
      <w:r w:rsidR="00183CC8">
        <w:rPr>
          <w:noProof/>
        </w:rPr>
        <w:t>21</w:t>
      </w:r>
      <w:r w:rsidR="00F748FC">
        <w:fldChar w:fldCharType="end"/>
      </w:r>
      <w:r w:rsidR="00F748FC">
        <w:t>b)</w:t>
      </w:r>
      <w:r w:rsidR="008E7E58">
        <w:t>.</w:t>
      </w:r>
      <w:r w:rsidR="009B2FAC">
        <w:t xml:space="preserve"> Extra caution should be taken not to push the grid too close to the diamond knife, as the grid holder </w:t>
      </w:r>
      <w:r w:rsidR="004D2EDA">
        <w:t xml:space="preserve">or the grid itself </w:t>
      </w:r>
      <w:r w:rsidR="009B2FAC">
        <w:t xml:space="preserve">could easily crash into </w:t>
      </w:r>
      <w:r w:rsidR="004D2EDA">
        <w:t>the knife and damage it</w:t>
      </w:r>
      <w:r w:rsidR="009B2FAC">
        <w:t>.</w:t>
      </w:r>
    </w:p>
    <w:p w14:paraId="7330F9EA" w14:textId="77777777" w:rsidR="003E6E81" w:rsidRDefault="003E6E81" w:rsidP="003E6E81">
      <w:pPr>
        <w:pStyle w:val="NoSpacing"/>
        <w:keepNext/>
        <w:jc w:val="center"/>
      </w:pPr>
      <w:r>
        <w:rPr>
          <w:noProof/>
        </w:rPr>
        <w:lastRenderedPageBreak/>
        <w:drawing>
          <wp:inline distT="0" distB="0" distL="0" distR="0" wp14:anchorId="26848668" wp14:editId="4368A69B">
            <wp:extent cx="5897879" cy="6479177"/>
            <wp:effectExtent l="0" t="0" r="0" b="0"/>
            <wp:docPr id="67" name="Picture 67" descr="A picture containing tex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text, different&#10;&#10;Description automatically generated"/>
                    <pic:cNvPicPr/>
                  </pic:nvPicPr>
                  <pic:blipFill>
                    <a:blip r:embed="rId44" cstate="print">
                      <a:extLst>
                        <a:ext uri="{BEBA8EAE-BF5A-486C-A8C5-ECC9F3942E4B}">
                          <a14:imgProps xmlns:a14="http://schemas.microsoft.com/office/drawing/2010/main">
                            <a14:imgLayer r:embed="rId45">
                              <a14:imgEffect>
                                <a14:brightnessContrast bright="25000"/>
                              </a14:imgEffect>
                            </a14:imgLayer>
                          </a14:imgProps>
                        </a:ext>
                        <a:ext uri="{28A0092B-C50C-407E-A947-70E740481C1C}">
                          <a14:useLocalDpi xmlns:a14="http://schemas.microsoft.com/office/drawing/2010/main" val="0"/>
                        </a:ext>
                      </a:extLst>
                    </a:blip>
                    <a:stretch>
                      <a:fillRect/>
                    </a:stretch>
                  </pic:blipFill>
                  <pic:spPr>
                    <a:xfrm>
                      <a:off x="0" y="0"/>
                      <a:ext cx="5913243" cy="6496055"/>
                    </a:xfrm>
                    <a:prstGeom prst="rect">
                      <a:avLst/>
                    </a:prstGeom>
                  </pic:spPr>
                </pic:pic>
              </a:graphicData>
            </a:graphic>
          </wp:inline>
        </w:drawing>
      </w:r>
    </w:p>
    <w:p w14:paraId="38F07A26" w14:textId="5F632A82" w:rsidR="003E6E81" w:rsidRDefault="003E6E81" w:rsidP="003E6E81">
      <w:pPr>
        <w:pStyle w:val="Caption"/>
      </w:pPr>
      <w:bookmarkStart w:id="567" w:name="_Ref72877425"/>
      <w:bookmarkStart w:id="568" w:name="_Toc90216956"/>
      <w:r>
        <w:t xml:space="preserve">Figure </w:t>
      </w:r>
      <w:r w:rsidR="003373BF">
        <w:fldChar w:fldCharType="begin"/>
      </w:r>
      <w:r w:rsidR="003373BF">
        <w:instrText xml:space="preserve"> STYLEREF 1 \s </w:instrText>
      </w:r>
      <w:r w:rsidR="003373BF">
        <w:fldChar w:fldCharType="separate"/>
      </w:r>
      <w:r w:rsidR="00183CC8">
        <w:rPr>
          <w:noProof/>
        </w:rPr>
        <w:t>3</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21</w:t>
      </w:r>
      <w:r w:rsidR="003373BF">
        <w:rPr>
          <w:noProof/>
        </w:rPr>
        <w:fldChar w:fldCharType="end"/>
      </w:r>
      <w:bookmarkEnd w:id="567"/>
      <w:r>
        <w:t xml:space="preserve"> Tools for aiding serial cryo-sectioning.</w:t>
      </w:r>
      <w:bookmarkEnd w:id="568"/>
    </w:p>
    <w:p w14:paraId="7C8ACC42" w14:textId="29A57699" w:rsidR="003E6E81" w:rsidRDefault="003E6E81" w:rsidP="003E6E81">
      <w:pPr>
        <w:pStyle w:val="NoSpacing"/>
        <w:sectPr w:rsidR="003E6E81" w:rsidSect="004D0E05">
          <w:pgSz w:w="11906" w:h="16838"/>
          <w:pgMar w:top="1191" w:right="1247" w:bottom="1191" w:left="1247" w:header="709" w:footer="709" w:gutter="0"/>
          <w:cols w:space="708"/>
          <w:titlePg/>
          <w:docGrid w:linePitch="360"/>
        </w:sectPr>
      </w:pPr>
      <w:r>
        <w:rPr>
          <w:b/>
          <w:bCs/>
        </w:rPr>
        <w:t>(A)</w:t>
      </w:r>
      <w:r>
        <w:t xml:space="preserve"> Custom-made fibre tool for facilitating the manipulation of the ribbon attached to a custom micromanipulator for fine control; designed by Ng </w:t>
      </w:r>
      <w:r>
        <w:rPr>
          <w:i/>
          <w:iCs/>
        </w:rPr>
        <w:t>et al</w:t>
      </w:r>
      <w:r w:rsidR="004A7BD7">
        <w:rPr>
          <w:i/>
          <w:iCs/>
        </w:rPr>
        <w:t>.,</w:t>
      </w:r>
      <w:r>
        <w:rPr>
          <w:i/>
          <w:iCs/>
        </w:rPr>
        <w:t xml:space="preserve"> </w:t>
      </w:r>
      <w:r>
        <w:t xml:space="preserve">(2020). Image obtained from Ng </w:t>
      </w:r>
      <w:r>
        <w:rPr>
          <w:i/>
          <w:iCs/>
        </w:rPr>
        <w:t>et al.</w:t>
      </w:r>
      <w:r w:rsidR="004A7BD7">
        <w:rPr>
          <w:i/>
          <w:iCs/>
        </w:rPr>
        <w:t>,</w:t>
      </w:r>
      <w:r>
        <w:rPr>
          <w:i/>
          <w:iCs/>
        </w:rPr>
        <w:t xml:space="preserve"> </w:t>
      </w:r>
      <w:r>
        <w:t xml:space="preserve">(2020) </w:t>
      </w:r>
      <w:r>
        <w:fldChar w:fldCharType="begin" w:fldLock="1"/>
      </w:r>
      <w:r w:rsidR="0058736C">
        <w:instrText>ADDIN CSL_CITATION {"citationItems":[{"id":"ITEM-1","itemData":{"DOI":"10.21769/bioprotoc.3831","ISSN":"2331-8325","author":[{"dropping-particle":"","family":"Ng","given":"Cai Tong","non-dropping-particle":"","parse-names":false,"suffix":""},{"dropping-particle":"","family":"Ladinsky","given":"Mark","non-dropping-particle":"","parse-names":false,"suffix":""},{"dropping-particle":"","family":"Gan","given":"Lu","non-dropping-particle":"","parse-names":false,"suffix":""}],"container-title":"Bio-Protocol","id":"ITEM-1","issue":"22","issued":{"date-parts":[["2020"]]},"page":"1-15","title":"Serial Cryomicrotomy of Saccharomyces cerevisiae for Serial Electron Cryotomography","type":"article-journal","volume":"10"},"uris":["http://www.mendeley.com/documents/?uuid=a9514d30-8a7c-405e-a337-b5325669a8d1"]}],"mendeley":{"formattedCitation":"&lt;sup&gt;[243]&lt;/sup&gt;","plainTextFormattedCitation":"[243]","previouslyFormattedCitation":"&lt;sup&gt;[243]&lt;/sup&gt;"},"properties":{"noteIndex":0},"schema":"https://github.com/citation-style-language/schema/raw/master/csl-citation.json"}</w:instrText>
      </w:r>
      <w:r>
        <w:fldChar w:fldCharType="separate"/>
      </w:r>
      <w:r w:rsidR="002659E5" w:rsidRPr="002659E5">
        <w:rPr>
          <w:noProof/>
          <w:vertAlign w:val="superscript"/>
        </w:rPr>
        <w:t>[243]</w:t>
      </w:r>
      <w:r>
        <w:fldChar w:fldCharType="end"/>
      </w:r>
      <w:r>
        <w:t>.</w:t>
      </w:r>
      <w:r>
        <w:rPr>
          <w:b/>
          <w:bCs/>
        </w:rPr>
        <w:t xml:space="preserve"> (B)</w:t>
      </w:r>
      <w:r>
        <w:t xml:space="preserve"> Placement of the grid holder provided in the Leica EM PACT2.</w:t>
      </w:r>
    </w:p>
    <w:p w14:paraId="2F79651B" w14:textId="77777777" w:rsidR="00827CF7" w:rsidRDefault="00000791" w:rsidP="00182281">
      <w:r>
        <w:lastRenderedPageBreak/>
        <w:t xml:space="preserve">Once the ribbon is collected onto the grid, the grid holder </w:t>
      </w:r>
      <w:r w:rsidR="00090F1F">
        <w:t>was</w:t>
      </w:r>
      <w:r>
        <w:t xml:space="preserve"> pushed back with precooled forceps until the grid </w:t>
      </w:r>
      <w:r w:rsidR="00090F1F">
        <w:t>was</w:t>
      </w:r>
      <w:r>
        <w:t xml:space="preserve"> on the bridge</w:t>
      </w:r>
      <w:r w:rsidR="00AC0581">
        <w:t xml:space="preserve"> of the grid press</w:t>
      </w:r>
      <w:r>
        <w:t xml:space="preserve">. The press </w:t>
      </w:r>
      <w:r w:rsidR="00090F1F">
        <w:t>was</w:t>
      </w:r>
      <w:r>
        <w:t xml:space="preserve"> then flipped over the grid to flatten the </w:t>
      </w:r>
      <w:r w:rsidR="00EF577B">
        <w:t>sections</w:t>
      </w:r>
      <w:r>
        <w:t>. The section press is then flipped opene</w:t>
      </w:r>
      <w:r w:rsidR="00C64216">
        <w:t>d</w:t>
      </w:r>
      <w:r>
        <w:t xml:space="preserve"> and the grid removed from the grid holder. The grid was then moved to a cryo grid box and stored back in the LN</w:t>
      </w:r>
      <w:r>
        <w:rPr>
          <w:vertAlign w:val="subscript"/>
        </w:rPr>
        <w:t>2</w:t>
      </w:r>
      <w:r>
        <w:t xml:space="preserve"> Dewar until imaging with the </w:t>
      </w:r>
      <w:r w:rsidR="007D66F7">
        <w:t>cryo electron microscope.</w:t>
      </w:r>
    </w:p>
    <w:p w14:paraId="304E10D4" w14:textId="77777777" w:rsidR="00C13DA7" w:rsidRDefault="00C13DA7" w:rsidP="00182281"/>
    <w:p w14:paraId="43B9288F" w14:textId="466078E7" w:rsidR="00193572" w:rsidRDefault="00FC10F6" w:rsidP="00182281">
      <w:pPr>
        <w:pStyle w:val="Heading3"/>
      </w:pPr>
      <w:bookmarkStart w:id="569" w:name="_Toc64276361"/>
      <w:bookmarkStart w:id="570" w:name="_Toc64276665"/>
      <w:bookmarkStart w:id="571" w:name="_Toc64276877"/>
      <w:bookmarkStart w:id="572" w:name="_Toc90216875"/>
      <w:r>
        <w:t xml:space="preserve">Best structural preservation and detail with </w:t>
      </w:r>
      <w:bookmarkEnd w:id="569"/>
      <w:bookmarkEnd w:id="570"/>
      <w:bookmarkEnd w:id="571"/>
      <w:r w:rsidR="00227967">
        <w:t>CEMOVIS</w:t>
      </w:r>
      <w:r w:rsidR="007006CC">
        <w:t>.</w:t>
      </w:r>
      <w:bookmarkEnd w:id="572"/>
    </w:p>
    <w:p w14:paraId="692B38C9" w14:textId="609D1043" w:rsidR="006B1CEA" w:rsidRDefault="00193572" w:rsidP="00FF5B3C">
      <w:r>
        <w:t>Dr. Svet</w:t>
      </w:r>
      <w:r w:rsidR="00B52000">
        <w:t>omir</w:t>
      </w:r>
      <w:r>
        <w:t xml:space="preserve"> Tzokov (EM Facility – The University of Sheffield) completed the CEMOVIS protocol by analysing the first attempt at this technically difficult </w:t>
      </w:r>
      <w:r w:rsidR="00DB7F6C">
        <w:t>approach</w:t>
      </w:r>
      <w:r>
        <w:t>.</w:t>
      </w:r>
      <w:r w:rsidR="00FF5B3C">
        <w:t xml:space="preserve"> Cryo-EM was conducted on </w:t>
      </w:r>
      <w:r w:rsidR="00FF5B3C" w:rsidRPr="00FF5B3C">
        <w:t xml:space="preserve">the FEI Tecnai Arctica with field emission gun operated at 200 kV. </w:t>
      </w:r>
      <w:r w:rsidR="00637ED0">
        <w:t xml:space="preserve">Micrographs were captured </w:t>
      </w:r>
      <w:r w:rsidR="0007689C">
        <w:t>with</w:t>
      </w:r>
      <w:r w:rsidR="00637ED0">
        <w:t xml:space="preserve"> a</w:t>
      </w:r>
      <w:r w:rsidR="00BF0598">
        <w:t xml:space="preserve"> </w:t>
      </w:r>
      <w:r w:rsidR="00FF5B3C" w:rsidRPr="00FF5B3C">
        <w:t xml:space="preserve">Falcon III direct electron detector (Thermo Fisher Scientific). </w:t>
      </w:r>
    </w:p>
    <w:p w14:paraId="1BE3FB16" w14:textId="42CB3592" w:rsidR="00C46027" w:rsidRDefault="000733AE" w:rsidP="00FF5B3C">
      <w:r>
        <w:fldChar w:fldCharType="begin"/>
      </w:r>
      <w:r>
        <w:instrText xml:space="preserve"> REF _Ref73122294 \h </w:instrText>
      </w:r>
      <w:r>
        <w:fldChar w:fldCharType="separate"/>
      </w:r>
      <w:r w:rsidR="00183CC8">
        <w:t xml:space="preserve">Figure </w:t>
      </w:r>
      <w:r w:rsidR="00183CC8">
        <w:rPr>
          <w:noProof/>
        </w:rPr>
        <w:t>3</w:t>
      </w:r>
      <w:r w:rsidR="00183CC8">
        <w:t>.</w:t>
      </w:r>
      <w:r w:rsidR="00183CC8">
        <w:rPr>
          <w:noProof/>
        </w:rPr>
        <w:t>22</w:t>
      </w:r>
      <w:r>
        <w:fldChar w:fldCharType="end"/>
      </w:r>
      <w:r>
        <w:t>a shows</w:t>
      </w:r>
      <w:r w:rsidR="00F474DE">
        <w:t xml:space="preserve"> two different areas of the same EM grid, emphasising</w:t>
      </w:r>
      <w:r>
        <w:t xml:space="preserve"> the difficulty of cryo-sectioning</w:t>
      </w:r>
      <w:r w:rsidR="00F474DE">
        <w:t>.</w:t>
      </w:r>
      <w:r>
        <w:t xml:space="preserve"> </w:t>
      </w:r>
      <w:r w:rsidR="00F474DE">
        <w:t>On the left, an</w:t>
      </w:r>
      <w:r>
        <w:t xml:space="preserve"> area of the grid presenting</w:t>
      </w:r>
      <w:r w:rsidR="001C7E5F">
        <w:t xml:space="preserve"> a</w:t>
      </w:r>
      <w:r w:rsidR="001C7E5F" w:rsidRPr="001C7E5F">
        <w:t xml:space="preserve"> </w:t>
      </w:r>
      <w:r w:rsidR="001C7E5F">
        <w:t>broken and folded section (yellow arrows) with</w:t>
      </w:r>
      <w:r>
        <w:t xml:space="preserve"> ice contamination (*). </w:t>
      </w:r>
      <w:r w:rsidR="001C7E5F">
        <w:t>Bacterial cells</w:t>
      </w:r>
      <w:r>
        <w:t xml:space="preserve"> are still visible in between the damaged areas of th</w:t>
      </w:r>
      <w:r w:rsidR="001C7E5F">
        <w:t>is</w:t>
      </w:r>
      <w:r>
        <w:t xml:space="preserve"> section. </w:t>
      </w:r>
      <w:r w:rsidR="006E4D76">
        <w:t>On the right, a</w:t>
      </w:r>
      <w:r>
        <w:t xml:space="preserve">n intact section </w:t>
      </w:r>
      <w:r w:rsidR="006E4D76">
        <w:t xml:space="preserve">showing quite a few frozen-hydrated </w:t>
      </w:r>
      <w:r w:rsidR="006E4D76">
        <w:rPr>
          <w:i/>
          <w:iCs/>
        </w:rPr>
        <w:t>S. aureus</w:t>
      </w:r>
      <w:r w:rsidR="006E4D76">
        <w:t xml:space="preserve"> cells.</w:t>
      </w:r>
      <w:r w:rsidR="001C7E5F">
        <w:t xml:space="preserve"> Unfortunately, even on the intact section a lot of ice contamination is present.</w:t>
      </w:r>
      <w:r w:rsidR="0080659F">
        <w:t xml:space="preserve"> On closer </w:t>
      </w:r>
      <w:r w:rsidR="006428B3">
        <w:t>inspection</w:t>
      </w:r>
      <w:r w:rsidR="0080659F">
        <w:t>, whole cells in various stages of division can be found (</w:t>
      </w:r>
      <w:r w:rsidR="0080659F">
        <w:fldChar w:fldCharType="begin"/>
      </w:r>
      <w:r w:rsidR="0080659F">
        <w:instrText xml:space="preserve"> REF _Ref73122294 \h </w:instrText>
      </w:r>
      <w:r w:rsidR="0080659F">
        <w:fldChar w:fldCharType="separate"/>
      </w:r>
      <w:r w:rsidR="00183CC8">
        <w:t xml:space="preserve">Figure </w:t>
      </w:r>
      <w:r w:rsidR="00183CC8">
        <w:rPr>
          <w:noProof/>
        </w:rPr>
        <w:t>3</w:t>
      </w:r>
      <w:r w:rsidR="00183CC8">
        <w:t>.</w:t>
      </w:r>
      <w:r w:rsidR="00183CC8">
        <w:rPr>
          <w:noProof/>
        </w:rPr>
        <w:t>22</w:t>
      </w:r>
      <w:r w:rsidR="0080659F">
        <w:fldChar w:fldCharType="end"/>
      </w:r>
      <w:r w:rsidR="0080659F">
        <w:t>b)</w:t>
      </w:r>
      <w:r w:rsidR="006677B6">
        <w:t>. A magnified view of the bacterial envelop</w:t>
      </w:r>
      <w:r w:rsidR="00D100DB">
        <w:t>e</w:t>
      </w:r>
      <w:r w:rsidR="006677B6">
        <w:t xml:space="preserve"> confirms </w:t>
      </w:r>
      <w:r w:rsidR="00203BBD">
        <w:t>the successful vitrification</w:t>
      </w:r>
      <w:r w:rsidR="00475481">
        <w:t xml:space="preserve"> of the sample</w:t>
      </w:r>
      <w:r w:rsidR="00203BBD">
        <w:t>, showing a much more detailed plasma membrane with a clear phospholipid bilayer (</w:t>
      </w:r>
      <w:r w:rsidR="00203BBD">
        <w:fldChar w:fldCharType="begin"/>
      </w:r>
      <w:r w:rsidR="00203BBD">
        <w:instrText xml:space="preserve"> REF _Ref73122294 \h </w:instrText>
      </w:r>
      <w:r w:rsidR="00203BBD">
        <w:fldChar w:fldCharType="separate"/>
      </w:r>
      <w:r w:rsidR="00183CC8">
        <w:t xml:space="preserve">Figure </w:t>
      </w:r>
      <w:r w:rsidR="00183CC8">
        <w:rPr>
          <w:noProof/>
        </w:rPr>
        <w:t>3</w:t>
      </w:r>
      <w:r w:rsidR="00183CC8">
        <w:t>.</w:t>
      </w:r>
      <w:r w:rsidR="00183CC8">
        <w:rPr>
          <w:noProof/>
        </w:rPr>
        <w:t>22</w:t>
      </w:r>
      <w:r w:rsidR="00203BBD">
        <w:fldChar w:fldCharType="end"/>
      </w:r>
      <w:r w:rsidR="00203BBD">
        <w:t>c).</w:t>
      </w:r>
      <w:r w:rsidR="009419FA">
        <w:t xml:space="preserve"> </w:t>
      </w:r>
      <w:r w:rsidR="000F01AD">
        <w:t xml:space="preserve">Densitometry plots provide further analysis of the mass of the bacterial envelope at two different points of  </w:t>
      </w:r>
      <w:r w:rsidR="000F01AD">
        <w:fldChar w:fldCharType="begin"/>
      </w:r>
      <w:r w:rsidR="000F01AD">
        <w:instrText xml:space="preserve"> REF _Ref73122294 \h </w:instrText>
      </w:r>
      <w:r w:rsidR="000F01AD">
        <w:fldChar w:fldCharType="separate"/>
      </w:r>
      <w:r w:rsidR="00183CC8">
        <w:t xml:space="preserve">Figure </w:t>
      </w:r>
      <w:r w:rsidR="00183CC8">
        <w:rPr>
          <w:noProof/>
        </w:rPr>
        <w:t>3</w:t>
      </w:r>
      <w:r w:rsidR="00183CC8">
        <w:t>.</w:t>
      </w:r>
      <w:r w:rsidR="00183CC8">
        <w:rPr>
          <w:noProof/>
        </w:rPr>
        <w:t>22</w:t>
      </w:r>
      <w:r w:rsidR="000F01AD">
        <w:fldChar w:fldCharType="end"/>
      </w:r>
      <w:r w:rsidR="000F01AD">
        <w:t>c (I, II).</w:t>
      </w:r>
      <w:r w:rsidR="00244153">
        <w:t xml:space="preserve"> </w:t>
      </w:r>
      <w:r w:rsidR="00490B8D">
        <w:t xml:space="preserve">The two </w:t>
      </w:r>
      <w:r w:rsidR="00CC34AB">
        <w:t>phospholipid layers</w:t>
      </w:r>
      <w:r w:rsidR="00490B8D">
        <w:t xml:space="preserve"> of the plasma membrane (pm) can </w:t>
      </w:r>
      <w:r w:rsidR="001D1D40">
        <w:t>easily be identified</w:t>
      </w:r>
      <w:r w:rsidR="00490B8D">
        <w:t>, and a hydrated exoplasmic space (es) appears close</w:t>
      </w:r>
      <w:r w:rsidR="001D1D40">
        <w:t>r</w:t>
      </w:r>
      <w:r w:rsidR="00490B8D">
        <w:t xml:space="preserve"> in size to the cell wall (cw) (</w:t>
      </w:r>
      <w:r w:rsidR="00490B8D">
        <w:fldChar w:fldCharType="begin"/>
      </w:r>
      <w:r w:rsidR="00490B8D">
        <w:instrText xml:space="preserve"> REF _Ref73122294 \h </w:instrText>
      </w:r>
      <w:r w:rsidR="00490B8D">
        <w:fldChar w:fldCharType="separate"/>
      </w:r>
      <w:r w:rsidR="00183CC8">
        <w:t xml:space="preserve">Figure </w:t>
      </w:r>
      <w:r w:rsidR="00183CC8">
        <w:rPr>
          <w:noProof/>
        </w:rPr>
        <w:t>3</w:t>
      </w:r>
      <w:r w:rsidR="00183CC8">
        <w:t>.</w:t>
      </w:r>
      <w:r w:rsidR="00183CC8">
        <w:rPr>
          <w:noProof/>
        </w:rPr>
        <w:t>22</w:t>
      </w:r>
      <w:r w:rsidR="00490B8D">
        <w:fldChar w:fldCharType="end"/>
      </w:r>
      <w:r w:rsidR="00490B8D">
        <w:t xml:space="preserve">I, II). </w:t>
      </w:r>
      <w:r w:rsidR="00244153">
        <w:t>The obtained results</w:t>
      </w:r>
      <w:r w:rsidR="006B3D3B">
        <w:t xml:space="preserve"> </w:t>
      </w:r>
      <w:r w:rsidR="00244153">
        <w:t>are similar to those seen by Matias &amp; Beveridge (</w:t>
      </w:r>
      <w:r w:rsidR="00244153">
        <w:fldChar w:fldCharType="begin"/>
      </w:r>
      <w:r w:rsidR="00244153">
        <w:instrText xml:space="preserve"> REF _Ref73122294 \h </w:instrText>
      </w:r>
      <w:r w:rsidR="00244153">
        <w:fldChar w:fldCharType="separate"/>
      </w:r>
      <w:r w:rsidR="00183CC8">
        <w:t xml:space="preserve">Figure </w:t>
      </w:r>
      <w:r w:rsidR="00183CC8">
        <w:rPr>
          <w:noProof/>
        </w:rPr>
        <w:t>3</w:t>
      </w:r>
      <w:r w:rsidR="00183CC8">
        <w:t>.</w:t>
      </w:r>
      <w:r w:rsidR="00183CC8">
        <w:rPr>
          <w:noProof/>
        </w:rPr>
        <w:t>22</w:t>
      </w:r>
      <w:r w:rsidR="00244153">
        <w:fldChar w:fldCharType="end"/>
      </w:r>
      <w:r w:rsidR="00244153">
        <w:t xml:space="preserve">d) </w:t>
      </w:r>
      <w:r w:rsidR="00244153">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7cdcd25c-b08e-42c1-b6ed-533d180bef3b"]}],"mendeley":{"formattedCitation":"&lt;sup&gt;[16]&lt;/sup&gt;","plainTextFormattedCitation":"[16]","previouslyFormattedCitation":"&lt;sup&gt;[16]&lt;/sup&gt;"},"properties":{"noteIndex":0},"schema":"https://github.com/citation-style-language/schema/raw/master/csl-citation.json"}</w:instrText>
      </w:r>
      <w:r w:rsidR="00244153">
        <w:fldChar w:fldCharType="separate"/>
      </w:r>
      <w:r w:rsidR="00DA0A83" w:rsidRPr="00DA0A83">
        <w:rPr>
          <w:noProof/>
          <w:vertAlign w:val="superscript"/>
        </w:rPr>
        <w:t>[16]</w:t>
      </w:r>
      <w:r w:rsidR="00244153">
        <w:fldChar w:fldCharType="end"/>
      </w:r>
      <w:r w:rsidR="006B3D3B">
        <w:t>.</w:t>
      </w:r>
    </w:p>
    <w:p w14:paraId="72AD0E7E" w14:textId="5DE73353" w:rsidR="00FE76C4" w:rsidRPr="006E4D76" w:rsidRDefault="006B3D3B" w:rsidP="00FF5B3C">
      <w:pPr>
        <w:sectPr w:rsidR="00FE76C4" w:rsidRPr="006E4D76" w:rsidSect="004D0E05">
          <w:pgSz w:w="11906" w:h="16838"/>
          <w:pgMar w:top="1191" w:right="1247" w:bottom="1191" w:left="1247" w:header="709" w:footer="709" w:gutter="0"/>
          <w:cols w:space="708"/>
          <w:titlePg/>
          <w:docGrid w:linePitch="360"/>
        </w:sectPr>
      </w:pPr>
      <w:r>
        <w:t>This first attempt at CEMOVIS</w:t>
      </w:r>
      <w:r w:rsidR="00FE76C4">
        <w:t xml:space="preserve">, although far from perfect, </w:t>
      </w:r>
      <w:r>
        <w:t xml:space="preserve">confirm that frozen-hydrated </w:t>
      </w:r>
      <w:r w:rsidR="00BE110D">
        <w:t xml:space="preserve">samples can provide the detail information needed for studying </w:t>
      </w:r>
      <w:r w:rsidR="00D3300E">
        <w:t>the exoplasmic</w:t>
      </w:r>
      <w:r w:rsidR="00BE110D">
        <w:t xml:space="preserve"> space. Further training and optimising would reduce ice contamination and improve imaging.</w:t>
      </w:r>
    </w:p>
    <w:p w14:paraId="1BCC0201" w14:textId="77777777" w:rsidR="006B1CEA" w:rsidRDefault="006B1CEA" w:rsidP="00F6543F">
      <w:pPr>
        <w:keepNext/>
        <w:jc w:val="center"/>
      </w:pPr>
      <w:r>
        <w:rPr>
          <w:noProof/>
        </w:rPr>
        <w:lastRenderedPageBreak/>
        <w:drawing>
          <wp:inline distT="0" distB="0" distL="0" distR="0" wp14:anchorId="0F87C6EA" wp14:editId="2DCE0888">
            <wp:extent cx="5218922" cy="7436485"/>
            <wp:effectExtent l="0" t="0" r="127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21407" cy="7440026"/>
                    </a:xfrm>
                    <a:prstGeom prst="rect">
                      <a:avLst/>
                    </a:prstGeom>
                  </pic:spPr>
                </pic:pic>
              </a:graphicData>
            </a:graphic>
          </wp:inline>
        </w:drawing>
      </w:r>
    </w:p>
    <w:p w14:paraId="472EE454" w14:textId="5C8B790A" w:rsidR="00FF5B3C" w:rsidRDefault="006B1CEA" w:rsidP="008A2B86">
      <w:pPr>
        <w:pStyle w:val="Caption"/>
        <w:rPr>
          <w:i/>
        </w:rPr>
      </w:pPr>
      <w:bookmarkStart w:id="573" w:name="_Ref73122294"/>
      <w:bookmarkStart w:id="574" w:name="_Toc90216957"/>
      <w:r>
        <w:t xml:space="preserve">Figure </w:t>
      </w:r>
      <w:r w:rsidR="003373BF">
        <w:fldChar w:fldCharType="begin"/>
      </w:r>
      <w:r w:rsidR="003373BF">
        <w:instrText xml:space="preserve"> STYLEREF </w:instrText>
      </w:r>
      <w:r w:rsidR="003373BF">
        <w:instrText xml:space="preserve">1 \s </w:instrText>
      </w:r>
      <w:r w:rsidR="003373BF">
        <w:fldChar w:fldCharType="separate"/>
      </w:r>
      <w:r w:rsidR="00183CC8">
        <w:rPr>
          <w:noProof/>
        </w:rPr>
        <w:t>3</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22</w:t>
      </w:r>
      <w:r w:rsidR="003373BF">
        <w:rPr>
          <w:noProof/>
        </w:rPr>
        <w:fldChar w:fldCharType="end"/>
      </w:r>
      <w:bookmarkEnd w:id="573"/>
      <w:r>
        <w:t xml:space="preserve"> CEMOVIS of </w:t>
      </w:r>
      <w:r>
        <w:rPr>
          <w:i/>
        </w:rPr>
        <w:t>S. aureus.</w:t>
      </w:r>
      <w:bookmarkEnd w:id="574"/>
    </w:p>
    <w:p w14:paraId="7E7D1753" w14:textId="015F8BBA" w:rsidR="002C3E36" w:rsidRDefault="00081F5B" w:rsidP="002C3E36">
      <w:pPr>
        <w:pStyle w:val="NoSpacing"/>
        <w:sectPr w:rsidR="002C3E36" w:rsidSect="004D0E05">
          <w:pgSz w:w="11906" w:h="16838"/>
          <w:pgMar w:top="1191" w:right="1247" w:bottom="1191" w:left="1247" w:header="709" w:footer="709" w:gutter="0"/>
          <w:cols w:space="708"/>
          <w:titlePg/>
          <w:docGrid w:linePitch="360"/>
        </w:sectPr>
      </w:pPr>
      <w:r>
        <w:t xml:space="preserve">Cryo-EM micrographs of frozen-hydrated sections of </w:t>
      </w:r>
      <w:r>
        <w:rPr>
          <w:i/>
          <w:iCs/>
        </w:rPr>
        <w:t>S. aureus</w:t>
      </w:r>
      <w:r>
        <w:t xml:space="preserve">. </w:t>
      </w:r>
      <w:r>
        <w:rPr>
          <w:b/>
          <w:bCs/>
        </w:rPr>
        <w:t>(A)</w:t>
      </w:r>
      <w:r>
        <w:t xml:space="preserve"> Areas of the same grid showing damaged (left) and intact (right) thin-sections</w:t>
      </w:r>
      <w:r w:rsidR="008A07D4">
        <w:t xml:space="preserve">. Yellow arrows– folded section, blue *– ice </w:t>
      </w:r>
      <w:r w:rsidR="00B8073E">
        <w:t>contamination</w:t>
      </w:r>
      <w:r w:rsidR="008A07D4">
        <w:t xml:space="preserve">. Scale bar 1 µm. </w:t>
      </w:r>
      <w:r w:rsidR="008A07D4">
        <w:rPr>
          <w:b/>
          <w:bCs/>
        </w:rPr>
        <w:t>(B)</w:t>
      </w:r>
      <w:r w:rsidR="008A07D4">
        <w:t xml:space="preserve"> Representative </w:t>
      </w:r>
      <w:r w:rsidR="009502C3">
        <w:t xml:space="preserve">frozen-hydrated </w:t>
      </w:r>
      <w:r w:rsidR="008A07D4">
        <w:t>cells</w:t>
      </w:r>
      <w:r w:rsidR="00C84E2D">
        <w:t>. Scale bar 100 nm.</w:t>
      </w:r>
      <w:r w:rsidR="004421C9">
        <w:t xml:space="preserve"> </w:t>
      </w:r>
      <w:r w:rsidR="004421C9">
        <w:rPr>
          <w:b/>
          <w:bCs/>
        </w:rPr>
        <w:t>(C)</w:t>
      </w:r>
      <w:r w:rsidR="004421C9">
        <w:t xml:space="preserve"> High magnification of the cell envelope showing the plasma membrane (pm), exoplasmic space (es) and cell wall (cw). Scale bar 20 nm.</w:t>
      </w:r>
      <w:r w:rsidR="00BA5825">
        <w:t xml:space="preserve"> </w:t>
      </w:r>
      <w:r w:rsidR="00BA5825">
        <w:rPr>
          <w:b/>
          <w:bCs/>
        </w:rPr>
        <w:t>I</w:t>
      </w:r>
      <w:r w:rsidR="00BA5825">
        <w:t xml:space="preserve"> and </w:t>
      </w:r>
      <w:r w:rsidR="00BA5825">
        <w:rPr>
          <w:b/>
          <w:bCs/>
        </w:rPr>
        <w:t>II</w:t>
      </w:r>
      <w:r w:rsidR="00BA5825">
        <w:t xml:space="preserve"> show density traces for two sections </w:t>
      </w:r>
      <w:r w:rsidR="00CE2AAA">
        <w:t>(yellow rectangle</w:t>
      </w:r>
      <w:r w:rsidR="000F38E9">
        <w:t>s</w:t>
      </w:r>
      <w:r w:rsidR="00CE2AAA">
        <w:t xml:space="preserve">) </w:t>
      </w:r>
      <w:r w:rsidR="00BA5825">
        <w:t xml:space="preserve">of the </w:t>
      </w:r>
      <w:r w:rsidR="00CE2AAA">
        <w:t xml:space="preserve">cell </w:t>
      </w:r>
      <w:r w:rsidR="00BA5825">
        <w:t>envelop</w:t>
      </w:r>
      <w:r w:rsidR="009502C3">
        <w:t>e</w:t>
      </w:r>
      <w:r w:rsidR="00BA5825">
        <w:t xml:space="preserve"> of </w:t>
      </w:r>
      <w:r w:rsidR="00BA5825">
        <w:rPr>
          <w:b/>
          <w:bCs/>
        </w:rPr>
        <w:t>(C).</w:t>
      </w:r>
      <w:r>
        <w:t xml:space="preserve"> </w:t>
      </w:r>
      <w:r>
        <w:rPr>
          <w:b/>
          <w:bCs/>
        </w:rPr>
        <w:t>(D)</w:t>
      </w:r>
      <w:r>
        <w:t xml:space="preserve"> High magnification image of </w:t>
      </w:r>
      <w:r w:rsidR="00C91D59">
        <w:t xml:space="preserve">the </w:t>
      </w:r>
      <w:r>
        <w:t xml:space="preserve">cell envelope of a frozen-hydrated </w:t>
      </w:r>
      <w:r>
        <w:rPr>
          <w:i/>
          <w:iCs/>
        </w:rPr>
        <w:t>S. aureus</w:t>
      </w:r>
      <w:r>
        <w:t xml:space="preserve"> cell, with the corresponding density traces</w:t>
      </w:r>
      <w:r w:rsidR="008A4202">
        <w:t xml:space="preserve">, </w:t>
      </w:r>
      <w:r>
        <w:t xml:space="preserve">obtained from Matias &amp; Beveridge (2006) </w:t>
      </w:r>
      <w:r>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7cdcd25c-b08e-42c1-b6ed-533d180bef3b"]}],"mendeley":{"formattedCitation":"&lt;sup&gt;[16]&lt;/sup&gt;","plainTextFormattedCitation":"[16]","previouslyFormattedCitation":"&lt;sup&gt;[16]&lt;/sup&gt;"},"properties":{"noteIndex":0},"schema":"https://github.com/citation-style-language/schema/raw/master/csl-citation.json"}</w:instrText>
      </w:r>
      <w:r>
        <w:fldChar w:fldCharType="separate"/>
      </w:r>
      <w:r w:rsidR="00DA0A83" w:rsidRPr="00DA0A83">
        <w:rPr>
          <w:noProof/>
          <w:vertAlign w:val="superscript"/>
        </w:rPr>
        <w:t>[16]</w:t>
      </w:r>
      <w:r>
        <w:fldChar w:fldCharType="end"/>
      </w:r>
      <w:r w:rsidR="002C3E36">
        <w:t>.</w:t>
      </w:r>
    </w:p>
    <w:p w14:paraId="12DC66A3" w14:textId="7E0B0B56" w:rsidR="00CD6360" w:rsidRDefault="00CD6360" w:rsidP="00CD6360">
      <w:pPr>
        <w:pStyle w:val="Heading2"/>
      </w:pPr>
      <w:bookmarkStart w:id="575" w:name="_Ref76149103"/>
      <w:bookmarkStart w:id="576" w:name="_Toc90216876"/>
      <w:r>
        <w:lastRenderedPageBreak/>
        <w:t>Discussion</w:t>
      </w:r>
      <w:bookmarkEnd w:id="575"/>
      <w:r w:rsidR="007006CC">
        <w:t>.</w:t>
      </w:r>
      <w:bookmarkEnd w:id="576"/>
    </w:p>
    <w:p w14:paraId="58C83169" w14:textId="08AAF3F6" w:rsidR="00E75273" w:rsidRDefault="00400F66" w:rsidP="00B455CF">
      <w:pPr>
        <w:sectPr w:rsidR="00E75273" w:rsidSect="004D0E05">
          <w:pgSz w:w="11906" w:h="16838"/>
          <w:pgMar w:top="1191" w:right="1247" w:bottom="1191" w:left="1247" w:header="709" w:footer="709" w:gutter="0"/>
          <w:cols w:space="708"/>
          <w:titlePg/>
          <w:docGrid w:linePitch="360"/>
        </w:sectPr>
      </w:pPr>
      <w:r>
        <w:t>Cross</w:t>
      </w:r>
      <w:r w:rsidR="00D92151" w:rsidRPr="0039575C">
        <w:t>-section imag</w:t>
      </w:r>
      <w:r w:rsidR="005D6DCD" w:rsidRPr="0039575C">
        <w:t>ing</w:t>
      </w:r>
      <w:r w:rsidR="00D92151">
        <w:t xml:space="preserve"> is needed to obtain detailed information on the cell envelope</w:t>
      </w:r>
      <w:r>
        <w:t xml:space="preserve"> (section </w:t>
      </w:r>
      <w:r>
        <w:fldChar w:fldCharType="begin"/>
      </w:r>
      <w:r>
        <w:instrText xml:space="preserve"> REF _Ref71888512 \r \h </w:instrText>
      </w:r>
      <w:r>
        <w:fldChar w:fldCharType="separate"/>
      </w:r>
      <w:r w:rsidR="00183CC8">
        <w:t>3.2</w:t>
      </w:r>
      <w:r>
        <w:fldChar w:fldCharType="end"/>
      </w:r>
      <w:r>
        <w:t>)</w:t>
      </w:r>
      <w:r w:rsidR="00D92151">
        <w:t xml:space="preserve">, </w:t>
      </w:r>
      <w:r w:rsidR="00AE0BD5">
        <w:t>and</w:t>
      </w:r>
      <w:r w:rsidR="002E0CA3">
        <w:t xml:space="preserve"> it is important to consider the level at which the cross-section occurs (Z-level). A cross-section of a 1 µm spheroid bacteria like </w:t>
      </w:r>
      <w:r w:rsidR="002E0CA3">
        <w:rPr>
          <w:i/>
          <w:iCs/>
        </w:rPr>
        <w:t>S. aureus</w:t>
      </w:r>
      <w:r w:rsidR="002E0CA3">
        <w:t>, will look different in size and proportion if the</w:t>
      </w:r>
      <w:r w:rsidR="00EE4A0F">
        <w:t xml:space="preserve"> 90 nm thin-</w:t>
      </w:r>
      <w:r w:rsidR="002E0CA3">
        <w:t>cut occurs near the periphery of the cell (</w:t>
      </w:r>
      <w:r w:rsidR="002E0CA3">
        <w:fldChar w:fldCharType="begin"/>
      </w:r>
      <w:r w:rsidR="002E0CA3">
        <w:instrText xml:space="preserve"> REF _Ref71979319 \h </w:instrText>
      </w:r>
      <w:r w:rsidR="002E0CA3">
        <w:fldChar w:fldCharType="separate"/>
      </w:r>
      <w:r w:rsidR="00183CC8">
        <w:t xml:space="preserve">Figure </w:t>
      </w:r>
      <w:r w:rsidR="00183CC8">
        <w:rPr>
          <w:noProof/>
        </w:rPr>
        <w:t>3</w:t>
      </w:r>
      <w:r w:rsidR="00183CC8">
        <w:t>.</w:t>
      </w:r>
      <w:r w:rsidR="00183CC8">
        <w:rPr>
          <w:noProof/>
        </w:rPr>
        <w:t>23</w:t>
      </w:r>
      <w:r w:rsidR="002E0CA3">
        <w:fldChar w:fldCharType="end"/>
      </w:r>
      <w:r w:rsidR="002E0CA3">
        <w:t xml:space="preserve">a). Therefore, the best representative </w:t>
      </w:r>
      <w:r w:rsidR="001051C1">
        <w:t>sections</w:t>
      </w:r>
      <w:r w:rsidR="002E0CA3">
        <w:t xml:space="preserve"> from which </w:t>
      </w:r>
      <w:r w:rsidR="0046006E">
        <w:t>any</w:t>
      </w:r>
      <w:r w:rsidR="002E0CA3">
        <w:t xml:space="preserve"> </w:t>
      </w:r>
      <w:r w:rsidR="00A35566">
        <w:t>measurements</w:t>
      </w:r>
      <w:r w:rsidR="0046006E">
        <w:t xml:space="preserve"> could be performed</w:t>
      </w:r>
      <w:r w:rsidR="002E0CA3">
        <w:t xml:space="preserve"> would be a central cross-section of </w:t>
      </w:r>
      <w:r w:rsidR="005F3B9B">
        <w:t xml:space="preserve">the </w:t>
      </w:r>
      <w:r w:rsidR="00AF6BEA">
        <w:t>coccus</w:t>
      </w:r>
      <w:r w:rsidR="002E0CA3">
        <w:t xml:space="preserve">, as anything far from the middle </w:t>
      </w:r>
      <w:r w:rsidR="00C46142">
        <w:t xml:space="preserve">will </w:t>
      </w:r>
      <w:r w:rsidR="00A35566">
        <w:t>present a</w:t>
      </w:r>
      <w:r w:rsidR="00C46142">
        <w:t xml:space="preserve"> smaller</w:t>
      </w:r>
      <w:r w:rsidR="00A35566">
        <w:t xml:space="preserve"> area and thicker CW</w:t>
      </w:r>
      <w:r w:rsidR="002E0CA3">
        <w:t xml:space="preserve"> (</w:t>
      </w:r>
      <w:r w:rsidR="002E0CA3">
        <w:fldChar w:fldCharType="begin"/>
      </w:r>
      <w:r w:rsidR="002E0CA3">
        <w:instrText xml:space="preserve"> REF _Ref71979319 \h </w:instrText>
      </w:r>
      <w:r w:rsidR="002E0CA3">
        <w:fldChar w:fldCharType="separate"/>
      </w:r>
      <w:r w:rsidR="00183CC8">
        <w:t xml:space="preserve">Figure </w:t>
      </w:r>
      <w:r w:rsidR="00183CC8">
        <w:rPr>
          <w:noProof/>
        </w:rPr>
        <w:t>3</w:t>
      </w:r>
      <w:r w:rsidR="00183CC8">
        <w:t>.</w:t>
      </w:r>
      <w:r w:rsidR="00183CC8">
        <w:rPr>
          <w:noProof/>
        </w:rPr>
        <w:t>23</w:t>
      </w:r>
      <w:r w:rsidR="002E0CA3">
        <w:fldChar w:fldCharType="end"/>
      </w:r>
      <w:r w:rsidR="002E0CA3">
        <w:t>b).</w:t>
      </w:r>
      <w:r w:rsidR="00C46142">
        <w:t xml:space="preserve"> This arbitrary and imprecise selection of cells means that cross-sections cannot be used for a representative cell volume estimation of the population.</w:t>
      </w:r>
      <w:r w:rsidR="009C5E06">
        <w:t xml:space="preserve"> </w:t>
      </w:r>
      <w:r w:rsidR="002E0CA3">
        <w:t xml:space="preserve">The chosen technique for </w:t>
      </w:r>
      <w:r w:rsidR="002E0CA3" w:rsidRPr="0039575C">
        <w:t>cell volume</w:t>
      </w:r>
      <w:r w:rsidR="002E0CA3">
        <w:t xml:space="preserve"> is </w:t>
      </w:r>
      <w:r w:rsidR="009C5E06">
        <w:t>thus</w:t>
      </w:r>
      <w:r w:rsidR="002E0CA3">
        <w:t xml:space="preserve"> structural illumination microscopy </w:t>
      </w:r>
      <w:r w:rsidR="00461EDE">
        <w:t>(</w:t>
      </w:r>
      <w:r w:rsidR="002E0CA3">
        <w:t>SIM</w:t>
      </w:r>
      <w:r w:rsidR="00461EDE">
        <w:t>)</w:t>
      </w:r>
      <w:r w:rsidR="001B7252">
        <w:t xml:space="preserve">, as </w:t>
      </w:r>
      <w:r w:rsidR="00461EDE">
        <w:t>labelling the bacterial CW</w:t>
      </w:r>
      <w:r w:rsidR="001B7252">
        <w:t xml:space="preserve"> </w:t>
      </w:r>
      <w:r w:rsidR="001868F7">
        <w:t>provides whole cell imag</w:t>
      </w:r>
      <w:r w:rsidR="00BF557E">
        <w:t xml:space="preserve">ing </w:t>
      </w:r>
      <w:r w:rsidR="00461EDE">
        <w:t xml:space="preserve">(see </w:t>
      </w:r>
      <w:r w:rsidR="005570EF">
        <w:t>section</w:t>
      </w:r>
      <w:r w:rsidR="00461EDE">
        <w:t xml:space="preserve"> </w:t>
      </w:r>
      <w:r w:rsidR="00461EDE">
        <w:fldChar w:fldCharType="begin"/>
      </w:r>
      <w:r w:rsidR="00461EDE">
        <w:instrText xml:space="preserve"> REF _Ref71568732 \r \h </w:instrText>
      </w:r>
      <w:r w:rsidR="00461EDE">
        <w:fldChar w:fldCharType="separate"/>
      </w:r>
      <w:r w:rsidR="00183CC8">
        <w:t>2.18.5</w:t>
      </w:r>
      <w:r w:rsidR="00461EDE">
        <w:fldChar w:fldCharType="end"/>
      </w:r>
      <w:r w:rsidR="00461EDE">
        <w:t xml:space="preserve"> for details).</w:t>
      </w:r>
      <w:r w:rsidR="00BF557E">
        <w:t xml:space="preserve"> However, </w:t>
      </w:r>
      <w:r w:rsidR="006515A0">
        <w:t xml:space="preserve">for choosing </w:t>
      </w:r>
      <w:r w:rsidR="002A0F49">
        <w:t>t</w:t>
      </w:r>
      <w:r w:rsidR="00E77F64">
        <w:t xml:space="preserve">he best methodology for </w:t>
      </w:r>
      <w:r w:rsidR="00E77F64" w:rsidRPr="00AF6BEA">
        <w:t>morphological quantification</w:t>
      </w:r>
      <w:r w:rsidR="006515A0">
        <w:t xml:space="preserve">, with focus on the bacterial </w:t>
      </w:r>
      <w:r w:rsidR="00D3300E">
        <w:t>envelope (</w:t>
      </w:r>
      <w:r w:rsidR="006515A0">
        <w:t>Chapter 5)</w:t>
      </w:r>
      <w:r w:rsidR="006105F3">
        <w:t>,</w:t>
      </w:r>
      <w:r w:rsidR="006515A0">
        <w:t xml:space="preserve"> a technique </w:t>
      </w:r>
      <w:r w:rsidR="00E77F64">
        <w:t>that provid</w:t>
      </w:r>
      <w:r w:rsidR="0055352A">
        <w:t>es</w:t>
      </w:r>
      <w:r w:rsidR="00E77F64">
        <w:t xml:space="preserve"> the best ratio between high throughput and detailed </w:t>
      </w:r>
      <w:r w:rsidR="002A0F49">
        <w:t>cross-section</w:t>
      </w:r>
      <w:r w:rsidR="00E267AB">
        <w:t xml:space="preserve"> </w:t>
      </w:r>
      <w:r w:rsidR="00E77F64">
        <w:t>imaging</w:t>
      </w:r>
      <w:r w:rsidR="006515A0">
        <w:t xml:space="preserve"> </w:t>
      </w:r>
      <w:r w:rsidR="0055352A">
        <w:t>is</w:t>
      </w:r>
      <w:r w:rsidR="006515A0">
        <w:t xml:space="preserve"> needed</w:t>
      </w:r>
      <w:r w:rsidR="00E77F64">
        <w:t>.</w:t>
      </w:r>
      <w:r w:rsidR="00B455CF">
        <w:t xml:space="preserve"> Transmission electron microscopy (TEM) </w:t>
      </w:r>
      <w:r w:rsidR="000224E8">
        <w:t>delivers</w:t>
      </w:r>
      <w:r w:rsidR="00B455CF">
        <w:t xml:space="preserve"> the best resolution on detailed thin-sections. </w:t>
      </w:r>
      <w:r w:rsidR="003D628A">
        <w:t>I</w:t>
      </w:r>
      <w:r w:rsidR="00B455CF">
        <w:t>t is still recommended to disregard any bacterial cross-sections further from the centre and closer to the periphery of the cell, as they will lose</w:t>
      </w:r>
      <w:r w:rsidR="007A7A36">
        <w:t xml:space="preserve"> structural</w:t>
      </w:r>
      <w:r w:rsidR="00B455CF">
        <w:t xml:space="preserve"> information and should</w:t>
      </w:r>
      <w:r w:rsidR="00BB48D5">
        <w:t xml:space="preserve"> not</w:t>
      </w:r>
      <w:r w:rsidR="00B455CF">
        <w:t xml:space="preserve"> be analysed. </w:t>
      </w:r>
      <w:r w:rsidR="00FF72A4">
        <w:t xml:space="preserve">Therefore, for </w:t>
      </w:r>
      <w:r w:rsidR="006515A0">
        <w:t xml:space="preserve">significant </w:t>
      </w:r>
      <w:r w:rsidR="00FF72A4">
        <w:t>morphological quantification</w:t>
      </w:r>
      <w:r w:rsidR="006515A0">
        <w:t>s,</w:t>
      </w:r>
      <w:r w:rsidR="00FF72A4">
        <w:t xml:space="preserve"> </w:t>
      </w:r>
      <w:r w:rsidR="00B455CF">
        <w:t>it is necessary to count and analyse a higher number of cells than usual</w:t>
      </w:r>
      <w:r w:rsidR="00A06510">
        <w:t xml:space="preserve"> to reduce this error</w:t>
      </w:r>
      <w:r w:rsidR="00B455CF">
        <w:t xml:space="preserve">. For each strain and sample, </w:t>
      </w:r>
      <w:r w:rsidR="00051BA1">
        <w:t>I would recommend</w:t>
      </w:r>
      <w:r w:rsidR="00B455CF">
        <w:t xml:space="preserve"> </w:t>
      </w:r>
      <w:r w:rsidR="0055413A">
        <w:t xml:space="preserve">a </w:t>
      </w:r>
      <w:r w:rsidR="00B455CF">
        <w:t xml:space="preserve">selection of over 300 cells. It is </w:t>
      </w:r>
      <w:r w:rsidR="00320EFC">
        <w:t xml:space="preserve">also </w:t>
      </w:r>
      <w:r w:rsidR="00B455CF">
        <w:t>of great importance to avoid areas where the sample might be obscured o</w:t>
      </w:r>
      <w:r w:rsidR="007624AC">
        <w:t>r</w:t>
      </w:r>
      <w:r w:rsidR="00B455CF">
        <w:t xml:space="preserve"> affected by stain precipitation, knife marks, crevasses, and compression</w:t>
      </w:r>
      <w:r w:rsidR="007A7A36">
        <w:t xml:space="preserve"> (</w:t>
      </w:r>
      <w:r w:rsidR="00501867">
        <w:t>as described in section</w:t>
      </w:r>
      <w:r w:rsidR="007A7A36">
        <w:t xml:space="preserve"> </w:t>
      </w:r>
      <w:r w:rsidR="007A7A36">
        <w:fldChar w:fldCharType="begin"/>
      </w:r>
      <w:r w:rsidR="007A7A36">
        <w:instrText xml:space="preserve"> REF _Ref73143659 \r \h </w:instrText>
      </w:r>
      <w:r w:rsidR="007A7A36">
        <w:fldChar w:fldCharType="separate"/>
      </w:r>
      <w:r w:rsidR="00183CC8">
        <w:t>3.1</w:t>
      </w:r>
      <w:r w:rsidR="007A7A36">
        <w:fldChar w:fldCharType="end"/>
      </w:r>
      <w:r w:rsidR="007A7A36">
        <w:t>).</w:t>
      </w:r>
    </w:p>
    <w:p w14:paraId="131C65FC" w14:textId="77777777" w:rsidR="00E75273" w:rsidRDefault="00E75273" w:rsidP="006671E2">
      <w:pPr>
        <w:keepNext/>
        <w:jc w:val="center"/>
      </w:pPr>
      <w:r>
        <w:rPr>
          <w:noProof/>
        </w:rPr>
        <w:lastRenderedPageBreak/>
        <w:drawing>
          <wp:inline distT="0" distB="0" distL="0" distR="0" wp14:anchorId="4CB092A2" wp14:editId="5C457C0B">
            <wp:extent cx="5697673" cy="6891175"/>
            <wp:effectExtent l="0" t="0" r="508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97673" cy="6891175"/>
                    </a:xfrm>
                    <a:prstGeom prst="rect">
                      <a:avLst/>
                    </a:prstGeom>
                  </pic:spPr>
                </pic:pic>
              </a:graphicData>
            </a:graphic>
          </wp:inline>
        </w:drawing>
      </w:r>
    </w:p>
    <w:p w14:paraId="43812A0C" w14:textId="5617F4AB" w:rsidR="00E75273" w:rsidRDefault="00E75273" w:rsidP="008A2B86">
      <w:pPr>
        <w:pStyle w:val="Caption"/>
      </w:pPr>
      <w:bookmarkStart w:id="577" w:name="_Ref71979319"/>
      <w:bookmarkStart w:id="578" w:name="_Toc90216958"/>
      <w:r>
        <w:t xml:space="preserve">Figure </w:t>
      </w:r>
      <w:r w:rsidR="003373BF">
        <w:fldChar w:fldCharType="begin"/>
      </w:r>
      <w:r w:rsidR="003373BF">
        <w:instrText xml:space="preserve"> STYLEREF 1 \s </w:instrText>
      </w:r>
      <w:r w:rsidR="003373BF">
        <w:fldChar w:fldCharType="separate"/>
      </w:r>
      <w:r w:rsidR="00183CC8">
        <w:rPr>
          <w:noProof/>
        </w:rPr>
        <w:t>3</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23</w:t>
      </w:r>
      <w:r w:rsidR="003373BF">
        <w:rPr>
          <w:noProof/>
        </w:rPr>
        <w:fldChar w:fldCharType="end"/>
      </w:r>
      <w:bookmarkEnd w:id="577"/>
      <w:r>
        <w:t xml:space="preserve"> TEM selection criteria of individual cells for morphological analysis.</w:t>
      </w:r>
      <w:bookmarkEnd w:id="578"/>
    </w:p>
    <w:p w14:paraId="4D36DC5C" w14:textId="526386D0" w:rsidR="00E75273" w:rsidRPr="00DF6926" w:rsidRDefault="00E75273" w:rsidP="00E75273">
      <w:pPr>
        <w:pStyle w:val="NoSpacing"/>
        <w:sectPr w:rsidR="00E75273" w:rsidRPr="00DF6926" w:rsidSect="004D0E05">
          <w:pgSz w:w="11906" w:h="16838"/>
          <w:pgMar w:top="1191" w:right="1247" w:bottom="1191" w:left="1247" w:header="709" w:footer="709" w:gutter="0"/>
          <w:cols w:space="708"/>
          <w:titlePg/>
          <w:docGrid w:linePitch="360"/>
        </w:sectPr>
      </w:pPr>
      <w:r>
        <w:rPr>
          <w:b/>
          <w:bCs/>
        </w:rPr>
        <w:t>(A)</w:t>
      </w:r>
      <w:r>
        <w:t xml:space="preserve"> TEM micrographs of ultra-thin sections of chemically fixed </w:t>
      </w:r>
      <w:r>
        <w:rPr>
          <w:i/>
          <w:iCs/>
        </w:rPr>
        <w:t>S. aureus</w:t>
      </w:r>
      <w:r>
        <w:t xml:space="preserve">. Red stars– cells that have been cross-sectioned near their surface and that should be disregarded. </w:t>
      </w:r>
      <w:r>
        <w:rPr>
          <w:b/>
          <w:bCs/>
        </w:rPr>
        <w:t>(B)</w:t>
      </w:r>
      <w:r>
        <w:t xml:space="preserve"> Schematic representation of a cocc</w:t>
      </w:r>
      <w:r w:rsidR="00C32A2B">
        <w:t>al</w:t>
      </w:r>
      <w:r>
        <w:t xml:space="preserve"> cell and its possible cross-sections.</w:t>
      </w:r>
    </w:p>
    <w:p w14:paraId="7A3122C6" w14:textId="6041225B" w:rsidR="00FF36CC" w:rsidRDefault="000C0946" w:rsidP="00FF36CC">
      <w:r>
        <w:lastRenderedPageBreak/>
        <w:t xml:space="preserve">The next step was to choose which TEM technique was more suitable for the morphological analysis and quantification carried out during Chapter 5 of this study. </w:t>
      </w:r>
      <w:r w:rsidR="00CA6B99">
        <w:t xml:space="preserve">Cross-sectioning EM </w:t>
      </w:r>
      <w:r w:rsidR="000A7890">
        <w:t>techniques</w:t>
      </w:r>
      <w:r w:rsidR="00CA6B99">
        <w:t xml:space="preserve"> are </w:t>
      </w:r>
      <w:r w:rsidR="000A7890">
        <w:t>standard chemical fixation TEM</w:t>
      </w:r>
      <w:r w:rsidR="0033779A">
        <w:t xml:space="preserve"> (</w:t>
      </w:r>
      <w:r w:rsidR="00571013">
        <w:t xml:space="preserve">section </w:t>
      </w:r>
      <w:r w:rsidR="0033779A">
        <w:fldChar w:fldCharType="begin"/>
      </w:r>
      <w:r w:rsidR="0033779A">
        <w:instrText xml:space="preserve"> REF _Ref71998339 \r \h </w:instrText>
      </w:r>
      <w:r w:rsidR="0033779A">
        <w:fldChar w:fldCharType="separate"/>
      </w:r>
      <w:r w:rsidR="00183CC8">
        <w:t>3.3</w:t>
      </w:r>
      <w:r w:rsidR="0033779A">
        <w:fldChar w:fldCharType="end"/>
      </w:r>
      <w:r w:rsidR="0033779A">
        <w:t>)</w:t>
      </w:r>
      <w:r w:rsidR="000A7890">
        <w:t>, freeze-substitution TEM</w:t>
      </w:r>
      <w:r w:rsidR="0033779A">
        <w:t xml:space="preserve"> (</w:t>
      </w:r>
      <w:r w:rsidR="00571013">
        <w:t xml:space="preserve">section </w:t>
      </w:r>
      <w:r w:rsidR="0033779A">
        <w:fldChar w:fldCharType="begin"/>
      </w:r>
      <w:r w:rsidR="0033779A">
        <w:instrText xml:space="preserve"> REF _Ref71998352 \r \h </w:instrText>
      </w:r>
      <w:r w:rsidR="0033779A">
        <w:fldChar w:fldCharType="separate"/>
      </w:r>
      <w:r w:rsidR="00183CC8">
        <w:t>3.4</w:t>
      </w:r>
      <w:r w:rsidR="0033779A">
        <w:fldChar w:fldCharType="end"/>
      </w:r>
      <w:r w:rsidR="0033779A">
        <w:t>)</w:t>
      </w:r>
      <w:r w:rsidR="000A7890">
        <w:t xml:space="preserve">, </w:t>
      </w:r>
      <w:r w:rsidR="004F03D9">
        <w:t>CEMOVIS</w:t>
      </w:r>
      <w:r w:rsidR="0033779A">
        <w:t xml:space="preserve"> (</w:t>
      </w:r>
      <w:r w:rsidR="00571013">
        <w:t xml:space="preserve">section </w:t>
      </w:r>
      <w:r w:rsidR="0033779A">
        <w:fldChar w:fldCharType="begin"/>
      </w:r>
      <w:r w:rsidR="0033779A">
        <w:instrText xml:space="preserve"> REF _Ref71998370 \r \h </w:instrText>
      </w:r>
      <w:r w:rsidR="0033779A">
        <w:fldChar w:fldCharType="separate"/>
      </w:r>
      <w:r w:rsidR="00183CC8">
        <w:t>3.5</w:t>
      </w:r>
      <w:r w:rsidR="0033779A">
        <w:fldChar w:fldCharType="end"/>
      </w:r>
      <w:r w:rsidR="0033779A">
        <w:t>)</w:t>
      </w:r>
      <w:r w:rsidR="000A7890">
        <w:t xml:space="preserve"> and cryo-FIB.</w:t>
      </w:r>
      <w:r w:rsidR="00675D86">
        <w:t xml:space="preserve"> Both </w:t>
      </w:r>
      <w:r w:rsidR="004F03D9">
        <w:t>CEMOVIS</w:t>
      </w:r>
      <w:r w:rsidR="00675D86">
        <w:t xml:space="preserve"> and cryo-FIB would present the best </w:t>
      </w:r>
      <w:r w:rsidR="00BB5B7A">
        <w:t xml:space="preserve">possible </w:t>
      </w:r>
      <w:r w:rsidR="00675D86">
        <w:t xml:space="preserve">image for analysis, </w:t>
      </w:r>
      <w:r w:rsidR="0005442F">
        <w:t>because of</w:t>
      </w:r>
      <w:r w:rsidR="00675D86">
        <w:t xml:space="preserve"> the lack of chemical</w:t>
      </w:r>
      <w:r w:rsidR="00BB5B7A">
        <w:t xml:space="preserve"> fixatives </w:t>
      </w:r>
      <w:r w:rsidR="00675D86">
        <w:t xml:space="preserve">and </w:t>
      </w:r>
      <w:r w:rsidR="00BB5B7A">
        <w:t>heavy metal staining</w:t>
      </w:r>
      <w:r w:rsidR="00675D86">
        <w:t xml:space="preserve">, and </w:t>
      </w:r>
      <w:r w:rsidR="0005442F">
        <w:t>the maintenance of the cell’s</w:t>
      </w:r>
      <w:r w:rsidR="00675D86">
        <w:t xml:space="preserve"> hydrated state. Unfortunately, </w:t>
      </w:r>
      <w:r w:rsidR="00BA3D7E">
        <w:t>they</w:t>
      </w:r>
      <w:r w:rsidR="00675D86">
        <w:t xml:space="preserve"> </w:t>
      </w:r>
      <w:r w:rsidR="00BA3D7E">
        <w:t>are</w:t>
      </w:r>
      <w:r w:rsidR="00CA5F0C">
        <w:t xml:space="preserve"> technically difficult and</w:t>
      </w:r>
      <w:r w:rsidR="00675D86">
        <w:t xml:space="preserve"> do not have a high throughput. Both have a very lengthy process that would make it impossible to obtain analysis of &gt; 300 cells for </w:t>
      </w:r>
      <w:r>
        <w:t>each mutant and treatment</w:t>
      </w:r>
      <w:r w:rsidR="0066295B">
        <w:t>.</w:t>
      </w:r>
      <w:r w:rsidR="00E77F64">
        <w:t xml:space="preserve"> </w:t>
      </w:r>
      <w:r w:rsidR="003D35E8">
        <w:t xml:space="preserve">Freeze-substitution TEM (section </w:t>
      </w:r>
      <w:r w:rsidR="003D35E8">
        <w:fldChar w:fldCharType="begin"/>
      </w:r>
      <w:r w:rsidR="003D35E8">
        <w:instrText xml:space="preserve"> REF _Ref71889317 \r \h </w:instrText>
      </w:r>
      <w:r w:rsidR="003D35E8">
        <w:fldChar w:fldCharType="separate"/>
      </w:r>
      <w:r w:rsidR="00183CC8">
        <w:t>3.4</w:t>
      </w:r>
      <w:r w:rsidR="003D35E8">
        <w:fldChar w:fldCharType="end"/>
      </w:r>
      <w:r w:rsidR="003D35E8">
        <w:t>) provides better structural information than chemical fixation. However, it is a</w:t>
      </w:r>
      <w:r w:rsidR="004F03D9">
        <w:t>lso a</w:t>
      </w:r>
      <w:r w:rsidR="003D35E8">
        <w:t xml:space="preserve"> lengthy process with variable results that depend</w:t>
      </w:r>
      <w:r w:rsidR="00344CF6">
        <w:t>s</w:t>
      </w:r>
      <w:r w:rsidR="003D35E8">
        <w:t xml:space="preserve"> on correct cryo-fix</w:t>
      </w:r>
      <w:r w:rsidR="00344CF6">
        <w:t>ation</w:t>
      </w:r>
      <w:r w:rsidR="003D35E8">
        <w:t xml:space="preserve"> using HPF. Given the unreliable results obtained with </w:t>
      </w:r>
      <w:r w:rsidR="00E77F64">
        <w:t>the Leica EM PACT2</w:t>
      </w:r>
      <w:r w:rsidR="003D35E8">
        <w:t>, this technique was not chosen</w:t>
      </w:r>
      <w:r w:rsidR="00E77F64">
        <w:t xml:space="preserve">. Finally, standard chemical fixation-TEM </w:t>
      </w:r>
      <w:r w:rsidR="00656B2F">
        <w:t xml:space="preserve">(section </w:t>
      </w:r>
      <w:r w:rsidR="00656B2F">
        <w:fldChar w:fldCharType="begin"/>
      </w:r>
      <w:r w:rsidR="00656B2F">
        <w:instrText xml:space="preserve"> REF _Ref71888512 \r \h </w:instrText>
      </w:r>
      <w:r w:rsidR="00656B2F">
        <w:fldChar w:fldCharType="separate"/>
      </w:r>
      <w:r w:rsidR="00183CC8">
        <w:t>3.2</w:t>
      </w:r>
      <w:r w:rsidR="00656B2F">
        <w:fldChar w:fldCharType="end"/>
      </w:r>
      <w:r w:rsidR="00656B2F">
        <w:t xml:space="preserve">) </w:t>
      </w:r>
      <w:r w:rsidR="00E77F64">
        <w:t xml:space="preserve">was the most reliable technique with detailed enough results </w:t>
      </w:r>
      <w:r w:rsidR="00C47CDC">
        <w:t>(</w:t>
      </w:r>
      <w:r w:rsidR="00C47CDC">
        <w:fldChar w:fldCharType="begin"/>
      </w:r>
      <w:r w:rsidR="00C47CDC">
        <w:instrText xml:space="preserve"> REF _Ref73215333 \h </w:instrText>
      </w:r>
      <w:r w:rsidR="00C47CDC">
        <w:fldChar w:fldCharType="separate"/>
      </w:r>
      <w:r w:rsidR="00183CC8">
        <w:t xml:space="preserve">Figure </w:t>
      </w:r>
      <w:r w:rsidR="00183CC8">
        <w:rPr>
          <w:noProof/>
        </w:rPr>
        <w:t>3</w:t>
      </w:r>
      <w:r w:rsidR="00183CC8">
        <w:t>.</w:t>
      </w:r>
      <w:r w:rsidR="00183CC8">
        <w:rPr>
          <w:noProof/>
        </w:rPr>
        <w:t>24</w:t>
      </w:r>
      <w:r w:rsidR="00C47CDC">
        <w:fldChar w:fldCharType="end"/>
      </w:r>
      <w:r w:rsidR="00C47CDC">
        <w:t xml:space="preserve">a) </w:t>
      </w:r>
      <w:r w:rsidR="00867449">
        <w:t>and</w:t>
      </w:r>
      <w:r w:rsidR="00E77F64">
        <w:t xml:space="preserve"> the highest throughput</w:t>
      </w:r>
      <w:r w:rsidR="00867449">
        <w:t>;</w:t>
      </w:r>
      <w:r w:rsidR="004E67F9">
        <w:t xml:space="preserve"> and was therefore the chosen methodology for the studies in Chapter 5</w:t>
      </w:r>
      <w:r w:rsidR="009E7455">
        <w:t>.</w:t>
      </w:r>
    </w:p>
    <w:p w14:paraId="2F6CA34D" w14:textId="65D05C68" w:rsidR="001930D2" w:rsidRPr="000F355C" w:rsidRDefault="00D15874" w:rsidP="00FF36CC">
      <w:r>
        <w:t>Chapter 4 studie</w:t>
      </w:r>
      <w:r w:rsidR="00DE6833">
        <w:t>s</w:t>
      </w:r>
      <w:r>
        <w:t xml:space="preserve"> the bacterial envelope with particular focus on the exoplasmic space. As explained by Matias &amp; Beveridge (2006) </w:t>
      </w:r>
      <w:r>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89409496-4fa0-474e-8069-be86a795f53c"]}],"mendeley":{"formattedCitation":"&lt;sup&gt;[16]&lt;/sup&gt;","plainTextFormattedCitation":"[16]","previouslyFormattedCitation":"&lt;sup&gt;[16]&lt;/sup&gt;"},"properties":{"noteIndex":0},"schema":"https://github.com/citation-style-language/schema/raw/master/csl-citation.json"}</w:instrText>
      </w:r>
      <w:r>
        <w:fldChar w:fldCharType="separate"/>
      </w:r>
      <w:r w:rsidR="00DA0A83" w:rsidRPr="00DA0A83">
        <w:rPr>
          <w:noProof/>
          <w:vertAlign w:val="superscript"/>
        </w:rPr>
        <w:t>[16]</w:t>
      </w:r>
      <w:r>
        <w:fldChar w:fldCharType="end"/>
      </w:r>
      <w:r>
        <w:t>, conventional chemical fixation does not provide enough structural differentiation.</w:t>
      </w:r>
      <w:r w:rsidR="005D53E8">
        <w:t xml:space="preserve"> Hence, the alternatives for FS and CEMOVIS where explored</w:t>
      </w:r>
      <w:r w:rsidR="00140157">
        <w:t>.</w:t>
      </w:r>
      <w:r w:rsidR="00D72882">
        <w:t xml:space="preserve"> </w:t>
      </w:r>
      <w:r w:rsidR="00CA43E2">
        <w:t xml:space="preserve">Although sharing similar steps to chemical fixation, FS involves a physical cryo-fixation method, </w:t>
      </w:r>
      <w:r w:rsidR="00FD6F9D">
        <w:t>with</w:t>
      </w:r>
      <w:r w:rsidR="00CA43E2">
        <w:t xml:space="preserve"> subsequent chemical fixation and dehydration </w:t>
      </w:r>
      <w:r w:rsidR="00FD6F9D">
        <w:t>steps performed</w:t>
      </w:r>
      <w:r w:rsidR="00CA43E2">
        <w:t xml:space="preserve"> at below-zero temperatures and </w:t>
      </w:r>
      <w:r w:rsidR="00887541">
        <w:t>over</w:t>
      </w:r>
      <w:r w:rsidR="00CA43E2">
        <w:t xml:space="preserve"> a long period of time. This distinction </w:t>
      </w:r>
      <w:r w:rsidR="00FD6F9D">
        <w:t>provides optimal preservation of the cell envelope combined with the easy-sectioning of resin</w:t>
      </w:r>
      <w:r w:rsidR="000E7D6B">
        <w:t xml:space="preserve"> blocks and the stability and support of resin sections</w:t>
      </w:r>
      <w:r w:rsidR="00753487">
        <w:t xml:space="preserve"> under the electron beam of TEM</w:t>
      </w:r>
      <w:r w:rsidR="00FD6F9D">
        <w:t>.</w:t>
      </w:r>
      <w:r w:rsidR="000E7D6B">
        <w:t xml:space="preserve"> </w:t>
      </w:r>
      <w:r w:rsidR="00FB4760">
        <w:t xml:space="preserve">It is also worth mentioning that FS is suitable for immunolabelling, which opens up numerous options for bacterial molecular analysis. </w:t>
      </w:r>
      <w:r w:rsidR="00756F06">
        <w:t>FS</w:t>
      </w:r>
      <w:r w:rsidR="00503E04">
        <w:t xml:space="preserve"> optimisation tests showed great discrepancies in the cryo-fixation using the Leica EM PACT2. This HPF process resulted </w:t>
      </w:r>
      <w:r w:rsidR="00937CAE">
        <w:t xml:space="preserve">in </w:t>
      </w:r>
      <w:r w:rsidR="00503E04">
        <w:t>various runs of pressure failure</w:t>
      </w:r>
      <w:r w:rsidR="0072683F">
        <w:t>. T</w:t>
      </w:r>
      <w:r w:rsidR="00503E04">
        <w:t xml:space="preserve">he pressure failed to </w:t>
      </w:r>
      <w:r w:rsidR="00FD7442">
        <w:t xml:space="preserve">reach the expected 2000 bar, and </w:t>
      </w:r>
      <w:r w:rsidR="0072683F">
        <w:t xml:space="preserve">it </w:t>
      </w:r>
      <w:r w:rsidR="00FD7442">
        <w:t>was</w:t>
      </w:r>
      <w:r w:rsidR="000E4342">
        <w:t xml:space="preserve"> not</w:t>
      </w:r>
      <w:r w:rsidR="00503E04">
        <w:t xml:space="preserve"> maintained </w:t>
      </w:r>
      <w:r w:rsidR="0072683F">
        <w:t xml:space="preserve">for </w:t>
      </w:r>
      <w:r w:rsidR="00503E04">
        <w:t>the necessary 600 ms during LN</w:t>
      </w:r>
      <w:r w:rsidR="00503E04" w:rsidRPr="00503E04">
        <w:rPr>
          <w:vertAlign w:val="subscript"/>
        </w:rPr>
        <w:t>2</w:t>
      </w:r>
      <w:r w:rsidR="00503E04">
        <w:t xml:space="preserve"> cooling.</w:t>
      </w:r>
      <w:r w:rsidR="00BC6364">
        <w:t xml:space="preserve"> Subsequent optimisations of the cryoprotectants, fillers, FS medi</w:t>
      </w:r>
      <w:r w:rsidR="000518F6">
        <w:t>a</w:t>
      </w:r>
      <w:r w:rsidR="00BC6364">
        <w:t xml:space="preserve"> and choice of resin where </w:t>
      </w:r>
      <w:r w:rsidR="00255674">
        <w:t xml:space="preserve">all </w:t>
      </w:r>
      <w:r w:rsidR="00BC6364">
        <w:t xml:space="preserve">affected by </w:t>
      </w:r>
      <w:r w:rsidR="00752A7D">
        <w:t>unsuccessful vitrification</w:t>
      </w:r>
      <w:r w:rsidR="006E2283">
        <w:t>.</w:t>
      </w:r>
      <w:r w:rsidR="00F83C87">
        <w:t xml:space="preserve"> Nevertheless, analysis of </w:t>
      </w:r>
      <w:r w:rsidR="00203A19">
        <w:t>these</w:t>
      </w:r>
      <w:r w:rsidR="00F83C87">
        <w:t xml:space="preserve"> results suggest that the following optimisations </w:t>
      </w:r>
      <w:r w:rsidR="00911ED2">
        <w:t>would</w:t>
      </w:r>
      <w:r w:rsidR="00F83C87">
        <w:t xml:space="preserve"> be the best starting point: </w:t>
      </w:r>
      <w:r w:rsidR="002D2359">
        <w:t xml:space="preserve">(1) </w:t>
      </w:r>
      <w:r w:rsidR="00F83C87">
        <w:t xml:space="preserve">bacterial growth with TSB + 10 % </w:t>
      </w:r>
      <w:r w:rsidR="005F3489">
        <w:t xml:space="preserve">(v/v) </w:t>
      </w:r>
      <w:r w:rsidR="00F83C87">
        <w:t>glycerol</w:t>
      </w:r>
      <w:r w:rsidR="002D2359">
        <w:t xml:space="preserve"> for cryoprotection;</w:t>
      </w:r>
      <w:r w:rsidR="00F83C87">
        <w:t xml:space="preserve"> </w:t>
      </w:r>
      <w:r w:rsidR="002D2359">
        <w:t xml:space="preserve">(2) </w:t>
      </w:r>
      <w:r w:rsidR="00F83C87">
        <w:t xml:space="preserve">the addition of </w:t>
      </w:r>
      <w:r w:rsidR="002D2359">
        <w:t>20 %</w:t>
      </w:r>
      <w:r w:rsidR="005442AF">
        <w:t xml:space="preserve"> (w/v)</w:t>
      </w:r>
      <w:r w:rsidR="002D2359">
        <w:t xml:space="preserve"> BSA for improving consistency and adding extra cryo-protection; (3) coating of the flat carriers with 0.</w:t>
      </w:r>
      <w:r w:rsidR="00D94C8C">
        <w:t>05–0.1</w:t>
      </w:r>
      <w:r w:rsidR="002D2359">
        <w:t xml:space="preserve"> % </w:t>
      </w:r>
      <w:r w:rsidR="00D747F8">
        <w:t xml:space="preserve">(w/v) </w:t>
      </w:r>
      <w:r w:rsidR="002D2359">
        <w:t>egg lecithin</w:t>
      </w:r>
      <w:r w:rsidR="00D94C8C">
        <w:t xml:space="preserve"> in chloroform for better specimen removal; </w:t>
      </w:r>
      <w:r w:rsidR="00CB2994">
        <w:t xml:space="preserve">(4) the use of an acetone-based FS </w:t>
      </w:r>
      <w:r w:rsidR="00CB2994">
        <w:lastRenderedPageBreak/>
        <w:t>medium, or alternatively, the use of ethanol with caution of utilising glassware during preparation; (5)</w:t>
      </w:r>
      <w:r w:rsidR="000F355C">
        <w:t xml:space="preserve"> a FS medium with 1 % </w:t>
      </w:r>
      <w:r w:rsidR="004F105A">
        <w:t xml:space="preserve">(w/v) </w:t>
      </w:r>
      <w:r w:rsidR="000F355C">
        <w:t>OsO</w:t>
      </w:r>
      <w:r w:rsidR="000F355C">
        <w:rPr>
          <w:vertAlign w:val="subscript"/>
        </w:rPr>
        <w:t>4</w:t>
      </w:r>
      <w:r w:rsidR="000F355C">
        <w:t xml:space="preserve"> with </w:t>
      </w:r>
      <w:r w:rsidR="004717B2">
        <w:t>2 %</w:t>
      </w:r>
      <w:r w:rsidR="00544F8A">
        <w:t xml:space="preserve"> (w/v)</w:t>
      </w:r>
      <w:r w:rsidR="004717B2">
        <w:t xml:space="preserve"> </w:t>
      </w:r>
      <w:r w:rsidR="000F355C">
        <w:t>UA for added 3D structural contrast;</w:t>
      </w:r>
      <w:r w:rsidR="00ED1D1B">
        <w:t xml:space="preserve"> (6) the use of the low-viscosity Spurr resin for better handling of the specimens during infiltration and embedding</w:t>
      </w:r>
      <w:r w:rsidR="00556E45">
        <w:t xml:space="preserve">; </w:t>
      </w:r>
      <w:r w:rsidR="00120786">
        <w:t xml:space="preserve">and </w:t>
      </w:r>
      <w:r w:rsidR="00556E45">
        <w:t>(7)</w:t>
      </w:r>
      <w:r w:rsidR="00F554CA">
        <w:t xml:space="preserve"> post-stain with both UA and LC for better contrast.</w:t>
      </w:r>
    </w:p>
    <w:p w14:paraId="26DE7973" w14:textId="3FC8F788" w:rsidR="000E7D6B" w:rsidRDefault="004B5591" w:rsidP="00FF36CC">
      <w:r>
        <w:t>A</w:t>
      </w:r>
      <w:r w:rsidR="000E7D6B">
        <w:t xml:space="preserve"> </w:t>
      </w:r>
      <w:r w:rsidR="00735B3D">
        <w:t xml:space="preserve">big </w:t>
      </w:r>
      <w:r w:rsidR="000E7D6B">
        <w:t xml:space="preserve">disadvantage of </w:t>
      </w:r>
      <w:r w:rsidR="00735B3D">
        <w:t>FS</w:t>
      </w:r>
      <w:r w:rsidR="000E7D6B">
        <w:t xml:space="preserve"> is </w:t>
      </w:r>
      <w:r w:rsidR="00735B3D">
        <w:t>its</w:t>
      </w:r>
      <w:r w:rsidR="00B1689C">
        <w:t xml:space="preserve"> </w:t>
      </w:r>
      <w:r w:rsidR="0033186F">
        <w:t xml:space="preserve">long </w:t>
      </w:r>
      <w:r w:rsidR="00B1689C">
        <w:t>processing</w:t>
      </w:r>
      <w:r w:rsidR="000E7D6B">
        <w:t xml:space="preserve"> time.</w:t>
      </w:r>
      <w:r w:rsidR="00B1689C">
        <w:t xml:space="preserve"> Chemically fixed samples are ready to be infiltrated in less than </w:t>
      </w:r>
      <w:r w:rsidR="00DA345B">
        <w:t>one</w:t>
      </w:r>
      <w:r w:rsidR="00B1689C">
        <w:t xml:space="preserve"> day, while</w:t>
      </w:r>
      <w:r w:rsidR="00120786">
        <w:t xml:space="preserve"> the</w:t>
      </w:r>
      <w:r w:rsidR="00B1689C">
        <w:t xml:space="preserve"> FS</w:t>
      </w:r>
      <w:r w:rsidR="00920B37">
        <w:t xml:space="preserve"> step alone</w:t>
      </w:r>
      <w:r w:rsidR="00B1689C">
        <w:t xml:space="preserve"> lasts 2.7 days.</w:t>
      </w:r>
      <w:r w:rsidR="00EB5131">
        <w:t xml:space="preserve"> Fortunately, </w:t>
      </w:r>
      <w:r w:rsidR="00B1689C">
        <w:t>Dr. Fr</w:t>
      </w:r>
      <w:r w:rsidR="00B1689C" w:rsidRPr="005E1B3D">
        <w:t>édéric Leroux</w:t>
      </w:r>
      <w:r w:rsidR="00B1689C">
        <w:t xml:space="preserve"> (Leica Microsystems) suggested </w:t>
      </w:r>
      <w:r w:rsidR="00935C49">
        <w:t xml:space="preserve">a modified </w:t>
      </w:r>
      <w:r w:rsidR="00B1689C">
        <w:t>FS programme for Leica AFS2</w:t>
      </w:r>
      <w:r w:rsidR="000372CA">
        <w:t>.</w:t>
      </w:r>
      <w:r w:rsidR="00EB5131">
        <w:t xml:space="preserve"> </w:t>
      </w:r>
      <w:r w:rsidR="00665E5F">
        <w:t>The obtained</w:t>
      </w:r>
      <w:r w:rsidR="00EB5131">
        <w:t xml:space="preserve"> results were not only </w:t>
      </w:r>
      <w:r w:rsidR="008A2EDD">
        <w:t>successful</w:t>
      </w:r>
      <w:r w:rsidR="00007180">
        <w:t>,</w:t>
      </w:r>
      <w:r w:rsidR="00EB5131">
        <w:t xml:space="preserve"> </w:t>
      </w:r>
      <w:r w:rsidR="000372CA">
        <w:t>but</w:t>
      </w:r>
      <w:r w:rsidR="00EB5131">
        <w:t xml:space="preserve"> also showed a reduction of 18 h in the FS protocol.</w:t>
      </w:r>
      <w:r w:rsidR="00B1689C">
        <w:t xml:space="preserve"> </w:t>
      </w:r>
      <w:r w:rsidR="00DF7B85">
        <w:t xml:space="preserve">The </w:t>
      </w:r>
      <w:r w:rsidR="00920B37">
        <w:t>initial</w:t>
      </w:r>
      <w:r w:rsidR="00DF7B85">
        <w:t xml:space="preserve"> attempt to reproduce the SQFS described by Dr. Kent McDonald</w:t>
      </w:r>
      <w:r w:rsidR="00920B37">
        <w:t xml:space="preserve"> resulted in a 300 min long process. This protocol therefore reduced the FS processing time </w:t>
      </w:r>
      <w:r w:rsidR="00977FEF">
        <w:t xml:space="preserve">further, </w:t>
      </w:r>
      <w:r w:rsidR="00920B37">
        <w:t xml:space="preserve">from </w:t>
      </w:r>
      <w:r w:rsidR="009C1766">
        <w:t>47 h</w:t>
      </w:r>
      <w:r w:rsidR="00920B37">
        <w:t xml:space="preserve"> to 5 h. A second attempt using a different foam box showed successful freeze-substitution in 3:20 h.</w:t>
      </w:r>
      <w:r w:rsidR="00352975">
        <w:t xml:space="preserve"> </w:t>
      </w:r>
      <w:r w:rsidR="0046006E">
        <w:t>Further</w:t>
      </w:r>
      <w:r w:rsidR="00352975">
        <w:t xml:space="preserve"> optimis</w:t>
      </w:r>
      <w:r w:rsidR="0046006E">
        <w:t>ation</w:t>
      </w:r>
      <w:r w:rsidR="00352975">
        <w:t xml:space="preserve"> of the SQFS setup</w:t>
      </w:r>
      <w:r w:rsidR="00901DD6">
        <w:t>,</w:t>
      </w:r>
      <w:r w:rsidR="00412E4F">
        <w:t xml:space="preserve"> by modifying the temperature of the room or utilising a different sized foam box</w:t>
      </w:r>
      <w:r w:rsidR="00901DD6">
        <w:t>,</w:t>
      </w:r>
      <w:r w:rsidR="00352975">
        <w:t xml:space="preserve"> </w:t>
      </w:r>
      <w:r w:rsidR="00412E4F">
        <w:t>could</w:t>
      </w:r>
      <w:r w:rsidR="00352975">
        <w:t xml:space="preserve"> help us achieve the 90 min FS described by McDonald </w:t>
      </w:r>
      <w:r w:rsidR="00352975">
        <w:fldChar w:fldCharType="begin" w:fldLock="1"/>
      </w:r>
      <w:r w:rsidR="0058736C">
        <w:instrText>ADDIN CSL_CITATION {"citationItems":[{"id":"ITEM-1","itemData":{"DOI":"10.1111/j.1365-2818.2011.03526.x","author":[{"dropping-particle":"","family":"Mcdonald","given":"K L","non-dropping-particle":"","parse-names":false,"suffix":""},{"dropping-particle":"","family":"Webb","given":"R I","non-dropping-particle":"","parse-names":false,"suffix":""}],"container-title":"Journal of Microscopy","id":"ITEM-1","issue":"March","issued":{"date-parts":[["2011"]]},"page":"227-233","title":"Freeze substitution in 3 hours or less","type":"article-journal","volume":"243"},"uris":["http://www.mendeley.com/documents/?uuid=9ff483a3-13a9-477e-90cb-f250a2166d02"]}],"mendeley":{"formattedCitation":"&lt;sup&gt;[240]&lt;/sup&gt;","plainTextFormattedCitation":"[240]","previouslyFormattedCitation":"&lt;sup&gt;[240]&lt;/sup&gt;"},"properties":{"noteIndex":0},"schema":"https://github.com/citation-style-language/schema/raw/master/csl-citation.json"}</w:instrText>
      </w:r>
      <w:r w:rsidR="00352975">
        <w:fldChar w:fldCharType="separate"/>
      </w:r>
      <w:r w:rsidR="002659E5" w:rsidRPr="002659E5">
        <w:rPr>
          <w:noProof/>
          <w:vertAlign w:val="superscript"/>
        </w:rPr>
        <w:t>[240]</w:t>
      </w:r>
      <w:r w:rsidR="00352975">
        <w:fldChar w:fldCharType="end"/>
      </w:r>
      <w:r w:rsidR="00352975">
        <w:t>.</w:t>
      </w:r>
      <w:r w:rsidR="00925502">
        <w:t xml:space="preserve"> His rapid embedding protocol </w:t>
      </w:r>
      <w:r w:rsidR="00925502">
        <w:fldChar w:fldCharType="begin" w:fldLock="1"/>
      </w:r>
      <w:r w:rsidR="0058736C">
        <w:instrText>ADDIN CSL_CITATION {"citationItems":[{"id":"ITEM-1","itemData":{"DOI":"10.1017/S1431927613013846","ISSN":"14358115","PMID":"24252586","abstract":"A variety of specimens including bacteria, ciliates, choanoflagellates (Salpingoeca rosetta), zebrafish (Danio rerio) embryos, nematode worms (Caenorhabditis elegans), and leaves of white clover (Trifolium repens) plants were high pressure frozen, freeze-substituted, infiltrated with either Epon, Epon-Araldite, or LR White resins, and polymerized. Total processing time from freezing to blocks ready to section was about 6 h. For epoxy embedding the specimens were freeze-substituted in 1% osmium tetroxide plus 0.1% uranyl acetate in acetone. For embedding in LR White the freeze-substitution medium was 0.2% uranyl acetate in acetone. Rapid infiltration was achieved by centrifugation through increasing concentrations of resin followed by polymerization at 100°C for 1.5-2 h. The preservation of ultrastructure was comparable to standard freeze substitution and resin embedding methods that take days to complete. On-section immunolabeling results for actin and tubulin molecules were positive with very low background labeling. The LR White methods offer a safer, quicker, and less-expensive alternative to Lowicryl embedding of specimens processed for on-section immunolabeling without traditional aldehyde fixatives. © Microscopy Society of America 2014.","author":[{"dropping-particle":"","family":"McDonald","given":"Kent L.","non-dropping-particle":"","parse-names":false,"suffix":""}],"container-title":"Microscopy and Microanalysis","id":"ITEM-1","issue":"1","issued":{"date-parts":[["2014"]]},"page":"152-163","title":"Rapid embedding methods into epoxy and LR white resins for morphological and immunological analysis of cryofixed biological specimens","type":"article-journal","volume":"20"},"uris":["http://www.mendeley.com/documents/?uuid=8f6950fe-fd6b-4fc1-8c6e-9eae39ad1a5a"]}],"mendeley":{"formattedCitation":"&lt;sup&gt;[241]&lt;/sup&gt;","plainTextFormattedCitation":"[241]","previouslyFormattedCitation":"&lt;sup&gt;[241]&lt;/sup&gt;"},"properties":{"noteIndex":0},"schema":"https://github.com/citation-style-language/schema/raw/master/csl-citation.json"}</w:instrText>
      </w:r>
      <w:r w:rsidR="00925502">
        <w:fldChar w:fldCharType="separate"/>
      </w:r>
      <w:r w:rsidR="002659E5" w:rsidRPr="002659E5">
        <w:rPr>
          <w:noProof/>
          <w:vertAlign w:val="superscript"/>
        </w:rPr>
        <w:t>[241]</w:t>
      </w:r>
      <w:r w:rsidR="00925502">
        <w:fldChar w:fldCharType="end"/>
      </w:r>
      <w:r w:rsidR="00925502">
        <w:t xml:space="preserve"> was also put into practice, with successful results obtained in just a few hours, instead of 4 days.</w:t>
      </w:r>
      <w:r w:rsidR="001930D2">
        <w:t xml:space="preserve"> Focusing on the time-optimisation of FS means that optimal structural preservation can potentially</w:t>
      </w:r>
      <w:r w:rsidR="003235BE">
        <w:t xml:space="preserve"> be</w:t>
      </w:r>
      <w:r w:rsidR="001930D2">
        <w:t xml:space="preserve"> obtain in one day, making SQFS</w:t>
      </w:r>
      <w:r w:rsidR="00481FF8">
        <w:t xml:space="preserve"> as the best replacement of chemical fixation,</w:t>
      </w:r>
      <w:r w:rsidR="001930D2">
        <w:t xml:space="preserve"> as the go-to TEM technique for </w:t>
      </w:r>
      <w:r w:rsidR="00FC30A2">
        <w:t xml:space="preserve">detailed </w:t>
      </w:r>
      <w:r w:rsidR="001930D2">
        <w:t>phenotype analysis</w:t>
      </w:r>
      <w:r w:rsidR="00753487">
        <w:t xml:space="preserve"> (</w:t>
      </w:r>
      <w:r w:rsidR="00753487">
        <w:fldChar w:fldCharType="begin"/>
      </w:r>
      <w:r w:rsidR="00753487">
        <w:instrText xml:space="preserve"> REF _Ref73215333 \h </w:instrText>
      </w:r>
      <w:r w:rsidR="00753487">
        <w:fldChar w:fldCharType="separate"/>
      </w:r>
      <w:r w:rsidR="00183CC8">
        <w:t xml:space="preserve">Figure </w:t>
      </w:r>
      <w:r w:rsidR="00183CC8">
        <w:rPr>
          <w:noProof/>
        </w:rPr>
        <w:t>3</w:t>
      </w:r>
      <w:r w:rsidR="00183CC8">
        <w:t>.</w:t>
      </w:r>
      <w:r w:rsidR="00183CC8">
        <w:rPr>
          <w:noProof/>
        </w:rPr>
        <w:t>24</w:t>
      </w:r>
      <w:r w:rsidR="00753487">
        <w:fldChar w:fldCharType="end"/>
      </w:r>
      <w:r w:rsidR="00753487">
        <w:t>b).</w:t>
      </w:r>
    </w:p>
    <w:p w14:paraId="3CBBEAD7" w14:textId="4E094DE1" w:rsidR="001D0BE5" w:rsidRDefault="00545666" w:rsidP="006454EA">
      <w:r>
        <w:t>The contraindications of FS is the employment of</w:t>
      </w:r>
      <w:r w:rsidR="00D56B97">
        <w:t xml:space="preserve"> chemical fixatives, heavy metals and, most importantly, solvents which dehydrate the sample and modify the cell architecture. </w:t>
      </w:r>
      <w:r w:rsidR="008375D7">
        <w:t xml:space="preserve">Matias &amp; Beveridge showed that the exoplasmic space of </w:t>
      </w:r>
      <w:r w:rsidR="008375D7">
        <w:rPr>
          <w:i/>
          <w:iCs/>
        </w:rPr>
        <w:t>S. aureus</w:t>
      </w:r>
      <w:r w:rsidR="008375D7">
        <w:t xml:space="preserve"> can better be distinguished and analysed in a hydrated state </w:t>
      </w:r>
      <w:r w:rsidR="008375D7">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89409496-4fa0-474e-8069-be86a795f53c"]}],"mendeley":{"formattedCitation":"&lt;sup&gt;[16]&lt;/sup&gt;","plainTextFormattedCitation":"[16]","previouslyFormattedCitation":"&lt;sup&gt;[16]&lt;/sup&gt;"},"properties":{"noteIndex":0},"schema":"https://github.com/citation-style-language/schema/raw/master/csl-citation.json"}</w:instrText>
      </w:r>
      <w:r w:rsidR="008375D7">
        <w:fldChar w:fldCharType="separate"/>
      </w:r>
      <w:r w:rsidR="00DA0A83" w:rsidRPr="00DA0A83">
        <w:rPr>
          <w:noProof/>
          <w:vertAlign w:val="superscript"/>
        </w:rPr>
        <w:t>[16]</w:t>
      </w:r>
      <w:r w:rsidR="008375D7">
        <w:fldChar w:fldCharType="end"/>
      </w:r>
      <w:r w:rsidR="0014089D">
        <w:t>, therefore,</w:t>
      </w:r>
      <w:r w:rsidR="00A27AB7">
        <w:t xml:space="preserve"> </w:t>
      </w:r>
      <w:r w:rsidR="008375D7">
        <w:t>CEMOVIS was attempted to recreate the</w:t>
      </w:r>
      <w:r w:rsidR="0014089D">
        <w:t xml:space="preserve">ir </w:t>
      </w:r>
      <w:r w:rsidR="008375D7">
        <w:t xml:space="preserve">results </w:t>
      </w:r>
      <w:r w:rsidR="008375D7">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89409496-4fa0-474e-8069-be86a795f53c"]}],"mendeley":{"formattedCitation":"&lt;sup&gt;[16]&lt;/sup&gt;","plainTextFormattedCitation":"[16]","previouslyFormattedCitation":"&lt;sup&gt;[16]&lt;/sup&gt;"},"properties":{"noteIndex":0},"schema":"https://github.com/citation-style-language/schema/raw/master/csl-citation.json"}</w:instrText>
      </w:r>
      <w:r w:rsidR="008375D7">
        <w:fldChar w:fldCharType="separate"/>
      </w:r>
      <w:r w:rsidR="00DA0A83" w:rsidRPr="00DA0A83">
        <w:rPr>
          <w:noProof/>
          <w:vertAlign w:val="superscript"/>
        </w:rPr>
        <w:t>[16]</w:t>
      </w:r>
      <w:r w:rsidR="008375D7">
        <w:fldChar w:fldCharType="end"/>
      </w:r>
      <w:r w:rsidR="008375D7">
        <w:t>.</w:t>
      </w:r>
      <w:r w:rsidR="000C4D93">
        <w:t xml:space="preserve"> Cryo-sectioning of the vitrified HPF samples was the most </w:t>
      </w:r>
      <w:r w:rsidR="00C97707">
        <w:t xml:space="preserve">technically </w:t>
      </w:r>
      <w:r w:rsidR="000C4D93">
        <w:t>challenging step of this methodology.</w:t>
      </w:r>
      <w:r w:rsidR="000816E2">
        <w:t xml:space="preserve"> </w:t>
      </w:r>
      <w:r w:rsidR="00C97707">
        <w:t>Mastering</w:t>
      </w:r>
      <w:r w:rsidR="006F2F83">
        <w:t xml:space="preserve"> frozen-hydrated sectioning below devitrification temperatures requires extra caution to avoid ice </w:t>
      </w:r>
      <w:r w:rsidR="00A91CEA">
        <w:t>contamination</w:t>
      </w:r>
      <w:r w:rsidR="006F2F83">
        <w:t>, a steady hand to manipulate the ribbon of sections, and a lot of experience to reduce cutting artefacts.</w:t>
      </w:r>
      <w:r w:rsidR="00A97F0F">
        <w:t xml:space="preserve"> </w:t>
      </w:r>
      <w:r w:rsidR="00154E69">
        <w:t>The addition of an adapted micromanipulator and a custom-made fibre tool</w:t>
      </w:r>
      <w:r w:rsidR="000B7AB7">
        <w:t>,</w:t>
      </w:r>
      <w:r w:rsidR="00154E69">
        <w:t xml:space="preserve"> like the one described by Ng </w:t>
      </w:r>
      <w:r w:rsidR="00154E69">
        <w:rPr>
          <w:i/>
          <w:iCs/>
        </w:rPr>
        <w:t>et al.</w:t>
      </w:r>
      <w:r w:rsidR="004A7BD7">
        <w:rPr>
          <w:i/>
          <w:iCs/>
        </w:rPr>
        <w:t>,</w:t>
      </w:r>
      <w:r w:rsidR="000D5745">
        <w:t xml:space="preserve"> (2020)</w:t>
      </w:r>
      <w:r w:rsidR="000D5745" w:rsidRPr="000D5745">
        <w:t xml:space="preserve"> </w:t>
      </w:r>
      <w:r w:rsidR="000D5745">
        <w:fldChar w:fldCharType="begin" w:fldLock="1"/>
      </w:r>
      <w:r w:rsidR="0058736C">
        <w:instrText>ADDIN CSL_CITATION {"citationItems":[{"id":"ITEM-1","itemData":{"DOI":"10.21769/bioprotoc.3831","ISSN":"2331-8325","author":[{"dropping-particle":"","family":"Ng","given":"Cai Tong","non-dropping-particle":"","parse-names":false,"suffix":""},{"dropping-particle":"","family":"Ladinsky","given":"Mark","non-dropping-particle":"","parse-names":false,"suffix":""},{"dropping-particle":"","family":"Gan","given":"Lu","non-dropping-particle":"","parse-names":false,"suffix":""}],"container-title":"Bio-Protocol","id":"ITEM-1","issue":"22","issued":{"date-parts":[["2020"]]},"page":"1-15","title":"Serial Cryomicrotomy of Saccharomyces cerevisiae for Serial Electron Cryotomography","type":"article-journal","volume":"10"},"uris":["http://www.mendeley.com/documents/?uuid=a9514d30-8a7c-405e-a337-b5325669a8d1"]}],"mendeley":{"formattedCitation":"&lt;sup&gt;[243]&lt;/sup&gt;","plainTextFormattedCitation":"[243]","previouslyFormattedCitation":"&lt;sup&gt;[243]&lt;/sup&gt;"},"properties":{"noteIndex":0},"schema":"https://github.com/citation-style-language/schema/raw/master/csl-citation.json"}</w:instrText>
      </w:r>
      <w:r w:rsidR="000D5745">
        <w:fldChar w:fldCharType="separate"/>
      </w:r>
      <w:r w:rsidR="002659E5" w:rsidRPr="002659E5">
        <w:rPr>
          <w:noProof/>
          <w:vertAlign w:val="superscript"/>
        </w:rPr>
        <w:t>[243]</w:t>
      </w:r>
      <w:r w:rsidR="000D5745">
        <w:fldChar w:fldCharType="end"/>
      </w:r>
      <w:r w:rsidR="000B7AB7">
        <w:t>, could im</w:t>
      </w:r>
      <w:r w:rsidR="000D5745">
        <w:t xml:space="preserve">prove control, precision and </w:t>
      </w:r>
      <w:r w:rsidR="00A91CEA">
        <w:t xml:space="preserve">manipulation </w:t>
      </w:r>
      <w:r w:rsidR="00C67DFA">
        <w:t>time</w:t>
      </w:r>
      <w:r w:rsidR="000B7AB7">
        <w:t>.</w:t>
      </w:r>
      <w:r w:rsidR="00154E69">
        <w:t xml:space="preserve"> </w:t>
      </w:r>
      <w:r w:rsidR="00CC2FD6">
        <w:t xml:space="preserve">In addition to </w:t>
      </w:r>
      <w:r w:rsidR="00285B0E">
        <w:t xml:space="preserve">being technically demanding, </w:t>
      </w:r>
      <w:r w:rsidR="00E41620">
        <w:t xml:space="preserve">beam damage can easily </w:t>
      </w:r>
      <w:r w:rsidR="00A91CEA">
        <w:t xml:space="preserve">be </w:t>
      </w:r>
      <w:r w:rsidR="00E41620">
        <w:t>encountered with CEMOVIS</w:t>
      </w:r>
      <w:r w:rsidR="00394F73">
        <w:t xml:space="preserve"> as vitreous sections are highly sensitive to the electron beam</w:t>
      </w:r>
      <w:r w:rsidR="00311B0D">
        <w:t>.</w:t>
      </w:r>
      <w:r w:rsidR="00285B0E">
        <w:t xml:space="preserve"> </w:t>
      </w:r>
      <w:r w:rsidR="004563D0">
        <w:t xml:space="preserve">It should be noted that </w:t>
      </w:r>
      <w:r w:rsidR="001D0BE5">
        <w:t>due to the low-processing temperatures</w:t>
      </w:r>
      <w:r w:rsidR="006E5049">
        <w:t>,</w:t>
      </w:r>
      <w:r w:rsidR="001D0BE5">
        <w:t xml:space="preserve"> </w:t>
      </w:r>
      <w:r w:rsidR="00634F2A">
        <w:t>CEMOVIS is unsuitable for immunolabelling</w:t>
      </w:r>
      <w:r w:rsidR="001D0BE5">
        <w:t xml:space="preserve"> as antibodies requir</w:t>
      </w:r>
      <w:r w:rsidR="006E5049">
        <w:t>e</w:t>
      </w:r>
      <w:r w:rsidR="001D0BE5">
        <w:t xml:space="preserve"> to be added at </w:t>
      </w:r>
      <w:r w:rsidR="001D0BE5">
        <w:lastRenderedPageBreak/>
        <w:t>room temperatures. Thus,</w:t>
      </w:r>
      <w:r w:rsidR="00634F2A">
        <w:t xml:space="preserve"> FS should be selected</w:t>
      </w:r>
      <w:r w:rsidR="00EC388F">
        <w:t xml:space="preserve"> for</w:t>
      </w:r>
      <w:r w:rsidR="003928DF">
        <w:t xml:space="preserve"> </w:t>
      </w:r>
      <w:r w:rsidR="00EC388F">
        <w:t>immunolabelling assays</w:t>
      </w:r>
      <w:r w:rsidR="003928DF">
        <w:t>.</w:t>
      </w:r>
      <w:r w:rsidR="006824B7">
        <w:t xml:space="preserve"> </w:t>
      </w:r>
      <w:r w:rsidR="00910393">
        <w:t>Cryo</w:t>
      </w:r>
      <w:r w:rsidR="00A9722D" w:rsidRPr="007149DA">
        <w:t>-FIB</w:t>
      </w:r>
      <w:r w:rsidR="008153E6">
        <w:t>, although not available at this university,</w:t>
      </w:r>
      <w:r w:rsidR="00A9722D" w:rsidRPr="007149DA">
        <w:t xml:space="preserve"> </w:t>
      </w:r>
      <w:r w:rsidR="00910393">
        <w:t xml:space="preserve">is another technique able to produce thin-sections of frozen-hydrated cells for cryo-EM. </w:t>
      </w:r>
      <w:r w:rsidR="00E13FC1">
        <w:t>This method can</w:t>
      </w:r>
      <w:r w:rsidR="00A9722D" w:rsidRPr="007149DA">
        <w:t xml:space="preserve"> tackle some of the obstacles encountered with CEMOVIS, as FIB-milling does not leave knife artefacts that affect image analysis.</w:t>
      </w:r>
      <w:r w:rsidR="00E835A3" w:rsidRPr="007149DA">
        <w:t xml:space="preserve"> </w:t>
      </w:r>
      <w:r w:rsidR="00917179">
        <w:t xml:space="preserve">Yet, its methodology is more time-consuming and it has a lower throughput than CEMOVIS. </w:t>
      </w:r>
      <w:r w:rsidR="00E835A3" w:rsidRPr="007149DA">
        <w:t xml:space="preserve">A collaboration with Dr. </w:t>
      </w:r>
      <w:r w:rsidR="005F6C92" w:rsidRPr="005F6C92">
        <w:rPr>
          <w:lang w:eastAsia="en-GB"/>
        </w:rPr>
        <w:t xml:space="preserve">Danyil Grybchuk </w:t>
      </w:r>
      <w:r w:rsidR="00E835A3" w:rsidRPr="007149DA">
        <w:t xml:space="preserve">and </w:t>
      </w:r>
      <w:r w:rsidR="00471FB7">
        <w:t>Dr. Pavel Plevka</w:t>
      </w:r>
      <w:r w:rsidR="006B3AF3">
        <w:t xml:space="preserve"> (M</w:t>
      </w:r>
      <w:r w:rsidR="006B3AF3" w:rsidRPr="006B3AF3">
        <w:t xml:space="preserve">asaryk </w:t>
      </w:r>
      <w:r w:rsidR="006B3AF3">
        <w:t>U</w:t>
      </w:r>
      <w:r w:rsidR="006B3AF3" w:rsidRPr="006B3AF3">
        <w:t>niversity</w:t>
      </w:r>
      <w:r w:rsidR="006B3AF3">
        <w:t>)</w:t>
      </w:r>
      <w:r w:rsidR="00803696">
        <w:t>,</w:t>
      </w:r>
      <w:r w:rsidR="00E835A3" w:rsidRPr="007149DA">
        <w:t xml:space="preserve"> show</w:t>
      </w:r>
      <w:r w:rsidR="00F9418D">
        <w:t>ed</w:t>
      </w:r>
      <w:r w:rsidR="00E835A3" w:rsidRPr="007149DA">
        <w:t xml:space="preserve"> </w:t>
      </w:r>
      <w:r w:rsidR="00000286">
        <w:t>how</w:t>
      </w:r>
      <w:r w:rsidR="00E835A3" w:rsidRPr="007149DA">
        <w:t xml:space="preserve"> </w:t>
      </w:r>
      <w:r w:rsidR="00C07E95">
        <w:t>FIB milling is pushing the boundaries of cryo-ET for bacterial analysis</w:t>
      </w:r>
      <w:r w:rsidR="00D913B9" w:rsidRPr="007149DA">
        <w:rPr>
          <w:i/>
          <w:iCs/>
        </w:rPr>
        <w:t xml:space="preserve"> </w:t>
      </w:r>
      <w:r w:rsidR="00AF04E5">
        <w:t>(</w:t>
      </w:r>
      <w:r w:rsidR="00AF04E5">
        <w:fldChar w:fldCharType="begin"/>
      </w:r>
      <w:r w:rsidR="00AF04E5">
        <w:instrText xml:space="preserve"> REF _Ref73215333 \h </w:instrText>
      </w:r>
      <w:r w:rsidR="00AF04E5">
        <w:fldChar w:fldCharType="separate"/>
      </w:r>
      <w:r w:rsidR="00183CC8">
        <w:t xml:space="preserve">Figure </w:t>
      </w:r>
      <w:r w:rsidR="00183CC8">
        <w:rPr>
          <w:noProof/>
        </w:rPr>
        <w:t>3</w:t>
      </w:r>
      <w:r w:rsidR="00183CC8">
        <w:t>.</w:t>
      </w:r>
      <w:r w:rsidR="00183CC8">
        <w:rPr>
          <w:noProof/>
        </w:rPr>
        <w:t>24</w:t>
      </w:r>
      <w:r w:rsidR="00AF04E5">
        <w:fldChar w:fldCharType="end"/>
      </w:r>
      <w:r w:rsidR="00AF04E5">
        <w:t>d).</w:t>
      </w:r>
      <w:r w:rsidR="006824B7">
        <w:t xml:space="preserve"> </w:t>
      </w:r>
    </w:p>
    <w:p w14:paraId="22ED2DC6" w14:textId="64F426F3" w:rsidR="003073CC" w:rsidRPr="00AF04E5" w:rsidRDefault="003073CC" w:rsidP="003073CC">
      <w:pPr>
        <w:sectPr w:rsidR="003073CC" w:rsidRPr="00AF04E5" w:rsidSect="004D0E05">
          <w:pgSz w:w="11906" w:h="16838"/>
          <w:pgMar w:top="1191" w:right="1247" w:bottom="1191" w:left="1247" w:header="709" w:footer="709" w:gutter="0"/>
          <w:cols w:space="708"/>
          <w:titlePg/>
          <w:docGrid w:linePitch="360"/>
        </w:sectPr>
      </w:pPr>
      <w:r>
        <w:t xml:space="preserve">Despite all the mentioned caveats, </w:t>
      </w:r>
      <w:r w:rsidR="00665E5F">
        <w:t>the</w:t>
      </w:r>
      <w:r>
        <w:t xml:space="preserve"> first attempt at CEMOVIS showed some successful vitrified cells, with ice contamination being the main issue (</w:t>
      </w:r>
      <w:r>
        <w:fldChar w:fldCharType="begin"/>
      </w:r>
      <w:r>
        <w:instrText xml:space="preserve"> REF _Ref73215333 \h </w:instrText>
      </w:r>
      <w:r>
        <w:fldChar w:fldCharType="separate"/>
      </w:r>
      <w:r w:rsidR="00183CC8">
        <w:t xml:space="preserve">Figure </w:t>
      </w:r>
      <w:r w:rsidR="00183CC8">
        <w:rPr>
          <w:noProof/>
        </w:rPr>
        <w:t>3</w:t>
      </w:r>
      <w:r w:rsidR="00183CC8">
        <w:t>.</w:t>
      </w:r>
      <w:r w:rsidR="00183CC8">
        <w:rPr>
          <w:noProof/>
        </w:rPr>
        <w:t>24</w:t>
      </w:r>
      <w:r>
        <w:fldChar w:fldCharType="end"/>
      </w:r>
      <w:r>
        <w:t xml:space="preserve">c and </w:t>
      </w:r>
      <w:r>
        <w:fldChar w:fldCharType="begin"/>
      </w:r>
      <w:r>
        <w:instrText xml:space="preserve"> REF _Ref73122294 \h </w:instrText>
      </w:r>
      <w:r>
        <w:fldChar w:fldCharType="separate"/>
      </w:r>
      <w:r w:rsidR="00183CC8">
        <w:t xml:space="preserve">Figure </w:t>
      </w:r>
      <w:r w:rsidR="00183CC8">
        <w:rPr>
          <w:noProof/>
        </w:rPr>
        <w:t>3</w:t>
      </w:r>
      <w:r w:rsidR="00183CC8">
        <w:t>.</w:t>
      </w:r>
      <w:r w:rsidR="00183CC8">
        <w:rPr>
          <w:noProof/>
        </w:rPr>
        <w:t>22</w:t>
      </w:r>
      <w:r>
        <w:fldChar w:fldCharType="end"/>
      </w:r>
      <w:r>
        <w:t>). A closeup micrograph showing the cell envelope noticeably shows the membrane bilayer, the cell wall, and the space between them (</w:t>
      </w:r>
      <w:r>
        <w:fldChar w:fldCharType="begin"/>
      </w:r>
      <w:r>
        <w:instrText xml:space="preserve"> REF _Ref73122294 \h </w:instrText>
      </w:r>
      <w:r>
        <w:fldChar w:fldCharType="separate"/>
      </w:r>
      <w:r w:rsidR="00183CC8">
        <w:t xml:space="preserve">Figure </w:t>
      </w:r>
      <w:r w:rsidR="00183CC8">
        <w:rPr>
          <w:noProof/>
        </w:rPr>
        <w:t>3</w:t>
      </w:r>
      <w:r w:rsidR="00183CC8">
        <w:t>.</w:t>
      </w:r>
      <w:r w:rsidR="00183CC8">
        <w:rPr>
          <w:noProof/>
        </w:rPr>
        <w:t>22</w:t>
      </w:r>
      <w:r>
        <w:fldChar w:fldCharType="end"/>
      </w:r>
      <w:r>
        <w:t>c). Matias &amp; Beveridge’s frozen-hydrated micrographs identified a two density area in the cell wall, which they referred to as the outer and inner wall zones (</w:t>
      </w:r>
      <w:r>
        <w:fldChar w:fldCharType="begin"/>
      </w:r>
      <w:r>
        <w:instrText xml:space="preserve"> REF _Ref73122294 \h </w:instrText>
      </w:r>
      <w:r>
        <w:fldChar w:fldCharType="separate"/>
      </w:r>
      <w:r w:rsidR="00183CC8">
        <w:t xml:space="preserve">Figure </w:t>
      </w:r>
      <w:r w:rsidR="00183CC8">
        <w:rPr>
          <w:noProof/>
        </w:rPr>
        <w:t>3</w:t>
      </w:r>
      <w:r w:rsidR="00183CC8">
        <w:t>.</w:t>
      </w:r>
      <w:r w:rsidR="00183CC8">
        <w:rPr>
          <w:noProof/>
        </w:rPr>
        <w:t>22</w:t>
      </w:r>
      <w:r>
        <w:fldChar w:fldCharType="end"/>
      </w:r>
      <w:r>
        <w:t xml:space="preserve">d) </w:t>
      </w:r>
      <w:r>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d0573240-3d12-4cf9-8413-79fe8dd7149d"]}],"mendeley":{"formattedCitation":"&lt;sup&gt;[16]&lt;/sup&gt;","plainTextFormattedCitation":"[16]","previouslyFormattedCitation":"&lt;sup&gt;[16]&lt;/sup&gt;"},"properties":{"noteIndex":0},"schema":"https://github.com/citation-style-language/schema/raw/master/csl-citation.json"}</w:instrText>
      </w:r>
      <w:r>
        <w:fldChar w:fldCharType="separate"/>
      </w:r>
      <w:r w:rsidR="00DA0A83" w:rsidRPr="00DA0A83">
        <w:rPr>
          <w:noProof/>
          <w:vertAlign w:val="superscript"/>
        </w:rPr>
        <w:t>[16]</w:t>
      </w:r>
      <w:r>
        <w:fldChar w:fldCharType="end"/>
      </w:r>
      <w:r>
        <w:t xml:space="preserve">. The inner wall zone was then described to correspond to the exoplasmic space.  </w:t>
      </w:r>
      <w:r w:rsidR="00665E5F">
        <w:t>Results in this study</w:t>
      </w:r>
      <w:r>
        <w:t xml:space="preserve"> show a faint electron-density difference between the exoplasm and the CW, however, it is not as clear as the one seen by Matias &amp; Beveridge (</w:t>
      </w:r>
      <w:r>
        <w:fldChar w:fldCharType="begin"/>
      </w:r>
      <w:r>
        <w:instrText xml:space="preserve"> REF _Ref73122294 \h </w:instrText>
      </w:r>
      <w:r>
        <w:fldChar w:fldCharType="separate"/>
      </w:r>
      <w:r w:rsidR="00183CC8">
        <w:t xml:space="preserve">Figure </w:t>
      </w:r>
      <w:r w:rsidR="00183CC8">
        <w:rPr>
          <w:noProof/>
        </w:rPr>
        <w:t>3</w:t>
      </w:r>
      <w:r w:rsidR="00183CC8">
        <w:t>.</w:t>
      </w:r>
      <w:r w:rsidR="00183CC8">
        <w:rPr>
          <w:noProof/>
        </w:rPr>
        <w:t>22</w:t>
      </w:r>
      <w:r>
        <w:fldChar w:fldCharType="end"/>
      </w:r>
      <w:r>
        <w:t>c-d). A fully optimised protocol and technical experience, together with the use of an energy-filtered cryo-TEM, could be some of the factors affecting this difference in contrast seen across their results and the ones presented in this study. Nonetheless, the density traces of the micrographs obtained were similar to those of Matias &amp; Beveridge, showing a differential density between the exoplasm and the CW (</w:t>
      </w:r>
      <w:r>
        <w:fldChar w:fldCharType="begin"/>
      </w:r>
      <w:r>
        <w:instrText xml:space="preserve"> REF _Ref73122294 \h </w:instrText>
      </w:r>
      <w:r>
        <w:fldChar w:fldCharType="separate"/>
      </w:r>
      <w:r w:rsidR="00183CC8">
        <w:t xml:space="preserve">Figure </w:t>
      </w:r>
      <w:r w:rsidR="00183CC8">
        <w:rPr>
          <w:noProof/>
        </w:rPr>
        <w:t>3</w:t>
      </w:r>
      <w:r w:rsidR="00183CC8">
        <w:t>.</w:t>
      </w:r>
      <w:r w:rsidR="00183CC8">
        <w:rPr>
          <w:noProof/>
        </w:rPr>
        <w:t>22</w:t>
      </w:r>
      <w:r>
        <w:fldChar w:fldCharType="end"/>
      </w:r>
      <w:r>
        <w:t xml:space="preserve">cI,II-d). These micrographs </w:t>
      </w:r>
      <w:r w:rsidR="00B43375">
        <w:t>show</w:t>
      </w:r>
      <w:r>
        <w:t xml:space="preserve"> that additional optimisation and experience could turn this technique into the highest resolution for structural analysis of whole bacterial, and could become the best TEM technique for the study of the exoplasm.</w:t>
      </w:r>
    </w:p>
    <w:p w14:paraId="1DA6DE34" w14:textId="77777777" w:rsidR="00A46CAF" w:rsidRDefault="00A46CAF" w:rsidP="006671E2">
      <w:pPr>
        <w:keepNext/>
        <w:jc w:val="center"/>
      </w:pPr>
      <w:r>
        <w:rPr>
          <w:rFonts w:ascii="Times New Roman" w:hAnsi="Times New Roman" w:cs="Times New Roman"/>
          <w:noProof/>
          <w:szCs w:val="24"/>
          <w:lang w:eastAsia="en-GB"/>
        </w:rPr>
        <w:lastRenderedPageBreak/>
        <w:drawing>
          <wp:inline distT="0" distB="0" distL="0" distR="0" wp14:anchorId="0AC2D9C8" wp14:editId="621A07C1">
            <wp:extent cx="5877516" cy="6307854"/>
            <wp:effectExtent l="0" t="0" r="3175"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877516" cy="6307854"/>
                    </a:xfrm>
                    <a:prstGeom prst="rect">
                      <a:avLst/>
                    </a:prstGeom>
                  </pic:spPr>
                </pic:pic>
              </a:graphicData>
            </a:graphic>
          </wp:inline>
        </w:drawing>
      </w:r>
    </w:p>
    <w:p w14:paraId="4EE69167" w14:textId="099E212F" w:rsidR="00A9722D" w:rsidRDefault="00A46CAF" w:rsidP="008A2B86">
      <w:pPr>
        <w:pStyle w:val="Caption"/>
      </w:pPr>
      <w:bookmarkStart w:id="579" w:name="_Ref73215333"/>
      <w:bookmarkStart w:id="580" w:name="_Toc90216959"/>
      <w:r>
        <w:t xml:space="preserve">Figure </w:t>
      </w:r>
      <w:r w:rsidR="003373BF">
        <w:fldChar w:fldCharType="begin"/>
      </w:r>
      <w:r w:rsidR="003373BF">
        <w:instrText xml:space="preserve"> STYLEREF 1 \s </w:instrText>
      </w:r>
      <w:r w:rsidR="003373BF">
        <w:fldChar w:fldCharType="separate"/>
      </w:r>
      <w:r w:rsidR="00183CC8">
        <w:rPr>
          <w:noProof/>
        </w:rPr>
        <w:t>3</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24</w:t>
      </w:r>
      <w:r w:rsidR="003373BF">
        <w:rPr>
          <w:noProof/>
        </w:rPr>
        <w:fldChar w:fldCharType="end"/>
      </w:r>
      <w:bookmarkEnd w:id="579"/>
      <w:r>
        <w:t xml:space="preserve"> </w:t>
      </w:r>
      <w:r w:rsidR="00E545D4">
        <w:t>Comparison between different cross-sectioning imaging EM techniques.</w:t>
      </w:r>
      <w:bookmarkEnd w:id="580"/>
    </w:p>
    <w:p w14:paraId="2B72130E" w14:textId="39A4B70C" w:rsidR="00A46CAF" w:rsidRDefault="00576A9F" w:rsidP="00A46CAF">
      <w:pPr>
        <w:pStyle w:val="NoSpacing"/>
        <w:sectPr w:rsidR="00A46CAF" w:rsidSect="004D0E05">
          <w:pgSz w:w="11906" w:h="16838"/>
          <w:pgMar w:top="1191" w:right="1247" w:bottom="1191" w:left="1247" w:header="709" w:footer="709" w:gutter="0"/>
          <w:cols w:space="708"/>
          <w:titlePg/>
          <w:docGrid w:linePitch="360"/>
        </w:sectPr>
      </w:pPr>
      <w:r w:rsidRPr="00576A9F">
        <w:rPr>
          <w:i/>
          <w:iCs/>
        </w:rPr>
        <w:t>S. aureus</w:t>
      </w:r>
      <w:r>
        <w:t xml:space="preserve"> cross-sections</w:t>
      </w:r>
      <w:r w:rsidRPr="00576A9F">
        <w:rPr>
          <w:i/>
          <w:iCs/>
        </w:rPr>
        <w:t xml:space="preserve"> </w:t>
      </w:r>
      <w:r w:rsidRPr="00576A9F">
        <w:t>seen by TEM and cryo-EM.</w:t>
      </w:r>
      <w:r>
        <w:rPr>
          <w:b/>
          <w:bCs/>
        </w:rPr>
        <w:t xml:space="preserve"> </w:t>
      </w:r>
      <w:r w:rsidR="00CB0D1D">
        <w:rPr>
          <w:b/>
          <w:bCs/>
        </w:rPr>
        <w:t>(A)</w:t>
      </w:r>
      <w:r w:rsidR="00CB0D1D">
        <w:t xml:space="preserve"> C</w:t>
      </w:r>
      <w:r w:rsidR="000120FA">
        <w:t>onventional c</w:t>
      </w:r>
      <w:r w:rsidR="00CB0D1D">
        <w:t xml:space="preserve">hemical fixation TEM and </w:t>
      </w:r>
      <w:r w:rsidR="00CB0D1D">
        <w:rPr>
          <w:b/>
          <w:bCs/>
        </w:rPr>
        <w:t>(B)</w:t>
      </w:r>
      <w:r w:rsidR="00CB0D1D">
        <w:t xml:space="preserve"> freeze-substitution (FS) TEM, both employing the use of chemical fixatives, dehydration and heavy metal stains. FS </w:t>
      </w:r>
      <w:r w:rsidR="009D115F">
        <w:t>provides better structural preservation</w:t>
      </w:r>
      <w:r w:rsidR="00CB0D1D">
        <w:t xml:space="preserve"> by </w:t>
      </w:r>
      <w:r w:rsidR="009D115F">
        <w:t>having an initial physical cryo-fixation</w:t>
      </w:r>
      <w:r w:rsidR="00F50D02">
        <w:t>,</w:t>
      </w:r>
      <w:r w:rsidR="009D115F">
        <w:t xml:space="preserve"> followed by a slow dehydration and secondary chemical fixation at low-temperatures. </w:t>
      </w:r>
      <w:r w:rsidR="009D115F">
        <w:rPr>
          <w:b/>
          <w:bCs/>
        </w:rPr>
        <w:t xml:space="preserve">(C) </w:t>
      </w:r>
      <w:r w:rsidR="009D115F">
        <w:t>Cryo-electron microscopy of vitrified sections (CEMOVIS)</w:t>
      </w:r>
      <w:r w:rsidR="000120FA">
        <w:t xml:space="preserve"> </w:t>
      </w:r>
      <w:r w:rsidR="005D5DB0">
        <w:t>fixed by cryo-fixation HPF and cryo-sectioned</w:t>
      </w:r>
      <w:r w:rsidR="00C30D45">
        <w:t xml:space="preserve"> </w:t>
      </w:r>
      <w:r w:rsidR="005D5DB0">
        <w:t>below vitrification</w:t>
      </w:r>
      <w:r w:rsidR="00C30D45">
        <w:t xml:space="preserve"> temperatures</w:t>
      </w:r>
      <w:r w:rsidR="00CD0729">
        <w:t xml:space="preserve">. </w:t>
      </w:r>
      <w:r w:rsidR="00CD0729">
        <w:rPr>
          <w:b/>
          <w:bCs/>
        </w:rPr>
        <w:t>(D)</w:t>
      </w:r>
      <w:r w:rsidR="00CD0729">
        <w:t xml:space="preserve"> Cryo-FIB milling of vitrified samples obtained by Dr. </w:t>
      </w:r>
      <w:r w:rsidR="00CD0729" w:rsidRPr="005F6C92">
        <w:rPr>
          <w:lang w:eastAsia="en-GB"/>
        </w:rPr>
        <w:t>Danyil Grybchuk</w:t>
      </w:r>
      <w:r w:rsidR="00CD0729">
        <w:rPr>
          <w:lang w:eastAsia="en-GB"/>
        </w:rPr>
        <w:t xml:space="preserve"> (Masaryk University)</w:t>
      </w:r>
      <w:r w:rsidR="00A84957">
        <w:rPr>
          <w:lang w:eastAsia="en-GB"/>
        </w:rPr>
        <w:t xml:space="preserve">. All scale bars: 200 nm. </w:t>
      </w:r>
      <w:r w:rsidR="00A84957">
        <w:rPr>
          <w:b/>
          <w:bCs/>
          <w:lang w:eastAsia="en-GB"/>
        </w:rPr>
        <w:t>(C-D)</w:t>
      </w:r>
      <w:r w:rsidR="00A84957">
        <w:rPr>
          <w:lang w:eastAsia="en-GB"/>
        </w:rPr>
        <w:t xml:space="preserve"> were sectioned from frozen-hydrated samples</w:t>
      </w:r>
      <w:r w:rsidR="00A46CAF">
        <w:t>.</w:t>
      </w:r>
    </w:p>
    <w:p w14:paraId="721C3E78" w14:textId="304C6595" w:rsidR="00E40F77" w:rsidRPr="005B0F81" w:rsidRDefault="00E40F77" w:rsidP="00E40F77">
      <w:pPr>
        <w:pStyle w:val="Heading1"/>
      </w:pPr>
      <w:bookmarkStart w:id="581" w:name="_Toc64276365"/>
      <w:bookmarkStart w:id="582" w:name="_Toc64276669"/>
      <w:bookmarkStart w:id="583" w:name="_Toc64276881"/>
      <w:bookmarkStart w:id="584" w:name="_Ref71496244"/>
      <w:bookmarkStart w:id="585" w:name="_Ref72153090"/>
      <w:bookmarkStart w:id="586" w:name="_Ref88064913"/>
      <w:bookmarkStart w:id="587" w:name="_Toc90216877"/>
      <w:r w:rsidRPr="005B0F81">
        <w:lastRenderedPageBreak/>
        <w:t>Chapter 4</w:t>
      </w:r>
      <w:bookmarkEnd w:id="581"/>
      <w:bookmarkEnd w:id="582"/>
      <w:bookmarkEnd w:id="583"/>
      <w:bookmarkEnd w:id="584"/>
      <w:bookmarkEnd w:id="585"/>
      <w:bookmarkEnd w:id="586"/>
      <w:bookmarkEnd w:id="587"/>
    </w:p>
    <w:p w14:paraId="55A154B1" w14:textId="61CB2F92" w:rsidR="004B0C7E" w:rsidRPr="0052301F" w:rsidRDefault="0052301F" w:rsidP="00FA48D6">
      <w:pPr>
        <w:pStyle w:val="ChaptertitleThesis"/>
      </w:pPr>
      <w:bookmarkStart w:id="588" w:name="_Toc90216878"/>
      <w:r>
        <w:t xml:space="preserve">Analysis of </w:t>
      </w:r>
      <w:r w:rsidR="00E647A3">
        <w:t xml:space="preserve">the </w:t>
      </w:r>
      <w:r>
        <w:rPr>
          <w:i/>
          <w:iCs/>
        </w:rPr>
        <w:t>S. aureus</w:t>
      </w:r>
      <w:r>
        <w:t xml:space="preserve"> </w:t>
      </w:r>
      <w:r w:rsidR="00B3712D">
        <w:t>E</w:t>
      </w:r>
      <w:r>
        <w:t>xoplasm</w:t>
      </w:r>
      <w:bookmarkEnd w:id="588"/>
    </w:p>
    <w:p w14:paraId="3152B45E" w14:textId="08BED5C9" w:rsidR="00E40F77" w:rsidRDefault="004B0C7E" w:rsidP="004B0C7E">
      <w:pPr>
        <w:pStyle w:val="Heading2"/>
      </w:pPr>
      <w:bookmarkStart w:id="589" w:name="_Toc64276367"/>
      <w:bookmarkStart w:id="590" w:name="_Toc64276671"/>
      <w:bookmarkStart w:id="591" w:name="_Toc64276883"/>
      <w:bookmarkStart w:id="592" w:name="_Ref89351913"/>
      <w:bookmarkStart w:id="593" w:name="_Toc90216879"/>
      <w:r w:rsidRPr="005B0F81">
        <w:t>Introduction</w:t>
      </w:r>
      <w:bookmarkEnd w:id="589"/>
      <w:bookmarkEnd w:id="590"/>
      <w:bookmarkEnd w:id="591"/>
      <w:r w:rsidR="007006CC">
        <w:t>.</w:t>
      </w:r>
      <w:bookmarkEnd w:id="592"/>
      <w:bookmarkEnd w:id="593"/>
    </w:p>
    <w:p w14:paraId="4AD88F7E" w14:textId="7E919DDB" w:rsidR="003F7FF7" w:rsidRDefault="003F7FF7" w:rsidP="003F7FF7">
      <w:pPr>
        <w:pStyle w:val="BodyThesis"/>
      </w:pPr>
      <w:r w:rsidRPr="002B33D2">
        <w:t>The bacterial cell envelope</w:t>
      </w:r>
      <w:r>
        <w:t xml:space="preserve"> is essential for viability, as it surrounds and protects the protoplasm. Its composition divides most bacteria species into two groups: Gram-negatives and Gram-positives</w:t>
      </w:r>
      <w:r w:rsidR="00B915F0">
        <w:t xml:space="preserve"> </w:t>
      </w:r>
      <w:r w:rsidR="00B915F0">
        <w:rPr>
          <w:lang w:eastAsia="en-GB"/>
        </w:rPr>
        <w:fldChar w:fldCharType="begin" w:fldLock="1"/>
      </w:r>
      <w:r w:rsidR="00B915F0">
        <w:rPr>
          <w:lang w:eastAsia="en-GB"/>
        </w:rPr>
        <w:instrText>ADDIN CSL_CITATION {"citationItems":[{"id":"ITEM-1","itemData":{"DOI":"10.1101/cshperspect.a000414","ISBN":"1943-0264 (Electronic)","ISSN":"19430264","PMID":"20452953","abstract":"The bacteria cell envelope is a complex multilayered structure that serves to protect these organisms from their unpredictable and often hostile environment. The cell envelopes of most bacteria fall into one of two major groups. Gram-negative bacteria are surrounded by a thin peptidoglycan cell wall, which itself is surrounded by an outer membrane containing lipopolysaccharide. Gram-positive bacteria lack an outer membrane but are surrounded by layers of peptidoglycan many times thicker than is found in the gram-negatives. Threading through these layers of peptidoglycan are long anionic polymers, called teichoic acids. The composition and organization of these envelope layers and recent insights into the mechanisms of cell envelope assembly are discussed.","author":[{"dropping-particle":"","family":"Silhavy","given":"Thomas","non-dropping-particle":"","parse-names":false,"suffix":""},{"dropping-particle":"","family":"Kahne","given":"Daniel","non-dropping-particle":"","parse-names":false,"suffix":""},{"dropping-particle":"","family":"Walker","given":"Suzanne","non-dropping-particle":"","parse-names":false,"suffix":""}],"container-title":"Cold Spring Harbor perspectives in biology","id":"ITEM-1","issue":"5","issued":{"date-parts":[["2010"]]},"page":"1-16","title":"The bacterial cell envelope.","type":"article-journal","volume":"2"},"uris":["http://www.mendeley.com/documents/?uuid=cabb3e66-261f-40a6-becd-647af3e2f1c7"]},{"id":"ITEM-2","itemData":{"ISBN":"1-292-23510-1","author":[{"dropping-particle":"","family":"Madigan","given":"Michael T","non-dropping-particle":"","parse-names":false,"suffix":""},{"dropping-particle":"","family":"Bender","given":"Kelly S.","non-dropping-particle":"","parse-names":false,"suffix":""},{"dropping-particle":"","family":"Buckley","given":"Daniel H.","non-dropping-particle":"","parse-names":false,"suffix":""},{"dropping-particle":"","family":"Stahl","given":"David A.","non-dropping-particle":"","parse-names":false,"suffix":""}],"edition":"15","id":"ITEM-2","issued":{"date-parts":[["2019"]]},"publisher":"Pearson Education","publisher-place":"New York","title":"Brock Biology of Microorganisms","type":"book"},"uris":["http://www.mendeley.com/documents/?uuid=6ca63403-2ce5-47fd-bca0-5d6d3f6c22d0"]}],"mendeley":{"formattedCitation":"&lt;sup&gt;[14,15]&lt;/sup&gt;","plainTextFormattedCitation":"[14,15]","previouslyFormattedCitation":"&lt;sup&gt;[14,15]&lt;/sup&gt;"},"properties":{"noteIndex":0},"schema":"https://github.com/citation-style-language/schema/raw/master/csl-citation.json"}</w:instrText>
      </w:r>
      <w:r w:rsidR="00B915F0">
        <w:rPr>
          <w:lang w:eastAsia="en-GB"/>
        </w:rPr>
        <w:fldChar w:fldCharType="separate"/>
      </w:r>
      <w:r w:rsidR="00B915F0" w:rsidRPr="00DA0A83">
        <w:rPr>
          <w:noProof/>
          <w:vertAlign w:val="superscript"/>
          <w:lang w:eastAsia="en-GB"/>
        </w:rPr>
        <w:t>[14,15]</w:t>
      </w:r>
      <w:r w:rsidR="00B915F0">
        <w:rPr>
          <w:lang w:eastAsia="en-GB"/>
        </w:rPr>
        <w:fldChar w:fldCharType="end"/>
      </w:r>
      <w:r>
        <w:t>.</w:t>
      </w:r>
      <w:r w:rsidR="0011739C">
        <w:t xml:space="preserve"> The former has a peptidoglycan cell wall (CW) </w:t>
      </w:r>
      <w:r w:rsidR="000266A6">
        <w:t>in between</w:t>
      </w:r>
      <w:r w:rsidR="0011739C">
        <w:t xml:space="preserve"> the </w:t>
      </w:r>
      <w:r w:rsidR="004C42F3">
        <w:t xml:space="preserve">inner </w:t>
      </w:r>
      <w:r w:rsidR="0011739C">
        <w:t>plasma membrane (PM) and the outer membrane (OM)</w:t>
      </w:r>
      <w:r w:rsidR="0071762F">
        <w:t xml:space="preserve">; while the latter has a thick multi-layered </w:t>
      </w:r>
      <w:r w:rsidR="004E7616">
        <w:t>peptidoglycan cell wall (</w:t>
      </w:r>
      <w:r w:rsidR="0071762F">
        <w:t>PG</w:t>
      </w:r>
      <w:r w:rsidR="004E7616">
        <w:t>-CW)</w:t>
      </w:r>
      <w:r w:rsidR="0071762F">
        <w:t xml:space="preserve"> that protects the PM, without the need of an OM</w:t>
      </w:r>
      <w:r w:rsidR="00DD1362">
        <w:t xml:space="preserve"> </w:t>
      </w:r>
      <w:r w:rsidR="00DD1362">
        <w:rPr>
          <w:lang w:eastAsia="en-GB"/>
        </w:rPr>
        <w:fldChar w:fldCharType="begin" w:fldLock="1"/>
      </w:r>
      <w:r w:rsidR="00DD1362">
        <w:rPr>
          <w:lang w:eastAsia="en-GB"/>
        </w:rPr>
        <w:instrText>ADDIN CSL_CITATION {"citationItems":[{"id":"ITEM-1","itemData":{"DOI":"10.1101/cshperspect.a000414","ISBN":"1943-0264 (Electronic)","ISSN":"19430264","PMID":"20452953","abstract":"The bacteria cell envelope is a complex multilayered structure that serves to protect these organisms from their unpredictable and often hostile environment. The cell envelopes of most bacteria fall into one of two major groups. Gram-negative bacteria are surrounded by a thin peptidoglycan cell wall, which itself is surrounded by an outer membrane containing lipopolysaccharide. Gram-positive bacteria lack an outer membrane but are surrounded by layers of peptidoglycan many times thicker than is found in the gram-negatives. Threading through these layers of peptidoglycan are long anionic polymers, called teichoic acids. The composition and organization of these envelope layers and recent insights into the mechanisms of cell envelope assembly are discussed.","author":[{"dropping-particle":"","family":"Silhavy","given":"Thomas","non-dropping-particle":"","parse-names":false,"suffix":""},{"dropping-particle":"","family":"Kahne","given":"Daniel","non-dropping-particle":"","parse-names":false,"suffix":""},{"dropping-particle":"","family":"Walker","given":"Suzanne","non-dropping-particle":"","parse-names":false,"suffix":""}],"container-title":"Cold Spring Harbor perspectives in biology","id":"ITEM-1","issue":"5","issued":{"date-parts":[["2010"]]},"page":"1-16","title":"The bacterial cell envelope.","type":"article-journal","volume":"2"},"uris":["http://www.mendeley.com/documents/?uuid=cabb3e66-261f-40a6-becd-647af3e2f1c7"]},{"id":"ITEM-2","itemData":{"ISBN":"1-292-23510-1","author":[{"dropping-particle":"","family":"Madigan","given":"Michael T","non-dropping-particle":"","parse-names":false,"suffix":""},{"dropping-particle":"","family":"Bender","given":"Kelly S.","non-dropping-particle":"","parse-names":false,"suffix":""},{"dropping-particle":"","family":"Buckley","given":"Daniel H.","non-dropping-particle":"","parse-names":false,"suffix":""},{"dropping-particle":"","family":"Stahl","given":"David A.","non-dropping-particle":"","parse-names":false,"suffix":""}],"edition":"15","id":"ITEM-2","issued":{"date-parts":[["2019"]]},"publisher":"Pearson Education","publisher-place":"New York","title":"Brock Biology of Microorganisms","type":"book"},"uris":["http://www.mendeley.com/documents/?uuid=6ca63403-2ce5-47fd-bca0-5d6d3f6c22d0"]}],"mendeley":{"formattedCitation":"&lt;sup&gt;[14,15]&lt;/sup&gt;","plainTextFormattedCitation":"[14,15]","previouslyFormattedCitation":"&lt;sup&gt;[14,15]&lt;/sup&gt;"},"properties":{"noteIndex":0},"schema":"https://github.com/citation-style-language/schema/raw/master/csl-citation.json"}</w:instrText>
      </w:r>
      <w:r w:rsidR="00DD1362">
        <w:rPr>
          <w:lang w:eastAsia="en-GB"/>
        </w:rPr>
        <w:fldChar w:fldCharType="separate"/>
      </w:r>
      <w:r w:rsidR="00DD1362" w:rsidRPr="00DA0A83">
        <w:rPr>
          <w:noProof/>
          <w:vertAlign w:val="superscript"/>
          <w:lang w:eastAsia="en-GB"/>
        </w:rPr>
        <w:t>[14,15]</w:t>
      </w:r>
      <w:r w:rsidR="00DD1362">
        <w:rPr>
          <w:lang w:eastAsia="en-GB"/>
        </w:rPr>
        <w:fldChar w:fldCharType="end"/>
      </w:r>
      <w:r w:rsidR="0071762F">
        <w:t>.</w:t>
      </w:r>
      <w:r w:rsidR="00C54306">
        <w:t xml:space="preserve"> The OM of Gram-negatives is a second phospholipid membrane with embedded proteins and lipopolysaccharides (LPS)</w:t>
      </w:r>
      <w:r w:rsidR="00A23745">
        <w:t>,</w:t>
      </w:r>
      <w:r w:rsidR="00C54306">
        <w:t xml:space="preserve"> which provide</w:t>
      </w:r>
      <w:r w:rsidR="004D6EF7">
        <w:t>s</w:t>
      </w:r>
      <w:r w:rsidR="00C54306">
        <w:t xml:space="preserve"> </w:t>
      </w:r>
      <w:r w:rsidR="00E514BB">
        <w:t>the</w:t>
      </w:r>
      <w:r w:rsidR="00C54306">
        <w:t xml:space="preserve"> first protective barrier against external antimicrobial agents</w:t>
      </w:r>
      <w:r w:rsidR="00E74F5B">
        <w:t xml:space="preserve"> </w:t>
      </w:r>
      <w:r w:rsidR="00E74F5B">
        <w:rPr>
          <w:lang w:eastAsia="en-GB"/>
        </w:rPr>
        <w:fldChar w:fldCharType="begin" w:fldLock="1"/>
      </w:r>
      <w:r w:rsidR="00C8038C">
        <w:rPr>
          <w:lang w:eastAsia="en-GB"/>
        </w:rPr>
        <w:instrText>ADDIN CSL_CITATION {"citationItems":[{"id":"ITEM-1","itemData":{"DOI":"10.1101/cshperspect.a000414","ISBN":"1943-0264 (Electronic)","ISSN":"19430264","PMID":"20452953","abstract":"The bacteria cell envelope is a complex multilayered structure that serves to protect these organisms from their unpredictable and often hostile environment. The cell envelopes of most bacteria fall into one of two major groups. Gram-negative bacteria are surrounded by a thin peptidoglycan cell wall, which itself is surrounded by an outer membrane containing lipopolysaccharide. Gram-positive bacteria lack an outer membrane but are surrounded by layers of peptidoglycan many times thicker than is found in the gram-negatives. Threading through these layers of peptidoglycan are long anionic polymers, called teichoic acids. The composition and organization of these envelope layers and recent insights into the mechanisms of cell envelope assembly are discussed.","author":[{"dropping-particle":"","family":"Silhavy","given":"Thomas","non-dropping-particle":"","parse-names":false,"suffix":""},{"dropping-particle":"","family":"Kahne","given":"Daniel","non-dropping-particle":"","parse-names":false,"suffix":""},{"dropping-particle":"","family":"Walker","given":"Suzanne","non-dropping-particle":"","parse-names":false,"suffix":""}],"container-title":"Cold Spring Harbor perspectives in biology","id":"ITEM-1","issue":"5","issued":{"date-parts":[["2010"]]},"page":"1-16","title":"The bacterial cell envelope.","type":"article-journal","volume":"2"},"uris":["http://www.mendeley.com/documents/?uuid=cabb3e66-261f-40a6-becd-647af3e2f1c7"]}],"mendeley":{"formattedCitation":"&lt;sup&gt;[14]&lt;/sup&gt;","plainTextFormattedCitation":"[14]","previouslyFormattedCitation":"&lt;sup&gt;[14]&lt;/sup&gt;"},"properties":{"noteIndex":0},"schema":"https://github.com/citation-style-language/schema/raw/master/csl-citation.json"}</w:instrText>
      </w:r>
      <w:r w:rsidR="00E74F5B">
        <w:rPr>
          <w:lang w:eastAsia="en-GB"/>
        </w:rPr>
        <w:fldChar w:fldCharType="separate"/>
      </w:r>
      <w:r w:rsidR="00B915F0" w:rsidRPr="00B915F0">
        <w:rPr>
          <w:noProof/>
          <w:vertAlign w:val="superscript"/>
          <w:lang w:eastAsia="en-GB"/>
        </w:rPr>
        <w:t>[14]</w:t>
      </w:r>
      <w:r w:rsidR="00E74F5B">
        <w:rPr>
          <w:lang w:eastAsia="en-GB"/>
        </w:rPr>
        <w:fldChar w:fldCharType="end"/>
      </w:r>
      <w:r w:rsidR="00C54306">
        <w:t>.</w:t>
      </w:r>
      <w:r w:rsidR="009468E8">
        <w:t xml:space="preserve"> The OM is covalently bound to the thin PG</w:t>
      </w:r>
      <w:r w:rsidR="004E7616">
        <w:t>-</w:t>
      </w:r>
      <w:r w:rsidR="009468E8">
        <w:t>CW by a lipoprotein (Lpp).</w:t>
      </w:r>
      <w:r w:rsidR="00804376">
        <w:t xml:space="preserve"> The space between the PM and the OM</w:t>
      </w:r>
      <w:r w:rsidR="00E10A7E">
        <w:t xml:space="preserve"> in </w:t>
      </w:r>
      <w:r w:rsidR="00E10A7E" w:rsidRPr="00133869">
        <w:t>Gram-negatives</w:t>
      </w:r>
      <w:r w:rsidR="00804376">
        <w:t xml:space="preserve"> is known as the </w:t>
      </w:r>
      <w:r w:rsidR="00804376" w:rsidRPr="00133869">
        <w:t>periplasmic space</w:t>
      </w:r>
      <w:r w:rsidR="00804376">
        <w:t>, which includes the CW.</w:t>
      </w:r>
      <w:r w:rsidR="00200D86">
        <w:t xml:space="preserve"> It is densely packed with </w:t>
      </w:r>
      <w:r w:rsidR="00121E0C">
        <w:t>different periplasmic hydrolytic enzymes, Lpps, chemoreceptors and binding proteins</w:t>
      </w:r>
      <w:r w:rsidR="008C3A2F">
        <w:t xml:space="preserve"> </w:t>
      </w:r>
      <w:r w:rsidR="008C3A2F">
        <w:rPr>
          <w:lang w:eastAsia="en-GB"/>
        </w:rPr>
        <w:fldChar w:fldCharType="begin" w:fldLock="1"/>
      </w:r>
      <w:r w:rsidR="00C8038C">
        <w:rPr>
          <w:lang w:eastAsia="en-GB"/>
        </w:rPr>
        <w:instrText>ADDIN CSL_CITATION {"citationItems":[{"id":"ITEM-1","itemData":{"DOI":"10.1101/cshperspect.a000414","ISBN":"1943-0264 (Electronic)","ISSN":"19430264","PMID":"20452953","abstract":"The bacteria cell envelope is a complex multilayered structure that serves to protect these organisms from their unpredictable and often hostile environment. The cell envelopes of most bacteria fall into one of two major groups. Gram-negative bacteria are surrounded by a thin peptidoglycan cell wall, which itself is surrounded by an outer membrane containing lipopolysaccharide. Gram-positive bacteria lack an outer membrane but are surrounded by layers of peptidoglycan many times thicker than is found in the gram-negatives. Threading through these layers of peptidoglycan are long anionic polymers, called teichoic acids. The composition and organization of these envelope layers and recent insights into the mechanisms of cell envelope assembly are discussed.","author":[{"dropping-particle":"","family":"Silhavy","given":"Thomas","non-dropping-particle":"","parse-names":false,"suffix":""},{"dropping-particle":"","family":"Kahne","given":"Daniel","non-dropping-particle":"","parse-names":false,"suffix":""},{"dropping-particle":"","family":"Walker","given":"Suzanne","non-dropping-particle":"","parse-names":false,"suffix":""}],"container-title":"Cold Spring Harbor perspectives in biology","id":"ITEM-1","issue":"5","issued":{"date-parts":[["2010"]]},"page":"1-16","title":"The bacterial cell envelope.","type":"article-journal","volume":"2"},"uris":["http://www.mendeley.com/documents/?uuid=cabb3e66-261f-40a6-becd-647af3e2f1c7"]}],"mendeley":{"formattedCitation":"&lt;sup&gt;[14]&lt;/sup&gt;","plainTextFormattedCitation":"[14]","previouslyFormattedCitation":"&lt;sup&gt;[14]&lt;/sup&gt;"},"properties":{"noteIndex":0},"schema":"https://github.com/citation-style-language/schema/raw/master/csl-citation.json"}</w:instrText>
      </w:r>
      <w:r w:rsidR="008C3A2F">
        <w:rPr>
          <w:lang w:eastAsia="en-GB"/>
        </w:rPr>
        <w:fldChar w:fldCharType="separate"/>
      </w:r>
      <w:r w:rsidR="008C3A2F" w:rsidRPr="00B915F0">
        <w:rPr>
          <w:noProof/>
          <w:vertAlign w:val="superscript"/>
          <w:lang w:eastAsia="en-GB"/>
        </w:rPr>
        <w:t>[14]</w:t>
      </w:r>
      <w:r w:rsidR="008C3A2F">
        <w:rPr>
          <w:lang w:eastAsia="en-GB"/>
        </w:rPr>
        <w:fldChar w:fldCharType="end"/>
      </w:r>
      <w:r w:rsidR="00121E0C">
        <w:t>.</w:t>
      </w:r>
    </w:p>
    <w:p w14:paraId="42A06ECE" w14:textId="5A949A60" w:rsidR="00EF480B" w:rsidRDefault="00757B87" w:rsidP="00CC1D99">
      <w:pPr>
        <w:sectPr w:rsidR="00EF480B" w:rsidSect="004D0E05">
          <w:pgSz w:w="11906" w:h="16838"/>
          <w:pgMar w:top="1191" w:right="1247" w:bottom="1191" w:left="1247" w:header="709" w:footer="709" w:gutter="0"/>
          <w:cols w:space="708"/>
          <w:titlePg/>
          <w:docGrid w:linePitch="360"/>
        </w:sectPr>
      </w:pPr>
      <w:r w:rsidRPr="00E10A7E">
        <w:t>Matias &amp; Beveridge</w:t>
      </w:r>
      <w:r w:rsidR="003E6C98">
        <w:t xml:space="preserve"> </w:t>
      </w:r>
      <w:r w:rsidR="00AC127E">
        <w:t xml:space="preserve">confirmed the existence of a </w:t>
      </w:r>
      <w:r w:rsidR="00AC127E" w:rsidRPr="00133869">
        <w:t>periplasm</w:t>
      </w:r>
      <w:r w:rsidR="00DB6436" w:rsidRPr="00133869">
        <w:t>ic space</w:t>
      </w:r>
      <w:r w:rsidR="006B7DE0" w:rsidRPr="00133869">
        <w:t xml:space="preserve"> </w:t>
      </w:r>
      <w:r w:rsidR="00AC127E" w:rsidRPr="00133869">
        <w:t>in Gram-</w:t>
      </w:r>
      <w:r w:rsidR="009E25ED" w:rsidRPr="00133869">
        <w:t>positive</w:t>
      </w:r>
      <w:r w:rsidR="00AC127E" w:rsidRPr="00133869">
        <w:t xml:space="preserve"> bacteria (</w:t>
      </w:r>
      <w:r w:rsidR="00AC127E" w:rsidRPr="00133869">
        <w:rPr>
          <w:i/>
          <w:iCs/>
        </w:rPr>
        <w:t>B. subtilis and S. aureus</w:t>
      </w:r>
      <w:r w:rsidR="00AC127E" w:rsidRPr="00133869">
        <w:t>) after anal</w:t>
      </w:r>
      <w:r w:rsidR="00AC127E">
        <w:t>ysing frozen-hydrated bacterial samples with cryo-EM</w:t>
      </w:r>
      <w:r w:rsidR="00B31C1C">
        <w:t xml:space="preserve"> (</w:t>
      </w:r>
      <w:r w:rsidR="00B31C1C">
        <w:fldChar w:fldCharType="begin"/>
      </w:r>
      <w:r w:rsidR="00B31C1C">
        <w:instrText xml:space="preserve"> REF _Ref73960314 \h </w:instrText>
      </w:r>
      <w:r w:rsidR="00B31C1C">
        <w:fldChar w:fldCharType="separate"/>
      </w:r>
      <w:r w:rsidR="00183CC8">
        <w:t xml:space="preserve">Figure </w:t>
      </w:r>
      <w:r w:rsidR="00183CC8">
        <w:rPr>
          <w:noProof/>
        </w:rPr>
        <w:t>4</w:t>
      </w:r>
      <w:r w:rsidR="00183CC8">
        <w:t>.</w:t>
      </w:r>
      <w:r w:rsidR="00183CC8">
        <w:rPr>
          <w:noProof/>
        </w:rPr>
        <w:t>1</w:t>
      </w:r>
      <w:r w:rsidR="00B31C1C">
        <w:fldChar w:fldCharType="end"/>
      </w:r>
      <w:r w:rsidR="00B31C1C">
        <w:t>)</w:t>
      </w:r>
      <w:r w:rsidR="00AC127E">
        <w:t xml:space="preserve"> </w:t>
      </w:r>
      <w:r w:rsidR="00D7755E">
        <w:fldChar w:fldCharType="begin" w:fldLock="1"/>
      </w:r>
      <w:r w:rsidR="005F2DD4">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aureus","type":"article-journal","volume":"188"},"uris":["http://www.mendeley.com/documents/?uuid=89409496-4fa0-474e-8069-be86a795f53c"]},{"id":"ITEM-2","itemData":{"DOI":"10.1017/S1431927604881583","author":[{"dropping-particle":"","family":"Matias","given":"V R F","non-dropping-particle":"","parse-names":false,"suffix":""},{"dropping-particle":"","family":"Beveridge","given":"T J","non-dropping-particle":"","parse-names":false,"suffix":""}],"container-title":"Microscopy and Microanalysis","id":"ITEM-2","issue":"Supplementary Information 2","issued":{"date-parts":[["2004"]]},"page":"2003-2005","title":"Cryo-Transmission Electron Microscopy of Vitreous Sections of Gram-Positive Bacteria","type":"article-journal","volume":"10"},"uris":["http://www.mendeley.com/documents/?uuid=a532748a-a68b-4732-89bc-67b0c691362b"]},{"id":"ITEM-3","itemData":{"DOI":"10.1111/j.1365-2958.2005.04535.x","ISBN":"0950-382X (Print)\\r0950-382X (Linking)","ISSN":"0950382X","PMID":"15773993","abstract":"Ultrarapid freezing of bacteria (i.e. vitrification) results in optimal preservation of native structure. In this study, cryo-transmission electron microscopy of frozen-hydrated sections was used to gain insight into the organization of the Bacillus subtilis 168 cell envelope. A bipartite structure was seen above the plasma membrane consisting of a low-density 22 nm region above which a higher-density 33 nm region or outer wall zone (OWZ) resided. The interface between these two regions appeared to possess the most mass. In intact and in teichoic acid-extracted wall fragments, only a single region was seen but the mass distribution varied from being dense on the inside to less dense on the outside (i.e. similar to the OWZ). In plasmolysed cells, the inner wall zone (IWZ)'s thickness expanded in size but the OWZ's thickness remained constant. As the IWZ expanded it became filled with plasma membrane vesicles indicating that the IWZ had little substance and was empty of the wall's polymeric network of peptidoglycan and teichoic acid. Together these results strongly suggest that the inner zone actually represents a periplasmic space confined between the plasma membrane and the wall matrix and that the OWZ is the peptidoglycan-teichoic acid polymeric network of the wall.","author":[{"dropping-particle":"","family":"Matias","given":"V. R F","non-dropping-particle":"","parse-names":false,"suffix":""},{"dropping-particle":"","family":"Beveridge","given":"Terry J.","non-dropping-particle":"","parse-names":false,"suffix":""}],"container-title":"Molecular Microbiology","id":"ITEM-3","issue":"1","issued":{"date-parts":[["2005"]]},"page":"240-251","title":"Cryo-electron microscopy reveals native polymeric cell wall structure in Bacillus subtilis 168 and the existence of a periplasmic space","type":"article-journal","volume":"56"},"uris":["http://www.mendeley.com/documents/?uuid=3274a9ad-3640-4744-a55b-e8277897fa77"]}],"mendeley":{"formattedCitation":"&lt;sup&gt;[16,163,164]&lt;/sup&gt;","plainTextFormattedCitation":"[16,163,164]","previouslyFormattedCitation":"&lt;sup&gt;[16,163,164]&lt;/sup&gt;"},"properties":{"noteIndex":0},"schema":"https://github.com/citation-style-language/schema/raw/master/csl-citation.json"}</w:instrText>
      </w:r>
      <w:r w:rsidR="00D7755E">
        <w:fldChar w:fldCharType="separate"/>
      </w:r>
      <w:r w:rsidR="0054658D" w:rsidRPr="0054658D">
        <w:rPr>
          <w:noProof/>
          <w:vertAlign w:val="superscript"/>
        </w:rPr>
        <w:t>[16,163,164]</w:t>
      </w:r>
      <w:r w:rsidR="00D7755E">
        <w:fldChar w:fldCharType="end"/>
      </w:r>
      <w:r w:rsidR="00AC127E">
        <w:t xml:space="preserve">. </w:t>
      </w:r>
      <w:r w:rsidR="00745803">
        <w:t xml:space="preserve">As Gram-positive bacteria do not have an outer membrane, </w:t>
      </w:r>
      <w:r w:rsidR="0046006E">
        <w:t>I</w:t>
      </w:r>
      <w:r w:rsidR="00745803">
        <w:t xml:space="preserve"> will refer to this space as the </w:t>
      </w:r>
      <w:r w:rsidR="00745803" w:rsidRPr="00133869">
        <w:t>exoplasmic space instead</w:t>
      </w:r>
      <w:r w:rsidR="00745803">
        <w:t xml:space="preserve"> of the periplasmic space. </w:t>
      </w:r>
      <w:r w:rsidR="00AC127E">
        <w:t xml:space="preserve">Results </w:t>
      </w:r>
      <w:r w:rsidR="00A40F0B">
        <w:t xml:space="preserve">from Matias &amp; Beveridge </w:t>
      </w:r>
      <w:r w:rsidR="00AC127E">
        <w:t xml:space="preserve">showed </w:t>
      </w:r>
      <w:r w:rsidR="00C97438">
        <w:t>that</w:t>
      </w:r>
      <w:r w:rsidR="00AC127E">
        <w:t xml:space="preserve"> hydrate</w:t>
      </w:r>
      <w:r w:rsidR="00A40F0B">
        <w:t>d</w:t>
      </w:r>
      <w:r w:rsidR="00AC127E">
        <w:t xml:space="preserve"> </w:t>
      </w:r>
      <w:r w:rsidR="00C97438">
        <w:t xml:space="preserve">bacterial samples of </w:t>
      </w:r>
      <w:r w:rsidR="00C97438">
        <w:rPr>
          <w:i/>
          <w:iCs/>
        </w:rPr>
        <w:t xml:space="preserve">B. subtilis </w:t>
      </w:r>
      <w:r w:rsidR="00C97438">
        <w:t xml:space="preserve">and </w:t>
      </w:r>
      <w:r w:rsidR="00C97438">
        <w:rPr>
          <w:i/>
          <w:iCs/>
        </w:rPr>
        <w:t>S. aureus</w:t>
      </w:r>
      <w:r w:rsidR="00AC127E">
        <w:t xml:space="preserve"> </w:t>
      </w:r>
      <w:r w:rsidR="00C97438">
        <w:t xml:space="preserve">had an “aqueous compartment” </w:t>
      </w:r>
      <w:r w:rsidR="00AC127E">
        <w:t xml:space="preserve">between the CW and the </w:t>
      </w:r>
      <w:r w:rsidR="00C97438">
        <w:t>PM</w:t>
      </w:r>
      <w:r w:rsidR="00AC127E">
        <w:t xml:space="preserve"> </w:t>
      </w:r>
      <w:r w:rsidR="00713EFE">
        <w:t>filled with a</w:t>
      </w:r>
      <w:r w:rsidR="00C84631">
        <w:t xml:space="preserve"> lo</w:t>
      </w:r>
      <w:r w:rsidR="00810DAC">
        <w:t>w</w:t>
      </w:r>
      <w:r w:rsidR="00C84631">
        <w:t>-density</w:t>
      </w:r>
      <w:r w:rsidR="00713EFE">
        <w:t xml:space="preserve"> substance</w:t>
      </w:r>
      <w:r w:rsidR="00AC127E">
        <w:t xml:space="preserve"> (</w:t>
      </w:r>
      <w:r w:rsidR="002A615F">
        <w:fldChar w:fldCharType="begin"/>
      </w:r>
      <w:r w:rsidR="002A615F">
        <w:instrText xml:space="preserve"> REF _Ref73960314 \h </w:instrText>
      </w:r>
      <w:r w:rsidR="002A615F">
        <w:fldChar w:fldCharType="separate"/>
      </w:r>
      <w:r w:rsidR="00183CC8">
        <w:t xml:space="preserve">Figure </w:t>
      </w:r>
      <w:r w:rsidR="00183CC8">
        <w:rPr>
          <w:noProof/>
        </w:rPr>
        <w:t>4</w:t>
      </w:r>
      <w:r w:rsidR="00183CC8">
        <w:t>.</w:t>
      </w:r>
      <w:r w:rsidR="00183CC8">
        <w:rPr>
          <w:noProof/>
        </w:rPr>
        <w:t>1</w:t>
      </w:r>
      <w:r w:rsidR="002A615F">
        <w:fldChar w:fldCharType="end"/>
      </w:r>
      <w:r w:rsidR="002A615F">
        <w:t>b</w:t>
      </w:r>
      <w:r w:rsidR="0072708A">
        <w:t>,d</w:t>
      </w:r>
      <w:r w:rsidR="002A615F">
        <w:t xml:space="preserve">) </w:t>
      </w:r>
      <w:r w:rsidR="001364CF">
        <w:fldChar w:fldCharType="begin" w:fldLock="1"/>
      </w:r>
      <w:r w:rsidR="0058736C">
        <w:instrText>ADDIN CSL_CITATION {"citationItems":[{"id":"ITEM-1","itemData":{"DOI":"10.1128/JB.185.20.6112","ISBN":"0021-9193 (Print)\\r0021-9193 (Linking)","ISSN":"00219193","PMID":"14526023","abstract":"High-pressure freezing of Escherichia coli K-12 and Pseudomonas aeruginosa PAO1 in the presence of cryoprotectants provided consistent vitrification of cells so that frozen-hydrated sections could be cut, provid- ing ?2-nm resolution of structure. The size and shape of the bacteria, as well as their surface and cytoplasmic constituents, were nicely preserved and compared well with other published high-resolution techniques. Cells possessed a rich cytoplasm containing a diffuse dispersion of ribosomes and genetic material. Close exami- nation of cells revealed that the periplasmic space was compressed during cryosectioning, a finding which provided supporting evidence that this space is filled by a compressible gel. Since the outer membrane and peptidoglycan layer are bonded together via lipoproteins, the space between them (although still part of the periplasmic space) was not as compacted. Even when this cryosectioning compression was taken into account, there was still substantial variability in the width of the periplasmic space. It is possible that the protoplast has some capacity to float freely within the periplasm.","author":[{"dropping-particle":"","family":"Matias","given":"Valério R. F.","non-dropping-particle":"","parse-names":false,"suffix":""},{"dropping-particle":"","family":"Al-amoudi","given":"Ashraf","non-dropping-particle":"","parse-names":false,"suffix":""},{"dropping-particle":"","family":"Dubochet","given":"Jacques","non-dropping-particle":"","parse-names":false,"suffix":""},{"dropping-particle":"","family":"Beveridge","given":"Terry J.","non-dropping-particle":"","parse-names":false,"suffix":""}],"container-title":"Journal of Bacteriology","id":"ITEM-1","issue":"20","issued":{"date-parts":[["2003"]]},"note":"From Duplicate 2 (Cryo-Transmission Electron Microscopy of Frozen-Hydrated Sections of Escherichia coli and Pseudomonas aeruginosa Cryo-Transmission Electron Microscopy of Frozen-Hydrated Sections of Escherichia coli and Pseudomonas aeruginosa - Matias, Valério R. F.; Al-amoudi, Ashraf; Dubochet, Jacques; Beveridge, Terry J.)\n\nSimon","page":"6112-6118","title":"Cryo-Transmission Electron Microscopy of Frozen-Hydrated Sections of Escherichia coli and Pseudomonas aeruginosa Cryo-Transmission Electron Microscopy of Frozen-Hydrated Sections of Escherichia coli and Pseudomonas aeruginosa","type":"article-journal","volume":"185"},"uris":["http://www.mendeley.com/documents/?uuid=e563e24e-4f28-4785-b1c9-f411740cad45"]},{"id":"ITEM-2","itemData":{"DOI":"10.1111/j.1365-2958.2005.04535.x","ISBN":"0950-382X (Print)\\r0950-382X (Linking)","ISSN":"0950382X","PMID":"15773993","abstract":"Ultrarapid freezing of bacteria (i.e. vitrification) results in optimal preservation of native structure. In this study, cryo-transmission electron microscopy of frozen-hydrated sections was used to gain insight into the organization of the Bacillus subtilis 168 cell envelope. A bipartite structure was seen above the plasma membrane consisting of a low-density 22 nm region above which a higher-density 33 nm region or outer wall zone (OWZ) resided. The interface between these two regions appeared to possess the most mass. In intact and in teichoic acid-extracted wall fragments, only a single region was seen but the mass distribution varied from being dense on the inside to less dense on the outside (i.e. similar to the OWZ). In plasmolysed cells, the inner wall zone (IWZ)'s thickness expanded in size but the OWZ's thickness remained constant. As the IWZ expanded it became filled with plasma membrane vesicles indicating that the IWZ had little substance and was empty of the wall's polymeric network of peptidoglycan and teichoic acid. Together these results strongly suggest that the inner zone actually represents a periplasmic space confined between the plasma membrane and the wall matrix and that the OWZ is the peptidoglycan-teichoic acid polymeric network of the wall.","author":[{"dropping-particle":"","family":"Matias","given":"V. R F","non-dropping-particle":"","parse-names":false,"suffix":""},{"dropping-particle":"","family":"Beveridge","given":"Terry J.","non-dropping-particle":"","parse-names":false,"suffix":""}],"container-title":"Molecular Microbiology","id":"ITEM-2","issue":"1","issued":{"date-parts":[["2005"]]},"page":"240-251","title":"Cryo-electron microscopy reveals native polymeric cell wall structure in Bacillus subtilis 168 and the existence of a periplasmic space","type":"article-journal","volume":"56"},"uris":["http://www.mendeley.com/documents/?uuid=3274a9ad-3640-4744-a55b-e8277897fa77"]},{"id":"ITEM-3","itemData":{"DOI":"10.1128/JB.188.3.1011-1021.2006","ISBN":"0021-9193","ISSN":"00219193","PMID":"16428405","abstract":"The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Bacteriology","id":"ITEM-3","issue":"3","issued":{"date-parts":[["2006"]]},"page":"1011-1021","title":"Native cell wall organization shown by cryo-electron microscopy confirms the existence of a periplasmic space in Staphylococcus aureus","type":"article-journal","volume":"188"},"uris":["http://www.mendeley.com/documents/?uuid=89409496-4fa0-474e-8069-be86a795f53c"]}],"mendeley":{"formattedCitation":"&lt;sup&gt;[16,164,270]&lt;/sup&gt;","plainTextFormattedCitation":"[16,164,270]","previouslyFormattedCitation":"&lt;sup&gt;[16,164,270]&lt;/sup&gt;"},"properties":{"noteIndex":0},"schema":"https://github.com/citation-style-language/schema/raw/master/csl-citation.json"}</w:instrText>
      </w:r>
      <w:r w:rsidR="001364CF">
        <w:fldChar w:fldCharType="separate"/>
      </w:r>
      <w:r w:rsidR="002659E5" w:rsidRPr="002659E5">
        <w:rPr>
          <w:noProof/>
          <w:vertAlign w:val="superscript"/>
        </w:rPr>
        <w:t>[16,164,270]</w:t>
      </w:r>
      <w:r w:rsidR="001364CF">
        <w:fldChar w:fldCharType="end"/>
      </w:r>
      <w:r w:rsidR="00AC127E">
        <w:t xml:space="preserve">. </w:t>
      </w:r>
      <w:r w:rsidR="00C84631">
        <w:t xml:space="preserve">Comparison </w:t>
      </w:r>
      <w:r w:rsidR="007D439D">
        <w:t>to</w:t>
      </w:r>
      <w:r w:rsidR="00C84631">
        <w:t xml:space="preserve"> freeze-substituted </w:t>
      </w:r>
      <w:r w:rsidR="007D439D">
        <w:t>TEM samples</w:t>
      </w:r>
      <w:r w:rsidR="00C84631">
        <w:t>, also revealed that the exoplasm contents are highly reactive to stain</w:t>
      </w:r>
      <w:r w:rsidR="002A615F">
        <w:t xml:space="preserve"> (</w:t>
      </w:r>
      <w:r w:rsidR="002A615F">
        <w:fldChar w:fldCharType="begin"/>
      </w:r>
      <w:r w:rsidR="002A615F">
        <w:instrText xml:space="preserve"> REF _Ref73960314 \h </w:instrText>
      </w:r>
      <w:r w:rsidR="002A615F">
        <w:fldChar w:fldCharType="separate"/>
      </w:r>
      <w:r w:rsidR="00183CC8">
        <w:t xml:space="preserve">Figure </w:t>
      </w:r>
      <w:r w:rsidR="00183CC8">
        <w:rPr>
          <w:noProof/>
        </w:rPr>
        <w:t>4</w:t>
      </w:r>
      <w:r w:rsidR="00183CC8">
        <w:t>.</w:t>
      </w:r>
      <w:r w:rsidR="00183CC8">
        <w:rPr>
          <w:noProof/>
        </w:rPr>
        <w:t>1</w:t>
      </w:r>
      <w:r w:rsidR="002A615F">
        <w:fldChar w:fldCharType="end"/>
      </w:r>
      <w:r w:rsidR="002A615F">
        <w:t>a)</w:t>
      </w:r>
      <w:r w:rsidR="00C84631">
        <w:t xml:space="preserve"> </w:t>
      </w:r>
      <w:r w:rsidR="00C84631">
        <w:fldChar w:fldCharType="begin" w:fldLock="1"/>
      </w:r>
      <w:r w:rsidR="005F2DD4">
        <w:instrText>ADDIN CSL_CITATION {"citationItems":[{"id":"ITEM-1","itemData":{"DOI":"10.1111/j.1365-2958.2005.04535.x","ISBN":"0950-382X (Print)\\r0950-382X (Linking)","ISSN":"0950382X","PMID":"15773993","abstract":"Ultrarapid freezing of bacteria (i.e. vitrification) results in optimal preservation of native structure. In this study, cryo-transmission electron microscopy of frozen-hydrated sections was used to gain insight into the organization of the Bacillus subtilis 168 cell envelope. A bipartite structure was seen above the plasma membrane consisting of a low-density 22 nm region above which a higher-density 33 nm region or outer wall zone (OWZ) resided. The interface between these two regions appeared to possess the most mass. In intact and in teichoic acid-extracted wall fragments, only a single region was seen but the mass distribution varied from being dense on the inside to less dense on the outside (i.e. similar to the OWZ). In plasmolysed cells, the inner wall zone (IWZ)'s thickness expanded in size but the OWZ's thickness remained constant. As the IWZ expanded it became filled with plasma membrane vesicles indicating that the IWZ had little substance and was empty of the wall's polymeric network of peptidoglycan and teichoic acid. Together these results strongly suggest that the inner zone actually represents a periplasmic space confined between the plasma membrane and the wall matrix and that the OWZ is the peptidoglycan-teichoic acid polymeric network of the wall.","author":[{"dropping-particle":"","family":"Matias","given":"V. R F","non-dropping-particle":"","parse-names":false,"suffix":""},{"dropping-particle":"","family":"Beveridge","given":"Terry J.","non-dropping-particle":"","parse-names":false,"suffix":""}],"container-title":"Molecular Microbiology","id":"ITEM-1","issue":"1","issued":{"date-parts":[["2005"]]},"page":"240-251","title":"Cryo-electron microscopy reveals native polymeric cell wall structure in Bacillus subtilis 168 and the existence of a periplasmic space","type":"article-journal","volume":"56"},"uris":["http://www.mendeley.com/documents/?uuid=3274a9ad-3640-4744-a55b-e8277897fa77"]}],"mendeley":{"formattedCitation":"&lt;sup&gt;[164]&lt;/sup&gt;","plainTextFormattedCitation":"[164]","previouslyFormattedCitation":"&lt;sup&gt;[164]&lt;/sup&gt;"},"properties":{"noteIndex":0},"schema":"https://github.com/citation-style-language/schema/raw/master/csl-citation.json"}</w:instrText>
      </w:r>
      <w:r w:rsidR="00C84631">
        <w:fldChar w:fldCharType="separate"/>
      </w:r>
      <w:r w:rsidR="0054658D" w:rsidRPr="0054658D">
        <w:rPr>
          <w:noProof/>
          <w:vertAlign w:val="superscript"/>
        </w:rPr>
        <w:t>[164]</w:t>
      </w:r>
      <w:r w:rsidR="00C84631">
        <w:fldChar w:fldCharType="end"/>
      </w:r>
      <w:r w:rsidR="00C84631">
        <w:t>.</w:t>
      </w:r>
      <w:r w:rsidR="00E43A51">
        <w:t xml:space="preserve"> The difference between these two techniques showed that the </w:t>
      </w:r>
      <w:r w:rsidR="0074754B">
        <w:t xml:space="preserve">hydrated </w:t>
      </w:r>
      <w:r w:rsidR="00E43A51">
        <w:t>exoplasmic space is almost as t</w:t>
      </w:r>
      <w:r w:rsidR="002833C9">
        <w:t>h</w:t>
      </w:r>
      <w:r w:rsidR="00E43A51">
        <w:t>ick as the CW, with a thickness of 16 nm and 19 nm, respectively</w:t>
      </w:r>
      <w:r w:rsidR="0074754B">
        <w:t xml:space="preserve"> (</w:t>
      </w:r>
      <w:r w:rsidR="0074754B">
        <w:fldChar w:fldCharType="begin"/>
      </w:r>
      <w:r w:rsidR="0074754B">
        <w:instrText xml:space="preserve"> REF _Ref73960314 \h </w:instrText>
      </w:r>
      <w:r w:rsidR="0074754B">
        <w:fldChar w:fldCharType="separate"/>
      </w:r>
      <w:r w:rsidR="00183CC8">
        <w:t xml:space="preserve">Figure </w:t>
      </w:r>
      <w:r w:rsidR="00183CC8">
        <w:rPr>
          <w:noProof/>
        </w:rPr>
        <w:t>4</w:t>
      </w:r>
      <w:r w:rsidR="00183CC8">
        <w:t>.</w:t>
      </w:r>
      <w:r w:rsidR="00183CC8">
        <w:rPr>
          <w:noProof/>
        </w:rPr>
        <w:t>1</w:t>
      </w:r>
      <w:r w:rsidR="0074754B">
        <w:fldChar w:fldCharType="end"/>
      </w:r>
      <w:r w:rsidR="00712C5D">
        <w:t>c-d</w:t>
      </w:r>
      <w:r w:rsidR="0074754B">
        <w:t xml:space="preserve">) </w:t>
      </w:r>
      <w:r w:rsidR="0074754B">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89409496-4fa0-474e-8069-be86a795f53c"]}],"mendeley":{"formattedCitation":"&lt;sup&gt;[16]&lt;/sup&gt;","plainTextFormattedCitation":"[16]","previouslyFormattedCitation":"&lt;sup&gt;[16]&lt;/sup&gt;"},"properties":{"noteIndex":0},"schema":"https://github.com/citation-style-language/schema/raw/master/csl-citation.json"}</w:instrText>
      </w:r>
      <w:r w:rsidR="0074754B">
        <w:fldChar w:fldCharType="separate"/>
      </w:r>
      <w:r w:rsidR="00DA0A83" w:rsidRPr="00DA0A83">
        <w:rPr>
          <w:noProof/>
          <w:vertAlign w:val="superscript"/>
        </w:rPr>
        <w:t>[16]</w:t>
      </w:r>
      <w:r w:rsidR="0074754B">
        <w:fldChar w:fldCharType="end"/>
      </w:r>
      <w:r w:rsidR="00E43A51">
        <w:t>.</w:t>
      </w:r>
      <w:r w:rsidR="00CC1D99">
        <w:t xml:space="preserve"> This </w:t>
      </w:r>
      <w:r w:rsidR="00BC2235">
        <w:t>compartment</w:t>
      </w:r>
      <w:r w:rsidR="00CC1D99">
        <w:t xml:space="preserve"> is densely packed with proteins and lipoteichoic acids (LTA), </w:t>
      </w:r>
      <w:r w:rsidR="00927DB3">
        <w:t xml:space="preserve">and is essential for </w:t>
      </w:r>
      <w:r w:rsidR="00EB55F6">
        <w:t>exoplasmic</w:t>
      </w:r>
      <w:r w:rsidR="00927DB3">
        <w:t xml:space="preserve"> proteins to function </w:t>
      </w:r>
      <w:r w:rsidR="00927DB3">
        <w:fldChar w:fldCharType="begin" w:fldLock="1"/>
      </w:r>
      <w:r w:rsidR="0058736C">
        <w:instrText xml:space="preserve">ADDIN CSL_CITATION {"citationItems":[{"id":"ITEM-1","itemData":{"DOI":"10.1128/JB.00581-08","ISBN":"1098-5530","ISSN":"00219193","PMID":"18790869","abstract":"Cryo-electron microscopy (cryo-EM) of frozen-hydrated specimens allows high-resolution observation of structures in optimally preserved samples. In gram-positive bacteria, this method reveals the presence of a periplasmic space between the plasma membrane and an often differentiated cell wall matrix. Since virtually nothing is known about the composition of its constituent matter (i.e., the periplasm), it is still unclear what structures (or mechanism) sustain a gram-positive periplasmic space. Here we have used cryo-EM of frozen-hydrated sections in combination with various labels to probe the model gram-positive organism Bacillus subtilis for major periplasmic components. Incubation of cells with positively charged gold nanoparticles showed almost similar levels of gold binding to the periplasm and the cell wall. On cells whose cell walls were enzymatically hydrolyzed (i.e., on protoplasts), a surface diffuse layer extending approximately 30 nm from the membrane was revealed. The thickness and density of this layer were not significantly altered after treatment with a nonspecific protease, whereas it was labeled with anti-lipoteichoic acid (LTA) antibodies conjugated to nanogold. Further, the LTA layer spans most of the thickness of the periplasmic space, which strongly suggests that LTA is a major component of the B. subtilis periplasm.","author":[{"dropping-particle":"","family":"Matias","given":"V. R F","non-dropping-particle":"","parse-names":false,"suffix":""},{"dropping-particle":"","family":"Beveridge","given":"Terry J.","non-dropping-particle":"","parse-names":false,"suffix":""}],"container-title":"Journal of Bacteriology","id":"ITEM-1","issue":"22","issued":{"date-parts":[["2008"]]},"page":"7414-7418","title":"Lipoteichoic acid is a major component of the Bacillus subtilis periplasm","type":"article-journal","volume":"190"},"uris":["http://www.mendeley.com/documents/?uuid=4aa056ca-405c-4516-a5d5-b9f6bca56e00"]},{"id":"ITEM-2","itemData":{"DOI":"10.3389/fmicb.2021.664704","ISSN":"1664302X","abstract":"The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8736C">
        <w:rPr>
          <w:rFonts w:ascii="Cambria Math" w:hAnsi="Cambria Math" w:cs="Cambria Math"/>
        </w:rPr>
        <w:instrText>∼</w:instrText>
      </w:r>
      <w:r w:rsidR="0058736C">
        <w:instrText xml:space="preserve">0.5 M, which would bring in </w:instrText>
      </w:r>
      <w:r w:rsidR="0058736C">
        <w:rPr>
          <w:rFonts w:ascii="Cambria Math" w:hAnsi="Cambria Math" w:cs="Cambria Math"/>
        </w:rPr>
        <w:instrText>∼</w:instrText>
      </w:r>
      <w:r w:rsidR="0058736C">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Microbiology","id":"ITEM-2","issue":"May","issued":{"date-parts":[["2021"]]},"page":"1-11","title":"How Teichoic Acids Could Support a Periplasm in Gram-Positive Bacteria, and Let Cell Division Cheat Turgor Pressure","type":"article-journal","volume":"12"},"uris":["http://www.mendeley.com/documents/?uuid=8e106983-147c-42ae-88fd-3e44783b571f"]}],"mendeley":{"formattedCitation":"&lt;sup&gt;[166,271]&lt;/sup&gt;","plainTextFormattedCitation":"[166,271]","previouslyFormattedCitation":"&lt;sup&gt;[166,271]&lt;/sup&gt;"},"properties":{"noteIndex":0},"schema":"https://github.com/citation-style-language/schema/raw/master/csl-citation.json"}</w:instrText>
      </w:r>
      <w:r w:rsidR="00927DB3">
        <w:fldChar w:fldCharType="separate"/>
      </w:r>
      <w:r w:rsidR="002659E5" w:rsidRPr="002659E5">
        <w:rPr>
          <w:noProof/>
          <w:vertAlign w:val="superscript"/>
        </w:rPr>
        <w:t>[166,271]</w:t>
      </w:r>
      <w:r w:rsidR="00927DB3">
        <w:fldChar w:fldCharType="end"/>
      </w:r>
      <w:r w:rsidR="00927DB3">
        <w:t>.</w:t>
      </w:r>
    </w:p>
    <w:p w14:paraId="6C81E630" w14:textId="77777777" w:rsidR="00EF480B" w:rsidRDefault="00EF480B" w:rsidP="00EF480B">
      <w:pPr>
        <w:pStyle w:val="BodyThesis"/>
        <w:jc w:val="center"/>
      </w:pPr>
      <w:r>
        <w:rPr>
          <w:noProof/>
        </w:rPr>
        <w:lastRenderedPageBreak/>
        <w:drawing>
          <wp:inline distT="0" distB="0" distL="0" distR="0" wp14:anchorId="4390C6ED" wp14:editId="31D73472">
            <wp:extent cx="5153033" cy="6827520"/>
            <wp:effectExtent l="0" t="0" r="3175" b="5080"/>
            <wp:docPr id="73" name="Picture 7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application&#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173978" cy="6855271"/>
                    </a:xfrm>
                    <a:prstGeom prst="rect">
                      <a:avLst/>
                    </a:prstGeom>
                  </pic:spPr>
                </pic:pic>
              </a:graphicData>
            </a:graphic>
          </wp:inline>
        </w:drawing>
      </w:r>
    </w:p>
    <w:p w14:paraId="4E68BF44" w14:textId="600B6186" w:rsidR="00EF480B" w:rsidRDefault="00EF480B" w:rsidP="008A2B86">
      <w:pPr>
        <w:pStyle w:val="Caption"/>
      </w:pPr>
      <w:bookmarkStart w:id="594" w:name="_Ref73960314"/>
      <w:bookmarkStart w:id="595" w:name="_Toc90216960"/>
      <w:r>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w:t>
      </w:r>
      <w:r w:rsidR="003373BF">
        <w:rPr>
          <w:noProof/>
        </w:rPr>
        <w:fldChar w:fldCharType="end"/>
      </w:r>
      <w:bookmarkEnd w:id="594"/>
      <w:r>
        <w:t xml:space="preserve"> Gram-positive cell envelope.</w:t>
      </w:r>
      <w:bookmarkEnd w:id="595"/>
    </w:p>
    <w:p w14:paraId="237E690C" w14:textId="3891FF64" w:rsidR="00EF480B" w:rsidRPr="000D1850" w:rsidRDefault="00EF480B" w:rsidP="00EF480B">
      <w:pPr>
        <w:pStyle w:val="NoSpacing"/>
        <w:sectPr w:rsidR="00EF480B" w:rsidRPr="000D1850" w:rsidSect="004D0E05">
          <w:pgSz w:w="11906" w:h="16838"/>
          <w:pgMar w:top="1191" w:right="1247" w:bottom="1191" w:left="1247" w:header="709" w:footer="709" w:gutter="0"/>
          <w:cols w:space="708"/>
          <w:titlePg/>
          <w:docGrid w:linePitch="360"/>
        </w:sectPr>
      </w:pPr>
      <w:r>
        <w:t xml:space="preserve">TEM micrographs of </w:t>
      </w:r>
      <w:r>
        <w:rPr>
          <w:b/>
          <w:bCs/>
        </w:rPr>
        <w:t>(A)</w:t>
      </w:r>
      <w:r>
        <w:t xml:space="preserve"> freeze-substituted and </w:t>
      </w:r>
      <w:r>
        <w:rPr>
          <w:b/>
          <w:bCs/>
        </w:rPr>
        <w:t>(B)</w:t>
      </w:r>
      <w:r>
        <w:t xml:space="preserve"> frozen-hydrated </w:t>
      </w:r>
      <w:r>
        <w:rPr>
          <w:i/>
          <w:iCs/>
        </w:rPr>
        <w:t xml:space="preserve">S. aureus </w:t>
      </w:r>
      <w:r>
        <w:t xml:space="preserve">cells, showing the plasma membrane (PM), the exoplasmic space (ES), and the cell wall (CW). Freeze-substituted cells show an external fuzzy layer that consists mostly of wall teichoic acids (WTA). </w:t>
      </w:r>
      <w:r>
        <w:rPr>
          <w:b/>
          <w:bCs/>
        </w:rPr>
        <w:t>(C)</w:t>
      </w:r>
      <w:r>
        <w:t xml:space="preserve"> Schematic comparison of the cell envelope between freeze-substituted and frozen-hydrated cells showing the cell wall (CW) the exoplasmic/periplasmic space (PS) and the plasma membrane (PM). The exoplasm </w:t>
      </w:r>
      <w:r w:rsidR="00D16144">
        <w:t>can be</w:t>
      </w:r>
      <w:r>
        <w:t xml:space="preserve"> highly reactive to stains</w:t>
      </w:r>
      <w:r w:rsidR="00D16144">
        <w:t>, as seen by</w:t>
      </w:r>
      <w:r>
        <w:t xml:space="preserve"> freeze-substitut</w:t>
      </w:r>
      <w:r w:rsidR="00D16144">
        <w:t>ed bacterial cells,</w:t>
      </w:r>
      <w:r>
        <w:t xml:space="preserve"> and </w:t>
      </w:r>
      <w:r w:rsidR="00D16144">
        <w:t>is</w:t>
      </w:r>
      <w:r w:rsidR="006C2E42">
        <w:t xml:space="preserve"> made-up of</w:t>
      </w:r>
      <w:r>
        <w:t xml:space="preserve"> low density</w:t>
      </w:r>
      <w:r w:rsidR="006C2E42">
        <w:t xml:space="preserve"> components, as seen by</w:t>
      </w:r>
      <w:r>
        <w:t xml:space="preserve"> frozen-hydrat</w:t>
      </w:r>
      <w:r w:rsidR="006C2E42">
        <w:t>ed bacterial cells</w:t>
      </w:r>
      <w:r>
        <w:t xml:space="preserve">. </w:t>
      </w:r>
      <w:r>
        <w:rPr>
          <w:b/>
          <w:bCs/>
        </w:rPr>
        <w:t>(D)</w:t>
      </w:r>
      <w:r>
        <w:t xml:space="preserve"> High magnification of a frozen-hydrated cell envelope with its corresponding density tracing underneath. Scale bars 50 nm. </w:t>
      </w:r>
      <w:r w:rsidRPr="007D1A4C">
        <w:rPr>
          <w:b/>
          <w:bCs/>
        </w:rPr>
        <w:t>(A-D)</w:t>
      </w:r>
      <w:r>
        <w:t xml:space="preserve"> Images obtained from Matias &amp; Beveridge 2005 and 2006 </w:t>
      </w:r>
      <w:r>
        <w:fldChar w:fldCharType="begin" w:fldLock="1"/>
      </w:r>
      <w:r w:rsidR="005F2DD4">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aureus","type":"article-journal","volume":"188"},"uris":["http://www.mendeley.com/documents/?uuid=89409496-4fa0-474e-8069-be86a795f53c"]},{"id":"ITEM-2","itemData":{"DOI":"10.1111/j.1365-2958.2005.04535.x","ISBN":"0950-382X (Print)\\r0950-382X (Linking)","ISSN":"0950382X","PMID":"15773993","abstract":"Ultrarapid freezing of bacteria (i.e. vitrification) results in optimal preservation of native structure. In this study, cryo-transmission electron microscopy of frozen-hydrated sections was used to gain insight into the organization of the Bacillus subtilis 168 cell envelope. A bipartite structure was seen above the plasma membrane consisting of a low-density 22 nm region above which a higher-density 33 nm region or outer wall zone (OWZ) resided. The interface between these two regions appeared to possess the most mass. In intact and in teichoic acid-extracted wall fragments, only a single region was seen but the mass distribution varied from being dense on the inside to less dense on the outside (i.e. similar to the OWZ). In plasmolysed cells, the inner wall zone (IWZ)'s thickness expanded in size but the OWZ's thickness remained constant. As the IWZ expanded it became filled with plasma membrane vesicles indicating that the IWZ had little substance and was empty of the wall's polymeric network of peptidoglycan and teichoic acid. Together these results strongly suggest that the inner zone actually represents a periplasmic space confined between the plasma membrane and the wall matrix and that the OWZ is the peptidoglycan-teichoic acid polymeric network of the wall.","author":[{"dropping-particle":"","family":"Matias","given":"V. R F","non-dropping-particle":"","parse-names":false,"suffix":""},{"dropping-particle":"","family":"Beveridge","given":"Terry J.","non-dropping-particle":"","parse-names":false,"suffix":""}],"container-title":"Molecular Microbiology","id":"ITEM-2","issue":"1","issued":{"date-parts":[["2005"]]},"page":"240-251","title":"Cryo-electron microscopy reveals native polymeric cell wall structure in Bacillus subtilis 168 and the existence of a periplasmic space","type":"article-journal","volume":"56"},"uris":["http://www.mendeley.com/documents/?uuid=3274a9ad-3640-4744-a55b-e8277897fa77"]}],"mendeley":{"formattedCitation":"&lt;sup&gt;[16,164]&lt;/sup&gt;","plainTextFormattedCitation":"[16,164]","previouslyFormattedCitation":"&lt;sup&gt;[16,164]&lt;/sup&gt;"},"properties":{"noteIndex":0},"schema":"https://github.com/citation-style-language/schema/raw/master/csl-citation.json"}</w:instrText>
      </w:r>
      <w:r>
        <w:fldChar w:fldCharType="separate"/>
      </w:r>
      <w:r w:rsidR="0054658D" w:rsidRPr="0054658D">
        <w:rPr>
          <w:noProof/>
          <w:vertAlign w:val="superscript"/>
        </w:rPr>
        <w:t>[16,164]</w:t>
      </w:r>
      <w:r>
        <w:fldChar w:fldCharType="end"/>
      </w:r>
      <w:r>
        <w:t xml:space="preserve"> </w:t>
      </w:r>
      <w:r>
        <w:rPr>
          <w:b/>
          <w:bCs/>
        </w:rPr>
        <w:t>(</w:t>
      </w:r>
      <w:r w:rsidR="00E041F6">
        <w:rPr>
          <w:b/>
          <w:bCs/>
        </w:rPr>
        <w:t>E</w:t>
      </w:r>
      <w:r>
        <w:rPr>
          <w:b/>
          <w:bCs/>
        </w:rPr>
        <w:t>)</w:t>
      </w:r>
      <w:r>
        <w:t xml:space="preserve"> Schema showing how WTA and LTA polymer brushes can maintain the exoplasmic space of Gram-positive bacteria. Obtained from Erickson (2021) </w:t>
      </w:r>
      <w:r>
        <w:fldChar w:fldCharType="begin" w:fldLock="1"/>
      </w:r>
      <w:r w:rsidR="005F2DD4">
        <w:instrText xml:space="preserve">ADDIN CSL_CITATION {"citationItems":[{"id":"ITEM-1","itemData":{"DOI":"10.3389/fmicb.2021.664704","ISSN":"1664302X","abstract":"The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F2DD4">
        <w:rPr>
          <w:rFonts w:ascii="Cambria Math" w:hAnsi="Cambria Math" w:cs="Cambria Math"/>
        </w:rPr>
        <w:instrText>∼</w:instrText>
      </w:r>
      <w:r w:rsidR="005F2DD4">
        <w:instrText xml:space="preserve">0.5 M, which would bring in </w:instrText>
      </w:r>
      <w:r w:rsidR="005F2DD4">
        <w:rPr>
          <w:rFonts w:ascii="Cambria Math" w:hAnsi="Cambria Math" w:cs="Cambria Math"/>
        </w:rPr>
        <w:instrText>∼</w:instrText>
      </w:r>
      <w:r w:rsidR="005F2DD4">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Microbiology","id":"ITEM-1","issue":"May","issued":{"date-parts":[["2021"]]},"page":"1-11","title":"How Teichoic Acids Could Support a Periplasm in Gram-Positive Bacteria, and Let Cell Division Cheat Turgor Pressure","type":"article-journal","volume":"12"},"uris":["http://www.mendeley.com/documents/?uuid=8e106983-147c-42ae-88fd-3e44783b571f"]}],"mendeley":{"formattedCitation":"&lt;sup&gt;[166]&lt;/sup&gt;","plainTextFormattedCitation":"[166]","previouslyFormattedCitation":"&lt;sup&gt;[166]&lt;/sup&gt;"},"properties":{"noteIndex":0},"schema":"https://github.com/citation-style-language/schema/raw/master/csl-citation.json"}</w:instrText>
      </w:r>
      <w:r>
        <w:fldChar w:fldCharType="separate"/>
      </w:r>
      <w:r w:rsidR="0054658D" w:rsidRPr="0054658D">
        <w:rPr>
          <w:noProof/>
          <w:vertAlign w:val="superscript"/>
        </w:rPr>
        <w:t>[166]</w:t>
      </w:r>
      <w:r>
        <w:fldChar w:fldCharType="end"/>
      </w:r>
      <w:r>
        <w:t>.</w:t>
      </w:r>
    </w:p>
    <w:p w14:paraId="297ABE6A" w14:textId="39D05510" w:rsidR="000C5B8A" w:rsidRPr="00133869" w:rsidRDefault="000C5B8A" w:rsidP="000C5B8A">
      <w:pPr>
        <w:pStyle w:val="BodyThesis"/>
      </w:pPr>
      <w:r>
        <w:rPr>
          <w:i/>
          <w:iCs/>
        </w:rPr>
        <w:lastRenderedPageBreak/>
        <w:t>S. aureus</w:t>
      </w:r>
      <w:r>
        <w:t xml:space="preserve"> is a Gram-positive bacteria able to withstand high internal cellular turgor pressure of about 20 – 30 atm, contained by the major stress-bearing polymer PG that forms the CW </w:t>
      </w:r>
      <w:r>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d0573240-3d12-4cf9-8413-79fe8dd7149d"]}],"mendeley":{"formattedCitation":"&lt;sup&gt;[16]&lt;/sup&gt;","plainTextFormattedCitation":"[16]","previouslyFormattedCitation":"&lt;sup&gt;[16]&lt;/sup&gt;"},"properties":{"noteIndex":0},"schema":"https://github.com/citation-style-language/schema/raw/master/csl-citation.json"}</w:instrText>
      </w:r>
      <w:r>
        <w:fldChar w:fldCharType="separate"/>
      </w:r>
      <w:r w:rsidR="00DA0A83" w:rsidRPr="00DA0A83">
        <w:rPr>
          <w:noProof/>
          <w:vertAlign w:val="superscript"/>
        </w:rPr>
        <w:t>[16]</w:t>
      </w:r>
      <w:r>
        <w:fldChar w:fldCharType="end"/>
      </w:r>
      <w:r>
        <w:t xml:space="preserve">. This raises the following questions: </w:t>
      </w:r>
      <w:r w:rsidRPr="00133869">
        <w:t>how is the exoplasmic space maintained</w:t>
      </w:r>
      <w:r w:rsidR="008E0445" w:rsidRPr="00133869">
        <w:t xml:space="preserve"> and how does the </w:t>
      </w:r>
      <w:r w:rsidRPr="00133869">
        <w:t xml:space="preserve">PM not </w:t>
      </w:r>
      <w:r w:rsidR="008E0445" w:rsidRPr="00133869">
        <w:t>collapse</w:t>
      </w:r>
      <w:r w:rsidRPr="00133869">
        <w:t xml:space="preserve"> against the CW?</w:t>
      </w:r>
    </w:p>
    <w:p w14:paraId="64E7A2F3" w14:textId="3C0EF2DF" w:rsidR="000C5B8A" w:rsidRPr="00F620BC" w:rsidRDefault="00C03E74" w:rsidP="000C5B8A">
      <w:r>
        <w:t>T</w:t>
      </w:r>
      <w:r w:rsidR="000C5B8A">
        <w:t>he periplasmic space</w:t>
      </w:r>
      <w:r>
        <w:t xml:space="preserve"> of Gram-negative bacteria</w:t>
      </w:r>
      <w:r w:rsidR="000C5B8A">
        <w:t xml:space="preserve"> is maintained by a Donnan equilibrium generated by </w:t>
      </w:r>
      <w:r w:rsidR="000C5B8A" w:rsidRPr="00133869">
        <w:t>membrane-derived oligosaccharides (MDOs), recently renamed osmo</w:t>
      </w:r>
      <w:r w:rsidR="00613911">
        <w:t>-</w:t>
      </w:r>
      <w:r w:rsidR="000C5B8A" w:rsidRPr="00133869">
        <w:t>regulated periplasmic glucans (OPGs)</w:t>
      </w:r>
      <w:r w:rsidR="000C5B8A">
        <w:rPr>
          <w:b/>
          <w:bCs/>
        </w:rPr>
        <w:t xml:space="preserve"> </w:t>
      </w:r>
      <w:r w:rsidR="000C5B8A">
        <w:fldChar w:fldCharType="begin" w:fldLock="1"/>
      </w:r>
      <w:r w:rsidR="0058736C">
        <w:instrText xml:space="preserve">ADDIN CSL_CITATION {"citationItems":[{"id":"ITEM-1","itemData":{"DOI":"10.1002/bies.201700045","ISSN":"15211878","author":[{"dropping-particle":"","family":"Erickson","given":"Harold P","non-dropping-particle":"","parse-names":false,"suffix":""}],"container-title":"BioEssays","id":"ITEM-1","issue":"8","issued":{"date-parts":[["2017"]]},"page":"1-10","title":"How bacterial cell division might cheat turgor pressure – a unified mechanism of septal division in Gram-positive and Gram-negative bacteria","type":"article","volume":"39"},"uris":["http://www.mendeley.com/documents/?uuid=814c8e5c-6117-4fba-bc70-e9c869a2578a"]},{"id":"ITEM-2","itemData":{"DOI":"10.1073/pnas.79.4.1092","ISSN":"00278424","PMID":"7041113","abstract":"The membrane-derived oligosaccharides (MDO) of E. coli are periplasmic constituents containing 8-10 glucose units in a highly branched structure, linked by β 1-2 and β 1-6 bonds. The MDO are multiply substituted with sn-1-phosphoglycerol residues (derived from membrane phosphatidylglycerol) and with O-succinyl ester residues and, thus, are highly anionic. Experiments in this paper offer evidence that the biosynthesis of MDO is an important aspect of osmoregulation in E. coli. Cells grown in medium of low osmolarity (ca. 50 mosM) synthesize 16 times more MDO than those grown in the same medium with 0.4 M NaCl. In cells grown in medium of low osmolarity, it appears that MDO is the principal source of fixed anion in the periplasmic space and, thus, acts to maintain the high osmotic pressure and Donnan membrane potential of the periplasmic compartment. Regulation of MDO synthesis in response to changes in osmolarity of the medium appears to occur at the genetic level because the synthesis of new protein is needed to permit the production of MDO at high rates after shift of cells to medium of low osmolarity.","author":[{"dropping-particle":"","family":"Kennedy","given":"E. P.","non-dropping-particle":"","parse-names":false,"suffix":""}],"container-title":"Proceedings of the National Academy of Sciences of the United States of America","id":"ITEM-2","issue":"4 I","issued":{"date-parts":[["1982"]]},"page":"1092-1095","publisher":"National Academy of Sciences","title":"Osmotic regulation and the biosynthesis of membrane derived oligosaccharides in Escherichia coli","type":"article-journal","volume":"79"},"uris":["http://www.mendeley.com/documents/?uuid=ad179372-bf3f-3da8-832f-f417fa6c630e"]},{"id":"ITEM-3","itemData":{"DOI":"10.1128/ecosalplus.esp-0001-2017","ISSN":"2324-6200","PMID":"28593831","abstract":"Among all the systems developed by enterobacteria to face osmotic stress, only osmoregulated periplasmic glucans (OPGs) were found to be modulated during osmotic fluxes. First detected in 1973 by E.P. Kennedy’s group in a study of phospholipid turnover in Escherichia coli , OPGs have been shown across alpha, beta, and gamma subdivisions of the proteobacteria. Discovery of OPG-like compounds in the epsilon subdivision strongly suggested that the presence of periplasmic glucans is essential for almost all proteobacteria. This article offers an overview of the different classes of OPGs. Then, the biosynthesis of OPGs and their regulation in E. coli and other species are discussed. Finally, the biological role of OPGs is developed. Beyond structural function, OPGs are involved in pathogenicity, in particular, by playing a role in signal transduction pathways. Recently, OPG synthesis proteins have been suggested to control cell division and growth rate.","author":[{"dropping-particle":"","family":"Bontemps-Gallo","given":"Sébastien","non-dropping-particle":"","parse-names":false,"suffix":""},{"dropping-particle":"","family":"Bohin","given":"Jean-Pierre","non-dropping-particle":"","parse-names":false,"suffix":""},{"dropping-particle":"","family":"Lacroix","given":"Jean-Marie","non-dropping-particle":"","parse-names":false,"suffix":""}],"container-title":"EcoSal Plus","id":"ITEM-3","issue":"2","issued":{"date-parts":[["2017","4","25"]]},"publisher":"American Society for Microbiology","title":"Osmoregulated Periplasmic Glucans","type":"article-journal","volume":"7"},"uris":["http://www.mendeley.com/documents/?uuid=4e70228c-d17e-3687-930c-6c88070aad23"]},{"id":"ITEM-4","itemData":{"DOI":"10.3389/fmicb.2021.664704","ISSN":"1664302X","abstract":"The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8736C">
        <w:rPr>
          <w:rFonts w:ascii="Cambria Math" w:hAnsi="Cambria Math" w:cs="Cambria Math"/>
        </w:rPr>
        <w:instrText>∼</w:instrText>
      </w:r>
      <w:r w:rsidR="0058736C">
        <w:instrText xml:space="preserve">0.5 M, which would bring in </w:instrText>
      </w:r>
      <w:r w:rsidR="0058736C">
        <w:rPr>
          <w:rFonts w:ascii="Cambria Math" w:hAnsi="Cambria Math" w:cs="Cambria Math"/>
        </w:rPr>
        <w:instrText>∼</w:instrText>
      </w:r>
      <w:r w:rsidR="0058736C">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Microbiology","id":"ITEM-4","issue":"May","issued":{"date-parts":[["2021"]]},"page":"1-11","title":"How Teichoic Acids Could Support a Periplasm in Gram-Positive Bacteria, and Let Cell Division Cheat Turgor Pressure","type":"article-journal","volume":"12"},"uris":["http://www.mendeley.com/documents/?uuid=8e106983-147c-42ae-88fd-3e44783b571f"]}],"mendeley":{"formattedCitation":"&lt;sup&gt;[88,166–168]&lt;/sup&gt;","plainTextFormattedCitation":"[88,166–168]","previouslyFormattedCitation":"&lt;sup&gt;[88,166–168]&lt;/sup&gt;"},"properties":{"noteIndex":0},"schema":"https://github.com/citation-style-language/schema/raw/master/csl-citation.json"}</w:instrText>
      </w:r>
      <w:r w:rsidR="000C5B8A">
        <w:fldChar w:fldCharType="separate"/>
      </w:r>
      <w:r w:rsidR="002659E5" w:rsidRPr="002659E5">
        <w:rPr>
          <w:noProof/>
          <w:vertAlign w:val="superscript"/>
        </w:rPr>
        <w:t>[88,166–168]</w:t>
      </w:r>
      <w:r w:rsidR="000C5B8A">
        <w:fldChar w:fldCharType="end"/>
      </w:r>
      <w:r w:rsidR="000C5B8A">
        <w:t>. OPGs are negatively-charged anionic glucose oligomers of ~</w:t>
      </w:r>
      <w:r w:rsidR="000C5B8A" w:rsidRPr="00F620BC">
        <w:t xml:space="preserve">2,300 Da, </w:t>
      </w:r>
      <w:r w:rsidR="000C5B8A">
        <w:t xml:space="preserve">too large to escape the small pores of the OM-CW barrier </w:t>
      </w:r>
      <w:r w:rsidR="000C5B8A">
        <w:fldChar w:fldCharType="begin" w:fldLock="1"/>
      </w:r>
      <w:r w:rsidR="006F44CC">
        <w:instrText>ADDIN CSL_CITATION {"citationItems":[{"id":"ITEM-1","itemData":{"DOI":"10.1002/bies.201700045","ISSN":"15211878","author":[{"dropping-particle":"","family":"Erickson","given":"Harold P","non-dropping-particle":"","parse-names":false,"suffix":""}],"container-title":"BioEssays","id":"ITEM-1","issue":"8","issued":{"date-parts":[["2017"]]},"page":"1-10","title":"How bacterial cell division might cheat turgor pressure – a unified mechanism of septal division in Gram-positive and Gram-negative bacteria","type":"article","volume":"39"},"uris":["http://www.mendeley.com/documents/?uuid=814c8e5c-6117-4fba-bc70-e9c869a2578a"]},{"id":"ITEM-2","itemData":{"DOI":"10.1073/pnas.79.4.1092","ISSN":"00278424","PMID":"7041113","abstract":"The membrane-derived oligosaccharides (MDO) of E. coli are periplasmic constituents containing 8-10 glucose units in a highly branched structure, linked by β 1-2 and β 1-6 bonds. The MDO are multiply substituted with sn-1-phosphoglycerol residues (derived from membrane phosphatidylglycerol) and with O-succinyl ester residues and, thus, are highly anionic. Experiments in this paper offer evidence that the biosynthesis of MDO is an important aspect of osmoregulation in E. coli. Cells grown in medium of low osmolarity (ca. 50 mosM) synthesize 16 times more MDO than those grown in the same medium with 0.4 M NaCl. In cells grown in medium of low osmolarity, it appears that MDO is the principal source of fixed anion in the periplasmic space and, thus, acts to maintain the high osmotic pressure and Donnan membrane potential of the periplasmic compartment. Regulation of MDO synthesis in response to changes in osmolarity of the medium appears to occur at the genetic level because the synthesis of new protein is needed to permit the production of MDO at high rates after shift of cells to medium of low osmolarity.","author":[{"dropping-particle":"","family":"Kennedy","given":"E. P.","non-dropping-particle":"","parse-names":false,"suffix":""}],"container-title":"Proceedings of the National Academy of Sciences of the United States of America","id":"ITEM-2","issue":"4 I","issued":{"date-parts":[["1982"]]},"page":"1092-1095","publisher":"National Academy of Sciences","title":"Osmotic regulation and the biosynthesis of membrane derived oligosaccharides in Escherichia coli","type":"article-journal","volume":"79"},"uris":["http://www.mendeley.com/documents/?uuid=ad179372-bf3f-3da8-832f-f417fa6c630e"]},{"id":"ITEM-3","itemData":{"DOI":"10.1016/s0006-3495(00)76726-9","ISSN":"00063495","PMID":"10733957","abstract":"To obtain turgor pressure, intracellular osmolalities, and cytoplasmic water activity of Escherichia coli as a function of osmolality of growth, we have quantified and analyzed amounts of cell, cytoplasmic, and periplasmic water as functions of osmolality of growth and osmolality of plasmolysis of nongrowing cells with NaCl. The effects are large; NaCl (plasmolysis) titrations of cells grown in minimal medium at 0.03 Osm reduce cytoplasmic and cell water to ~20% and ~50% of their original values, and increase periplasmic water by ~300%. Independent analysis of amounts of cytoplasmic and cell water demonstrate that turgor pressure decreases with increasing osmolality of growth, from ~3.1 atm at 0.03 Osm to ~1.5 at 0.1 Osm and to less than 0.5 atm above 0.5 Osm. Analysis of periplasmic membrane-derived oligosaccharide (MDO) concentrations as a function of osmolality, calculated from literature analytical data and measured periplasmic volumes, provides independent evidence that turgor pressure decreases with increasing osmolality, and verifies that cytoplasmic and periplasmic osmolalities are equal. We propose that MDO play a key role in periplasmic volume regulation at low-to-moderate osmolality. At high growth osmolalities, where only a small amount of cytoplasmic water is observed, the small turgor pressure of E. coli demonstrates that cytoplasmic water activity is only slightly less than extracellular water activity. From these findings, we deduce that the activity of cytoplasmic water exceeds its mole fraction at high osmolality, and, therefore, conclude that the activity coefficient of cytoplasmic water increases with increasing growth osmolality and exceeds unity at high osmolality, presumably as a consequence of macromolecular crowding. These novel findings are significant for thermodynamic analyses of effects of changes in growth osmolality on biopolymer processes in general and osmoregulatory processes in particular in the E. coli cytoplasm.","author":[{"dropping-particle":"","family":"Cayley","given":"D. Scott","non-dropping-particle":"","parse-names":false,"suffix":""},{"dropping-particle":"","family":"Guttman","given":"Harry J.","non-dropping-particle":"","parse-names":false,"suffix":""},{"dropping-particle":"","family":"Record","given":"M. Thomas","non-dropping-particle":"","parse-names":false,"suffix":""}],"container-title":"Biophysical Journal","id":"ITEM-3","issue":"4","issued":{"date-parts":[["2000"]]},"page":"1748-1764","publisher":"Biophysical Society","title":"Biophysical characterization of changes in amounts and activity of Escherichia coli cell and compartment water and turgor pressure in response to osmotic stress","type":"article-journal","volume":"78"},"uris":["http://www.mendeley.com/documents/?uuid=2b140ae2-c60b-3f2f-907c-82ff5dce5370"]},{"id":"ITEM-4","itemData":{"DOI":"10.3389/fmicb.2018.00111","ISSN":"1664302X","abstract":"Bacterial cytokinesis begins with the assembly of FtsZ into a Z ring at the center of the cell. The Z-ring constriction in Gram-negative bacteria may occur in an environment where the periplasm and the cytoplasm are isoosmotic, but in Gram-positive bacteria the constriction may have to overcome a substantial turgor pressure. We address three potential sources of invagination force. (1) FtsZ itself may generate force by curved protofilaments bending the attached membrane. This is sufficient to constrict liposomes in vitro. However, this force is on the order of a few pN, and would not be enough to overcome turgor. (2) Cell wall (CW) synthesis may generate force by pushing the plasma membrane from the outside. However, this would probably require some kind of Brownian ratchet to separate the CW and membrane sufficiently to allow a glycan strand to slip in. The elastic element is not obvious. (3) Excess membrane production has the potential to contribute significantly to the invagination force. If the excess membrane is produced under the CW, it would force the membrane to bleb inward. We propose here that a combination of FtsZ pulling from the inside, and excess membrane pushing membrane inward may generate a substantial constriction force at the division site. This combined force generation mechanism may be sufficient to overcome turgor pressure. This would abolish the need for a Brownian ratchet for CW growth, and would permit CW to operate by reinforcing the constrictions generated by FtsZ and excess membrane.","author":[{"dropping-particle":"","family":"Osawa","given":"Masaki","non-dropping-particle":"","parse-names":false,"suffix":""},{"dropping-particle":"","family":"Erickson","given":"Harold P.","non-dropping-particle":"","parse-names":false,"suffix":""}],"container-title":"Frontiers in Microbiology","id":"ITEM-4","issue":"January","issued":{"date-parts":[["2018","1","31"]]},"page":"111","publisher":"Frontiers Media S.A.","title":"Turgor pressure and possible constriction mechanisms in bacterial division","type":"article","volume":"9"},"uris":["http://www.mendeley.com/documents/?uuid=b3fd2ce5-19e8-3459-8dcf-a736c6b6a4e4"]}],"mendeley":{"formattedCitation":"&lt;sup&gt;[88,167,169,170]&lt;/sup&gt;","plainTextFormattedCitation":"[88,167,169,170]","previouslyFormattedCitation":"&lt;sup&gt;[88,167,169,170]&lt;/sup&gt;"},"properties":{"noteIndex":0},"schema":"https://github.com/citation-style-language/schema/raw/master/csl-citation.json"}</w:instrText>
      </w:r>
      <w:r w:rsidR="000C5B8A">
        <w:fldChar w:fldCharType="separate"/>
      </w:r>
      <w:r w:rsidR="002659E5" w:rsidRPr="002659E5">
        <w:rPr>
          <w:noProof/>
          <w:vertAlign w:val="superscript"/>
        </w:rPr>
        <w:t>[88,167,169,170]</w:t>
      </w:r>
      <w:r w:rsidR="000C5B8A">
        <w:fldChar w:fldCharType="end"/>
      </w:r>
      <w:r w:rsidR="000C5B8A">
        <w:t xml:space="preserve">. Therefore, their presence in the periplasmic space, together with neutralising cations, help achieve an isosmotic condition with the cytoplasm </w:t>
      </w:r>
      <w:r w:rsidR="000C5B8A">
        <w:fldChar w:fldCharType="begin" w:fldLock="1"/>
      </w:r>
      <w:r w:rsidR="0058736C">
        <w:instrText>ADDIN CSL_CITATION {"citationItems":[{"id":"ITEM-1","itemData":{"DOI":"10.1002/bies.201700045","ISSN":"15211878","author":[{"dropping-particle":"","family":"Erickson","given":"Harold P","non-dropping-particle":"","parse-names":false,"suffix":""}],"container-title":"BioEssays","id":"ITEM-1","issue":"8","issued":{"date-parts":[["2017"]]},"page":"1-10","title":"How bacterial cell division might cheat turgor pressure – a unified mechanism of septal division in Gram-positive and Gram-negative bacteria","type":"article","volume":"39"},"uris":["http://www.mendeley.com/documents/?uuid=814c8e5c-6117-4fba-bc70-e9c869a2578a"]},{"id":"ITEM-2","itemData":{"DOI":"10.1073/pnas.79.4.1092","ISSN":"00278424","PMID":"7041113","abstract":"The membrane-derived oligosaccharides (MDO) of E. coli are periplasmic constituents containing 8-10 glucose units in a highly branched structure, linked by β 1-2 and β 1-6 bonds. The MDO are multiply substituted with sn-1-phosphoglycerol residues (derived from membrane phosphatidylglycerol) and with O-succinyl ester residues and, thus, are highly anionic. Experiments in this paper offer evidence that the biosynthesis of MDO is an important aspect of osmoregulation in E. coli. Cells grown in medium of low osmolarity (ca. 50 mosM) synthesize 16 times more MDO than those grown in the same medium with 0.4 M NaCl. In cells grown in medium of low osmolarity, it appears that MDO is the principal source of fixed anion in the periplasmic space and, thus, acts to maintain the high osmotic pressure and Donnan membrane potential of the periplasmic compartment. Regulation of MDO synthesis in response to changes in osmolarity of the medium appears to occur at the genetic level because the synthesis of new protein is needed to permit the production of MDO at high rates after shift of cells to medium of low osmolarity.","author":[{"dropping-particle":"","family":"Kennedy","given":"E. P.","non-dropping-particle":"","parse-names":false,"suffix":""}],"container-title":"Proceedings of the National Academy of Sciences of the United States of America","id":"ITEM-2","issue":"4 I","issued":{"date-parts":[["1982"]]},"page":"1092-1095","publisher":"National Academy of Sciences","title":"Osmotic regulation and the biosynthesis of membrane derived oligosaccharides in Escherichia coli","type":"article-journal","volume":"79"},"uris":["http://www.mendeley.com/documents/?uuid=ad179372-bf3f-3da8-832f-f417fa6c630e"]},{"id":"ITEM-3","itemData":{"DOI":"10.1016/s0006-3495(00)76726-9","ISSN":"00063495","PMID":"10733957","abstract":"To obtain turgor pressure, intracellular osmolalities, and cytoplasmic water activity of Escherichia coli as a function of osmolality of growth, we have quantified and analyzed amounts of cell, cytoplasmic, and periplasmic water as functions of osmolality of growth and osmolality of plasmolysis of nongrowing cells with NaCl. The effects are large; NaCl (plasmolysis) titrations of cells grown in minimal medium at 0.03 Osm reduce cytoplasmic and cell water to ~20% and ~50% of their original values, and increase periplasmic water by ~300%. Independent analysis of amounts of cytoplasmic and cell water demonstrate that turgor pressure decreases with increasing osmolality of growth, from ~3.1 atm at 0.03 Osm to ~1.5 at 0.1 Osm and to less than 0.5 atm above 0.5 Osm. Analysis of periplasmic membrane-derived oligosaccharide (MDO) concentrations as a function of osmolality, calculated from literature analytical data and measured periplasmic volumes, provides independent evidence that turgor pressure decreases with increasing osmolality, and verifies that cytoplasmic and periplasmic osmolalities are equal. We propose that MDO play a key role in periplasmic volume regulation at low-to-moderate osmolality. At high growth osmolalities, where only a small amount of cytoplasmic water is observed, the small turgor pressure of E. coli demonstrates that cytoplasmic water activity is only slightly less than extracellular water activity. From these findings, we deduce that the activity of cytoplasmic water exceeds its mole fraction at high osmolality, and, therefore, conclude that the activity coefficient of cytoplasmic water increases with increasing growth osmolality and exceeds unity at high osmolality, presumably as a consequence of macromolecular crowding. These novel findings are significant for thermodynamic analyses of effects of changes in growth osmolality on biopolymer processes in general and osmoregulatory processes in particular in the E. coli cytoplasm.","author":[{"dropping-particle":"","family":"Cayley","given":"D. Scott","non-dropping-particle":"","parse-names":false,"suffix":""},{"dropping-particle":"","family":"Guttman","given":"Harry J.","non-dropping-particle":"","parse-names":false,"suffix":""},{"dropping-particle":"","family":"Record","given":"M. Thomas","non-dropping-particle":"","parse-names":false,"suffix":""}],"container-title":"Biophysical Journal","id":"ITEM-3","issue":"4","issued":{"date-parts":[["2000"]]},"page":"1748-1764","publisher":"Biophysical Society","title":"Biophysical characterization of changes in amounts and activity of Escherichia coli cell and compartment water and turgor pressure in response to osmotic stress","type":"article-journal","volume":"78"},"uris":["http://www.mendeley.com/documents/?uuid=2b140ae2-c60b-3f2f-907c-82ff5dce5370"]}],"mendeley":{"formattedCitation":"&lt;sup&gt;[88,167,169]&lt;/sup&gt;","plainTextFormattedCitation":"[88,167,169]","previouslyFormattedCitation":"&lt;sup&gt;[88,167,169]&lt;/sup&gt;"},"properties":{"noteIndex":0},"schema":"https://github.com/citation-style-language/schema/raw/master/csl-citation.json"}</w:instrText>
      </w:r>
      <w:r w:rsidR="000C5B8A">
        <w:fldChar w:fldCharType="separate"/>
      </w:r>
      <w:r w:rsidR="002659E5" w:rsidRPr="002659E5">
        <w:rPr>
          <w:noProof/>
          <w:vertAlign w:val="superscript"/>
        </w:rPr>
        <w:t>[88,167,169]</w:t>
      </w:r>
      <w:r w:rsidR="000C5B8A">
        <w:fldChar w:fldCharType="end"/>
      </w:r>
      <w:r w:rsidR="000C5B8A">
        <w:t xml:space="preserve">. Studies have shown that cells exposed to an osmotic shock show an expanded periplasm for &gt; 30 min, but </w:t>
      </w:r>
      <w:r w:rsidR="00692BA8">
        <w:t>when</w:t>
      </w:r>
      <w:r w:rsidR="000C5B8A">
        <w:t xml:space="preserve"> grown in a high osmolar</w:t>
      </w:r>
      <w:r w:rsidR="00A00B81">
        <w:t>ity</w:t>
      </w:r>
      <w:r w:rsidR="000C5B8A">
        <w:t xml:space="preserve"> medium they respond by downregulating the synthesis of OPGs which leads to a reduction of the periplas</w:t>
      </w:r>
      <w:r w:rsidR="002D30F6">
        <w:t>mic space</w:t>
      </w:r>
      <w:r w:rsidR="000C5B8A">
        <w:t xml:space="preserve"> and </w:t>
      </w:r>
      <w:r w:rsidR="00BC363F">
        <w:t xml:space="preserve">an </w:t>
      </w:r>
      <w:r w:rsidR="000C5B8A">
        <w:t xml:space="preserve">expansion of the protoplasm </w:t>
      </w:r>
      <w:r w:rsidR="000C5B8A">
        <w:fldChar w:fldCharType="begin" w:fldLock="1"/>
      </w:r>
      <w:r w:rsidR="0058736C">
        <w:instrText>ADDIN CSL_CITATION {"citationItems":[{"id":"ITEM-1","itemData":{"DOI":"10.1002/bies.201700045","ISSN":"15211878","author":[{"dropping-particle":"","family":"Erickson","given":"Harold P","non-dropping-particle":"","parse-names":false,"suffix":""}],"container-title":"BioEssays","id":"ITEM-1","issue":"8","issued":{"date-parts":[["2017"]]},"page":"1-10","title":"How bacterial cell division might cheat turgor pressure – a unified mechanism of septal division in Gram-positive and Gram-negative bacteria","type":"article","volume":"39"},"uris":["http://www.mendeley.com/documents/?uuid=814c8e5c-6117-4fba-bc70-e9c869a2578a"]},{"id":"ITEM-2","itemData":{"DOI":"10.1073/pnas.79.4.1092","ISSN":"00278424","PMID":"7041113","abstract":"The membrane-derived oligosaccharides (MDO) of E. coli are periplasmic constituents containing 8-10 glucose units in a highly branched structure, linked by β 1-2 and β 1-6 bonds. The MDO are multiply substituted with sn-1-phosphoglycerol residues (derived from membrane phosphatidylglycerol) and with O-succinyl ester residues and, thus, are highly anionic. Experiments in this paper offer evidence that the biosynthesis of MDO is an important aspect of osmoregulation in E. coli. Cells grown in medium of low osmolarity (ca. 50 mosM) synthesize 16 times more MDO than those grown in the same medium with 0.4 M NaCl. In cells grown in medium of low osmolarity, it appears that MDO is the principal source of fixed anion in the periplasmic space and, thus, acts to maintain the high osmotic pressure and Donnan membrane potential of the periplasmic compartment. Regulation of MDO synthesis in response to changes in osmolarity of the medium appears to occur at the genetic level because the synthesis of new protein is needed to permit the production of MDO at high rates after shift of cells to medium of low osmolarity.","author":[{"dropping-particle":"","family":"Kennedy","given":"E. P.","non-dropping-particle":"","parse-names":false,"suffix":""}],"container-title":"Proceedings of the National Academy of Sciences of the United States of America","id":"ITEM-2","issue":"4 I","issued":{"date-parts":[["1982"]]},"page":"1092-1095","publisher":"National Academy of Sciences","title":"Osmotic regulation and the biosynthesis of membrane derived oligosaccharides in Escherichia coli","type":"article-journal","volume":"79"},"uris":["http://www.mendeley.com/documents/?uuid=ad179372-bf3f-3da8-832f-f417fa6c630e"]},{"id":"ITEM-3","itemData":{"DOI":"10.1016/s0006-3495(00)76726-9","ISSN":"00063495","PMID":"10733957","abstract":"To obtain turgor pressure, intracellular osmolalities, and cytoplasmic water activity of Escherichia coli as a function of osmolality of growth, we have quantified and analyzed amounts of cell, cytoplasmic, and periplasmic water as functions of osmolality of growth and osmolality of plasmolysis of nongrowing cells with NaCl. The effects are large; NaCl (plasmolysis) titrations of cells grown in minimal medium at 0.03 Osm reduce cytoplasmic and cell water to ~20% and ~50% of their original values, and increase periplasmic water by ~300%. Independent analysis of amounts of cytoplasmic and cell water demonstrate that turgor pressure decreases with increasing osmolality of growth, from ~3.1 atm at 0.03 Osm to ~1.5 at 0.1 Osm and to less than 0.5 atm above 0.5 Osm. Analysis of periplasmic membrane-derived oligosaccharide (MDO) concentrations as a function of osmolality, calculated from literature analytical data and measured periplasmic volumes, provides independent evidence that turgor pressure decreases with increasing osmolality, and verifies that cytoplasmic and periplasmic osmolalities are equal. We propose that MDO play a key role in periplasmic volume regulation at low-to-moderate osmolality. At high growth osmolalities, where only a small amount of cytoplasmic water is observed, the small turgor pressure of E. coli demonstrates that cytoplasmic water activity is only slightly less than extracellular water activity. From these findings, we deduce that the activity of cytoplasmic water exceeds its mole fraction at high osmolality, and, therefore, conclude that the activity coefficient of cytoplasmic water increases with increasing growth osmolality and exceeds unity at high osmolality, presumably as a consequence of macromolecular crowding. These novel findings are significant for thermodynamic analyses of effects of changes in growth osmolality on biopolymer processes in general and osmoregulatory processes in particular in the E. coli cytoplasm.","author":[{"dropping-particle":"","family":"Cayley","given":"D. Scott","non-dropping-particle":"","parse-names":false,"suffix":""},{"dropping-particle":"","family":"Guttman","given":"Harry J.","non-dropping-particle":"","parse-names":false,"suffix":""},{"dropping-particle":"","family":"Record","given":"M. Thomas","non-dropping-particle":"","parse-names":false,"suffix":""}],"container-title":"Biophysical Journal","id":"ITEM-3","issue":"4","issued":{"date-parts":[["2000"]]},"page":"1748-1764","publisher":"Biophysical Society","title":"Biophysical characterization of changes in amounts and activity of Escherichia coli cell and compartment water and turgor pressure in response to osmotic stress","type":"article-journal","volume":"78"},"uris":["http://www.mendeley.com/documents/?uuid=2b140ae2-c60b-3f2f-907c-82ff5dce5370"]}],"mendeley":{"formattedCitation":"&lt;sup&gt;[88,167,169]&lt;/sup&gt;","plainTextFormattedCitation":"[88,167,169]","previouslyFormattedCitation":"&lt;sup&gt;[88,167,169]&lt;/sup&gt;"},"properties":{"noteIndex":0},"schema":"https://github.com/citation-style-language/schema/raw/master/csl-citation.json"}</w:instrText>
      </w:r>
      <w:r w:rsidR="000C5B8A">
        <w:fldChar w:fldCharType="separate"/>
      </w:r>
      <w:r w:rsidR="002659E5" w:rsidRPr="002659E5">
        <w:rPr>
          <w:noProof/>
          <w:vertAlign w:val="superscript"/>
        </w:rPr>
        <w:t>[88,167,169]</w:t>
      </w:r>
      <w:r w:rsidR="000C5B8A">
        <w:fldChar w:fldCharType="end"/>
      </w:r>
      <w:r w:rsidR="000C5B8A">
        <w:t>.</w:t>
      </w:r>
    </w:p>
    <w:p w14:paraId="25633831" w14:textId="08A8C26C" w:rsidR="000C5B8A" w:rsidRDefault="000C5B8A" w:rsidP="000C5B8A">
      <w:r w:rsidRPr="00133869">
        <w:t>Gram-positive</w:t>
      </w:r>
      <w:r>
        <w:t xml:space="preserve"> bacteria do not have OPGs or an OM-CW barrier, but have </w:t>
      </w:r>
      <w:r w:rsidRPr="00133869">
        <w:t>teichoic acids (TA)</w:t>
      </w:r>
      <w:r>
        <w:t>, which are not present in Gram-negatives. TA are glycopolymers</w:t>
      </w:r>
      <w:r w:rsidR="00654804">
        <w:t xml:space="preserve"> with </w:t>
      </w:r>
      <w:r w:rsidR="00654804" w:rsidRPr="00654804">
        <w:t>﻿phosphodiester-linked polyol repeat units</w:t>
      </w:r>
      <w:r>
        <w:t xml:space="preserve"> found in the bacterial envelope</w:t>
      </w:r>
      <w:r w:rsidR="001E34CF">
        <w:t xml:space="preserve"> </w:t>
      </w:r>
      <w:r w:rsidR="001E34CF">
        <w:fldChar w:fldCharType="begin" w:fldLock="1"/>
      </w:r>
      <w:r w:rsidR="0058736C">
        <w:instrText>ADDIN CSL_CITATION {"citationItems":[{"id":"ITEM-1","itemData":{"DOI":"10.1146/annurev-micro-092412-155620","ISBN":"0066-4227\\r978-0-8243-1167-4","ISSN":"0066-4227","PMID":"24024634","abstract":"The peptidoglycan layers of many gram-positive bacteria are densely functionalized with anionic glycopolymers known as wall teichoic acids (WTAs). These polymers play crucial roles in cell shape determination, regulation of cell division, and other fundamental aspects of gram-positive bacterial physiology. Additionally, WTAs are important in pathogenesis and play key roles in antibiotic resistance. We provide an overview of WTA structure and biosynthesis, review recent studies on the biological roles of these polymers, and highlight remaining questions. We also discuss prospects for exploiting WTA biosynthesis as a target for new therapies to overcome resistant infections.","author":[{"dropping-particle":"","family":"Brown","given":"Stephanie","non-dropping-particle":"","parse-names":false,"suffix":""},{"dropping-particle":"","family":"Santa Maria","given":"John P.","non-dropping-particle":"","parse-names":false,"suffix":""},{"dropping-particle":"","family":"Walker","given":"Suzanne","non-dropping-particle":"","parse-names":false,"suffix":""}],"container-title":"Annual Review of Microbiology","id":"ITEM-1","issue":"1","issued":{"date-parts":[["2013"]]},"page":"313-336","title":"Wall Teichoic Acids of Gram-Positive Bacteria","type":"article-journal","volume":"67"},"uris":["http://www.mendeley.com/documents/?uuid=60ae5b80-e4e7-4362-93a2-52855b0754e7"]},{"id":"ITEM-2","itemData":{"DOI":"10.1146/annurev-micro-091213-112949","ISBN":"10.1146/annurev-micro-091213-112949","ISSN":"0066-4227","PMID":"24819367","abstract":"Lipoteichoic acid (LTA) is an important cell wall polymer found in grampositive bacteria. Although the exact role of LTA is unknown, mutants display significant growth and physiological defects. Additionally, modification of the LTA backbone structure can provide protection against cationic antimicrobial peptides. This review provides an overview of the different LTA types and their chemical structures and synthesis pathways. The occurrence and mechanisms of LTA modifications with D-alanyl, glycosyl, and phosphocholine residues will be discussed along with their functions. Similarities between the production of type I LTA and osmoregulated periplasmic glucans in gram-negative bacteria are highlighted, indicating that LTA should perhaps be compared to these polymers rather than lipopolysaccharide, as is presently the case. Lastly, current efforts to use LTAs as vaccine candidates, synthesis proteins as novel antimicrobial targets, and LTA mutant strains as improved probiotics are highlighted. Expected final online publication date for the Annual Review of Microbiology Volume 68 is September 08, 2014. Please see http://www.annualreviews.org/catalog/pubdates.aspx for revised estimates.","author":[{"dropping-particle":"","family":"Percy","given":"Matthew G.","non-dropping-particle":"","parse-names":false,"suffix":""},{"dropping-particle":"","family":"Gründling","given":"Angelika","non-dropping-particle":"","parse-names":false,"suffix":""}],"container-title":"Annual Review of Microbiology","id":"ITEM-2","issue":"1","issued":{"date-parts":[["2014"]]},"page":"81-100","title":"Lipoteichoic Acid Synthesis and Function in Gram-Positive Bacteria","type":"article-journal","volume":"68"},"uris":["http://www.mendeley.com/documents/?uuid=af8cb132-f102-4339-911c-a62fb3fb6a02"]}],"mendeley":{"formattedCitation":"&lt;sup&gt;[86,272]&lt;/sup&gt;","plainTextFormattedCitation":"[86,272]","previouslyFormattedCitation":"&lt;sup&gt;[86,272]&lt;/sup&gt;"},"properties":{"noteIndex":0},"schema":"https://github.com/citation-style-language/schema/raw/master/csl-citation.json"}</w:instrText>
      </w:r>
      <w:r w:rsidR="001E34CF">
        <w:fldChar w:fldCharType="separate"/>
      </w:r>
      <w:r w:rsidR="002659E5" w:rsidRPr="002659E5">
        <w:rPr>
          <w:noProof/>
          <w:vertAlign w:val="superscript"/>
        </w:rPr>
        <w:t>[86,272]</w:t>
      </w:r>
      <w:r w:rsidR="001E34CF">
        <w:fldChar w:fldCharType="end"/>
      </w:r>
      <w:r w:rsidR="001E34CF">
        <w:t>.</w:t>
      </w:r>
      <w:r>
        <w:t xml:space="preserve"> </w:t>
      </w:r>
      <w:r w:rsidR="00202F15">
        <w:t>T</w:t>
      </w:r>
      <w:r>
        <w:t>hose covalently attached to the PG</w:t>
      </w:r>
      <w:r w:rsidR="00DD37D0">
        <w:t xml:space="preserve"> CW</w:t>
      </w:r>
      <w:r>
        <w:t xml:space="preserve"> </w:t>
      </w:r>
      <w:r w:rsidR="000B0D01">
        <w:t xml:space="preserve">are </w:t>
      </w:r>
      <w:r>
        <w:t xml:space="preserve">known as </w:t>
      </w:r>
      <w:r w:rsidRPr="00133869">
        <w:t>wall teichoic acids (WTA),</w:t>
      </w:r>
      <w:r>
        <w:t xml:space="preserve"> </w:t>
      </w:r>
      <w:r w:rsidR="00DD37D0">
        <w:t>while</w:t>
      </w:r>
      <w:r>
        <w:t xml:space="preserve"> those anchored to the PM </w:t>
      </w:r>
      <w:r w:rsidR="000B0D01">
        <w:t xml:space="preserve">are </w:t>
      </w:r>
      <w:r>
        <w:t xml:space="preserve">referred to as </w:t>
      </w:r>
      <w:r w:rsidRPr="00133869">
        <w:t>lipoteichoic acids (LTA).</w:t>
      </w:r>
      <w:r>
        <w:t xml:space="preserve"> </w:t>
      </w:r>
      <w:r w:rsidR="005769CE">
        <w:t xml:space="preserve">TA have negatively charged phosphate groups and positively charged amino groups from </w:t>
      </w:r>
      <w:r w:rsidR="00DD37D0" w:rsidRPr="00EC075E">
        <w:rPr>
          <w:rFonts w:eastAsia="Times New Roman" w:cs="Calibri"/>
          <w:lang w:eastAsia="en-GB"/>
        </w:rPr>
        <w:t xml:space="preserve">covalently-linked </w:t>
      </w:r>
      <w:r w:rsidR="005769CE">
        <w:t xml:space="preserve">D-alanine ester </w:t>
      </w:r>
      <w:r w:rsidR="00DD37D0">
        <w:t>residues</w:t>
      </w:r>
      <w:r w:rsidR="005769CE">
        <w:t xml:space="preserve">. </w:t>
      </w:r>
      <w:r w:rsidR="005769CE">
        <w:rPr>
          <w:rFonts w:eastAsia="Times New Roman" w:cs="Calibri"/>
          <w:lang w:eastAsia="en-GB"/>
        </w:rPr>
        <w:t xml:space="preserve">The </w:t>
      </w:r>
      <w:r w:rsidR="00DD37D0">
        <w:rPr>
          <w:rFonts w:eastAsia="Times New Roman" w:cs="Calibri"/>
          <w:lang w:eastAsia="en-GB"/>
        </w:rPr>
        <w:t>latter</w:t>
      </w:r>
      <w:r w:rsidRPr="00EC075E">
        <w:rPr>
          <w:rFonts w:eastAsia="Times New Roman" w:cs="Calibri"/>
          <w:lang w:eastAsia="en-GB"/>
        </w:rPr>
        <w:t xml:space="preserve"> </w:t>
      </w:r>
      <w:r>
        <w:t>modif</w:t>
      </w:r>
      <w:r w:rsidR="00DD37D0">
        <w:t>y</w:t>
      </w:r>
      <w:r>
        <w:t xml:space="preserve"> </w:t>
      </w:r>
      <w:r w:rsidR="00DD37D0">
        <w:t>the</w:t>
      </w:r>
      <w:r>
        <w:t xml:space="preserve"> surface charge</w:t>
      </w:r>
      <w:r w:rsidR="00DD37D0">
        <w:t xml:space="preserve"> of TA</w:t>
      </w:r>
      <w:r>
        <w:t xml:space="preserve">, and this in turn affects its binding to external molecules </w:t>
      </w:r>
      <w:r w:rsidR="00B4450D">
        <w:t>such as</w:t>
      </w:r>
      <w:r>
        <w:t xml:space="preserve"> divalent cations (</w:t>
      </w:r>
      <w:r w:rsidR="00D3300E">
        <w:rPr>
          <w:i/>
          <w:iCs/>
        </w:rPr>
        <w:t>e.g.,</w:t>
      </w:r>
      <w:r>
        <w:t xml:space="preserve"> Mg</w:t>
      </w:r>
      <w:r>
        <w:rPr>
          <w:vertAlign w:val="superscript"/>
        </w:rPr>
        <w:t>2+</w:t>
      </w:r>
      <w:r>
        <w:t>)</w:t>
      </w:r>
      <w:r w:rsidR="00C8038C">
        <w:t xml:space="preserve"> </w:t>
      </w:r>
      <w:r w:rsidR="00C8038C">
        <w:fldChar w:fldCharType="begin" w:fldLock="1"/>
      </w:r>
      <w:r w:rsidR="00C825F9">
        <w:instrText>ADDIN CSL_CITATION {"citationItems":[{"id":"ITEM-1","itemData":{"DOI":"10.1042/bj1490519","ISSN":"02646021","PMID":"994","abstract":"The binding of Mg2+ to the wall teichoic acid of Lactobacillus buchneri N.C.I.B. 8007 was measured by equilibrium dialysis at controlled ionic concentration and pH. In an aqueous solution containing 10mM-NaCl at pH 5.0 one Mg2+ ion was bound for every two phosphate groups of the teichoic acid, with an apparent association constant, K,.ssoc. = 2.7 x 103M-1. On lowering the pH below the pKa of the phosphate groups the amount of bound Mg2+ decreased concomitantly with decreasing ionization of the phosphate groups. Both the amount of Mg2+ bound to the teichoic acid and the apparent association constants were similar in the presence of 10mM concentrations of NaCl or KCI but decreased markedly in the presence of lOmM-CaCl2 because of competition between Ca2+ and Mge+ for the binding sites. A similar effect was found when the concentration ofNaCl was increased from 0 to 50mM. The results are discussed in relation to the function of teichoic acid in the walls of Gram-positive bacteria. A great deal of information is available about the occurrence and structure of teichoic acids in the cell walls of Gram-positive bacteria (Baddiley, 1972), but comparatively little is known of their function. The suggestion (Archibald et al., 1961) that teichoic acids are involved in ion exchange and in the control of access of ions, particularly Mg2+, to the inner regions of the cell is supported by a number of studies. For example, it has been shownthat Mg2+ binding bywalls containingteichoicacid depends on the presence ofthe teichoic acid (Heptinstall et al., 1970). Moreover the amount of Mg2+ bound is related, although not quantitatively, to the alanine ester content of the teichoic acid (Archibald et al., 1973). Hughes et al. (1973) showed that the activity of certain membrane-bound enzymes involved in the biosynthesis of wall polymers in Bacillus licheniformis strongly depends on Mg2+ and that these ions can be supplied to the cell membrane by wall and membrane teichoic acids. The importance of teichoic acid in the assimilation of Mg2+ from the environment has been illustrated by studies on the growth of Bacillus subtilis under conditions that impose a constraint on the availability of Mg2+. Thus when grown under conditions of Mg2+ limitation (Ellwood, 1970) or in a high concen-tration of competing Na+ (Meers &amp; Tempest, 1970; Ellwood, 1971) the cells respond by incorporating increased amounts of teichoic acid into their walls","author":[{"dropping-particle":"","family":"Lambert","given":"Peter A","non-dropping-particle":"","parse-names":false,"suffix":""},{"dropping-particle":"","family":"Hancock","given":"Ian C","non-dropping-particle":"","parse-names":false,"suffix":""},{"dropping-particle":"","family":"Baddiley","given":"James","non-dropping-particle":"","parse-names":false,"suffix":""}],"container-title":"Biochemical Journal","id":"ITEM-1","issue":"3","issued":{"date-parts":[["1975"]]},"page":"519-524","title":"The interaction of magnesium ions with teichoic acid","type":"article-journal","volume":"149"},"uris":["http://www.mendeley.com/documents/?uuid=f9a3d2f2-01f5-319d-a3dd-6a746ee8b350"]},{"id":"ITEM-2","itemData":{"DOI":"10.1128/MMBR.67.4.686","ISBN":"1092-2172\\r10922172","author":[{"dropping-particle":"","family":"Neuhaus","given":"Francis C","non-dropping-particle":"","parse-names":false,"suffix":""},{"dropping-particle":"","family":"Baddiley","given":"James","non-dropping-particle":"","parse-names":false,"suffix":""}],"container-title":"Microbiology and Molecular Biology Reviews","id":"ITEM-2","issue":"4","issued":{"date-parts":[["2003"]]},"page":"686","title":"A Continuum of Anionic Charge: Structures and Functions of D- Alanyl- Teichoic Acids in Gram- Positive Bacteria","type":"article-journal","volume":"67"},"uris":["http://www.mendeley.com/documents/?uuid=7e867f96-1f6e-41bc-b793-1eac09cb173a"]}],"mendeley":{"formattedCitation":"&lt;sup&gt;[85,87]&lt;/sup&gt;","plainTextFormattedCitation":"[85,87]","previouslyFormattedCitation":"&lt;sup&gt;[85,87]&lt;/sup&gt;"},"properties":{"noteIndex":0},"schema":"https://github.com/citation-style-language/schema/raw/master/csl-citation.json"}</w:instrText>
      </w:r>
      <w:r w:rsidR="00C8038C">
        <w:fldChar w:fldCharType="separate"/>
      </w:r>
      <w:r w:rsidR="00C8038C" w:rsidRPr="00C8038C">
        <w:rPr>
          <w:noProof/>
          <w:vertAlign w:val="superscript"/>
        </w:rPr>
        <w:t>[85,87]</w:t>
      </w:r>
      <w:r w:rsidR="00C8038C">
        <w:fldChar w:fldCharType="end"/>
      </w:r>
      <w:r>
        <w:t>. Studies have shown that the ability to bind to Mg</w:t>
      </w:r>
      <w:r>
        <w:rPr>
          <w:vertAlign w:val="superscript"/>
        </w:rPr>
        <w:t>2+</w:t>
      </w:r>
      <w:r>
        <w:t xml:space="preserve"> is reduced in the presence of D-alanine ester substituents, </w:t>
      </w:r>
      <w:r w:rsidR="00DD37D0">
        <w:t>while</w:t>
      </w:r>
      <w:r>
        <w:t xml:space="preserve"> D-alanylation is also affected by other factors </w:t>
      </w:r>
      <w:r w:rsidR="009A39EC">
        <w:t>such as</w:t>
      </w:r>
      <w:r>
        <w:t xml:space="preserve"> pH </w:t>
      </w:r>
      <w:r>
        <w:fldChar w:fldCharType="begin" w:fldLock="1"/>
      </w:r>
      <w:r w:rsidR="00C8038C">
        <w:instrText>ADDIN CSL_CITATION {"citationItems":[{"id":"ITEM-1","itemData":{"DOI":"10.1128/MMBR.67.4.686","ISBN":"1092-2172\\r10922172","author":[{"dropping-particle":"","family":"Neuhaus","given":"Francis C","non-dropping-particle":"","parse-names":false,"suffix":""},{"dropping-particle":"","family":"Baddiley","given":"James","non-dropping-particle":"","parse-names":false,"suffix":""}],"container-title":"Microbiology and Molecular Biology Reviews","id":"ITEM-1","issue":"4","issued":{"date-parts":[["2003"]]},"page":"686","title":"A Continuum of Anionic Charge: Structures and Functions of D- Alanyl- Teichoic Acids in Gram- Positive Bacteria","type":"article-journal","volume":"67"},"uris":["http://www.mendeley.com/documents/?uuid=7e867f96-1f6e-41bc-b793-1eac09cb173a"]},{"id":"ITEM-2","itemData":{"DOI":"10.1042/bj1490519","ISSN":"02646021","PMID":"994","abstract":"The binding of Mg2+ to the wall teichoic acid of Lactobacillus buchneri N.C.I.B. 8007 was measured by equilibrium dialysis at controlled ionic concentration and pH. In an aqueous solution containing 10mM-NaCl at pH 5.0 one Mg2+ ion was bound for every two phosphate groups of the teichoic acid, with an apparent association constant, K,.ssoc. = 2.7 x 103M-1. On lowering the pH below the pKa of the phosphate groups the amount of bound Mg2+ decreased concomitantly with decreasing ionization of the phosphate groups. Both the amount of Mg2+ bound to the teichoic acid and the apparent association constants were similar in the presence of 10mM concentrations of NaCl or KCI but decreased markedly in the presence of lOmM-CaCl2 because of competition between Ca2+ and Mge+ for the binding sites. A similar effect was found when the concentration ofNaCl was increased from 0 to 50mM. The results are discussed in relation to the function of teichoic acid in the walls of Gram-positive bacteria. A great deal of information is available about the occurrence and structure of teichoic acids in the cell walls of Gram-positive bacteria (Baddiley, 1972), but comparatively little is known of their function. The suggestion (Archibald et al., 1961) that teichoic acids are involved in ion exchange and in the control of access of ions, particularly Mg2+, to the inner regions of the cell is supported by a number of studies. For example, it has been shownthat Mg2+ binding bywalls containingteichoicacid depends on the presence ofthe teichoic acid (Heptinstall et al., 1970). Moreover the amount of Mg2+ bound is related, although not quantitatively, to the alanine ester content of the teichoic acid (Archibald et al., 1973). Hughes et al. (1973) showed that the activity of certain membrane-bound enzymes involved in the biosynthesis of wall polymers in Bacillus licheniformis strongly depends on Mg2+ and that these ions can be supplied to the cell membrane by wall and membrane teichoic acids. The importance of teichoic acid in the assimilation of Mg2+ from the environment has been illustrated by studies on the growth of Bacillus subtilis under conditions that impose a constraint on the availability of Mg2+. Thus when grown under conditions of Mg2+ limitation (Ellwood, 1970) or in a high concen-tration of competing Na+ (Meers &amp; Tempest, 1970; Ellwood, 1971) the cells respond by incorporating increased amounts of teichoic acid into their walls","author":[{"dropping-particle":"","family":"Lambert","given":"Peter A","non-dropping-particle":"","parse-names":false,"suffix":""},{"dropping-particle":"","family":"Hancock","given":"Ian C","non-dropping-particle":"","parse-names":false,"suffix":""},{"dropping-particle":"","family":"Baddiley","given":"James","non-dropping-particle":"","parse-names":false,"suffix":""}],"container-title":"Biochemical Journal","id":"ITEM-2","issue":"3","issued":{"date-parts":[["1975"]]},"page":"519-524","title":"The interaction of magnesium ions with teichoic acid","type":"article-journal","volume":"149"},"uris":["http://www.mendeley.com/documents/?uuid=f9a3d2f2-01f5-319d-a3dd-6a746ee8b350"]}],"mendeley":{"formattedCitation":"&lt;sup&gt;[85,87]&lt;/sup&gt;","plainTextFormattedCitation":"[85,87]","previouslyFormattedCitation":"&lt;sup&gt;[85,87]&lt;/sup&gt;"},"properties":{"noteIndex":0},"schema":"https://github.com/citation-style-language/schema/raw/master/csl-citation.json"}</w:instrText>
      </w:r>
      <w:r>
        <w:fldChar w:fldCharType="separate"/>
      </w:r>
      <w:r w:rsidR="00DA0A83" w:rsidRPr="00DA0A83">
        <w:rPr>
          <w:noProof/>
          <w:vertAlign w:val="superscript"/>
        </w:rPr>
        <w:t>[85,87]</w:t>
      </w:r>
      <w:r>
        <w:fldChar w:fldCharType="end"/>
      </w:r>
      <w:r>
        <w:t>. Overall, lower pH levels result in more alanine ester substituents and less binding of Mg</w:t>
      </w:r>
      <w:r>
        <w:rPr>
          <w:vertAlign w:val="superscript"/>
        </w:rPr>
        <w:t>2+</w:t>
      </w:r>
      <w:r>
        <w:t xml:space="preserve">. Charge modulation of TA by D-alanylation is essential for cell defence and ion homeostasis </w:t>
      </w:r>
      <w:r>
        <w:fldChar w:fldCharType="begin" w:fldLock="1"/>
      </w:r>
      <w:r w:rsidR="00DA0A83">
        <w:instrText>ADDIN CSL_CITATION {"citationItems":[{"id":"ITEM-1","itemData":{"DOI":"10.1002/bies.201700045","ISSN":"15211878","author":[{"dropping-particle":"","family":"Erickson","given":"Harold P","non-dropping-particle":"","parse-names":false,"suffix":""}],"container-title":"BioEssays","id":"ITEM-1","issue":"8","issued":{"date-parts":[["2017"]]},"page":"1-10","title":"How bacterial cell division might cheat turgor pressure – a unified mechanism of septal division in Gram-positive and Gram-negative bacteria","type":"article","volume":"39"},"uris":["http://www.mendeley.com/documents/?uuid=814c8e5c-6117-4fba-bc70-e9c869a2578a"]}],"mendeley":{"formattedCitation":"&lt;sup&gt;[88]&lt;/sup&gt;","plainTextFormattedCitation":"[88]","previouslyFormattedCitation":"&lt;sup&gt;[88]&lt;/sup&gt;"},"properties":{"noteIndex":0},"schema":"https://github.com/citation-style-language/schema/raw/master/csl-citation.json"}</w:instrText>
      </w:r>
      <w:r>
        <w:fldChar w:fldCharType="separate"/>
      </w:r>
      <w:r w:rsidR="00DA0A83" w:rsidRPr="00DA0A83">
        <w:rPr>
          <w:noProof/>
          <w:vertAlign w:val="superscript"/>
        </w:rPr>
        <w:t>[88]</w:t>
      </w:r>
      <w:r>
        <w:fldChar w:fldCharType="end"/>
      </w:r>
      <w:r>
        <w:t xml:space="preserve">. </w:t>
      </w:r>
      <w:r w:rsidR="00AC130E">
        <w:t xml:space="preserve">TA </w:t>
      </w:r>
      <w:r w:rsidR="00E9459C">
        <w:t xml:space="preserve">are also thought to </w:t>
      </w:r>
      <w:r w:rsidR="00AC130E">
        <w:t>be responsible for the maintenance of the exoplasmic space</w:t>
      </w:r>
      <w:r w:rsidR="00E9459C">
        <w:t xml:space="preserve"> in the following ways</w:t>
      </w:r>
      <w:r>
        <w:t>:</w:t>
      </w:r>
    </w:p>
    <w:p w14:paraId="6D60BEBD" w14:textId="4F65F3A3" w:rsidR="00594B47" w:rsidRDefault="00594B47" w:rsidP="000C5B8A"/>
    <w:p w14:paraId="15409A7F" w14:textId="6A73AB4A" w:rsidR="00171AE4" w:rsidRDefault="00171AE4" w:rsidP="000C5B8A"/>
    <w:p w14:paraId="727F15B7" w14:textId="77777777" w:rsidR="00171AE4" w:rsidRDefault="00171AE4" w:rsidP="000C5B8A"/>
    <w:p w14:paraId="6A6F8990" w14:textId="3E6BDB4B" w:rsidR="000C5B8A" w:rsidRPr="00844665" w:rsidRDefault="000C5B8A" w:rsidP="000C5B8A">
      <w:pPr>
        <w:pStyle w:val="BodyThesis"/>
        <w:rPr>
          <w:b/>
          <w:bCs/>
        </w:rPr>
      </w:pPr>
      <w:r w:rsidRPr="00844665">
        <w:rPr>
          <w:b/>
          <w:bCs/>
        </w:rPr>
        <w:lastRenderedPageBreak/>
        <w:t xml:space="preserve">(1) </w:t>
      </w:r>
      <w:r>
        <w:rPr>
          <w:b/>
          <w:bCs/>
        </w:rPr>
        <w:t xml:space="preserve">TA– the </w:t>
      </w:r>
      <w:r w:rsidRPr="00844665">
        <w:rPr>
          <w:b/>
          <w:bCs/>
        </w:rPr>
        <w:t xml:space="preserve">OPGs </w:t>
      </w:r>
      <w:r>
        <w:rPr>
          <w:b/>
          <w:bCs/>
        </w:rPr>
        <w:t>of</w:t>
      </w:r>
      <w:r w:rsidRPr="00844665">
        <w:rPr>
          <w:b/>
          <w:bCs/>
        </w:rPr>
        <w:t xml:space="preserve"> Gram-</w:t>
      </w:r>
      <w:r>
        <w:rPr>
          <w:b/>
          <w:bCs/>
        </w:rPr>
        <w:t>positive</w:t>
      </w:r>
      <w:r w:rsidRPr="00844665">
        <w:rPr>
          <w:b/>
          <w:bCs/>
        </w:rPr>
        <w:t xml:space="preserve"> bacteria.</w:t>
      </w:r>
    </w:p>
    <w:p w14:paraId="53FD4A61" w14:textId="191D19E3" w:rsidR="000C5B8A" w:rsidRDefault="000C5B8A" w:rsidP="000C5B8A">
      <w:pPr>
        <w:pStyle w:val="BodyThesis"/>
      </w:pPr>
      <w:r>
        <w:t xml:space="preserve">Studies have suggested that membrane-bound polymers, including LTA, could be responsible for the maintenance of the </w:t>
      </w:r>
      <w:r w:rsidRPr="00844665">
        <w:t>exoplasmic</w:t>
      </w:r>
      <w:r>
        <w:t xml:space="preserve"> space, playing the equivalent role to OPGs in Gram-negatives </w:t>
      </w:r>
      <w:r>
        <w:fldChar w:fldCharType="begin" w:fldLock="1"/>
      </w:r>
      <w:r w:rsidR="005F2DD4">
        <w:instrText xml:space="preserve">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d0573240-3d12-4cf9-8413-79fe8dd7149d"]},{"id":"ITEM-2","itemData":{"DOI":"10.1002/bies.201700045","ISSN":"15211878","author":[{"dropping-particle":"","family":"Erickson","given":"Harold P","non-dropping-particle":"","parse-names":false,"suffix":""}],"container-title":"BioEssays","id":"ITEM-2","issue":"8","issued":{"date-parts":[["2017"]]},"page":"1-10","title":"How bacterial cell division might cheat turgor pressure – a unified mechanism of septal division in Gram-positive and Gram-negative bacteria","type":"article","volume":"39"},"uris":["http://www.mendeley.com/documents/?uuid=814c8e5c-6117-4fba-bc70-e9c869a2578a"]},{"id":"ITEM-3","itemData":{"DOI":"10.3389/fmicb.2021.664704","ISSN":"1664302X","abstract":"The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F2DD4">
        <w:rPr>
          <w:rFonts w:ascii="Cambria Math" w:hAnsi="Cambria Math" w:cs="Cambria Math"/>
        </w:rPr>
        <w:instrText>∼</w:instrText>
      </w:r>
      <w:r w:rsidR="005F2DD4">
        <w:instrText xml:space="preserve">0.5 M, which would bring in </w:instrText>
      </w:r>
      <w:r w:rsidR="005F2DD4">
        <w:rPr>
          <w:rFonts w:ascii="Cambria Math" w:hAnsi="Cambria Math" w:cs="Cambria Math"/>
        </w:rPr>
        <w:instrText>∼</w:instrText>
      </w:r>
      <w:r w:rsidR="005F2DD4">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Microbiology","id":"ITEM-3","issue":"May","issued":{"date-parts":[["2021"]]},"page":"1-11","title":"How Teichoic Acids Could Support a Periplasm in Gram-Positive Bacteria, and Let Cell Division Cheat Turgor Pressure","type":"article-journal","volume":"12"},"uris":["http://www.mendeley.com/documents/?uuid=8e106983-147c-42ae-88fd-3e44783b571f"]},{"id":"ITEM-4","itemData":{"DOI":"10.1128/JB.01221-08","ISBN":"1098-5530 (Electronic)\\r0021-9193 (Linking)","ISSN":"00219193","PMID":"18952789","abstract":"Lipoteichoic acid (LTA) is one of two anionic polymers on the surface of the gram-positive bacterium Staphylococcus aureus. LTA is critical for the bacterium-host cell interaction and has recently been shown to be required for cell growth and division. To determine additional biological roles of LTA, we found it necessary to identify permissive conditions for the growth of an LTA-deficient mutant. We found that an LTA-deficient S. aureus Delta ltaS mutant could grow at 30 degrees C but not at 37 degrees C. Even at the permissive temperature, Delta ltaS mutant cells had aberrant cell division and separation, decreased autolysis, and reduced levels of peptidoglycan hydrolases. Upshift of Delta ltaS mutant cells to a nonpermissive temperature caused an inability to exclude Sytox green dye. A high-osmolarity growth medium remarkably rescued the colony-forming ability of the Delta ltaS mutant at 37 degrees C, indicating that LTA synthesis is required for growth under low-osmolarity conditions. In addition, the Delta ltaS mutation was found to be synthetically lethal with the Delta tagO mutation, which disrupts the synthesis of the other anionic polymer, wall teichoic acid (WTA), at 30 degrees C, suggesting that LTA and WTA compensate for one another in an essential function.","author":[{"dropping-particle":"","family":"Oku","given":"Yusuke","non-dropping-particle":"","parse-names":false,"suffix":""},{"dropping-particle":"","family":"Kurokawa","given":"Kenji","non-dropping-particle":"","parse-names":false,"suffix":""},{"dropping-particle":"","family":"Matsuo","given":"Miki","non-dropping-particle":"","parse-names":false,"suffix":""},{"dropping-particle":"","family":"Yamada","given":"Sakuo","non-dropping-particle":"","parse-names":false,"suffix":""},{"dropping-particle":"","family":"Lee","given":"Bok Luel","non-dropping-particle":"","parse-names":false,"suffix":""},{"dropping-particle":"","family":"Sekimizu","given":"Kazuhisa","non-dropping-particle":"","parse-names":false,"suffix":""}],"container-title":"Journal of Bacteriology","id":"ITEM-4","issue":"1","issued":{"date-parts":[["2009"]]},"page":"141-151","title":"Pleiotropic roles of polyglycerolphosphate synthase of lipoteichoic acid in growth of Staphylococcus aureus cells","type":"article-journal","volume":"91"},"uris":["http://www.mendeley.com/documents/?uuid=e654d4a5-6a63-46cd-9e2b-a2a36f52bd7e"]}],"mendeley":{"formattedCitation":"&lt;sup&gt;[16,88,91,166]&lt;/sup&gt;","plainTextFormattedCitation":"[16,88,91,166]","previouslyFormattedCitation":"&lt;sup&gt;[16,88,91,166]&lt;/sup&gt;"},"properties":{"noteIndex":0},"schema":"https://github.com/citation-style-language/schema/raw/master/csl-citation.json"}</w:instrText>
      </w:r>
      <w:r>
        <w:fldChar w:fldCharType="separate"/>
      </w:r>
      <w:r w:rsidR="0054658D" w:rsidRPr="0054658D">
        <w:rPr>
          <w:noProof/>
          <w:vertAlign w:val="superscript"/>
        </w:rPr>
        <w:t>[16,88,91,166]</w:t>
      </w:r>
      <w:r>
        <w:fldChar w:fldCharType="end"/>
      </w:r>
      <w:r>
        <w:t xml:space="preserve">. The polyanionic chains of glycerol phosphate and their binding capabilities to neutralising cations </w:t>
      </w:r>
      <w:r w:rsidR="009C0B2D">
        <w:t>such as</w:t>
      </w:r>
      <w:r>
        <w:t xml:space="preserve"> </w:t>
      </w:r>
      <w:r w:rsidRPr="000E08A7">
        <w:t>Mg</w:t>
      </w:r>
      <w:r>
        <w:rPr>
          <w:vertAlign w:val="superscript"/>
        </w:rPr>
        <w:t>2+</w:t>
      </w:r>
      <w:r>
        <w:t xml:space="preserve"> could maintain the osmolality of the exoplasm to match that of the cytoplasm. </w:t>
      </w:r>
      <w:r w:rsidRPr="007201F1">
        <w:t xml:space="preserve">This </w:t>
      </w:r>
      <w:r>
        <w:t xml:space="preserve">theory is supported by previous work </w:t>
      </w:r>
      <w:r w:rsidR="00B64B2C">
        <w:t>showing that</w:t>
      </w:r>
      <w:r>
        <w:t xml:space="preserve"> LTA-depleted mutants are only viable in media with high concentrations of sucrose or salts, confirming that LTA are necessary for growth in low-osmolarity conditions </w:t>
      </w:r>
      <w:r>
        <w:fldChar w:fldCharType="begin" w:fldLock="1"/>
      </w:r>
      <w:r w:rsidR="00260ACA">
        <w:instrText>ADDIN CSL_CITATION {"citationItems":[{"id":"ITEM-1","itemData":{"DOI":"10.1128/JB.01221-08","ISBN":"1098-5530 (Electronic)\\r0021-9193 (Linking)","ISSN":"00219193","PMID":"18952789","abstract":"Lipoteichoic acid (LTA) is one of two anionic polymers on the surface of the gram-positive bacterium Staphylococcus aureus. LTA is critical for the bacterium-host cell interaction and has recently been shown to be required for cell growth and division. To determine additional biological roles of LTA, we found it necessary to identify permissive conditions for the growth of an LTA-deficient mutant. We found that an LTA-deficient S. aureus Delta ltaS mutant could grow at 30 degrees C but not at 37 degrees C. Even at the permissive temperature, Delta ltaS mutant cells had aberrant cell division and separation, decreased autolysis, and reduced levels of peptidoglycan hydrolases. Upshift of Delta ltaS mutant cells to a nonpermissive temperature caused an inability to exclude Sytox green dye. A high-osmolarity growth medium remarkably rescued the colony-forming ability of the Delta ltaS mutant at 37 degrees C, indicating that LTA synthesis is required for growth under low-osmolarity conditions. In addition, the Delta ltaS mutation was found to be synthetically lethal with the Delta tagO mutation, which disrupts the synthesis of the other anionic polymer, wall teichoic acid (WTA), at 30 degrees C, suggesting that LTA and WTA compensate for one another in an essential function.","author":[{"dropping-particle":"","family":"Oku","given":"Yusuke","non-dropping-particle":"","parse-names":false,"suffix":""},{"dropping-particle":"","family":"Kurokawa","given":"Kenji","non-dropping-particle":"","parse-names":false,"suffix":""},{"dropping-particle":"","family":"Matsuo","given":"Miki","non-dropping-particle":"","parse-names":false,"suffix":""},{"dropping-particle":"","family":"Yamada","given":"Sakuo","non-dropping-particle":"","parse-names":false,"suffix":""},{"dropping-particle":"","family":"Lee","given":"Bok Luel","non-dropping-particle":"","parse-names":false,"suffix":""},{"dropping-particle":"","family":"Sekimizu","given":"Kazuhisa","non-dropping-particle":"","parse-names":false,"suffix":""}],"container-title":"Journal of Bacteriology","id":"ITEM-1","issue":"1","issued":{"date-parts":[["2009"]]},"page":"141-151","title":"Pleiotropic roles of polyglycerolphosphate synthase of lipoteichoic acid in growth of Staphylococcus aureus cells","type":"article-journal","volume":"91"},"uris":["http://www.mendeley.com/documents/?uuid=e654d4a5-6a63-46cd-9e2b-a2a36f52bd7e"]},{"id":"ITEM-2","itemData":{"DOI":"10.1073/pnas.0701821104","ISBN":"0027-8424 (Print)\\r0027-8424 (Linking)","ISSN":"0027-8424","PMID":"17483484","abstract":"Lipoteichoic acid (LTA), a glycerol phosphate surface polymer, is a component of the envelope of Gram-positive bacteria. However, the molecular basis for its synthesis or function is not known. Here we report that Staphylococcus aureus LtaS synthesizes glycerol phosphate LTA. Construction of a mutant S. aureus strain with inducible ltaS expression revealed that LTA synthesis is required for bacterial growth and cell division. An ltaS homologue of Bacillus subtilis restored LTA synthesis and the growth of ltaS mutant staphylococci. Thus, LtaS inhibition can be used as a target to treat human infections caused by antibiotic-resistant S. aureus or other bacterial pathogens.","author":[{"dropping-particle":"","family":"Grundling","given":"A.","non-dropping-particle":"","parse-names":false,"suffix":""},{"dropping-particle":"","family":"Schneewind","given":"O.","non-dropping-particle":"","parse-names":false,"suffix":""}],"container-title":"Proceedings of the National Academy of Sciences","id":"ITEM-2","issue":"20","issued":{"date-parts":[["2007"]]},"page":"8478-8483","title":"Synthesis of glycerol phosphate lipoteichoic acid in Staphylococcus aureus","type":"article-journal","volume":"104"},"uris":["http://www.mendeley.com/documents/?uuid=33b7fcb3-ffde-4606-8a67-126926b4d10a"]},{"id":"ITEM-3","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Pathogens","id":"ITEM-3","issue":"9","issued":{"date-parts":[["2011"]]},"title":"C-di-amp is a new second messenger in staphylococcus aureus with a role in controlling cell size and envelope stress","type":"article-journal","volume":"7"},"uris":["http://www.mendeley.com/documents/?uuid=6999529d-9f41-47d1-a708-ec2e7a140162"]}],"mendeley":{"formattedCitation":"&lt;sup&gt;[63,91,99]&lt;/sup&gt;","plainTextFormattedCitation":"[63,91,99]","previouslyFormattedCitation":"&lt;sup&gt;[63,91,99]&lt;/sup&gt;"},"properties":{"noteIndex":0},"schema":"https://github.com/citation-style-language/schema/raw/master/csl-citation.json"}</w:instrText>
      </w:r>
      <w:r>
        <w:fldChar w:fldCharType="separate"/>
      </w:r>
      <w:r w:rsidR="00C825F9" w:rsidRPr="00C825F9">
        <w:rPr>
          <w:noProof/>
          <w:vertAlign w:val="superscript"/>
        </w:rPr>
        <w:t>[63,91,99]</w:t>
      </w:r>
      <w:r>
        <w:fldChar w:fldCharType="end"/>
      </w:r>
      <w:r>
        <w:t xml:space="preserve">. </w:t>
      </w:r>
      <w:r w:rsidR="00997B7E">
        <w:t xml:space="preserve">At the time of writing this thesis, </w:t>
      </w:r>
      <w:r>
        <w:t xml:space="preserve">Erickson (2021) </w:t>
      </w:r>
      <w:r>
        <w:fldChar w:fldCharType="begin" w:fldLock="1"/>
      </w:r>
      <w:r w:rsidR="005F2DD4">
        <w:instrText xml:space="preserve">ADDIN CSL_CITATION {"citationItems":[{"id":"ITEM-1","itemData":{"DOI":"10.3389/fmicb.2021.664704","ISSN":"1664302X","abstract":"The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F2DD4">
        <w:rPr>
          <w:rFonts w:ascii="Cambria Math" w:hAnsi="Cambria Math" w:cs="Cambria Math"/>
        </w:rPr>
        <w:instrText>∼</w:instrText>
      </w:r>
      <w:r w:rsidR="005F2DD4">
        <w:instrText xml:space="preserve">0.5 M, which would bring in </w:instrText>
      </w:r>
      <w:r w:rsidR="005F2DD4">
        <w:rPr>
          <w:rFonts w:ascii="Cambria Math" w:hAnsi="Cambria Math" w:cs="Cambria Math"/>
        </w:rPr>
        <w:instrText>∼</w:instrText>
      </w:r>
      <w:r w:rsidR="005F2DD4">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Microbiology","id":"ITEM-1","issue":"May","issued":{"date-parts":[["2021"]]},"page":"1-11","title":"How Teichoic Acids Could Support a Periplasm in Gram-Positive Bacteria, and Let Cell Division Cheat Turgor Pressure","type":"article-journal","volume":"12"},"uris":["http://www.mendeley.com/documents/?uuid=8e106983-147c-42ae-88fd-3e44783b571f"]}],"mendeley":{"formattedCitation":"&lt;sup&gt;[166]&lt;/sup&gt;","plainTextFormattedCitation":"[166]","previouslyFormattedCitation":"&lt;sup&gt;[166]&lt;/sup&gt;"},"properties":{"noteIndex":0},"schema":"https://github.com/citation-style-language/schema/raw/master/csl-citation.json"}</w:instrText>
      </w:r>
      <w:r>
        <w:fldChar w:fldCharType="separate"/>
      </w:r>
      <w:r w:rsidR="0054658D" w:rsidRPr="0054658D">
        <w:rPr>
          <w:noProof/>
          <w:vertAlign w:val="superscript"/>
        </w:rPr>
        <w:t>[166]</w:t>
      </w:r>
      <w:r>
        <w:fldChar w:fldCharType="end"/>
      </w:r>
      <w:r>
        <w:t xml:space="preserve"> </w:t>
      </w:r>
      <w:r w:rsidR="00997B7E">
        <w:t>published a detailed model for the maintenance of the exoplasmic space</w:t>
      </w:r>
      <w:r w:rsidR="00BD100E">
        <w:t xml:space="preserve"> which coincides with </w:t>
      </w:r>
      <w:r w:rsidR="00FF2C16">
        <w:t>this</w:t>
      </w:r>
      <w:r w:rsidR="00BD100E">
        <w:t xml:space="preserve"> theory</w:t>
      </w:r>
      <w:r w:rsidR="00997B7E">
        <w:t xml:space="preserve">. </w:t>
      </w:r>
      <w:r w:rsidR="00033E7B">
        <w:t>This published work</w:t>
      </w:r>
      <w:r w:rsidR="00997B7E">
        <w:t xml:space="preserve"> </w:t>
      </w:r>
      <w:r>
        <w:t xml:space="preserve">gives a quantitative example describing the net concentration of negatively charged phosphate groups present in both WTA and LTA in the exoplasm (~ 0.5 M), and how that can </w:t>
      </w:r>
      <w:r w:rsidR="00F31A4D">
        <w:t>attract</w:t>
      </w:r>
      <w:r>
        <w:t xml:space="preserve"> a</w:t>
      </w:r>
      <w:r w:rsidR="00F31A4D">
        <w:t xml:space="preserve"> sufficient</w:t>
      </w:r>
      <w:r>
        <w:t xml:space="preserve"> concentration of cations able to neutralise TA </w:t>
      </w:r>
      <w:r w:rsidR="00285D93">
        <w:t xml:space="preserve">and </w:t>
      </w:r>
      <w:r>
        <w:t xml:space="preserve">anionic membrane proteins, </w:t>
      </w:r>
      <w:r w:rsidR="00A15282">
        <w:t>to</w:t>
      </w:r>
      <w:r>
        <w:t xml:space="preserve"> balance the excess osmolality of the cytoplasm. However, Erickson proposes that, especially for growth in high salt media, an additional force is necessary to maintain the exoplasmic space.</w:t>
      </w:r>
    </w:p>
    <w:p w14:paraId="371B48C0" w14:textId="77351DD0" w:rsidR="000C5B8A" w:rsidRDefault="000C5B8A" w:rsidP="000C5B8A">
      <w:pPr>
        <w:pStyle w:val="BodyThesis"/>
        <w:rPr>
          <w:b/>
          <w:bCs/>
        </w:rPr>
      </w:pPr>
      <w:r>
        <w:rPr>
          <w:b/>
          <w:bCs/>
        </w:rPr>
        <w:t xml:space="preserve">(2) </w:t>
      </w:r>
      <w:r w:rsidR="00D5735C">
        <w:rPr>
          <w:b/>
          <w:bCs/>
        </w:rPr>
        <w:t>TA electrostatic repulsion</w:t>
      </w:r>
      <w:r>
        <w:rPr>
          <w:b/>
          <w:bCs/>
        </w:rPr>
        <w:t xml:space="preserve"> </w:t>
      </w:r>
      <w:r w:rsidR="00D5735C">
        <w:rPr>
          <w:b/>
          <w:bCs/>
        </w:rPr>
        <w:t>maintains</w:t>
      </w:r>
      <w:r>
        <w:rPr>
          <w:b/>
          <w:bCs/>
        </w:rPr>
        <w:t xml:space="preserve"> the exoplasmic space.</w:t>
      </w:r>
    </w:p>
    <w:p w14:paraId="2CC2BB9A" w14:textId="71E17765" w:rsidR="000C5B8A" w:rsidRDefault="000C5B8A" w:rsidP="000C5B8A">
      <w:pPr>
        <w:pStyle w:val="BodyThesis"/>
      </w:pPr>
      <w:r>
        <w:t xml:space="preserve">LTA </w:t>
      </w:r>
      <w:r w:rsidR="00464064">
        <w:t xml:space="preserve">in </w:t>
      </w:r>
      <w:r w:rsidR="00464064">
        <w:rPr>
          <w:i/>
          <w:iCs/>
        </w:rPr>
        <w:t xml:space="preserve">S. aureus </w:t>
      </w:r>
      <w:r w:rsidR="00464064">
        <w:t xml:space="preserve">typically </w:t>
      </w:r>
      <w:r w:rsidR="00874510">
        <w:t xml:space="preserve">consists </w:t>
      </w:r>
      <w:r w:rsidR="003E5F96">
        <w:t xml:space="preserve">of </w:t>
      </w:r>
      <w:r w:rsidR="00464064">
        <w:t>a</w:t>
      </w:r>
      <w:r w:rsidR="00FD4E10">
        <w:t>n average of</w:t>
      </w:r>
      <w:r w:rsidR="00464064">
        <w:t xml:space="preserve"> </w:t>
      </w:r>
      <w:r>
        <w:t>22 nm long</w:t>
      </w:r>
      <w:r w:rsidR="00464064">
        <w:t xml:space="preserve"> chain of</w:t>
      </w:r>
      <w:r w:rsidR="00874510">
        <w:t xml:space="preserve"> </w:t>
      </w:r>
      <w:r w:rsidR="00FD4E10">
        <w:t>25</w:t>
      </w:r>
      <w:r w:rsidR="001D3141">
        <w:t xml:space="preserve"> </w:t>
      </w:r>
      <w:r w:rsidR="00874510">
        <w:t>polyglycerol</w:t>
      </w:r>
      <w:r w:rsidR="0013257E">
        <w:t xml:space="preserve"> </w:t>
      </w:r>
      <w:r w:rsidR="00874510">
        <w:t>phosphate (Gro</w:t>
      </w:r>
      <w:r w:rsidR="00D62DD9">
        <w:t>-</w:t>
      </w:r>
      <w:r w:rsidR="00874510">
        <w:t xml:space="preserve">P) </w:t>
      </w:r>
      <w:r w:rsidR="00464064">
        <w:t>units</w:t>
      </w:r>
      <w:r>
        <w:t xml:space="preserve"> anchored to the PM and spaced 2 nm </w:t>
      </w:r>
      <w:r w:rsidR="008A2060">
        <w:t>apart</w:t>
      </w:r>
      <w:r w:rsidR="00CA4769">
        <w:t xml:space="preserve"> </w:t>
      </w:r>
      <w:r w:rsidR="00CA4769">
        <w:fldChar w:fldCharType="begin" w:fldLock="1"/>
      </w:r>
      <w:r w:rsidR="0058736C">
        <w:instrText xml:space="preserve">ADDIN CSL_CITATION {"citationItems":[{"id":"ITEM-1","itemData":{"DOI":"10.3389/fmicb.2021.664704","ISSN":"1664302X","abstract":"The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8736C">
        <w:rPr>
          <w:rFonts w:ascii="Cambria Math" w:hAnsi="Cambria Math" w:cs="Cambria Math"/>
        </w:rPr>
        <w:instrText>∼</w:instrText>
      </w:r>
      <w:r w:rsidR="0058736C">
        <w:instrText xml:space="preserve">0.5 M, which would bring in </w:instrText>
      </w:r>
      <w:r w:rsidR="0058736C">
        <w:rPr>
          <w:rFonts w:ascii="Cambria Math" w:hAnsi="Cambria Math" w:cs="Cambria Math"/>
        </w:rPr>
        <w:instrText>∼</w:instrText>
      </w:r>
      <w:r w:rsidR="0058736C">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Microbiology","id":"ITEM-1","issue":"May","issued":{"date-parts":[["2021"]]},"page":"1-11","title":"How Teichoic Acids Could Support a Periplasm in Gram-Positive Bacteria, and Let Cell Division Cheat Turgor Pressure","type":"article-journal","volume":"12"},"uris":["http://www.mendeley.com/documents/?uuid=8e106983-147c-42ae-88fd-3e44783b571f"]},{"id":"ITEM-2","itemData":{"DOI":"10.1146/annurev-micro-091213-112949","ISBN":"10.1146/annurev-micro-091213-112949","ISSN":"0066-4227","PMID":"24819367","abstract":"Lipoteichoic acid (LTA) is an important cell wall polymer found in grampositive bacteria. Although the exact role of LTA is unknown, mutants display significant growth and physiological defects. Additionally, modification of the LTA backbone structure can provide protection against cationic antimicrobial peptides. This review provides an overview of the different LTA types and their chemical structures and synthesis pathways. The occurrence and mechanisms of LTA modifications with D-alanyl, glycosyl, and phosphocholine residues will be discussed along with their functions. Similarities between the production of type I LTA and osmoregulated periplasmic glucans in gram-negative bacteria are highlighted, indicating that LTA should perhaps be compared to these polymers rather than lipopolysaccharide, as is presently the case. Lastly, current efforts to use LTAs as vaccine candidates, synthesis proteins as novel antimicrobial targets, and LTA mutant strains as improved probiotics are highlighted. Expected final online publication date for the Annual Review of Microbiology Volume 68 is September 08, 2014. Please see http://www.annualreviews.org/catalog/pubdates.aspx for revised estimates.","author":[{"dropping-particle":"","family":"Percy","given":"Matthew G.","non-dropping-particle":"","parse-names":false,"suffix":""},{"dropping-particle":"","family":"Gründling","given":"Angelika","non-dropping-particle":"","parse-names":false,"suffix":""}],"container-title":"Annual Review of Microbiology","id":"ITEM-2","issue":"1","issued":{"date-parts":[["2014"]]},"page":"81-100","title":"Lipoteichoic Acid Synthesis and Function in Gram-Positive Bacteria","type":"article-journal","volume":"68"},"uris":["http://www.mendeley.com/documents/?uuid=af8cb132-f102-4339-911c-a62fb3fb6a02"]}],"mendeley":{"formattedCitation":"&lt;sup&gt;[166,272]&lt;/sup&gt;","plainTextFormattedCitation":"[166,272]","previouslyFormattedCitation":"&lt;sup&gt;[166,272]&lt;/sup&gt;"},"properties":{"noteIndex":0},"schema":"https://github.com/citation-style-language/schema/raw/master/csl-citation.json"}</w:instrText>
      </w:r>
      <w:r w:rsidR="00CA4769">
        <w:fldChar w:fldCharType="separate"/>
      </w:r>
      <w:r w:rsidR="002659E5" w:rsidRPr="002659E5">
        <w:rPr>
          <w:noProof/>
          <w:vertAlign w:val="superscript"/>
        </w:rPr>
        <w:t>[166,272]</w:t>
      </w:r>
      <w:r w:rsidR="00CA4769">
        <w:fldChar w:fldCharType="end"/>
      </w:r>
      <w:r>
        <w:t xml:space="preserve">. Electrostatic repulsion within and between each </w:t>
      </w:r>
      <w:r w:rsidR="00B66824">
        <w:t>chain</w:t>
      </w:r>
      <w:r>
        <w:t xml:space="preserve">, the lack of space between each other, and </w:t>
      </w:r>
      <w:r w:rsidR="003E5F96">
        <w:t xml:space="preserve">the </w:t>
      </w:r>
      <w:r>
        <w:t xml:space="preserve">reduced entropy of the chains and the counterions forces </w:t>
      </w:r>
      <w:r w:rsidR="008A2060">
        <w:t>LTA</w:t>
      </w:r>
      <w:r>
        <w:t xml:space="preserve"> to extend into a polymer brush conformation </w:t>
      </w:r>
      <w:r>
        <w:fldChar w:fldCharType="begin" w:fldLock="1"/>
      </w:r>
      <w:r w:rsidR="005F2DD4">
        <w:instrText xml:space="preserve">ADDIN CSL_CITATION {"citationItems":[{"id":"ITEM-1","itemData":{"DOI":"10.3389/fmicb.2021.664704","ISSN":"1664302X","abstract":"The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F2DD4">
        <w:rPr>
          <w:rFonts w:ascii="Cambria Math" w:hAnsi="Cambria Math" w:cs="Cambria Math"/>
        </w:rPr>
        <w:instrText>∼</w:instrText>
      </w:r>
      <w:r w:rsidR="005F2DD4">
        <w:instrText xml:space="preserve">0.5 M, which would bring in </w:instrText>
      </w:r>
      <w:r w:rsidR="005F2DD4">
        <w:rPr>
          <w:rFonts w:ascii="Cambria Math" w:hAnsi="Cambria Math" w:cs="Cambria Math"/>
        </w:rPr>
        <w:instrText>∼</w:instrText>
      </w:r>
      <w:r w:rsidR="005F2DD4">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Microbiology","id":"ITEM-1","issue":"May","issued":{"date-parts":[["2021"]]},"page":"1-11","title":"How Teichoic Acids Could Support a Periplasm in Gram-Positive Bacteria, and Let Cell Division Cheat Turgor Pressure","type":"article-journal","volume":"12"},"uris":["http://www.mendeley.com/documents/?uuid=8e106983-147c-42ae-88fd-3e44783b571f"]}],"mendeley":{"formattedCitation":"&lt;sup&gt;[166]&lt;/sup&gt;","plainTextFormattedCitation":"[166]","previouslyFormattedCitation":"&lt;sup&gt;[166]&lt;/sup&gt;"},"properties":{"noteIndex":0},"schema":"https://github.com/citation-style-language/schema/raw/master/csl-citation.json"}</w:instrText>
      </w:r>
      <w:r>
        <w:fldChar w:fldCharType="separate"/>
      </w:r>
      <w:r w:rsidR="0054658D" w:rsidRPr="0054658D">
        <w:rPr>
          <w:noProof/>
          <w:vertAlign w:val="superscript"/>
        </w:rPr>
        <w:t>[166]</w:t>
      </w:r>
      <w:r>
        <w:fldChar w:fldCharType="end"/>
      </w:r>
      <w:r>
        <w:t xml:space="preserve">. </w:t>
      </w:r>
      <w:r w:rsidR="009133E3">
        <w:t>A similar polymer brush occurs with WTA that extend inwards into the exoplasm, from the CW</w:t>
      </w:r>
      <w:r w:rsidR="00DD295E">
        <w:t xml:space="preserve"> </w:t>
      </w:r>
      <w:r w:rsidR="009133E3">
        <w:fldChar w:fldCharType="begin" w:fldLock="1"/>
      </w:r>
      <w:r w:rsidR="005F2DD4">
        <w:instrText xml:space="preserve">ADDIN CSL_CITATION {"citationItems":[{"id":"ITEM-1","itemData":{"DOI":"10.3389/fmicb.2021.664704","ISSN":"1664302X","abstract":"The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F2DD4">
        <w:rPr>
          <w:rFonts w:ascii="Cambria Math" w:hAnsi="Cambria Math" w:cs="Cambria Math"/>
        </w:rPr>
        <w:instrText>∼</w:instrText>
      </w:r>
      <w:r w:rsidR="005F2DD4">
        <w:instrText xml:space="preserve">0.5 M, which would bring in </w:instrText>
      </w:r>
      <w:r w:rsidR="005F2DD4">
        <w:rPr>
          <w:rFonts w:ascii="Cambria Math" w:hAnsi="Cambria Math" w:cs="Cambria Math"/>
        </w:rPr>
        <w:instrText>∼</w:instrText>
      </w:r>
      <w:r w:rsidR="005F2DD4">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Microbiology","id":"ITEM-1","issue":"May","issued":{"date-parts":[["2021"]]},"page":"1-11","title":"How Teichoic Acids Could Support a Periplasm in Gram-Positive Bacteria, and Let Cell Division Cheat Turgor Pressure","type":"article-journal","volume":"12"},"uris":["http://www.mendeley.com/documents/?uuid=8e106983-147c-42ae-88fd-3e44783b571f"]}],"mendeley":{"formattedCitation":"&lt;sup&gt;[166]&lt;/sup&gt;","plainTextFormattedCitation":"[166]","previouslyFormattedCitation":"&lt;sup&gt;[166]&lt;/sup&gt;"},"properties":{"noteIndex":0},"schema":"https://github.com/citation-style-language/schema/raw/master/csl-citation.json"}</w:instrText>
      </w:r>
      <w:r w:rsidR="009133E3">
        <w:fldChar w:fldCharType="separate"/>
      </w:r>
      <w:r w:rsidR="0054658D" w:rsidRPr="0054658D">
        <w:rPr>
          <w:noProof/>
          <w:vertAlign w:val="superscript"/>
        </w:rPr>
        <w:t>[166]</w:t>
      </w:r>
      <w:r w:rsidR="009133E3">
        <w:fldChar w:fldCharType="end"/>
      </w:r>
      <w:r w:rsidR="009133E3">
        <w:t xml:space="preserve">. </w:t>
      </w:r>
      <w:r>
        <w:t xml:space="preserve">The physical chemical force of the </w:t>
      </w:r>
      <w:r w:rsidR="009133E3">
        <w:t xml:space="preserve">LTA </w:t>
      </w:r>
      <w:r>
        <w:t xml:space="preserve">brush generates pressure when pushed against a surface </w:t>
      </w:r>
      <w:r w:rsidR="000D4D91">
        <w:t xml:space="preserve">of the </w:t>
      </w:r>
      <w:r>
        <w:t>CW</w:t>
      </w:r>
      <w:r w:rsidR="000D4D91">
        <w:t>,</w:t>
      </w:r>
      <w:r w:rsidR="00557C32">
        <w:t xml:space="preserve"> where it encounter</w:t>
      </w:r>
      <w:r w:rsidR="00956F5B">
        <w:t>s</w:t>
      </w:r>
      <w:r w:rsidR="00557C32">
        <w:t xml:space="preserve"> the WTA brush, </w:t>
      </w:r>
      <w:r w:rsidR="001C254D">
        <w:t>generating</w:t>
      </w:r>
      <w:r w:rsidR="00557C32">
        <w:t xml:space="preserve"> an electrostatic repulsion between each other</w:t>
      </w:r>
      <w:r w:rsidR="00DA204D">
        <w:t xml:space="preserve"> (</w:t>
      </w:r>
      <w:r w:rsidR="00DA204D">
        <w:fldChar w:fldCharType="begin"/>
      </w:r>
      <w:r w:rsidR="00DA204D">
        <w:instrText xml:space="preserve"> REF _Ref73960314 \h </w:instrText>
      </w:r>
      <w:r w:rsidR="00DA204D">
        <w:fldChar w:fldCharType="separate"/>
      </w:r>
      <w:r w:rsidR="00183CC8">
        <w:t xml:space="preserve">Figure </w:t>
      </w:r>
      <w:r w:rsidR="00183CC8">
        <w:rPr>
          <w:noProof/>
        </w:rPr>
        <w:t>4</w:t>
      </w:r>
      <w:r w:rsidR="00183CC8">
        <w:t>.</w:t>
      </w:r>
      <w:r w:rsidR="00183CC8">
        <w:rPr>
          <w:noProof/>
        </w:rPr>
        <w:t>1</w:t>
      </w:r>
      <w:r w:rsidR="00DA204D">
        <w:fldChar w:fldCharType="end"/>
      </w:r>
      <w:r w:rsidR="00DA204D">
        <w:t>e)</w:t>
      </w:r>
      <w:r w:rsidR="00557C32">
        <w:t xml:space="preserve"> </w:t>
      </w:r>
      <w:r>
        <w:fldChar w:fldCharType="begin" w:fldLock="1"/>
      </w:r>
      <w:r w:rsidR="0058736C">
        <w:instrText xml:space="preserve">ADDIN CSL_CITATION {"citationItems":[{"id":"ITEM-1","itemData":{"DOI":"10.3389/fmicb.2021.664704","ISSN":"1664302X","abstract":"The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8736C">
        <w:rPr>
          <w:rFonts w:ascii="Cambria Math" w:hAnsi="Cambria Math" w:cs="Cambria Math"/>
        </w:rPr>
        <w:instrText>∼</w:instrText>
      </w:r>
      <w:r w:rsidR="0058736C">
        <w:instrText xml:space="preserve">0.5 M, which would bring in </w:instrText>
      </w:r>
      <w:r w:rsidR="0058736C">
        <w:rPr>
          <w:rFonts w:ascii="Cambria Math" w:hAnsi="Cambria Math" w:cs="Cambria Math"/>
        </w:rPr>
        <w:instrText>∼</w:instrText>
      </w:r>
      <w:r w:rsidR="0058736C">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Microbiology","id":"ITEM-1","issue":"May","issued":{"date-parts":[["2021"]]},"page":"1-11","title":"How Teichoic Acids Could Support a Periplasm in Gram-Positive Bacteria, and Let Cell Division Cheat Turgor Pressure","type":"article-journal","volume":"12"},"uris":["http://www.mendeley.com/documents/?uuid=8e106983-147c-42ae-88fd-3e44783b571f"]},{"id":"ITEM-2","itemData":{"DOI":"10.1039/c2sm25863c","ISSN":"17446848","abstract":"Intramolecular repulsion between charged monomers imposes intrinsic tension in a polyion, modifies its elasticity, and changes the dependence of polyelectrolyte brush thickness on salt concentration. We demonstrate that intrinsic polyion tension gives rise to a plateau of brush thickness in the middle of a salt dominated regime and to a subsequent steeper brush contraction with increasing salt concentration. © 2012 The Royal Society of Chemistry.","author":[{"dropping-particle":"","family":"Zhulina","given":"Ekaterina B","non-dropping-particle":"","parse-names":false,"suffix":""},{"dropping-particle":"","family":"Rubinstein","given":"Michael","non-dropping-particle":"","parse-names":false,"suffix":""}],"container-title":"Soft Matter","id":"ITEM-2","issue":"36","issued":{"date-parts":[["2012"]]},"page":"9376-9383","title":"Ionic strength dependence of polyelectrolyte brush thickness","type":"article-journal","volume":"8"},"uris":["http://www.mendeley.com/documents/?uuid=66104887-5e5b-3c99-811e-3e61b5d5ac33"]}],"mendeley":{"formattedCitation":"&lt;sup&gt;[166,273]&lt;/sup&gt;","plainTextFormattedCitation":"[166,273]","previouslyFormattedCitation":"&lt;sup&gt;[166,273]&lt;/sup&gt;"},"properties":{"noteIndex":0},"schema":"https://github.com/citation-style-language/schema/raw/master/csl-citation.json"}</w:instrText>
      </w:r>
      <w:r>
        <w:fldChar w:fldCharType="separate"/>
      </w:r>
      <w:r w:rsidR="002659E5" w:rsidRPr="002659E5">
        <w:rPr>
          <w:noProof/>
          <w:vertAlign w:val="superscript"/>
        </w:rPr>
        <w:t>[166,273]</w:t>
      </w:r>
      <w:r>
        <w:fldChar w:fldCharType="end"/>
      </w:r>
      <w:r>
        <w:t>. This theory</w:t>
      </w:r>
      <w:r w:rsidR="00DA204D">
        <w:t xml:space="preserve">, </w:t>
      </w:r>
      <w:r>
        <w:t xml:space="preserve">described by Erickson (2021) </w:t>
      </w:r>
      <w:r>
        <w:fldChar w:fldCharType="begin" w:fldLock="1"/>
      </w:r>
      <w:r w:rsidR="005F2DD4">
        <w:instrText xml:space="preserve">ADDIN CSL_CITATION {"citationItems":[{"id":"ITEM-1","itemData":{"DOI":"10.3389/fmicb.2021.664704","ISSN":"1664302X","abstract":"The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F2DD4">
        <w:rPr>
          <w:rFonts w:ascii="Cambria Math" w:hAnsi="Cambria Math" w:cs="Cambria Math"/>
        </w:rPr>
        <w:instrText>∼</w:instrText>
      </w:r>
      <w:r w:rsidR="005F2DD4">
        <w:instrText xml:space="preserve">0.5 M, which would bring in </w:instrText>
      </w:r>
      <w:r w:rsidR="005F2DD4">
        <w:rPr>
          <w:rFonts w:ascii="Cambria Math" w:hAnsi="Cambria Math" w:cs="Cambria Math"/>
        </w:rPr>
        <w:instrText>∼</w:instrText>
      </w:r>
      <w:r w:rsidR="005F2DD4">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Microbiology","id":"ITEM-1","issue":"May","issued":{"date-parts":[["2021"]]},"page":"1-11","title":"How Teichoic Acids Could Support a Periplasm in Gram-Positive Bacteria, and Let Cell Division Cheat Turgor Pressure","type":"article-journal","volume":"12"},"uris":["http://www.mendeley.com/documents/?uuid=8e106983-147c-42ae-88fd-3e44783b571f"]}],"mendeley":{"formattedCitation":"&lt;sup&gt;[166]&lt;/sup&gt;","plainTextFormattedCitation":"[166]","previouslyFormattedCitation":"&lt;sup&gt;[166]&lt;/sup&gt;"},"properties":{"noteIndex":0},"schema":"https://github.com/citation-style-language/schema/raw/master/csl-citation.json"}</w:instrText>
      </w:r>
      <w:r>
        <w:fldChar w:fldCharType="separate"/>
      </w:r>
      <w:r w:rsidR="0054658D" w:rsidRPr="0054658D">
        <w:rPr>
          <w:noProof/>
          <w:vertAlign w:val="superscript"/>
        </w:rPr>
        <w:t>[166]</w:t>
      </w:r>
      <w:r>
        <w:fldChar w:fldCharType="end"/>
      </w:r>
      <w:r w:rsidR="00DA204D">
        <w:t>,</w:t>
      </w:r>
      <w:r>
        <w:t xml:space="preserve"> assumes that </w:t>
      </w:r>
      <w:r w:rsidR="0047688A">
        <w:t>WTA are present in the exoplasm</w:t>
      </w:r>
      <w:r w:rsidR="00DA204D">
        <w:t xml:space="preserve">. It is believed that </w:t>
      </w:r>
      <w:r w:rsidR="0047688A">
        <w:t xml:space="preserve">these </w:t>
      </w:r>
      <w:r w:rsidR="00DA204D">
        <w:t>anionic polymers</w:t>
      </w:r>
      <w:r w:rsidR="00994BCE">
        <w:t xml:space="preserve"> covalently-bound </w:t>
      </w:r>
      <w:r w:rsidR="00DA204D">
        <w:t xml:space="preserve">to PG, </w:t>
      </w:r>
      <w:r w:rsidR="0047688A">
        <w:t>repuls</w:t>
      </w:r>
      <w:r w:rsidR="00DA204D">
        <w:t>e</w:t>
      </w:r>
      <w:r w:rsidR="0047688A">
        <w:t xml:space="preserve"> </w:t>
      </w:r>
      <w:r>
        <w:t xml:space="preserve">themselves and </w:t>
      </w:r>
      <w:r w:rsidR="00F01BBA">
        <w:t>protrude</w:t>
      </w:r>
      <w:r>
        <w:t xml:space="preserve"> outwards on both sides of the CW. This is consistent with studies that showed WTA poking out of the </w:t>
      </w:r>
      <w:r w:rsidR="00FE327F">
        <w:t xml:space="preserve">cell </w:t>
      </w:r>
      <w:r>
        <w:t xml:space="preserve">surface in </w:t>
      </w:r>
      <w:r w:rsidR="00981537">
        <w:t>EM</w:t>
      </w:r>
      <w:r>
        <w:t xml:space="preserve"> micrographs (</w:t>
      </w:r>
      <w:r>
        <w:fldChar w:fldCharType="begin"/>
      </w:r>
      <w:r>
        <w:instrText xml:space="preserve"> REF _Ref73960314 \h </w:instrText>
      </w:r>
      <w:r>
        <w:fldChar w:fldCharType="separate"/>
      </w:r>
      <w:r w:rsidR="00183CC8">
        <w:t xml:space="preserve">Figure </w:t>
      </w:r>
      <w:r w:rsidR="00183CC8">
        <w:rPr>
          <w:noProof/>
        </w:rPr>
        <w:t>4</w:t>
      </w:r>
      <w:r w:rsidR="00183CC8">
        <w:t>.</w:t>
      </w:r>
      <w:r w:rsidR="00183CC8">
        <w:rPr>
          <w:noProof/>
        </w:rPr>
        <w:t>1</w:t>
      </w:r>
      <w:r>
        <w:fldChar w:fldCharType="end"/>
      </w:r>
      <w:r>
        <w:t xml:space="preserve">a) </w:t>
      </w:r>
      <w:r>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d0573240-3d12-4cf9-8413-79fe8dd7149d"]}],"mendeley":{"formattedCitation":"&lt;sup&gt;[16]&lt;/sup&gt;","plainTextFormattedCitation":"[16]","previouslyFormattedCitation":"&lt;sup&gt;[16]&lt;/sup&gt;"},"properties":{"noteIndex":0},"schema":"https://github.com/citation-style-language/schema/raw/master/csl-citation.json"}</w:instrText>
      </w:r>
      <w:r>
        <w:fldChar w:fldCharType="separate"/>
      </w:r>
      <w:r w:rsidR="00DA0A83" w:rsidRPr="00DA0A83">
        <w:rPr>
          <w:noProof/>
          <w:vertAlign w:val="superscript"/>
        </w:rPr>
        <w:t>[16]</w:t>
      </w:r>
      <w:r>
        <w:fldChar w:fldCharType="end"/>
      </w:r>
      <w:r>
        <w:t xml:space="preserve">. This means that those WTA chains that face the inside of the cell can interact with LTA at the exoplasm, and both polyanionic brushes would repel each </w:t>
      </w:r>
      <w:r w:rsidR="00981537">
        <w:t>other forcing a physical</w:t>
      </w:r>
      <w:r>
        <w:t xml:space="preserve"> space</w:t>
      </w:r>
      <w:r w:rsidR="00981537">
        <w:t xml:space="preserve"> between the PM and the CW</w:t>
      </w:r>
      <w:r>
        <w:t xml:space="preserve">. </w:t>
      </w:r>
      <w:r w:rsidR="00947461">
        <w:t xml:space="preserve">In an ideal </w:t>
      </w:r>
      <w:r w:rsidR="00BB37C8">
        <w:t>condition</w:t>
      </w:r>
      <w:r w:rsidR="00947461">
        <w:t>, without outside pressure, t</w:t>
      </w:r>
      <w:r>
        <w:t>his space would be equal to the sum of the</w:t>
      </w:r>
      <w:r w:rsidR="00D7306D">
        <w:t xml:space="preserve"> lengths of both</w:t>
      </w:r>
      <w:r w:rsidR="00947461">
        <w:t xml:space="preserve"> WTA and LTA.</w:t>
      </w:r>
      <w:r>
        <w:t xml:space="preserve"> </w:t>
      </w:r>
      <w:r w:rsidR="00947461">
        <w:lastRenderedPageBreak/>
        <w:t>H</w:t>
      </w:r>
      <w:r>
        <w:t>owever, bacterial cells have high cytoplasmic turgor which means that WTA and LTA are pushed towards each other until each polymer interacts with their charges or are forced to fold back</w:t>
      </w:r>
      <w:r w:rsidR="00311CC3">
        <w:t xml:space="preserve"> on themselves (</w:t>
      </w:r>
      <w:r w:rsidR="00311CC3">
        <w:fldChar w:fldCharType="begin"/>
      </w:r>
      <w:r w:rsidR="00311CC3">
        <w:instrText xml:space="preserve"> REF _Ref73960314 \h </w:instrText>
      </w:r>
      <w:r w:rsidR="00311CC3">
        <w:fldChar w:fldCharType="separate"/>
      </w:r>
      <w:r w:rsidR="00183CC8">
        <w:t xml:space="preserve">Figure </w:t>
      </w:r>
      <w:r w:rsidR="00183CC8">
        <w:rPr>
          <w:noProof/>
        </w:rPr>
        <w:t>4</w:t>
      </w:r>
      <w:r w:rsidR="00183CC8">
        <w:t>.</w:t>
      </w:r>
      <w:r w:rsidR="00183CC8">
        <w:rPr>
          <w:noProof/>
        </w:rPr>
        <w:t>1</w:t>
      </w:r>
      <w:r w:rsidR="00311CC3">
        <w:fldChar w:fldCharType="end"/>
      </w:r>
      <w:r w:rsidR="00311CC3">
        <w:t>e)</w:t>
      </w:r>
      <w:r>
        <w:t xml:space="preserve">. The exoplasm would thus be maintained by balancing the pressure applied by the cytoplasmic turgor and the forces resulting from the electrostatic repulsion of the interaction </w:t>
      </w:r>
      <w:r w:rsidR="003C3177">
        <w:t>between</w:t>
      </w:r>
      <w:r>
        <w:t xml:space="preserve"> WTA and LTA polymer brushes. </w:t>
      </w:r>
      <w:r w:rsidR="0037565B">
        <w:t>The exoplasm</w:t>
      </w:r>
      <w:r w:rsidR="002A0518">
        <w:t xml:space="preserve"> </w:t>
      </w:r>
      <w:r>
        <w:t xml:space="preserve">may be considered as a malleable but rigid enough gel, compressed between the CW and the PM, while allowing diffusion of enzymes, ions, and substrates </w:t>
      </w:r>
      <w:r>
        <w:fldChar w:fldCharType="begin" w:fldLock="1"/>
      </w:r>
      <w:r w:rsidR="005F2DD4">
        <w:instrText xml:space="preserve">ADDIN CSL_CITATION {"citationItems":[{"id":"ITEM-1","itemData":{"DOI":"10.3389/fmicb.2021.664704","ISSN":"1664302X","abstract":"The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F2DD4">
        <w:rPr>
          <w:rFonts w:ascii="Cambria Math" w:hAnsi="Cambria Math" w:cs="Cambria Math"/>
        </w:rPr>
        <w:instrText>∼</w:instrText>
      </w:r>
      <w:r w:rsidR="005F2DD4">
        <w:instrText xml:space="preserve">0.5 M, which would bring in </w:instrText>
      </w:r>
      <w:r w:rsidR="005F2DD4">
        <w:rPr>
          <w:rFonts w:ascii="Cambria Math" w:hAnsi="Cambria Math" w:cs="Cambria Math"/>
        </w:rPr>
        <w:instrText>∼</w:instrText>
      </w:r>
      <w:r w:rsidR="005F2DD4">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Microbiology","id":"ITEM-1","issue":"May","issued":{"date-parts":[["2021"]]},"page":"1-11","title":"How Teichoic Acids Could Support a Periplasm in Gram-Positive Bacteria, and Let Cell Division Cheat Turgor Pressure","type":"article-journal","volume":"12"},"uris":["http://www.mendeley.com/documents/?uuid=8e106983-147c-42ae-88fd-3e44783b571f"]},{"id":"ITEM-2","itemData":{"DOI":"10.1128/JB.188.3.1011-1021.2006","ISBN":"0021-9193","ISSN":"00219193","PMID":"16428405","abstract":"The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Bacteriology","id":"ITEM-2","issue":"3","issued":{"date-parts":[["2006"]]},"page":"1011-1021","title":"Native cell wall organization shown by cryo-electron microscopy confirms the existence of a periplasmic space in Staphylococcus aureus","type":"article-journal","volume":"188"},"uris":["http://www.mendeley.com/documents/?uuid=89409496-4fa0-474e-8069-be86a795f53c"]}],"mendeley":{"formattedCitation":"&lt;sup&gt;[16,166]&lt;/sup&gt;","plainTextFormattedCitation":"[16,166]","previouslyFormattedCitation":"&lt;sup&gt;[16,166]&lt;/sup&gt;"},"properties":{"noteIndex":0},"schema":"https://github.com/citation-style-language/schema/raw/master/csl-citation.json"}</w:instrText>
      </w:r>
      <w:r>
        <w:fldChar w:fldCharType="separate"/>
      </w:r>
      <w:r w:rsidR="0054658D" w:rsidRPr="0054658D">
        <w:rPr>
          <w:noProof/>
          <w:vertAlign w:val="superscript"/>
        </w:rPr>
        <w:t>[16,166]</w:t>
      </w:r>
      <w:r>
        <w:fldChar w:fldCharType="end"/>
      </w:r>
      <w:r>
        <w:t xml:space="preserve">. </w:t>
      </w:r>
    </w:p>
    <w:p w14:paraId="45A3D238" w14:textId="1C1C3718" w:rsidR="000C5B8A" w:rsidRDefault="000C5B8A" w:rsidP="000C5B8A">
      <w:pPr>
        <w:pStyle w:val="Heading3"/>
      </w:pPr>
      <w:bookmarkStart w:id="596" w:name="_Toc90216880"/>
      <w:r>
        <w:t>Aims of this chapter</w:t>
      </w:r>
      <w:r w:rsidR="007006CC">
        <w:t>.</w:t>
      </w:r>
      <w:bookmarkEnd w:id="596"/>
    </w:p>
    <w:p w14:paraId="38C48EED" w14:textId="3D0CAA84" w:rsidR="000C5B8A" w:rsidRDefault="000C5B8A" w:rsidP="000C5B8A">
      <w:pPr>
        <w:sectPr w:rsidR="000C5B8A" w:rsidSect="004D0E05">
          <w:pgSz w:w="11906" w:h="16838"/>
          <w:pgMar w:top="1191" w:right="1247" w:bottom="1191" w:left="1247" w:header="709" w:footer="709" w:gutter="0"/>
          <w:cols w:space="708"/>
          <w:titlePg/>
          <w:docGrid w:linePitch="360"/>
        </w:sectPr>
      </w:pPr>
      <w:r>
        <w:t>The aim of this chapter is to study the</w:t>
      </w:r>
      <w:r w:rsidR="00BE5619">
        <w:t xml:space="preserve"> role of teichoic acids in the</w:t>
      </w:r>
      <w:r>
        <w:t xml:space="preserve"> </w:t>
      </w:r>
      <w:r w:rsidR="00352F47">
        <w:t xml:space="preserve">maintenance of the exoplasmic space in </w:t>
      </w:r>
      <w:r w:rsidR="00352F47">
        <w:rPr>
          <w:i/>
          <w:iCs/>
        </w:rPr>
        <w:t xml:space="preserve">S. aureus </w:t>
      </w:r>
      <w:r w:rsidR="00352F47">
        <w:t>in the SH1000 background</w:t>
      </w:r>
      <w:r w:rsidR="00B92D69">
        <w:t>,</w:t>
      </w:r>
      <w:r w:rsidR="00BE5619">
        <w:t xml:space="preserve"> by</w:t>
      </w:r>
      <w:r w:rsidR="00352F47">
        <w:t xml:space="preserve"> employing different microscopy techniques coupled with genetic and biochemical approaches</w:t>
      </w:r>
      <w:r>
        <w:t>.</w:t>
      </w:r>
    </w:p>
    <w:p w14:paraId="2C227D88" w14:textId="017A5A9B" w:rsidR="004B0C7E" w:rsidRDefault="004B0C7E" w:rsidP="004B0C7E">
      <w:pPr>
        <w:pStyle w:val="Heading2"/>
      </w:pPr>
      <w:bookmarkStart w:id="597" w:name="_Toc64276368"/>
      <w:bookmarkStart w:id="598" w:name="_Toc64276672"/>
      <w:bookmarkStart w:id="599" w:name="_Toc64276884"/>
      <w:bookmarkStart w:id="600" w:name="_Toc90216881"/>
      <w:r w:rsidRPr="005B0F81">
        <w:lastRenderedPageBreak/>
        <w:t>The exoplasm as seen by electron microscopy</w:t>
      </w:r>
      <w:bookmarkEnd w:id="597"/>
      <w:bookmarkEnd w:id="598"/>
      <w:bookmarkEnd w:id="599"/>
      <w:r w:rsidR="007006CC">
        <w:t>.</w:t>
      </w:r>
      <w:bookmarkEnd w:id="600"/>
    </w:p>
    <w:p w14:paraId="7DA79C07" w14:textId="50D5B7A6" w:rsidR="00100BB1" w:rsidRDefault="007C7A78" w:rsidP="007C7A78">
      <w:r>
        <w:t>Electron microscopy provides the best resolving power to image bacteria, with transmission electron microscopy (TEM) delivering micrographs of electron-transparent cross-sections</w:t>
      </w:r>
      <w:r w:rsidR="00056F33">
        <w:t xml:space="preserve"> (refer to Chapter 3 for details)</w:t>
      </w:r>
      <w:r>
        <w:t xml:space="preserve">. TEM </w:t>
      </w:r>
      <w:r w:rsidR="00D14A08">
        <w:t>cross-sections are</w:t>
      </w:r>
      <w:r>
        <w:t xml:space="preserve"> therefore the best microscopy technique to study the bacterial envelope.</w:t>
      </w:r>
    </w:p>
    <w:p w14:paraId="29808863" w14:textId="4DF29957" w:rsidR="004B0C7E" w:rsidRDefault="0002184C" w:rsidP="0088791B">
      <w:pPr>
        <w:pStyle w:val="Heading3"/>
      </w:pPr>
      <w:bookmarkStart w:id="601" w:name="_Toc64276369"/>
      <w:bookmarkStart w:id="602" w:name="_Toc64276673"/>
      <w:bookmarkStart w:id="603" w:name="_Toc64276885"/>
      <w:bookmarkStart w:id="604" w:name="_Ref68884622"/>
      <w:bookmarkStart w:id="605" w:name="_Toc90216882"/>
      <w:r>
        <w:t>The bacterial envelope of SH1000 analysed by c</w:t>
      </w:r>
      <w:r w:rsidR="004B0C7E" w:rsidRPr="005B0F81">
        <w:t>hemical fixation</w:t>
      </w:r>
      <w:bookmarkEnd w:id="601"/>
      <w:bookmarkEnd w:id="602"/>
      <w:bookmarkEnd w:id="603"/>
      <w:bookmarkEnd w:id="604"/>
      <w:r>
        <w:t xml:space="preserve"> TEM</w:t>
      </w:r>
      <w:r w:rsidR="007006CC">
        <w:t>.</w:t>
      </w:r>
      <w:bookmarkEnd w:id="605"/>
    </w:p>
    <w:p w14:paraId="58506950" w14:textId="0E43112A" w:rsidR="00112588" w:rsidRDefault="003F0433" w:rsidP="001574E1">
      <w:pPr>
        <w:tabs>
          <w:tab w:val="left" w:pos="426"/>
        </w:tabs>
        <w:sectPr w:rsidR="00112588" w:rsidSect="004D0E05">
          <w:pgSz w:w="11906" w:h="16838"/>
          <w:pgMar w:top="1191" w:right="1247" w:bottom="1191" w:left="1247" w:header="709" w:footer="709" w:gutter="0"/>
          <w:cols w:space="708"/>
          <w:titlePg/>
          <w:docGrid w:linePitch="360"/>
        </w:sectPr>
      </w:pPr>
      <w:r>
        <w:rPr>
          <w:i/>
          <w:iCs/>
        </w:rPr>
        <w:t>S. aureus</w:t>
      </w:r>
      <w:r>
        <w:t xml:space="preserve"> SH1000 was grown and harvested as described in section</w:t>
      </w:r>
      <w:r w:rsidR="00BA7DA7">
        <w:t xml:space="preserve"> </w:t>
      </w:r>
      <w:r w:rsidR="00BA7DA7">
        <w:fldChar w:fldCharType="begin"/>
      </w:r>
      <w:r w:rsidR="00BA7DA7">
        <w:instrText xml:space="preserve"> REF _Ref64391429 \r \h </w:instrText>
      </w:r>
      <w:r w:rsidR="00BA7DA7">
        <w:fldChar w:fldCharType="separate"/>
      </w:r>
      <w:r w:rsidR="00183CC8">
        <w:t>2.11.1</w:t>
      </w:r>
      <w:r w:rsidR="00BA7DA7">
        <w:fldChar w:fldCharType="end"/>
      </w:r>
      <w:r>
        <w:t xml:space="preserve">, and after chemical fixation (section </w:t>
      </w:r>
      <w:r>
        <w:fldChar w:fldCharType="begin"/>
      </w:r>
      <w:r>
        <w:instrText xml:space="preserve"> REF _Ref68879315 \r \h </w:instrText>
      </w:r>
      <w:r>
        <w:fldChar w:fldCharType="separate"/>
      </w:r>
      <w:r w:rsidR="00183CC8">
        <w:t>2.20.1</w:t>
      </w:r>
      <w:r>
        <w:fldChar w:fldCharType="end"/>
      </w:r>
      <w:r>
        <w:t>), analysed with the TEM</w:t>
      </w:r>
      <w:r w:rsidR="00815304">
        <w:t xml:space="preserve"> (</w:t>
      </w:r>
      <w:r w:rsidR="00815304">
        <w:fldChar w:fldCharType="begin"/>
      </w:r>
      <w:r w:rsidR="00815304">
        <w:instrText xml:space="preserve"> REF _Ref75696270 \h </w:instrText>
      </w:r>
      <w:r w:rsidR="00815304">
        <w:fldChar w:fldCharType="separate"/>
      </w:r>
      <w:r w:rsidR="00183CC8">
        <w:t xml:space="preserve">Figure </w:t>
      </w:r>
      <w:r w:rsidR="00183CC8">
        <w:rPr>
          <w:noProof/>
        </w:rPr>
        <w:t>4</w:t>
      </w:r>
      <w:r w:rsidR="00183CC8">
        <w:t>.</w:t>
      </w:r>
      <w:r w:rsidR="00183CC8">
        <w:rPr>
          <w:noProof/>
        </w:rPr>
        <w:t>2</w:t>
      </w:r>
      <w:r w:rsidR="00815304">
        <w:fldChar w:fldCharType="end"/>
      </w:r>
      <w:r w:rsidR="00815304">
        <w:t>a)</w:t>
      </w:r>
      <w:r>
        <w:t xml:space="preserve">. </w:t>
      </w:r>
      <w:r w:rsidR="00257024">
        <w:fldChar w:fldCharType="begin"/>
      </w:r>
      <w:r w:rsidR="00257024">
        <w:instrText xml:space="preserve"> REF _Ref75696270 \h </w:instrText>
      </w:r>
      <w:r w:rsidR="00257024">
        <w:fldChar w:fldCharType="separate"/>
      </w:r>
      <w:r w:rsidR="00183CC8">
        <w:t xml:space="preserve">Figure </w:t>
      </w:r>
      <w:r w:rsidR="00183CC8">
        <w:rPr>
          <w:noProof/>
        </w:rPr>
        <w:t>4</w:t>
      </w:r>
      <w:r w:rsidR="00183CC8">
        <w:t>.</w:t>
      </w:r>
      <w:r w:rsidR="00183CC8">
        <w:rPr>
          <w:noProof/>
        </w:rPr>
        <w:t>2</w:t>
      </w:r>
      <w:r w:rsidR="00257024">
        <w:fldChar w:fldCharType="end"/>
      </w:r>
      <w:r w:rsidR="00815304">
        <w:t>b</w:t>
      </w:r>
      <w:r w:rsidR="00257024">
        <w:t xml:space="preserve"> </w:t>
      </w:r>
      <w:r>
        <w:t>shows the cell wall (CW), plasma membrane (</w:t>
      </w:r>
      <w:r w:rsidR="00257024">
        <w:t>PM</w:t>
      </w:r>
      <w:r>
        <w:t xml:space="preserve">), and the space between them (exoplasmic space, </w:t>
      </w:r>
      <w:r w:rsidR="00C42E29">
        <w:t>ES</w:t>
      </w:r>
      <w:r w:rsidR="00257024">
        <w:t>)</w:t>
      </w:r>
      <w:r w:rsidR="00C42E29">
        <w:t xml:space="preserve">. The plasma membrane appears as a low-density band under the heavily stained exoplasm. This results from the </w:t>
      </w:r>
      <w:r>
        <w:t>incubation with</w:t>
      </w:r>
      <w:r w:rsidR="00101884">
        <w:t xml:space="preserve"> </w:t>
      </w:r>
      <w:r w:rsidR="001574E1">
        <w:t>osmium tetroxide (OsO</w:t>
      </w:r>
      <w:r w:rsidR="001574E1">
        <w:rPr>
          <w:vertAlign w:val="subscript"/>
        </w:rPr>
        <w:t>4</w:t>
      </w:r>
      <w:r w:rsidR="001574E1">
        <w:t xml:space="preserve">), a secondary fixative that also stains biological samples by binding and reacting to lipids. It provides contrast by binding to the phospholipid heads </w:t>
      </w:r>
      <w:r w:rsidR="00565F04">
        <w:t>in</w:t>
      </w:r>
      <w:r w:rsidR="001574E1">
        <w:t xml:space="preserve"> the cell membrane and any unsaturated bonds of lipids</w:t>
      </w:r>
      <w:r w:rsidR="00C42E29">
        <w:t xml:space="preserve">. Therefore, the phospholipid bilayer would be heavily stained at the head region, but </w:t>
      </w:r>
      <w:r w:rsidR="00523968">
        <w:t xml:space="preserve">not </w:t>
      </w:r>
      <w:r w:rsidR="00C42E29">
        <w:t>at the phospholipid tails. The</w:t>
      </w:r>
      <w:r w:rsidR="00523968">
        <w:t xml:space="preserve"> stained</w:t>
      </w:r>
      <w:r w:rsidR="00C42E29">
        <w:t xml:space="preserve"> inner head</w:t>
      </w:r>
      <w:r w:rsidR="00523968">
        <w:t>s</w:t>
      </w:r>
      <w:r w:rsidR="00C42E29">
        <w:t xml:space="preserve"> delimit the cytoplasm</w:t>
      </w:r>
      <w:r w:rsidR="00523968">
        <w:t>,</w:t>
      </w:r>
      <w:r w:rsidR="00C42E29">
        <w:t xml:space="preserve"> </w:t>
      </w:r>
      <w:r w:rsidR="00523968">
        <w:t>while</w:t>
      </w:r>
      <w:r w:rsidR="00C42E29">
        <w:t xml:space="preserve"> the </w:t>
      </w:r>
      <w:r w:rsidR="00362EC8">
        <w:t xml:space="preserve">heads of the </w:t>
      </w:r>
      <w:r w:rsidR="00C42E29">
        <w:t xml:space="preserve">outer layer </w:t>
      </w:r>
      <w:r w:rsidR="00362EC8">
        <w:t>are</w:t>
      </w:r>
      <w:r w:rsidR="00C42E29">
        <w:t xml:space="preserve"> impossible to discern due to the heavy staining density of the ES</w:t>
      </w:r>
      <w:r w:rsidR="00677CE1">
        <w:t xml:space="preserve"> </w:t>
      </w:r>
      <w:r w:rsidR="005470C2">
        <w:t>(</w:t>
      </w:r>
      <w:r w:rsidR="005470C2">
        <w:fldChar w:fldCharType="begin"/>
      </w:r>
      <w:r w:rsidR="005470C2">
        <w:instrText xml:space="preserve"> REF _Ref75696270 \h </w:instrText>
      </w:r>
      <w:r w:rsidR="005470C2">
        <w:fldChar w:fldCharType="separate"/>
      </w:r>
      <w:r w:rsidR="00183CC8">
        <w:t xml:space="preserve">Figure </w:t>
      </w:r>
      <w:r w:rsidR="00183CC8">
        <w:rPr>
          <w:noProof/>
        </w:rPr>
        <w:t>4</w:t>
      </w:r>
      <w:r w:rsidR="00183CC8">
        <w:t>.</w:t>
      </w:r>
      <w:r w:rsidR="00183CC8">
        <w:rPr>
          <w:noProof/>
        </w:rPr>
        <w:t>2</w:t>
      </w:r>
      <w:r w:rsidR="005470C2">
        <w:fldChar w:fldCharType="end"/>
      </w:r>
      <w:r w:rsidR="005470C2">
        <w:t>b)</w:t>
      </w:r>
      <w:r w:rsidR="00C42E29">
        <w:t>.</w:t>
      </w:r>
      <w:r w:rsidR="00CB500D">
        <w:t xml:space="preserve"> This high electron density and contrast is </w:t>
      </w:r>
      <w:r w:rsidR="00C87743">
        <w:t>enhanced with</w:t>
      </w:r>
      <w:r w:rsidR="00CB500D">
        <w:t xml:space="preserve"> post-stain</w:t>
      </w:r>
      <w:r w:rsidR="00C87743">
        <w:t>s</w:t>
      </w:r>
      <w:r w:rsidR="00CB500D">
        <w:t xml:space="preserve"> </w:t>
      </w:r>
      <w:r w:rsidR="00C87743">
        <w:t>containing</w:t>
      </w:r>
      <w:r w:rsidR="00CB500D">
        <w:t xml:space="preserve"> heavy metals</w:t>
      </w:r>
      <w:r w:rsidR="00C87743">
        <w:t>,</w:t>
      </w:r>
      <w:r w:rsidR="00344C22">
        <w:t xml:space="preserve"> </w:t>
      </w:r>
      <w:r w:rsidR="00EA2E43">
        <w:t>such as</w:t>
      </w:r>
      <w:r w:rsidR="00344C22">
        <w:t xml:space="preserve"> uranyl acetate (UA) and lead citrate (LC)</w:t>
      </w:r>
      <w:r w:rsidR="00CB500D">
        <w:t>.</w:t>
      </w:r>
      <w:r w:rsidR="00F16182">
        <w:t xml:space="preserve"> </w:t>
      </w:r>
      <w:r w:rsidR="00E31AB6">
        <w:t>LC enhanc</w:t>
      </w:r>
      <w:r w:rsidR="00D14A2A">
        <w:t>es</w:t>
      </w:r>
      <w:r w:rsidR="00E31AB6">
        <w:t xml:space="preserve"> the contrasting effect by interacting with osmium. </w:t>
      </w:r>
      <w:r w:rsidR="00F16182">
        <w:t xml:space="preserve">Uranyl </w:t>
      </w:r>
      <w:r w:rsidR="00344C22">
        <w:t>ions</w:t>
      </w:r>
      <w:r w:rsidR="00EA2EC1">
        <w:t>, on the other hand,</w:t>
      </w:r>
      <w:r w:rsidR="00F16182">
        <w:t xml:space="preserve"> </w:t>
      </w:r>
      <w:r w:rsidR="00344C22">
        <w:t>bind to nucleic acids, ribosomes, and to glycoproteins and glycolipids, enhancing contrast in cellular membranes</w:t>
      </w:r>
      <w:r w:rsidR="00613942">
        <w:t xml:space="preserve"> and heavily staining </w:t>
      </w:r>
      <w:r w:rsidR="00E31AB6">
        <w:t>lipo</w:t>
      </w:r>
      <w:r w:rsidR="00613942">
        <w:t>teichoic acids (</w:t>
      </w:r>
      <w:r w:rsidR="00E31AB6">
        <w:t>L</w:t>
      </w:r>
      <w:r w:rsidR="00613942">
        <w:t>TA)</w:t>
      </w:r>
      <w:r w:rsidR="00344C22">
        <w:t xml:space="preserve">. </w:t>
      </w:r>
      <w:r w:rsidR="0026323A">
        <w:t>Thus, the LTA located in the exoplasmic space appear</w:t>
      </w:r>
      <w:r w:rsidR="00076504">
        <w:t>s</w:t>
      </w:r>
      <w:r w:rsidR="0026323A">
        <w:t xml:space="preserve"> as a high-density band underneath the CW</w:t>
      </w:r>
      <w:r w:rsidR="00815304">
        <w:t xml:space="preserve"> (</w:t>
      </w:r>
      <w:r w:rsidR="00815304">
        <w:fldChar w:fldCharType="begin"/>
      </w:r>
      <w:r w:rsidR="00815304">
        <w:instrText xml:space="preserve"> REF _Ref75696270 \h </w:instrText>
      </w:r>
      <w:r w:rsidR="00815304">
        <w:fldChar w:fldCharType="separate"/>
      </w:r>
      <w:r w:rsidR="00183CC8">
        <w:t xml:space="preserve">Figure </w:t>
      </w:r>
      <w:r w:rsidR="00183CC8">
        <w:rPr>
          <w:noProof/>
        </w:rPr>
        <w:t>4</w:t>
      </w:r>
      <w:r w:rsidR="00183CC8">
        <w:t>.</w:t>
      </w:r>
      <w:r w:rsidR="00183CC8">
        <w:rPr>
          <w:noProof/>
        </w:rPr>
        <w:t>2</w:t>
      </w:r>
      <w:r w:rsidR="00815304">
        <w:fldChar w:fldCharType="end"/>
      </w:r>
      <w:r w:rsidR="00815304">
        <w:t>b)</w:t>
      </w:r>
      <w:r w:rsidR="0026323A">
        <w:t>.</w:t>
      </w:r>
    </w:p>
    <w:p w14:paraId="2752F103" w14:textId="77777777" w:rsidR="00112588" w:rsidRDefault="00112588" w:rsidP="000531C7">
      <w:pPr>
        <w:keepNext/>
        <w:tabs>
          <w:tab w:val="left" w:pos="426"/>
        </w:tabs>
        <w:jc w:val="center"/>
      </w:pPr>
      <w:r>
        <w:rPr>
          <w:noProof/>
        </w:rPr>
        <w:lastRenderedPageBreak/>
        <w:drawing>
          <wp:inline distT="0" distB="0" distL="0" distR="0" wp14:anchorId="398ACD9F" wp14:editId="679C6F5C">
            <wp:extent cx="5750195" cy="6419308"/>
            <wp:effectExtent l="0" t="0" r="317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50195" cy="6419308"/>
                    </a:xfrm>
                    <a:prstGeom prst="rect">
                      <a:avLst/>
                    </a:prstGeom>
                  </pic:spPr>
                </pic:pic>
              </a:graphicData>
            </a:graphic>
          </wp:inline>
        </w:drawing>
      </w:r>
    </w:p>
    <w:p w14:paraId="0CA8E96C" w14:textId="34F0FDAB" w:rsidR="001574E1" w:rsidRDefault="00112588" w:rsidP="008A2B86">
      <w:pPr>
        <w:pStyle w:val="Caption"/>
      </w:pPr>
      <w:bookmarkStart w:id="606" w:name="_Ref75696270"/>
      <w:bookmarkStart w:id="607" w:name="_Toc90216961"/>
      <w:r>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w:t>
      </w:r>
      <w:r w:rsidR="003373BF">
        <w:rPr>
          <w:noProof/>
        </w:rPr>
        <w:fldChar w:fldCharType="end"/>
      </w:r>
      <w:bookmarkEnd w:id="606"/>
      <w:r>
        <w:t xml:space="preserve"> Cell envelope of chemically fixed </w:t>
      </w:r>
      <w:r>
        <w:rPr>
          <w:i/>
        </w:rPr>
        <w:t>S. aureus</w:t>
      </w:r>
      <w:r>
        <w:t xml:space="preserve"> cells.</w:t>
      </w:r>
      <w:bookmarkEnd w:id="607"/>
    </w:p>
    <w:p w14:paraId="37267D85" w14:textId="50DFB4D5" w:rsidR="00C050D3" w:rsidRDefault="00112588" w:rsidP="00112588">
      <w:pPr>
        <w:pStyle w:val="NoSpacing"/>
        <w:sectPr w:rsidR="00C050D3" w:rsidSect="004D0E05">
          <w:pgSz w:w="11906" w:h="16838"/>
          <w:pgMar w:top="1191" w:right="1247" w:bottom="1191" w:left="1247" w:header="709" w:footer="709" w:gutter="0"/>
          <w:cols w:space="708"/>
          <w:titlePg/>
          <w:docGrid w:linePitch="360"/>
        </w:sectPr>
      </w:pPr>
      <w:r>
        <w:t xml:space="preserve">TEM micrographs of chemically fixed </w:t>
      </w:r>
      <w:r>
        <w:rPr>
          <w:i/>
          <w:iCs/>
        </w:rPr>
        <w:t xml:space="preserve">S. aureus </w:t>
      </w:r>
      <w:r w:rsidR="00650488">
        <w:t xml:space="preserve">SH1000 </w:t>
      </w:r>
      <w:r>
        <w:t xml:space="preserve">cells. </w:t>
      </w:r>
      <w:r>
        <w:rPr>
          <w:b/>
          <w:bCs/>
        </w:rPr>
        <w:t>(A)</w:t>
      </w:r>
      <w:r>
        <w:t xml:space="preserve"> Low magnification (2900x), scale bar 1 µm. </w:t>
      </w:r>
      <w:r>
        <w:rPr>
          <w:b/>
          <w:bCs/>
        </w:rPr>
        <w:t>(B)</w:t>
      </w:r>
      <w:r>
        <w:t xml:space="preserve"> High magnification </w:t>
      </w:r>
      <w:r w:rsidR="009875F5">
        <w:t>(</w:t>
      </w:r>
      <w:r>
        <w:t>9300x</w:t>
      </w:r>
      <w:r w:rsidR="009875F5">
        <w:t>)</w:t>
      </w:r>
      <w:r>
        <w:t>, scale bar 200 nm.</w:t>
      </w:r>
      <w:r w:rsidR="009875F5">
        <w:t xml:space="preserve"> Red </w:t>
      </w:r>
      <w:r w:rsidR="00F80D82">
        <w:t>rectangle</w:t>
      </w:r>
      <w:r w:rsidR="009875F5">
        <w:t>– scale bar 50 nm. CW– cell wall, ES– exoplasmic space, PM– plasma membrane.</w:t>
      </w:r>
    </w:p>
    <w:p w14:paraId="140959E7" w14:textId="6EF17ED0" w:rsidR="004B0C7E" w:rsidRDefault="009B29BC" w:rsidP="004B0C7E">
      <w:pPr>
        <w:pStyle w:val="Heading3"/>
      </w:pPr>
      <w:bookmarkStart w:id="608" w:name="_Toc64276370"/>
      <w:bookmarkStart w:id="609" w:name="_Toc64276674"/>
      <w:bookmarkStart w:id="610" w:name="_Toc64276886"/>
      <w:bookmarkStart w:id="611" w:name="_Ref75025789"/>
      <w:bookmarkStart w:id="612" w:name="_Ref75076416"/>
      <w:bookmarkStart w:id="613" w:name="_Toc90216883"/>
      <w:r>
        <w:lastRenderedPageBreak/>
        <w:t>The bacterial envelope of SH1000 analysed by f</w:t>
      </w:r>
      <w:r w:rsidR="004B0C7E" w:rsidRPr="005B0F81">
        <w:t>reeze-substitution</w:t>
      </w:r>
      <w:bookmarkEnd w:id="608"/>
      <w:bookmarkEnd w:id="609"/>
      <w:bookmarkEnd w:id="610"/>
      <w:bookmarkEnd w:id="611"/>
      <w:bookmarkEnd w:id="612"/>
      <w:r>
        <w:t xml:space="preserve"> TEM</w:t>
      </w:r>
      <w:r w:rsidR="007006CC">
        <w:t>.</w:t>
      </w:r>
      <w:bookmarkEnd w:id="613"/>
    </w:p>
    <w:p w14:paraId="16E2E4CA" w14:textId="34B18CEB" w:rsidR="0064435F" w:rsidRDefault="00E8298E" w:rsidP="00226E1E">
      <w:r>
        <w:t xml:space="preserve">For better structural preservation, </w:t>
      </w:r>
      <w:r>
        <w:rPr>
          <w:i/>
          <w:iCs/>
        </w:rPr>
        <w:t xml:space="preserve">S. </w:t>
      </w:r>
      <w:r w:rsidRPr="00E8298E">
        <w:rPr>
          <w:i/>
          <w:iCs/>
        </w:rPr>
        <w:t>aureus</w:t>
      </w:r>
      <w:r>
        <w:rPr>
          <w:i/>
          <w:iCs/>
        </w:rPr>
        <w:t xml:space="preserve"> </w:t>
      </w:r>
      <w:r>
        <w:t>SH1000 cells were cryo-fixed by high pressure freezing and freeze-substituted</w:t>
      </w:r>
      <w:r w:rsidR="00AA4759">
        <w:t xml:space="preserve"> (FS)</w:t>
      </w:r>
      <w:r>
        <w:t>, as described in section</w:t>
      </w:r>
      <w:r w:rsidR="00711B91">
        <w:t xml:space="preserve"> </w:t>
      </w:r>
      <w:r>
        <w:fldChar w:fldCharType="begin"/>
      </w:r>
      <w:r>
        <w:instrText xml:space="preserve"> REF _Ref74170709 \r \h </w:instrText>
      </w:r>
      <w:r>
        <w:fldChar w:fldCharType="separate"/>
      </w:r>
      <w:r w:rsidR="00183CC8">
        <w:t>2.20.2</w:t>
      </w:r>
      <w:r>
        <w:fldChar w:fldCharType="end"/>
      </w:r>
      <w:r>
        <w:t xml:space="preserve">. </w:t>
      </w:r>
      <w:r w:rsidR="00611E44" w:rsidRPr="00E8298E">
        <w:t>TEM</w:t>
      </w:r>
      <w:r w:rsidR="00611E44">
        <w:t xml:space="preserve"> micrographs showed </w:t>
      </w:r>
      <w:r w:rsidR="004C2D25">
        <w:t>that some</w:t>
      </w:r>
      <w:r w:rsidR="00AA4759">
        <w:t xml:space="preserve"> cells</w:t>
      </w:r>
      <w:r w:rsidR="004C2D25">
        <w:t xml:space="preserve"> were</w:t>
      </w:r>
      <w:r w:rsidR="00611E44">
        <w:t xml:space="preserve"> more heavily stained than others </w:t>
      </w:r>
      <w:r w:rsidR="00626734">
        <w:t>(</w:t>
      </w:r>
      <w:r w:rsidR="00626734">
        <w:fldChar w:fldCharType="begin"/>
      </w:r>
      <w:r w:rsidR="00626734">
        <w:instrText xml:space="preserve"> REF _Ref73978159 \h </w:instrText>
      </w:r>
      <w:r w:rsidR="00626734">
        <w:fldChar w:fldCharType="separate"/>
      </w:r>
      <w:r w:rsidR="00183CC8">
        <w:t xml:space="preserve">Figure </w:t>
      </w:r>
      <w:r w:rsidR="00183CC8">
        <w:rPr>
          <w:noProof/>
        </w:rPr>
        <w:t>4</w:t>
      </w:r>
      <w:r w:rsidR="00183CC8">
        <w:t>.</w:t>
      </w:r>
      <w:r w:rsidR="00183CC8">
        <w:rPr>
          <w:noProof/>
        </w:rPr>
        <w:t>3</w:t>
      </w:r>
      <w:r w:rsidR="00626734">
        <w:fldChar w:fldCharType="end"/>
      </w:r>
      <w:r w:rsidR="00652190">
        <w:t>a</w:t>
      </w:r>
      <w:r w:rsidR="00611E44">
        <w:t xml:space="preserve">). </w:t>
      </w:r>
      <w:r w:rsidR="00C04C56">
        <w:t>T</w:t>
      </w:r>
      <w:r w:rsidR="002305CB">
        <w:t>hose with less contrast appear</w:t>
      </w:r>
      <w:r w:rsidR="00C04C56">
        <w:t>ed</w:t>
      </w:r>
      <w:r w:rsidR="002305CB">
        <w:t xml:space="preserve"> to have better preserved structural detail </w:t>
      </w:r>
      <w:r w:rsidR="00A353DF">
        <w:t xml:space="preserve">than highly stained cells </w:t>
      </w:r>
      <w:r w:rsidR="00652190">
        <w:t>(</w:t>
      </w:r>
      <w:r w:rsidR="00652190">
        <w:fldChar w:fldCharType="begin"/>
      </w:r>
      <w:r w:rsidR="00652190">
        <w:instrText xml:space="preserve"> REF _Ref73978159 \h </w:instrText>
      </w:r>
      <w:r w:rsidR="00652190">
        <w:fldChar w:fldCharType="separate"/>
      </w:r>
      <w:r w:rsidR="00183CC8">
        <w:t xml:space="preserve">Figure </w:t>
      </w:r>
      <w:r w:rsidR="00183CC8">
        <w:rPr>
          <w:noProof/>
        </w:rPr>
        <w:t>4</w:t>
      </w:r>
      <w:r w:rsidR="00183CC8">
        <w:t>.</w:t>
      </w:r>
      <w:r w:rsidR="00183CC8">
        <w:rPr>
          <w:noProof/>
        </w:rPr>
        <w:t>3</w:t>
      </w:r>
      <w:r w:rsidR="00652190">
        <w:fldChar w:fldCharType="end"/>
      </w:r>
      <w:r w:rsidR="00652190">
        <w:t xml:space="preserve">b-c). </w:t>
      </w:r>
    </w:p>
    <w:p w14:paraId="0CD183A8" w14:textId="0DA8C03B" w:rsidR="0064435F" w:rsidRDefault="00641E95" w:rsidP="00226E1E">
      <w:r>
        <w:t xml:space="preserve">Comparison to </w:t>
      </w:r>
      <w:r w:rsidR="00387A37">
        <w:t>a</w:t>
      </w:r>
      <w:r>
        <w:t xml:space="preserve"> FS cell obtained by Matias &amp; Beveridge (2006) </w:t>
      </w:r>
      <w:r>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89409496-4fa0-474e-8069-be86a795f53c"]}],"mendeley":{"formattedCitation":"&lt;sup&gt;[16]&lt;/sup&gt;","plainTextFormattedCitation":"[16]","previouslyFormattedCitation":"&lt;sup&gt;[16]&lt;/sup&gt;"},"properties":{"noteIndex":0},"schema":"https://github.com/citation-style-language/schema/raw/master/csl-citation.json"}</w:instrText>
      </w:r>
      <w:r>
        <w:fldChar w:fldCharType="separate"/>
      </w:r>
      <w:r w:rsidR="00DA0A83" w:rsidRPr="00DA0A83">
        <w:rPr>
          <w:noProof/>
          <w:vertAlign w:val="superscript"/>
        </w:rPr>
        <w:t>[16]</w:t>
      </w:r>
      <w:r>
        <w:fldChar w:fldCharType="end"/>
      </w:r>
      <w:r>
        <w:t xml:space="preserve"> show</w:t>
      </w:r>
      <w:r w:rsidR="008B03ED">
        <w:t>s</w:t>
      </w:r>
      <w:r>
        <w:t xml:space="preserve"> a similarity to the high</w:t>
      </w:r>
      <w:r w:rsidR="00216944">
        <w:t>ly</w:t>
      </w:r>
      <w:r>
        <w:t xml:space="preserve"> </w:t>
      </w:r>
      <w:r w:rsidR="00216944">
        <w:t>stained</w:t>
      </w:r>
      <w:r>
        <w:t xml:space="preserve"> cell</w:t>
      </w:r>
      <w:r w:rsidR="00216944">
        <w:t>s</w:t>
      </w:r>
      <w:r w:rsidR="00F44834">
        <w:t xml:space="preserve"> </w:t>
      </w:r>
      <w:r w:rsidR="00626734">
        <w:t>(</w:t>
      </w:r>
      <w:r w:rsidR="00626734">
        <w:fldChar w:fldCharType="begin"/>
      </w:r>
      <w:r w:rsidR="00626734">
        <w:instrText xml:space="preserve"> REF _Ref73978189 \h </w:instrText>
      </w:r>
      <w:r w:rsidR="00626734">
        <w:fldChar w:fldCharType="separate"/>
      </w:r>
      <w:r w:rsidR="00183CC8">
        <w:t xml:space="preserve">Figure </w:t>
      </w:r>
      <w:r w:rsidR="00183CC8">
        <w:rPr>
          <w:noProof/>
        </w:rPr>
        <w:t>4</w:t>
      </w:r>
      <w:r w:rsidR="00183CC8">
        <w:t>.</w:t>
      </w:r>
      <w:r w:rsidR="00183CC8">
        <w:rPr>
          <w:noProof/>
        </w:rPr>
        <w:t>4</w:t>
      </w:r>
      <w:r w:rsidR="00626734">
        <w:fldChar w:fldCharType="end"/>
      </w:r>
      <w:r w:rsidR="001E4383">
        <w:t>a-b</w:t>
      </w:r>
      <w:r w:rsidR="00626734">
        <w:t>)</w:t>
      </w:r>
      <w:r>
        <w:t xml:space="preserve">. </w:t>
      </w:r>
      <w:r w:rsidR="00082B1B">
        <w:t>As seen in</w:t>
      </w:r>
      <w:r w:rsidR="001E4383">
        <w:t xml:space="preserve"> the micrographs and schematic </w:t>
      </w:r>
      <w:r w:rsidR="00291278">
        <w:t>representations</w:t>
      </w:r>
      <w:r w:rsidR="00082B1B">
        <w:t xml:space="preserve"> </w:t>
      </w:r>
      <w:r w:rsidR="001E4383">
        <w:t>(</w:t>
      </w:r>
      <w:r w:rsidR="00082B1B">
        <w:fldChar w:fldCharType="begin"/>
      </w:r>
      <w:r w:rsidR="00082B1B">
        <w:instrText xml:space="preserve"> REF _Ref73978189 \h </w:instrText>
      </w:r>
      <w:r w:rsidR="00082B1B">
        <w:fldChar w:fldCharType="separate"/>
      </w:r>
      <w:r w:rsidR="00183CC8">
        <w:t xml:space="preserve">Figure </w:t>
      </w:r>
      <w:r w:rsidR="00183CC8">
        <w:rPr>
          <w:noProof/>
        </w:rPr>
        <w:t>4</w:t>
      </w:r>
      <w:r w:rsidR="00183CC8">
        <w:t>.</w:t>
      </w:r>
      <w:r w:rsidR="00183CC8">
        <w:rPr>
          <w:noProof/>
        </w:rPr>
        <w:t>4</w:t>
      </w:r>
      <w:r w:rsidR="00082B1B">
        <w:fldChar w:fldCharType="end"/>
      </w:r>
      <w:r w:rsidR="00F81736">
        <w:t>a-</w:t>
      </w:r>
      <w:r w:rsidR="00082B1B">
        <w:t>b</w:t>
      </w:r>
      <w:r w:rsidR="00F81736">
        <w:t>, d-</w:t>
      </w:r>
      <w:r w:rsidR="00082B1B">
        <w:t>e</w:t>
      </w:r>
      <w:r w:rsidR="001E4383">
        <w:t>)</w:t>
      </w:r>
      <w:r w:rsidR="00082B1B">
        <w:t>, t</w:t>
      </w:r>
      <w:r w:rsidR="00D07E9A">
        <w:t>he plasma membrane (PM) appears as a</w:t>
      </w:r>
      <w:r w:rsidR="00F82CCE">
        <w:t>n</w:t>
      </w:r>
      <w:r w:rsidR="00D07E9A">
        <w:t xml:space="preserve"> electron-transparent band beneath the heavily stained exoplasmic space (ES).</w:t>
      </w:r>
      <w:r w:rsidR="00C4742A">
        <w:t xml:space="preserve"> </w:t>
      </w:r>
      <w:r w:rsidR="00DD1963">
        <w:t xml:space="preserve">As described above, </w:t>
      </w:r>
      <w:r w:rsidR="00C4742A">
        <w:t>the binding of OsO</w:t>
      </w:r>
      <w:r w:rsidR="00C4742A">
        <w:rPr>
          <w:vertAlign w:val="subscript"/>
        </w:rPr>
        <w:t>4</w:t>
      </w:r>
      <w:r w:rsidR="00C4742A">
        <w:t xml:space="preserve"> to the phospholipid heads</w:t>
      </w:r>
      <w:r w:rsidR="00434B9C">
        <w:t xml:space="preserve"> </w:t>
      </w:r>
      <w:r w:rsidR="009A2E9D">
        <w:t>in</w:t>
      </w:r>
      <w:r w:rsidR="00434B9C">
        <w:t xml:space="preserve"> the bilayer</w:t>
      </w:r>
      <w:r w:rsidR="00DD1963">
        <w:t xml:space="preserve"> leaves</w:t>
      </w:r>
      <w:r w:rsidR="00434B9C">
        <w:t xml:space="preserve"> a clear </w:t>
      </w:r>
      <w:r w:rsidR="00090E31">
        <w:t>region in between</w:t>
      </w:r>
      <w:r w:rsidR="00D80DAF">
        <w:t>,</w:t>
      </w:r>
      <w:r w:rsidR="00434B9C">
        <w:t xml:space="preserve"> corresponding to the phospholipid tails.</w:t>
      </w:r>
      <w:r w:rsidR="00330325">
        <w:t xml:space="preserve"> The inner stained phospholipid heads provide contrast against the cytoplasm</w:t>
      </w:r>
      <w:r w:rsidR="00713208">
        <w:t>, while the outer stained head</w:t>
      </w:r>
      <w:r w:rsidR="00D80DAF">
        <w:t xml:space="preserve">s </w:t>
      </w:r>
      <w:r w:rsidR="00713208">
        <w:t xml:space="preserve">provide contrast with the </w:t>
      </w:r>
      <w:r w:rsidR="00F71FA0">
        <w:t>ES. The ES</w:t>
      </w:r>
      <w:r w:rsidR="00082B1B">
        <w:t xml:space="preserve"> appears as</w:t>
      </w:r>
      <w:r w:rsidR="00F71FA0">
        <w:t xml:space="preserve"> a thick heavily stained band </w:t>
      </w:r>
      <w:r w:rsidR="00C50A18">
        <w:t>due to the high amount of</w:t>
      </w:r>
      <w:r w:rsidR="00F71FA0">
        <w:t xml:space="preserve"> LTA</w:t>
      </w:r>
      <w:r w:rsidR="00296090">
        <w:t xml:space="preserve"> present in the exoplasm</w:t>
      </w:r>
      <w:r w:rsidR="00C16CDC">
        <w:t xml:space="preserve"> </w:t>
      </w:r>
      <w:r w:rsidR="00C16CDC">
        <w:fldChar w:fldCharType="begin" w:fldLock="1"/>
      </w:r>
      <w:r w:rsidR="0058736C">
        <w:instrText xml:space="preserve">ADDIN CSL_CITATION {"citationItems":[{"id":"ITEM-1","itemData":{"DOI":"10.1128/JB.00581-08","ISBN":"1098-5530","ISSN":"00219193","PMID":"18790869","abstract":"Cryo-electron microscopy (cryo-EM) of frozen-hydrated specimens allows high-resolution observation of structures in optimally preserved samples. In gram-positive bacteria, this method reveals the presence of a periplasmic space between the plasma membrane and an often differentiated cell wall matrix. Since virtually nothing is known about the composition of its constituent matter (i.e., the periplasm), it is still unclear what structures (or mechanism) sustain a gram-positive periplasmic space. Here we have used cryo-EM of frozen-hydrated sections in combination with various labels to probe the model gram-positive organism Bacillus subtilis for major periplasmic components. Incubation of cells with positively charged gold nanoparticles showed almost similar levels of gold binding to the periplasm and the cell wall. On cells whose cell walls were enzymatically hydrolyzed (i.e., on protoplasts), a surface diffuse layer extending approximately 30 nm from the membrane was revealed. The thickness and density of this layer were not significantly altered after treatment with a nonspecific protease, whereas it was labeled with anti-lipoteichoic acid (LTA) antibodies conjugated to nanogold. Further, the LTA layer spans most of the thickness of the periplasmic space, which strongly suggests that LTA is a major component of the B. subtilis periplasm.","author":[{"dropping-particle":"","family":"Matias","given":"V. R F","non-dropping-particle":"","parse-names":false,"suffix":""},{"dropping-particle":"","family":"Beveridge","given":"Terry J.","non-dropping-particle":"","parse-names":false,"suffix":""}],"container-title":"Journal of Bacteriology","id":"ITEM-1","issue":"22","issued":{"date-parts":[["2008"]]},"page":"7414-7418","title":"Lipoteichoic acid is a major component of the Bacillus subtilis periplasm","type":"article-journal","volume":"190"},"uris":["http://www.mendeley.com/documents/?uuid=4aa056ca-405c-4516-a5d5-b9f6bca56e00"]},{"id":"ITEM-2","itemData":{"DOI":"10.3389/fmicb.2021.664704","ISSN":"1664302X","abstract":"The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8736C">
        <w:rPr>
          <w:rFonts w:ascii="Cambria Math" w:hAnsi="Cambria Math" w:cs="Cambria Math"/>
        </w:rPr>
        <w:instrText>∼</w:instrText>
      </w:r>
      <w:r w:rsidR="0058736C">
        <w:instrText xml:space="preserve">0.5 M, which would bring in </w:instrText>
      </w:r>
      <w:r w:rsidR="0058736C">
        <w:rPr>
          <w:rFonts w:ascii="Cambria Math" w:hAnsi="Cambria Math" w:cs="Cambria Math"/>
        </w:rPr>
        <w:instrText>∼</w:instrText>
      </w:r>
      <w:r w:rsidR="0058736C">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Microbiology","id":"ITEM-2","issue":"May","issued":{"date-parts":[["2021"]]},"page":"1-11","title":"How Teichoic Acids Could Support a Periplasm in Gram-Positive Bacteria, and Let Cell Division Cheat Turgor Pressure","type":"article-journal","volume":"12"},"uris":["http://www.mendeley.com/documents/?uuid=8e106983-147c-42ae-88fd-3e44783b571f"]}],"mendeley":{"formattedCitation":"&lt;sup&gt;[166,271]&lt;/sup&gt;","plainTextFormattedCitation":"[166,271]","previouslyFormattedCitation":"&lt;sup&gt;[166,271]&lt;/sup&gt;"},"properties":{"noteIndex":0},"schema":"https://github.com/citation-style-language/schema/raw/master/csl-citation.json"}</w:instrText>
      </w:r>
      <w:r w:rsidR="00C16CDC">
        <w:fldChar w:fldCharType="separate"/>
      </w:r>
      <w:r w:rsidR="002659E5" w:rsidRPr="002659E5">
        <w:rPr>
          <w:noProof/>
          <w:vertAlign w:val="superscript"/>
        </w:rPr>
        <w:t>[166,271]</w:t>
      </w:r>
      <w:r w:rsidR="00C16CDC">
        <w:fldChar w:fldCharType="end"/>
      </w:r>
      <w:r w:rsidR="00C50A18">
        <w:t xml:space="preserve">, which </w:t>
      </w:r>
      <w:r w:rsidR="00A57983">
        <w:t>is</w:t>
      </w:r>
      <w:r w:rsidR="00C50A18">
        <w:t xml:space="preserve"> highly reactive to OsO</w:t>
      </w:r>
      <w:r w:rsidR="00C50A18">
        <w:rPr>
          <w:vertAlign w:val="subscript"/>
        </w:rPr>
        <w:t>4</w:t>
      </w:r>
      <w:r w:rsidR="00713208">
        <w:t>.</w:t>
      </w:r>
      <w:r w:rsidR="00D220AD">
        <w:t xml:space="preserve"> The ES provides high contrast </w:t>
      </w:r>
      <w:r w:rsidR="006C540F">
        <w:t>against</w:t>
      </w:r>
      <w:r w:rsidR="00D220AD">
        <w:t xml:space="preserve"> a lesser stained CW. Yet, the outer CW presents a more stained surface, which corresponds to WTA</w:t>
      </w:r>
      <w:r w:rsidR="004B41AA">
        <w:t xml:space="preserve"> </w:t>
      </w:r>
      <w:r w:rsidR="004B41AA">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89409496-4fa0-474e-8069-be86a795f53c"]}],"mendeley":{"formattedCitation":"&lt;sup&gt;[16]&lt;/sup&gt;","plainTextFormattedCitation":"[16]","previouslyFormattedCitation":"&lt;sup&gt;[16]&lt;/sup&gt;"},"properties":{"noteIndex":0},"schema":"https://github.com/citation-style-language/schema/raw/master/csl-citation.json"}</w:instrText>
      </w:r>
      <w:r w:rsidR="004B41AA">
        <w:fldChar w:fldCharType="separate"/>
      </w:r>
      <w:r w:rsidR="00DA0A83" w:rsidRPr="00DA0A83">
        <w:rPr>
          <w:noProof/>
          <w:vertAlign w:val="superscript"/>
        </w:rPr>
        <w:t>[16]</w:t>
      </w:r>
      <w:r w:rsidR="004B41AA">
        <w:fldChar w:fldCharType="end"/>
      </w:r>
      <w:r w:rsidR="00D220AD">
        <w:t>.</w:t>
      </w:r>
    </w:p>
    <w:p w14:paraId="1ECAD8D5" w14:textId="42E84CA4" w:rsidR="00226E1E" w:rsidRDefault="00D44F56" w:rsidP="00226E1E">
      <w:r>
        <w:t>The less contrasted cells found in this study showed more architectural detail in the cell envelope with two</w:t>
      </w:r>
      <w:r w:rsidR="009313D0">
        <w:t xml:space="preserve"> additional and</w:t>
      </w:r>
      <w:r>
        <w:t xml:space="preserve"> undefined layers</w:t>
      </w:r>
      <w:r w:rsidR="0051377C">
        <w:t>, referred to as layer I and II</w:t>
      </w:r>
      <w:r>
        <w:t xml:space="preserve"> (</w:t>
      </w:r>
      <w:r>
        <w:fldChar w:fldCharType="begin"/>
      </w:r>
      <w:r>
        <w:instrText xml:space="preserve"> REF _Ref73978189 \h </w:instrText>
      </w:r>
      <w:r>
        <w:fldChar w:fldCharType="separate"/>
      </w:r>
      <w:r w:rsidR="00183CC8">
        <w:t xml:space="preserve">Figure </w:t>
      </w:r>
      <w:r w:rsidR="00183CC8">
        <w:rPr>
          <w:noProof/>
        </w:rPr>
        <w:t>4</w:t>
      </w:r>
      <w:r w:rsidR="00183CC8">
        <w:t>.</w:t>
      </w:r>
      <w:r w:rsidR="00183CC8">
        <w:rPr>
          <w:noProof/>
        </w:rPr>
        <w:t>4</w:t>
      </w:r>
      <w:r>
        <w:fldChar w:fldCharType="end"/>
      </w:r>
      <w:r>
        <w:t xml:space="preserve">c,f). </w:t>
      </w:r>
      <w:r w:rsidR="007C31EE">
        <w:t xml:space="preserve">Contrast from layer I </w:t>
      </w:r>
      <w:r w:rsidR="00F760E4">
        <w:t>is</w:t>
      </w:r>
      <w:r w:rsidR="007C31EE">
        <w:t xml:space="preserve"> similar to </w:t>
      </w:r>
      <w:r w:rsidR="00727623">
        <w:t xml:space="preserve">that of </w:t>
      </w:r>
      <w:r w:rsidR="007C31EE">
        <w:t xml:space="preserve">the CW, while layer II is highly reactive to </w:t>
      </w:r>
      <w:r w:rsidR="0008072C">
        <w:t>OsO</w:t>
      </w:r>
      <w:r w:rsidR="0008072C">
        <w:rPr>
          <w:vertAlign w:val="subscript"/>
        </w:rPr>
        <w:t>4</w:t>
      </w:r>
      <w:r w:rsidR="007C31EE">
        <w:t xml:space="preserve"> </w:t>
      </w:r>
      <w:r w:rsidR="0008072C">
        <w:t>and post-</w:t>
      </w:r>
      <w:r w:rsidR="007C31EE">
        <w:t>stains</w:t>
      </w:r>
      <w:r w:rsidR="00C6556C">
        <w:t xml:space="preserve"> (</w:t>
      </w:r>
      <w:r w:rsidR="00C6556C">
        <w:fldChar w:fldCharType="begin"/>
      </w:r>
      <w:r w:rsidR="00C6556C">
        <w:instrText xml:space="preserve"> REF _Ref73978189 \h </w:instrText>
      </w:r>
      <w:r w:rsidR="00C6556C">
        <w:fldChar w:fldCharType="separate"/>
      </w:r>
      <w:r w:rsidR="00183CC8">
        <w:t xml:space="preserve">Figure </w:t>
      </w:r>
      <w:r w:rsidR="00183CC8">
        <w:rPr>
          <w:noProof/>
        </w:rPr>
        <w:t>4</w:t>
      </w:r>
      <w:r w:rsidR="00183CC8">
        <w:t>.</w:t>
      </w:r>
      <w:r w:rsidR="00183CC8">
        <w:rPr>
          <w:noProof/>
        </w:rPr>
        <w:t>4</w:t>
      </w:r>
      <w:r w:rsidR="00C6556C">
        <w:fldChar w:fldCharType="end"/>
      </w:r>
      <w:r w:rsidR="00C6556C">
        <w:t>c, f)</w:t>
      </w:r>
      <w:r w:rsidR="007C31EE">
        <w:t>.</w:t>
      </w:r>
      <w:r w:rsidR="007F42E4">
        <w:t xml:space="preserve"> </w:t>
      </w:r>
      <w:r w:rsidR="00AB2C9D">
        <w:t xml:space="preserve">As seen in </w:t>
      </w:r>
      <w:r w:rsidR="00493F18">
        <w:fldChar w:fldCharType="begin"/>
      </w:r>
      <w:r w:rsidR="00493F18">
        <w:instrText xml:space="preserve"> REF _Ref74087904 \h </w:instrText>
      </w:r>
      <w:r w:rsidR="00493F18">
        <w:fldChar w:fldCharType="separate"/>
      </w:r>
      <w:r w:rsidR="00183CC8">
        <w:t xml:space="preserve">Figure </w:t>
      </w:r>
      <w:r w:rsidR="00183CC8">
        <w:rPr>
          <w:noProof/>
        </w:rPr>
        <w:t>4</w:t>
      </w:r>
      <w:r w:rsidR="00183CC8">
        <w:t>.</w:t>
      </w:r>
      <w:r w:rsidR="00183CC8">
        <w:rPr>
          <w:noProof/>
        </w:rPr>
        <w:t>5</w:t>
      </w:r>
      <w:r w:rsidR="00493F18">
        <w:fldChar w:fldCharType="end"/>
      </w:r>
      <w:r w:rsidR="00AB2C9D">
        <w:t xml:space="preserve">, these </w:t>
      </w:r>
      <w:r w:rsidR="00FB6662">
        <w:t xml:space="preserve">envelope </w:t>
      </w:r>
      <w:r w:rsidR="00AB2C9D">
        <w:t xml:space="preserve">structures appear consistently in the sample population and are </w:t>
      </w:r>
      <w:r w:rsidR="007C31EE">
        <w:t xml:space="preserve">also </w:t>
      </w:r>
      <w:r w:rsidR="00AB2C9D">
        <w:t xml:space="preserve">maintained </w:t>
      </w:r>
      <w:r w:rsidR="008F54A8">
        <w:t>at</w:t>
      </w:r>
      <w:r w:rsidR="00AB2C9D">
        <w:t xml:space="preserve"> the septal plat</w:t>
      </w:r>
      <w:r w:rsidR="00E3512E">
        <w:t>e.</w:t>
      </w:r>
    </w:p>
    <w:p w14:paraId="3B8FCF46" w14:textId="12AC0796" w:rsidR="00F77DCE" w:rsidRDefault="00F77DCE" w:rsidP="00835834">
      <w:pPr>
        <w:sectPr w:rsidR="00F77DCE" w:rsidSect="004D0E05">
          <w:pgSz w:w="11906" w:h="16838"/>
          <w:pgMar w:top="1191" w:right="1247" w:bottom="1191" w:left="1247" w:header="709" w:footer="709" w:gutter="0"/>
          <w:cols w:space="708"/>
          <w:titlePg/>
          <w:docGrid w:linePitch="360"/>
        </w:sectPr>
      </w:pPr>
    </w:p>
    <w:p w14:paraId="18CC2A9E" w14:textId="77777777" w:rsidR="006C2DD0" w:rsidRDefault="006C2DD0" w:rsidP="00DA17D5">
      <w:pPr>
        <w:keepNext/>
        <w:jc w:val="center"/>
      </w:pPr>
      <w:r>
        <w:rPr>
          <w:noProof/>
        </w:rPr>
        <w:lastRenderedPageBreak/>
        <w:drawing>
          <wp:inline distT="0" distB="0" distL="0" distR="0" wp14:anchorId="3E184573" wp14:editId="17BA94D3">
            <wp:extent cx="5906401" cy="7008269"/>
            <wp:effectExtent l="0" t="0" r="0" b="25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8503" cy="7058226"/>
                    </a:xfrm>
                    <a:prstGeom prst="rect">
                      <a:avLst/>
                    </a:prstGeom>
                  </pic:spPr>
                </pic:pic>
              </a:graphicData>
            </a:graphic>
          </wp:inline>
        </w:drawing>
      </w:r>
    </w:p>
    <w:p w14:paraId="1815B7D8" w14:textId="5F646BFC" w:rsidR="006C2DD0" w:rsidRDefault="006C2DD0" w:rsidP="008A2B86">
      <w:pPr>
        <w:pStyle w:val="Caption"/>
      </w:pPr>
      <w:bookmarkStart w:id="614" w:name="_Ref73978159"/>
      <w:bookmarkStart w:id="615" w:name="_Toc90216962"/>
      <w:r>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3</w:t>
      </w:r>
      <w:r w:rsidR="003373BF">
        <w:rPr>
          <w:noProof/>
        </w:rPr>
        <w:fldChar w:fldCharType="end"/>
      </w:r>
      <w:bookmarkEnd w:id="614"/>
      <w:r>
        <w:t xml:space="preserve"> TEM micrograph of freeze-substituted </w:t>
      </w:r>
      <w:r>
        <w:rPr>
          <w:i/>
        </w:rPr>
        <w:t>S. aureus</w:t>
      </w:r>
      <w:r>
        <w:t xml:space="preserve"> cells.</w:t>
      </w:r>
      <w:bookmarkEnd w:id="615"/>
    </w:p>
    <w:p w14:paraId="74EBA86D" w14:textId="0630AC00" w:rsidR="001908BF" w:rsidRDefault="00B05CAA" w:rsidP="00B05CAA">
      <w:pPr>
        <w:pStyle w:val="NoSpacing"/>
        <w:sectPr w:rsidR="001908BF" w:rsidSect="004D0E05">
          <w:pgSz w:w="11906" w:h="16838"/>
          <w:pgMar w:top="1191" w:right="1247" w:bottom="1191" w:left="1247" w:header="709" w:footer="709" w:gutter="0"/>
          <w:cols w:space="708"/>
          <w:titlePg/>
          <w:docGrid w:linePitch="360"/>
        </w:sectPr>
      </w:pPr>
      <w:r>
        <w:t xml:space="preserve">TEM micrograph of freeze-substituted </w:t>
      </w:r>
      <w:r>
        <w:rPr>
          <w:i/>
          <w:iCs/>
        </w:rPr>
        <w:t>S. aureus</w:t>
      </w:r>
      <w:r>
        <w:t xml:space="preserve"> SH1000 cells.</w:t>
      </w:r>
      <w:r w:rsidR="00274DC0">
        <w:t xml:space="preserve"> </w:t>
      </w:r>
      <w:r w:rsidR="00DA17D5">
        <w:rPr>
          <w:b/>
          <w:bCs/>
        </w:rPr>
        <w:t xml:space="preserve">(A) </w:t>
      </w:r>
      <w:r w:rsidR="00DA17D5">
        <w:t>R</w:t>
      </w:r>
      <w:r w:rsidR="005A09D5">
        <w:t>epresentative population shows cells with a differential staining level.</w:t>
      </w:r>
      <w:r>
        <w:t xml:space="preserve"> Low magnification (1900x), scale bar 1 µm</w:t>
      </w:r>
      <w:r w:rsidR="00DA17D5">
        <w:t>.</w:t>
      </w:r>
      <w:r w:rsidR="00DA17D5">
        <w:rPr>
          <w:b/>
          <w:bCs/>
        </w:rPr>
        <w:t xml:space="preserve"> </w:t>
      </w:r>
      <w:r w:rsidR="00DA17D5">
        <w:t xml:space="preserve">Closer look at representative cells with </w:t>
      </w:r>
      <w:r w:rsidR="00DA17D5">
        <w:rPr>
          <w:b/>
          <w:bCs/>
        </w:rPr>
        <w:t>(B)</w:t>
      </w:r>
      <w:r w:rsidR="00DA17D5">
        <w:t xml:space="preserve"> more contrast and </w:t>
      </w:r>
      <w:r w:rsidR="00DA17D5">
        <w:rPr>
          <w:b/>
          <w:bCs/>
        </w:rPr>
        <w:t>(C)</w:t>
      </w:r>
      <w:r w:rsidR="00DA17D5">
        <w:t xml:space="preserve"> less contrast. Cropped from high magnification (6800x), scale bar 50 nm</w:t>
      </w:r>
      <w:r>
        <w:t>.</w:t>
      </w:r>
    </w:p>
    <w:p w14:paraId="66840155" w14:textId="1E19B374" w:rsidR="00277746" w:rsidRDefault="002A0EF1" w:rsidP="00E97D6D">
      <w:pPr>
        <w:pStyle w:val="NoSpacing"/>
        <w:keepNext/>
        <w:jc w:val="center"/>
      </w:pPr>
      <w:r>
        <w:rPr>
          <w:noProof/>
        </w:rPr>
        <w:lastRenderedPageBreak/>
        <w:drawing>
          <wp:inline distT="0" distB="0" distL="0" distR="0" wp14:anchorId="4A4D498D" wp14:editId="225951A1">
            <wp:extent cx="7656576" cy="5040727"/>
            <wp:effectExtent l="0" t="0" r="1905" b="127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52" cstate="print">
                      <a:extLst>
                        <a:ext uri="{28A0092B-C50C-407E-A947-70E740481C1C}">
                          <a14:useLocalDpi xmlns:a14="http://schemas.microsoft.com/office/drawing/2010/main" val="0"/>
                        </a:ext>
                      </a:extLst>
                    </a:blip>
                    <a:srcRect l="469" r="469"/>
                    <a:stretch>
                      <a:fillRect/>
                    </a:stretch>
                  </pic:blipFill>
                  <pic:spPr bwMode="auto">
                    <a:xfrm>
                      <a:off x="0" y="0"/>
                      <a:ext cx="7664519" cy="5045957"/>
                    </a:xfrm>
                    <a:prstGeom prst="rect">
                      <a:avLst/>
                    </a:prstGeom>
                    <a:ln>
                      <a:noFill/>
                    </a:ln>
                    <a:extLst>
                      <a:ext uri="{53640926-AAD7-44D8-BBD7-CCE9431645EC}">
                        <a14:shadowObscured xmlns:a14="http://schemas.microsoft.com/office/drawing/2010/main"/>
                      </a:ext>
                    </a:extLst>
                  </pic:spPr>
                </pic:pic>
              </a:graphicData>
            </a:graphic>
          </wp:inline>
        </w:drawing>
      </w:r>
    </w:p>
    <w:p w14:paraId="7ACE934D" w14:textId="5820B13A" w:rsidR="002A0EF1" w:rsidRDefault="00277746" w:rsidP="008A2B86">
      <w:pPr>
        <w:pStyle w:val="Caption"/>
      </w:pPr>
      <w:bookmarkStart w:id="616" w:name="_Ref73978189"/>
      <w:bookmarkStart w:id="617" w:name="_Toc90216963"/>
      <w:r>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4</w:t>
      </w:r>
      <w:r w:rsidR="003373BF">
        <w:rPr>
          <w:noProof/>
        </w:rPr>
        <w:fldChar w:fldCharType="end"/>
      </w:r>
      <w:bookmarkEnd w:id="616"/>
      <w:r>
        <w:t xml:space="preserve"> </w:t>
      </w:r>
      <w:r w:rsidR="00021190">
        <w:t>Cell envelope of</w:t>
      </w:r>
      <w:r>
        <w:t xml:space="preserve"> freeze-substituted </w:t>
      </w:r>
      <w:r>
        <w:rPr>
          <w:i/>
        </w:rPr>
        <w:t>S. aureus</w:t>
      </w:r>
      <w:r>
        <w:t xml:space="preserve"> cells.</w:t>
      </w:r>
      <w:bookmarkEnd w:id="617"/>
    </w:p>
    <w:p w14:paraId="6D278E52" w14:textId="193DA82C" w:rsidR="001908BF" w:rsidRDefault="001C4D4B" w:rsidP="001A614E">
      <w:pPr>
        <w:pStyle w:val="NoSpacing"/>
        <w:sectPr w:rsidR="001908BF" w:rsidSect="00F9651C">
          <w:pgSz w:w="16838" w:h="11906" w:orient="landscape"/>
          <w:pgMar w:top="1247" w:right="1191" w:bottom="1247" w:left="1191" w:header="709" w:footer="709" w:gutter="0"/>
          <w:cols w:space="708"/>
          <w:titlePg/>
          <w:docGrid w:linePitch="360"/>
        </w:sectPr>
      </w:pPr>
      <w:r>
        <w:rPr>
          <w:b/>
          <w:bCs/>
        </w:rPr>
        <w:t>(A</w:t>
      </w:r>
      <w:r w:rsidR="00D07E76">
        <w:rPr>
          <w:b/>
          <w:bCs/>
        </w:rPr>
        <w:t>-</w:t>
      </w:r>
      <w:r>
        <w:rPr>
          <w:b/>
          <w:bCs/>
        </w:rPr>
        <w:t xml:space="preserve">C) </w:t>
      </w:r>
      <w:r w:rsidR="001A614E">
        <w:t>TEM micrographs of freeze-substituted</w:t>
      </w:r>
      <w:r w:rsidR="006F1C57">
        <w:t xml:space="preserve"> (FS)</w:t>
      </w:r>
      <w:r w:rsidR="001A614E">
        <w:t xml:space="preserve"> </w:t>
      </w:r>
      <w:r w:rsidR="001A614E">
        <w:rPr>
          <w:i/>
          <w:iCs/>
        </w:rPr>
        <w:t>S. aureus</w:t>
      </w:r>
      <w:r w:rsidR="001A614E">
        <w:t xml:space="preserve"> SH1000 cells</w:t>
      </w:r>
      <w:r w:rsidR="00736AEF">
        <w:t>.</w:t>
      </w:r>
      <w:r w:rsidR="009444F2" w:rsidRPr="009444F2">
        <w:rPr>
          <w:b/>
          <w:bCs/>
        </w:rPr>
        <w:t xml:space="preserve"> </w:t>
      </w:r>
      <w:r w:rsidR="009444F2">
        <w:rPr>
          <w:b/>
          <w:bCs/>
        </w:rPr>
        <w:t>(A)</w:t>
      </w:r>
      <w:r w:rsidR="009444F2">
        <w:t xml:space="preserve"> Image obtained from Matias &amp; Beveridge (2006) </w:t>
      </w:r>
      <w:r w:rsidR="009444F2">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89409496-4fa0-474e-8069-be86a795f53c"]}],"mendeley":{"formattedCitation":"&lt;sup&gt;[16]&lt;/sup&gt;","plainTextFormattedCitation":"[16]","previouslyFormattedCitation":"&lt;sup&gt;[16]&lt;/sup&gt;"},"properties":{"noteIndex":0},"schema":"https://github.com/citation-style-language/schema/raw/master/csl-citation.json"}</w:instrText>
      </w:r>
      <w:r w:rsidR="009444F2">
        <w:fldChar w:fldCharType="separate"/>
      </w:r>
      <w:r w:rsidR="00DA0A83" w:rsidRPr="00DA0A83">
        <w:rPr>
          <w:noProof/>
          <w:vertAlign w:val="superscript"/>
        </w:rPr>
        <w:t>[16]</w:t>
      </w:r>
      <w:r w:rsidR="009444F2">
        <w:fldChar w:fldCharType="end"/>
      </w:r>
      <w:r w:rsidR="00C651E5">
        <w:t>.</w:t>
      </w:r>
      <w:r w:rsidR="00736AEF">
        <w:t xml:space="preserve"> </w:t>
      </w:r>
      <w:r w:rsidR="00736AEF">
        <w:rPr>
          <w:b/>
          <w:bCs/>
        </w:rPr>
        <w:t>(</w:t>
      </w:r>
      <w:r w:rsidR="00EE1978">
        <w:rPr>
          <w:b/>
          <w:bCs/>
        </w:rPr>
        <w:t>B</w:t>
      </w:r>
      <w:r w:rsidR="009444F2">
        <w:rPr>
          <w:b/>
          <w:bCs/>
        </w:rPr>
        <w:t>-C</w:t>
      </w:r>
      <w:r w:rsidR="00736AEF">
        <w:rPr>
          <w:b/>
          <w:bCs/>
        </w:rPr>
        <w:t>)</w:t>
      </w:r>
      <w:r w:rsidR="00736AEF">
        <w:t xml:space="preserve"> </w:t>
      </w:r>
      <w:r w:rsidR="006F1C57">
        <w:t xml:space="preserve">Representative </w:t>
      </w:r>
      <w:r w:rsidR="00736AEF">
        <w:t>FS cells</w:t>
      </w:r>
      <w:r w:rsidR="00EE1978">
        <w:t xml:space="preserve"> from this study</w:t>
      </w:r>
      <w:r w:rsidR="00736AEF">
        <w:t xml:space="preserve"> showing </w:t>
      </w:r>
      <w:r w:rsidR="00EE1978">
        <w:rPr>
          <w:b/>
          <w:bCs/>
        </w:rPr>
        <w:t>(</w:t>
      </w:r>
      <w:r w:rsidR="009444F2">
        <w:rPr>
          <w:b/>
          <w:bCs/>
        </w:rPr>
        <w:t>B</w:t>
      </w:r>
      <w:r w:rsidR="00EE1978">
        <w:rPr>
          <w:b/>
          <w:bCs/>
        </w:rPr>
        <w:t xml:space="preserve">) </w:t>
      </w:r>
      <w:r w:rsidR="009444F2">
        <w:t>high</w:t>
      </w:r>
      <w:r w:rsidR="00EE1978">
        <w:t xml:space="preserve"> and </w:t>
      </w:r>
      <w:r w:rsidR="00EE1978">
        <w:rPr>
          <w:b/>
          <w:bCs/>
        </w:rPr>
        <w:t>(</w:t>
      </w:r>
      <w:r w:rsidR="00161022">
        <w:rPr>
          <w:b/>
          <w:bCs/>
        </w:rPr>
        <w:t>C</w:t>
      </w:r>
      <w:r w:rsidR="00EE1978">
        <w:rPr>
          <w:b/>
          <w:bCs/>
        </w:rPr>
        <w:t xml:space="preserve">) </w:t>
      </w:r>
      <w:r w:rsidR="009444F2">
        <w:t>low</w:t>
      </w:r>
      <w:r w:rsidR="00EE1978">
        <w:t xml:space="preserve"> </w:t>
      </w:r>
      <w:r w:rsidR="009444F2">
        <w:t>levels of staining</w:t>
      </w:r>
      <w:r w:rsidR="00736AEF">
        <w:t>.</w:t>
      </w:r>
      <w:r w:rsidR="004F744C">
        <w:t xml:space="preserve"> </w:t>
      </w:r>
      <w:r w:rsidR="00C651E5">
        <w:t xml:space="preserve">The former </w:t>
      </w:r>
      <w:r w:rsidR="00C651E5">
        <w:rPr>
          <w:b/>
          <w:bCs/>
        </w:rPr>
        <w:t>(B)</w:t>
      </w:r>
      <w:r w:rsidR="00C651E5">
        <w:t xml:space="preserve"> resembles</w:t>
      </w:r>
      <w:r w:rsidR="00274DC0">
        <w:t xml:space="preserve"> that in </w:t>
      </w:r>
      <w:r w:rsidR="00274DC0">
        <w:rPr>
          <w:b/>
          <w:bCs/>
        </w:rPr>
        <w:t>(</w:t>
      </w:r>
      <w:r w:rsidR="00C651E5">
        <w:rPr>
          <w:b/>
          <w:bCs/>
        </w:rPr>
        <w:t>A</w:t>
      </w:r>
      <w:r w:rsidR="00274DC0">
        <w:rPr>
          <w:b/>
          <w:bCs/>
        </w:rPr>
        <w:t>)</w:t>
      </w:r>
      <w:r w:rsidR="004F744C">
        <w:t>.</w:t>
      </w:r>
      <w:r w:rsidR="00D777A5">
        <w:t xml:space="preserve"> </w:t>
      </w:r>
      <w:r w:rsidR="00D07E76">
        <w:rPr>
          <w:b/>
          <w:bCs/>
        </w:rPr>
        <w:t>(D)</w:t>
      </w:r>
      <w:r w:rsidR="00D07E76">
        <w:t xml:space="preserve"> Schema obtained from Matias &amp; Beveridge (2005) </w:t>
      </w:r>
      <w:r w:rsidR="00D07E76">
        <w:fldChar w:fldCharType="begin" w:fldLock="1"/>
      </w:r>
      <w:r w:rsidR="005F2DD4">
        <w:instrText>ADDIN CSL_CITATION {"citationItems":[{"id":"ITEM-1","itemData":{"DOI":"10.1111/j.1365-2958.2005.04535.x","ISBN":"0950-382X (Print)\\r0950-382X (Linking)","ISSN":"0950382X","PMID":"15773993","abstract":"Ultrarapid freezing of bacteria (i.e. vitrification) results in optimal preservation of native structure. In this study, cryo-transmission electron microscopy of frozen-hydrated sections was used to gain insight into the organization of the Bacillus subtilis 168 cell envelope. A bipartite structure was seen above the plasma membrane consisting of a low-density 22 nm region above which a higher-density 33 nm region or outer wall zone (OWZ) resided. The interface between these two regions appeared to possess the most mass. In intact and in teichoic acid-extracted wall fragments, only a single region was seen but the mass distribution varied from being dense on the inside to less dense on the outside (i.e. similar to the OWZ). In plasmolysed cells, the inner wall zone (IWZ)'s thickness expanded in size but the OWZ's thickness remained constant. As the IWZ expanded it became filled with plasma membrane vesicles indicating that the IWZ had little substance and was empty of the wall's polymeric network of peptidoglycan and teichoic acid. Together these results strongly suggest that the inner zone actually represents a periplasmic space confined between the plasma membrane and the wall matrix and that the OWZ is the peptidoglycan-teichoic acid polymeric network of the wall.","author":[{"dropping-particle":"","family":"Matias","given":"V. R F","non-dropping-particle":"","parse-names":false,"suffix":""},{"dropping-particle":"","family":"Beveridge","given":"Terry J.","non-dropping-particle":"","parse-names":false,"suffix":""}],"container-title":"Molecular Microbiology","id":"ITEM-1","issue":"1","issued":{"date-parts":[["2005"]]},"page":"240-251","title":"Cryo-electron microscopy reveals native polymeric cell wall structure in Bacillus subtilis 168 and the existence of a periplasmic space","type":"article-journal","volume":"56"},"uris":["http://www.mendeley.com/documents/?uuid=3274a9ad-3640-4744-a55b-e8277897fa77"]}],"mendeley":{"formattedCitation":"&lt;sup&gt;[164]&lt;/sup&gt;","plainTextFormattedCitation":"[164]","previouslyFormattedCitation":"&lt;sup&gt;[164]&lt;/sup&gt;"},"properties":{"noteIndex":0},"schema":"https://github.com/citation-style-language/schema/raw/master/csl-citation.json"}</w:instrText>
      </w:r>
      <w:r w:rsidR="00D07E76">
        <w:fldChar w:fldCharType="separate"/>
      </w:r>
      <w:r w:rsidR="0054658D" w:rsidRPr="0054658D">
        <w:rPr>
          <w:noProof/>
          <w:vertAlign w:val="superscript"/>
        </w:rPr>
        <w:t>[164]</w:t>
      </w:r>
      <w:r w:rsidR="00D07E76">
        <w:fldChar w:fldCharType="end"/>
      </w:r>
      <w:r w:rsidR="00A84FE8">
        <w:t>.</w:t>
      </w:r>
      <w:r w:rsidR="00A84FE8" w:rsidRPr="00A84FE8">
        <w:rPr>
          <w:b/>
          <w:bCs/>
        </w:rPr>
        <w:t xml:space="preserve"> </w:t>
      </w:r>
      <w:r w:rsidR="00A84FE8">
        <w:rPr>
          <w:b/>
          <w:bCs/>
        </w:rPr>
        <w:t>(E-F)</w:t>
      </w:r>
      <w:r w:rsidR="00A84FE8">
        <w:t xml:space="preserve"> Schematic representations of images in </w:t>
      </w:r>
      <w:r w:rsidR="00A84FE8">
        <w:rPr>
          <w:b/>
          <w:bCs/>
        </w:rPr>
        <w:t>(B-C)</w:t>
      </w:r>
      <w:r w:rsidR="00083041">
        <w:t xml:space="preserve"> respectively</w:t>
      </w:r>
      <w:r w:rsidR="00D777A5">
        <w:t>.</w:t>
      </w:r>
      <w:r w:rsidR="008C7FE2" w:rsidRPr="008C7FE2">
        <w:t xml:space="preserve"> </w:t>
      </w:r>
      <w:r w:rsidR="008C7FE2">
        <w:t>WTA– wall teichoic acids, CW– cell wall, ES– exoplasmic space, PM– plasma membrane</w:t>
      </w:r>
      <w:r w:rsidR="00DC59E1">
        <w:t>. Layers I and II are</w:t>
      </w:r>
      <w:r w:rsidR="009F3919">
        <w:t xml:space="preserve"> two undefined layers</w:t>
      </w:r>
      <w:r w:rsidR="008C7FE2">
        <w:t xml:space="preserve">. Scale bars </w:t>
      </w:r>
      <w:r w:rsidR="00DC59E1">
        <w:t xml:space="preserve">100 nm and </w:t>
      </w:r>
      <w:r w:rsidR="008C7FE2">
        <w:t>50 nm.</w:t>
      </w:r>
    </w:p>
    <w:p w14:paraId="19A8890C" w14:textId="77777777" w:rsidR="00F72750" w:rsidRDefault="00F72750" w:rsidP="00D511E9">
      <w:pPr>
        <w:pStyle w:val="NoSpacing"/>
        <w:keepNext/>
        <w:jc w:val="center"/>
      </w:pPr>
      <w:r>
        <w:rPr>
          <w:noProof/>
        </w:rPr>
        <w:lastRenderedPageBreak/>
        <w:drawing>
          <wp:inline distT="0" distB="0" distL="0" distR="0" wp14:anchorId="15F17863" wp14:editId="682A25EF">
            <wp:extent cx="5910199" cy="5826366"/>
            <wp:effectExtent l="0" t="0" r="0" b="317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10199" cy="5826366"/>
                    </a:xfrm>
                    <a:prstGeom prst="rect">
                      <a:avLst/>
                    </a:prstGeom>
                  </pic:spPr>
                </pic:pic>
              </a:graphicData>
            </a:graphic>
          </wp:inline>
        </w:drawing>
      </w:r>
    </w:p>
    <w:p w14:paraId="051922BB" w14:textId="47F4A14E" w:rsidR="001A614E" w:rsidRDefault="00F72750" w:rsidP="008A2B86">
      <w:pPr>
        <w:pStyle w:val="Caption"/>
      </w:pPr>
      <w:bookmarkStart w:id="618" w:name="_Ref74087904"/>
      <w:bookmarkStart w:id="619" w:name="_Toc90216964"/>
      <w:r>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w:instrText>
      </w:r>
      <w:r w:rsidR="003373BF">
        <w:instrText xml:space="preserve">e \* ARABIC \s 1 </w:instrText>
      </w:r>
      <w:r w:rsidR="003373BF">
        <w:fldChar w:fldCharType="separate"/>
      </w:r>
      <w:r w:rsidR="00183CC8">
        <w:rPr>
          <w:noProof/>
        </w:rPr>
        <w:t>5</w:t>
      </w:r>
      <w:r w:rsidR="003373BF">
        <w:rPr>
          <w:noProof/>
        </w:rPr>
        <w:fldChar w:fldCharType="end"/>
      </w:r>
      <w:bookmarkEnd w:id="618"/>
      <w:r>
        <w:t xml:space="preserve"> </w:t>
      </w:r>
      <w:r w:rsidR="002F1F78">
        <w:t>Preservation of the cell envelope structure of freeze-</w:t>
      </w:r>
      <w:r w:rsidR="007932E9">
        <w:t>substituted</w:t>
      </w:r>
      <w:r w:rsidR="002F1F78">
        <w:t xml:space="preserve"> </w:t>
      </w:r>
      <w:r w:rsidR="007932E9">
        <w:rPr>
          <w:i/>
        </w:rPr>
        <w:t xml:space="preserve">S. aureus </w:t>
      </w:r>
      <w:r w:rsidR="002F1F78">
        <w:t>cells</w:t>
      </w:r>
      <w:r>
        <w:t>.</w:t>
      </w:r>
      <w:bookmarkEnd w:id="619"/>
    </w:p>
    <w:p w14:paraId="7364556E" w14:textId="2F83ED69" w:rsidR="00AF682E" w:rsidRDefault="00796B20" w:rsidP="00AF682E">
      <w:pPr>
        <w:pStyle w:val="NoSpacing"/>
        <w:sectPr w:rsidR="00AF682E" w:rsidSect="004D0E05">
          <w:pgSz w:w="11906" w:h="16838"/>
          <w:pgMar w:top="1191" w:right="1247" w:bottom="1191" w:left="1247" w:header="709" w:footer="709" w:gutter="0"/>
          <w:cols w:space="708"/>
          <w:titlePg/>
          <w:docGrid w:linePitch="360"/>
        </w:sectPr>
      </w:pPr>
      <w:r>
        <w:t xml:space="preserve">TEM micrographs of freeze-substituted </w:t>
      </w:r>
      <w:r>
        <w:rPr>
          <w:i/>
          <w:iCs/>
        </w:rPr>
        <w:t>S. aureus</w:t>
      </w:r>
      <w:r>
        <w:t xml:space="preserve"> cells. The multilayer structures are consistent in different stages of division</w:t>
      </w:r>
      <w:r w:rsidR="00AF682E">
        <w:t>.</w:t>
      </w:r>
      <w:r w:rsidR="003F3BE1">
        <w:t xml:space="preserve"> </w:t>
      </w:r>
      <w:r w:rsidR="00201AF5">
        <w:t xml:space="preserve">CW– cell wall, ES– exoplasmic space, PM– plasma membrane. </w:t>
      </w:r>
      <w:r w:rsidR="003F3BE1">
        <w:t>High magnification (</w:t>
      </w:r>
      <w:r w:rsidR="00E05B71">
        <w:t>11000x</w:t>
      </w:r>
      <w:r w:rsidR="007506FA">
        <w:t xml:space="preserve"> and 23000x</w:t>
      </w:r>
      <w:r w:rsidR="00E05B71">
        <w:t xml:space="preserve">) scale bar 200 nm. Blue </w:t>
      </w:r>
      <w:r w:rsidR="007506FA">
        <w:t>regions cropped from high magnification (30000x and 49000x), scale bar 50 nm.</w:t>
      </w:r>
    </w:p>
    <w:p w14:paraId="49AA362B" w14:textId="419ADF8F" w:rsidR="004B0C7E" w:rsidRDefault="00625126" w:rsidP="004B0C7E">
      <w:pPr>
        <w:pStyle w:val="Heading3"/>
      </w:pPr>
      <w:bookmarkStart w:id="620" w:name="_Toc90216884"/>
      <w:r>
        <w:lastRenderedPageBreak/>
        <w:t xml:space="preserve">The bacterial envelope of SH1000 analysed by </w:t>
      </w:r>
      <w:r w:rsidR="004D1BE8">
        <w:t>CEMOVIS</w:t>
      </w:r>
      <w:r w:rsidR="007006CC">
        <w:t>.</w:t>
      </w:r>
      <w:bookmarkEnd w:id="620"/>
    </w:p>
    <w:p w14:paraId="7517EFB7" w14:textId="5C56AA25" w:rsidR="009836AB" w:rsidRDefault="00951FDA" w:rsidP="004D1BE8">
      <w:r>
        <w:t>For a more detailed analysis of the exoplasmic space in a hydrate</w:t>
      </w:r>
      <w:r w:rsidR="00EB5EB0">
        <w:t>d</w:t>
      </w:r>
      <w:r>
        <w:t xml:space="preserve"> state, CEMOV</w:t>
      </w:r>
      <w:r w:rsidR="00486B0A">
        <w:t>I</w:t>
      </w:r>
      <w:r>
        <w:t>S was carried out</w:t>
      </w:r>
      <w:r w:rsidR="00A37EBB">
        <w:t xml:space="preserve">. </w:t>
      </w:r>
      <w:r w:rsidR="0013585A">
        <w:t>Samples were</w:t>
      </w:r>
      <w:r>
        <w:t xml:space="preserve"> prepared as describe</w:t>
      </w:r>
      <w:r w:rsidR="008E707D">
        <w:t>d</w:t>
      </w:r>
      <w:r>
        <w:t xml:space="preserve"> in section </w:t>
      </w:r>
      <w:r w:rsidR="00FA3717">
        <w:fldChar w:fldCharType="begin"/>
      </w:r>
      <w:r w:rsidR="00FA3717">
        <w:instrText xml:space="preserve"> REF _Ref74391660 \r \h </w:instrText>
      </w:r>
      <w:r w:rsidR="00FA3717">
        <w:fldChar w:fldCharType="separate"/>
      </w:r>
      <w:r w:rsidR="00183CC8">
        <w:t>2.21</w:t>
      </w:r>
      <w:r w:rsidR="00FA3717">
        <w:fldChar w:fldCharType="end"/>
      </w:r>
      <w:r w:rsidR="001C3335">
        <w:t>. This first and only attempt at this technique provided vitrified sections with ice contamination which diminished visibility and affected the analysis</w:t>
      </w:r>
      <w:r w:rsidR="00F7227A">
        <w:t xml:space="preserve"> of </w:t>
      </w:r>
      <w:r w:rsidR="007A2767">
        <w:t>the cryo-</w:t>
      </w:r>
      <w:r w:rsidR="00F7227A">
        <w:t>TEM micrographs</w:t>
      </w:r>
      <w:r w:rsidR="00046FF8">
        <w:t xml:space="preserve"> (</w:t>
      </w:r>
      <w:r w:rsidR="00046FF8">
        <w:fldChar w:fldCharType="begin"/>
      </w:r>
      <w:r w:rsidR="00046FF8">
        <w:instrText xml:space="preserve"> REF _Ref74417439 \h </w:instrText>
      </w:r>
      <w:r w:rsidR="00046FF8">
        <w:fldChar w:fldCharType="separate"/>
      </w:r>
      <w:r w:rsidR="00183CC8">
        <w:t xml:space="preserve">Figure </w:t>
      </w:r>
      <w:r w:rsidR="00183CC8">
        <w:rPr>
          <w:noProof/>
        </w:rPr>
        <w:t>4</w:t>
      </w:r>
      <w:r w:rsidR="00183CC8">
        <w:t>.</w:t>
      </w:r>
      <w:r w:rsidR="00183CC8">
        <w:rPr>
          <w:noProof/>
        </w:rPr>
        <w:t>6</w:t>
      </w:r>
      <w:r w:rsidR="00046FF8">
        <w:fldChar w:fldCharType="end"/>
      </w:r>
      <w:r w:rsidR="00046FF8">
        <w:t>)</w:t>
      </w:r>
      <w:r w:rsidR="00F7227A">
        <w:t>.</w:t>
      </w:r>
    </w:p>
    <w:p w14:paraId="1A5200E3" w14:textId="475340C7" w:rsidR="00CA261B" w:rsidRDefault="00165880" w:rsidP="004D1BE8">
      <w:pPr>
        <w:sectPr w:rsidR="00CA261B" w:rsidSect="004D0E05">
          <w:pgSz w:w="11906" w:h="16838"/>
          <w:pgMar w:top="1191" w:right="1247" w:bottom="1191" w:left="1247" w:header="709" w:footer="709" w:gutter="0"/>
          <w:cols w:space="708"/>
          <w:titlePg/>
          <w:docGrid w:linePitch="360"/>
        </w:sectPr>
      </w:pPr>
      <w:r>
        <w:t>The</w:t>
      </w:r>
      <w:r w:rsidR="0067194D">
        <w:t xml:space="preserve"> different components of the cell envelope</w:t>
      </w:r>
      <w:r>
        <w:t xml:space="preserve"> and septum</w:t>
      </w:r>
      <w:r w:rsidR="0067194D">
        <w:t xml:space="preserve"> were </w:t>
      </w:r>
      <w:r>
        <w:t>analysed</w:t>
      </w:r>
      <w:r w:rsidR="0067194D">
        <w:t xml:space="preserve"> by </w:t>
      </w:r>
      <w:r>
        <w:t xml:space="preserve">comparing the </w:t>
      </w:r>
      <w:r w:rsidR="0067194D">
        <w:t>density trac</w:t>
      </w:r>
      <w:r w:rsidR="0098037A">
        <w:t>ings</w:t>
      </w:r>
      <w:r w:rsidR="0067194D">
        <w:t xml:space="preserve"> of cryo-TEM micrographs </w:t>
      </w:r>
      <w:r>
        <w:t xml:space="preserve">to those obtained by Matias &amp; Beveridge (2006) </w:t>
      </w:r>
      <w:r>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d0573240-3d12-4cf9-8413-79fe8dd7149d"]}],"mendeley":{"formattedCitation":"&lt;sup&gt;[16]&lt;/sup&gt;","plainTextFormattedCitation":"[16]","previouslyFormattedCitation":"&lt;sup&gt;[16]&lt;/sup&gt;"},"properties":{"noteIndex":0},"schema":"https://github.com/citation-style-language/schema/raw/master/csl-citation.json"}</w:instrText>
      </w:r>
      <w:r>
        <w:fldChar w:fldCharType="separate"/>
      </w:r>
      <w:r w:rsidR="00DA0A83" w:rsidRPr="00DA0A83">
        <w:rPr>
          <w:noProof/>
          <w:vertAlign w:val="superscript"/>
        </w:rPr>
        <w:t>[16]</w:t>
      </w:r>
      <w:r>
        <w:fldChar w:fldCharType="end"/>
      </w:r>
      <w:r w:rsidR="005578F9">
        <w:t xml:space="preserve"> (</w:t>
      </w:r>
      <w:r w:rsidR="005578F9">
        <w:fldChar w:fldCharType="begin"/>
      </w:r>
      <w:r w:rsidR="005578F9">
        <w:instrText xml:space="preserve"> REF _Ref74413149 \h </w:instrText>
      </w:r>
      <w:r w:rsidR="005578F9">
        <w:fldChar w:fldCharType="separate"/>
      </w:r>
      <w:r w:rsidR="00183CC8">
        <w:t xml:space="preserve">Figure </w:t>
      </w:r>
      <w:r w:rsidR="00183CC8">
        <w:rPr>
          <w:noProof/>
        </w:rPr>
        <w:t>4</w:t>
      </w:r>
      <w:r w:rsidR="00183CC8">
        <w:t>.</w:t>
      </w:r>
      <w:r w:rsidR="00183CC8">
        <w:rPr>
          <w:noProof/>
        </w:rPr>
        <w:t>7</w:t>
      </w:r>
      <w:r w:rsidR="005578F9">
        <w:fldChar w:fldCharType="end"/>
      </w:r>
      <w:r w:rsidR="005578F9">
        <w:t>)</w:t>
      </w:r>
      <w:r>
        <w:t xml:space="preserve">. </w:t>
      </w:r>
      <w:r w:rsidR="00D15693">
        <w:t>Density trac</w:t>
      </w:r>
      <w:r w:rsidR="0098037A">
        <w:t>ings</w:t>
      </w:r>
      <w:r w:rsidR="00D15693">
        <w:t xml:space="preserve"> were taken with </w:t>
      </w:r>
      <w:r w:rsidR="0067194D">
        <w:t>F</w:t>
      </w:r>
      <w:r w:rsidR="00E930CC">
        <w:t xml:space="preserve">iji </w:t>
      </w:r>
      <w:r w:rsidR="00721CE5">
        <w:fldChar w:fldCharType="begin" w:fldLock="1"/>
      </w:r>
      <w:r w:rsidR="0058736C">
        <w:instrText>ADDIN CSL_CITATION {"citationItems":[{"id":"ITEM-1","itemData":{"DOI":"10.1038/nmeth.2019","ISSN":"15487091","PMID":"22743772","abstract":"Fiji is a distribution of the popular open-source software ImageJ focused on biological-image analysis. Fiji uses modern software engineering practices to combine powerful software libraries with a broad range of scripting languages to enable rapid prototyping of image-processing algorithms. Fiji facilitates the transformation of new algorithms into ImageJ plugins that can be shared with end users through an integrated update system. We propose Fiji as a platform for productive collaboration between computer science and biology research communities. © 2012 Nature America, Inc. All rights reserved.","author":[{"dropping-particle":"","family":"Schindelin","given":"Johannes","non-dropping-particle":"","parse-names":false,"suffix":""},{"dropping-particle":"","family":"Arganda-Carreras","given":"Ignacio","non-dropping-particle":"","parse-names":false,"suffix":""},{"dropping-particle":"","family":"Frise","given":"Erwin","non-dropping-particle":"","parse-names":false,"suffix":""},{"dropping-particle":"","family":"Kaynig","given":"Verena","non-dropping-particle":"","parse-names":false,"suffix":""},{"dropping-particle":"","family":"Longair","given":"Mark","non-dropping-particle":"","parse-names":false,"suffix":""},{"dropping-particle":"","family":"Pietzsch","given":"Tobias","non-dropping-particle":"","parse-names":false,"suffix":""},{"dropping-particle":"","family":"Preibisch","given":"Stephan","non-dropping-particle":"","parse-names":false,"suffix":""},{"dropping-particle":"","family":"Rueden","given":"Curtis","non-dropping-particle":"","parse-names":false,"suffix":""},{"dropping-particle":"","family":"Saalfeld","given":"Stephan","non-dropping-particle":"","parse-names":false,"suffix":""},{"dropping-particle":"","family":"Schmid","given":"Benjamin","non-dropping-particle":"","parse-names":false,"suffix":""},{"dropping-particle":"","family":"Tinevez","given":"Jean Yves","non-dropping-particle":"","parse-names":false,"suffix":""},{"dropping-particle":"","family":"White","given":"Daniel James","non-dropping-particle":"","parse-names":false,"suffix":""},{"dropping-particle":"","family":"Hartenstein","given":"Volker","non-dropping-particle":"","parse-names":false,"suffix":""},{"dropping-particle":"","family":"Eliceiri","given":"Kevin","non-dropping-particle":"","parse-names":false,"suffix":""},{"dropping-particle":"","family":"Tomancak","given":"Pavel","non-dropping-particle":"","parse-names":false,"suffix":""},{"dropping-particle":"","family":"Cardona","given":"Albert","non-dropping-particle":"","parse-names":false,"suffix":""}],"container-title":"Nature Methods","id":"ITEM-1","issue":"7","issued":{"date-parts":[["2012","7","28"]]},"page":"676-682","publisher":"Nature Publishing Group","title":"Fiji: An open-source platform for biological-image analysis","type":"article","volume":"9"},"uris":["http://www.mendeley.com/documents/?uuid=59429b62-8bc2-379d-b929-9570760f73c6"]}],"mendeley":{"formattedCitation":"&lt;sup&gt;[238]&lt;/sup&gt;","plainTextFormattedCitation":"[238]","previouslyFormattedCitation":"&lt;sup&gt;[238]&lt;/sup&gt;"},"properties":{"noteIndex":0},"schema":"https://github.com/citation-style-language/schema/raw/master/csl-citation.json"}</w:instrText>
      </w:r>
      <w:r w:rsidR="00721CE5">
        <w:fldChar w:fldCharType="separate"/>
      </w:r>
      <w:r w:rsidR="002659E5" w:rsidRPr="002659E5">
        <w:rPr>
          <w:noProof/>
          <w:vertAlign w:val="superscript"/>
        </w:rPr>
        <w:t>[238]</w:t>
      </w:r>
      <w:r w:rsidR="00721CE5">
        <w:fldChar w:fldCharType="end"/>
      </w:r>
      <w:r w:rsidR="00A37EBB">
        <w:t>,</w:t>
      </w:r>
      <w:r w:rsidR="0032068D">
        <w:t xml:space="preserve"> as described in section </w:t>
      </w:r>
      <w:r w:rsidR="006D7982">
        <w:fldChar w:fldCharType="begin"/>
      </w:r>
      <w:r w:rsidR="006D7982">
        <w:instrText xml:space="preserve"> REF _Ref74392355 \r \h </w:instrText>
      </w:r>
      <w:r w:rsidR="006D7982">
        <w:fldChar w:fldCharType="separate"/>
      </w:r>
      <w:r w:rsidR="00183CC8">
        <w:t>2.21.4</w:t>
      </w:r>
      <w:r w:rsidR="006D7982">
        <w:fldChar w:fldCharType="end"/>
      </w:r>
      <w:r w:rsidR="0067194D">
        <w:t>.</w:t>
      </w:r>
      <w:r w:rsidR="0098037A">
        <w:t xml:space="preserve"> </w:t>
      </w:r>
      <w:r w:rsidR="005578F9">
        <w:t>The results from this study</w:t>
      </w:r>
      <w:r w:rsidR="001E62A2">
        <w:t xml:space="preserve"> resemble those already published</w:t>
      </w:r>
      <w:r w:rsidR="00A37EBB">
        <w:t xml:space="preserve"> </w:t>
      </w:r>
      <w:r w:rsidR="00A37EBB">
        <w:fldChar w:fldCharType="begin" w:fldLock="1"/>
      </w:r>
      <w:r w:rsidR="00A37EBB">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d0573240-3d12-4cf9-8413-79fe8dd7149d"]}],"mendeley":{"formattedCitation":"&lt;sup&gt;[16]&lt;/sup&gt;","plainTextFormattedCitation":"[16]","previouslyFormattedCitation":"&lt;sup&gt;[16]&lt;/sup&gt;"},"properties":{"noteIndex":0},"schema":"https://github.com/citation-style-language/schema/raw/master/csl-citation.json"}</w:instrText>
      </w:r>
      <w:r w:rsidR="00A37EBB">
        <w:fldChar w:fldCharType="separate"/>
      </w:r>
      <w:r w:rsidR="00A37EBB" w:rsidRPr="00DA0A83">
        <w:rPr>
          <w:noProof/>
          <w:vertAlign w:val="superscript"/>
        </w:rPr>
        <w:t>[16]</w:t>
      </w:r>
      <w:r w:rsidR="00A37EBB">
        <w:fldChar w:fldCharType="end"/>
      </w:r>
      <w:r w:rsidR="001E62A2">
        <w:t xml:space="preserve">. </w:t>
      </w:r>
      <w:r w:rsidR="00721D08">
        <w:t>I</w:t>
      </w:r>
      <w:r w:rsidR="001E62A2">
        <w:t>ce contamination and inferior quality of the sample due to inexperience resulted in micrographs with a lot of background noise.</w:t>
      </w:r>
      <w:r w:rsidR="00041A4B">
        <w:t xml:space="preserve"> Although the ES cannot be distinguish</w:t>
      </w:r>
      <w:r w:rsidR="007A2D4C">
        <w:t>ed</w:t>
      </w:r>
      <w:r w:rsidR="00041A4B">
        <w:t xml:space="preserve"> in the septum, it was somewhat differentiated in the cell </w:t>
      </w:r>
      <w:r w:rsidR="00721D08">
        <w:t>periphery</w:t>
      </w:r>
      <w:r w:rsidR="00041A4B">
        <w:t>.</w:t>
      </w:r>
      <w:r w:rsidR="00AD4D6F">
        <w:t xml:space="preserve"> However, the dual density regions at the bacterial envelope w</w:t>
      </w:r>
      <w:r w:rsidR="002B67B6">
        <w:t>ere</w:t>
      </w:r>
      <w:r w:rsidR="00AD4D6F">
        <w:t xml:space="preserve"> not as defined</w:t>
      </w:r>
      <w:r w:rsidR="00640375">
        <w:t xml:space="preserve"> as those published </w:t>
      </w:r>
      <w:r w:rsidR="00640375">
        <w:fldChar w:fldCharType="begin" w:fldLock="1"/>
      </w:r>
      <w:r w:rsidR="00640375">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5570428f-abef-4c52-8423-1f18c58db060"]}],"mendeley":{"formattedCitation":"&lt;sup&gt;[16]&lt;/sup&gt;","plainTextFormattedCitation":"[16]","previouslyFormattedCitation":"&lt;sup&gt;[16]&lt;/sup&gt;"},"properties":{"noteIndex":0},"schema":"https://github.com/citation-style-language/schema/raw/master/csl-citation.json"}</w:instrText>
      </w:r>
      <w:r w:rsidR="00640375">
        <w:fldChar w:fldCharType="separate"/>
      </w:r>
      <w:r w:rsidR="00640375" w:rsidRPr="00DA0A83">
        <w:rPr>
          <w:noProof/>
          <w:vertAlign w:val="superscript"/>
        </w:rPr>
        <w:t>[16]</w:t>
      </w:r>
      <w:r w:rsidR="00640375">
        <w:fldChar w:fldCharType="end"/>
      </w:r>
      <w:r w:rsidR="00AD4D6F">
        <w:t>.</w:t>
      </w:r>
      <w:r w:rsidR="00041A4B">
        <w:t xml:space="preserve"> It was </w:t>
      </w:r>
      <w:r w:rsidR="00AD4D6F">
        <w:t xml:space="preserve">also </w:t>
      </w:r>
      <w:r w:rsidR="00041A4B">
        <w:t xml:space="preserve">apparent that the bacterial envelope </w:t>
      </w:r>
      <w:r w:rsidR="002B67B6">
        <w:t>was</w:t>
      </w:r>
      <w:r w:rsidR="00041A4B">
        <w:t xml:space="preserve"> </w:t>
      </w:r>
      <w:r w:rsidR="00C00D2C">
        <w:t>thinner</w:t>
      </w:r>
      <w:r w:rsidR="00041A4B">
        <w:t xml:space="preserve"> than </w:t>
      </w:r>
      <w:r w:rsidR="006F6C3B">
        <w:t xml:space="preserve">that published by Matias &amp; Beveridge (2006) </w:t>
      </w:r>
      <w:r w:rsidR="006F6C3B">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5570428f-abef-4c52-8423-1f18c58db060"]}],"mendeley":{"formattedCitation":"&lt;sup&gt;[16]&lt;/sup&gt;","plainTextFormattedCitation":"[16]","previouslyFormattedCitation":"&lt;sup&gt;[16]&lt;/sup&gt;"},"properties":{"noteIndex":0},"schema":"https://github.com/citation-style-language/schema/raw/master/csl-citation.json"}</w:instrText>
      </w:r>
      <w:r w:rsidR="006F6C3B">
        <w:fldChar w:fldCharType="separate"/>
      </w:r>
      <w:r w:rsidR="00DA0A83" w:rsidRPr="00DA0A83">
        <w:rPr>
          <w:noProof/>
          <w:vertAlign w:val="superscript"/>
        </w:rPr>
        <w:t>[16]</w:t>
      </w:r>
      <w:r w:rsidR="006F6C3B">
        <w:fldChar w:fldCharType="end"/>
      </w:r>
      <w:r w:rsidR="00041A4B">
        <w:t>, so measurements were carried out.</w:t>
      </w:r>
      <w:r w:rsidR="005578F9">
        <w:t xml:space="preserve"> </w:t>
      </w:r>
      <w:r w:rsidR="0067194D">
        <w:t xml:space="preserve">Comparison of these measurements are shown in </w:t>
      </w:r>
      <w:r w:rsidR="0067194D">
        <w:fldChar w:fldCharType="begin"/>
      </w:r>
      <w:r w:rsidR="0067194D">
        <w:instrText xml:space="preserve"> REF _Ref74389836 \h </w:instrText>
      </w:r>
      <w:r w:rsidR="0067194D">
        <w:fldChar w:fldCharType="separate"/>
      </w:r>
      <w:r w:rsidR="00183CC8">
        <w:t xml:space="preserve">Figure </w:t>
      </w:r>
      <w:r w:rsidR="00183CC8">
        <w:rPr>
          <w:noProof/>
        </w:rPr>
        <w:t>4</w:t>
      </w:r>
      <w:r w:rsidR="00183CC8">
        <w:t>.</w:t>
      </w:r>
      <w:r w:rsidR="00183CC8">
        <w:rPr>
          <w:noProof/>
        </w:rPr>
        <w:t>8</w:t>
      </w:r>
      <w:r w:rsidR="0067194D">
        <w:fldChar w:fldCharType="end"/>
      </w:r>
      <w:r w:rsidR="008B2255">
        <w:t>a</w:t>
      </w:r>
      <w:r w:rsidR="0067194D">
        <w:t>.</w:t>
      </w:r>
      <w:r w:rsidR="008B2255">
        <w:t xml:space="preserve"> </w:t>
      </w:r>
      <w:r w:rsidR="00A96B67">
        <w:t>M</w:t>
      </w:r>
      <w:r w:rsidR="008B2255">
        <w:t xml:space="preserve">easurements were taken for each envelope component </w:t>
      </w:r>
      <w:r w:rsidR="008B2255">
        <w:rPr>
          <w:i/>
          <w:iCs/>
        </w:rPr>
        <w:t>per</w:t>
      </w:r>
      <w:r w:rsidR="008B2255">
        <w:t xml:space="preserve"> cell, with a total </w:t>
      </w:r>
      <w:r w:rsidR="005B7897">
        <w:t>of 2</w:t>
      </w:r>
      <w:r w:rsidR="00826DFD">
        <w:t>8</w:t>
      </w:r>
      <w:r w:rsidR="008B2255">
        <w:t xml:space="preserve"> cells analysed (</w:t>
      </w:r>
      <w:r w:rsidR="008B2255">
        <w:fldChar w:fldCharType="begin"/>
      </w:r>
      <w:r w:rsidR="008B2255">
        <w:instrText xml:space="preserve"> REF _Ref74389836 \h </w:instrText>
      </w:r>
      <w:r w:rsidR="008B2255">
        <w:fldChar w:fldCharType="separate"/>
      </w:r>
      <w:r w:rsidR="00183CC8">
        <w:t xml:space="preserve">Figure </w:t>
      </w:r>
      <w:r w:rsidR="00183CC8">
        <w:rPr>
          <w:noProof/>
        </w:rPr>
        <w:t>4</w:t>
      </w:r>
      <w:r w:rsidR="00183CC8">
        <w:t>.</w:t>
      </w:r>
      <w:r w:rsidR="00183CC8">
        <w:rPr>
          <w:noProof/>
        </w:rPr>
        <w:t>8</w:t>
      </w:r>
      <w:r w:rsidR="008B2255">
        <w:fldChar w:fldCharType="end"/>
      </w:r>
      <w:r w:rsidR="008B2255">
        <w:t>b).</w:t>
      </w:r>
      <w:r w:rsidR="00894734">
        <w:t xml:space="preserve"> </w:t>
      </w:r>
      <w:r w:rsidR="00222C4E">
        <w:t>Both the</w:t>
      </w:r>
      <w:r w:rsidR="00894734">
        <w:t xml:space="preserve"> mean values</w:t>
      </w:r>
      <w:r w:rsidR="00222C4E">
        <w:t xml:space="preserve"> and the standard deviation</w:t>
      </w:r>
      <w:r w:rsidR="00894734">
        <w:t xml:space="preserve"> </w:t>
      </w:r>
      <w:r w:rsidR="000F669A">
        <w:t>for the ES and CW</w:t>
      </w:r>
      <w:r w:rsidR="00DB41C5">
        <w:t>,</w:t>
      </w:r>
      <w:r w:rsidR="00E8091E">
        <w:t xml:space="preserve"> </w:t>
      </w:r>
      <w:r w:rsidR="00DB41C5">
        <w:t xml:space="preserve">measuring 12.1 ± 2.2 nm and 16.7 ± 2.8 nm respectively, </w:t>
      </w:r>
      <w:r w:rsidR="00894734">
        <w:t xml:space="preserve">were smaller than those obtained by Matias &amp; Beveridge (2006) </w:t>
      </w:r>
      <w:r w:rsidR="00A20544">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d0573240-3d12-4cf9-8413-79fe8dd7149d"]}],"mendeley":{"formattedCitation":"&lt;sup&gt;[16]&lt;/sup&gt;","plainTextFormattedCitation":"[16]","previouslyFormattedCitation":"&lt;sup&gt;[16]&lt;/sup&gt;"},"properties":{"noteIndex":0},"schema":"https://github.com/citation-style-language/schema/raw/master/csl-citation.json"}</w:instrText>
      </w:r>
      <w:r w:rsidR="00A20544">
        <w:fldChar w:fldCharType="separate"/>
      </w:r>
      <w:r w:rsidR="00DA0A83" w:rsidRPr="00DA0A83">
        <w:rPr>
          <w:noProof/>
          <w:vertAlign w:val="superscript"/>
        </w:rPr>
        <w:t>[16]</w:t>
      </w:r>
      <w:r w:rsidR="00A20544">
        <w:fldChar w:fldCharType="end"/>
      </w:r>
      <w:r w:rsidR="00222C4E">
        <w:t>.</w:t>
      </w:r>
      <w:r w:rsidR="0021756B">
        <w:t xml:space="preserve"> On the other hand, the mean thickness value for the plasma membrane was of 6.4 ± 1.4 nm, </w:t>
      </w:r>
      <w:r w:rsidR="004D045D">
        <w:t>that</w:t>
      </w:r>
      <w:r w:rsidR="00460A62">
        <w:t xml:space="preserve"> i</w:t>
      </w:r>
      <w:r w:rsidR="004D045D">
        <w:t>s 1 nm thicker than the literature.</w:t>
      </w:r>
    </w:p>
    <w:p w14:paraId="3CCF00EE" w14:textId="77777777" w:rsidR="00CA261B" w:rsidRDefault="00CA261B" w:rsidP="00562E64">
      <w:pPr>
        <w:keepNext/>
        <w:jc w:val="center"/>
      </w:pPr>
      <w:r>
        <w:rPr>
          <w:noProof/>
        </w:rPr>
        <w:lastRenderedPageBreak/>
        <w:drawing>
          <wp:inline distT="0" distB="0" distL="0" distR="0" wp14:anchorId="5A3E15D4" wp14:editId="58D01902">
            <wp:extent cx="4892254" cy="8261572"/>
            <wp:effectExtent l="0" t="0" r="0" b="0"/>
            <wp:docPr id="81" name="Picture 81" descr="A picture containing green,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icture containing green, window&#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47852" cy="8355461"/>
                    </a:xfrm>
                    <a:prstGeom prst="rect">
                      <a:avLst/>
                    </a:prstGeom>
                  </pic:spPr>
                </pic:pic>
              </a:graphicData>
            </a:graphic>
          </wp:inline>
        </w:drawing>
      </w:r>
    </w:p>
    <w:p w14:paraId="79D02823" w14:textId="6220C895" w:rsidR="008C2C49" w:rsidRDefault="00CA261B" w:rsidP="008A2B86">
      <w:pPr>
        <w:pStyle w:val="Caption"/>
      </w:pPr>
      <w:bookmarkStart w:id="621" w:name="_Ref74417439"/>
      <w:bookmarkStart w:id="622" w:name="_Toc90216965"/>
      <w:r>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6</w:t>
      </w:r>
      <w:r w:rsidR="003373BF">
        <w:rPr>
          <w:noProof/>
        </w:rPr>
        <w:fldChar w:fldCharType="end"/>
      </w:r>
      <w:bookmarkEnd w:id="621"/>
      <w:r>
        <w:t xml:space="preserve"> Representative cryo-TEM micrographs of frozen-hydrated </w:t>
      </w:r>
      <w:r>
        <w:rPr>
          <w:i/>
        </w:rPr>
        <w:t>S. aureus</w:t>
      </w:r>
      <w:r w:rsidRPr="00CA261B">
        <w:t>.</w:t>
      </w:r>
      <w:bookmarkEnd w:id="622"/>
    </w:p>
    <w:p w14:paraId="1E5F34A1" w14:textId="3382E3CC" w:rsidR="002F0377" w:rsidRPr="002F0377" w:rsidRDefault="002F0377" w:rsidP="002F0377">
      <w:pPr>
        <w:pStyle w:val="NoSpacing"/>
        <w:sectPr w:rsidR="002F0377" w:rsidRPr="002F0377" w:rsidSect="004D0E05">
          <w:pgSz w:w="11906" w:h="16838"/>
          <w:pgMar w:top="1191" w:right="1247" w:bottom="1191" w:left="1247" w:header="709" w:footer="709" w:gutter="0"/>
          <w:cols w:space="708"/>
          <w:titlePg/>
          <w:docGrid w:linePitch="360"/>
        </w:sectPr>
      </w:pPr>
      <w:r>
        <w:t xml:space="preserve">CEMOVIS micrographs of </w:t>
      </w:r>
      <w:r>
        <w:rPr>
          <w:i/>
          <w:iCs/>
        </w:rPr>
        <w:t>S. aureus</w:t>
      </w:r>
      <w:r w:rsidR="00E31CFF">
        <w:t xml:space="preserve"> SH1000</w:t>
      </w:r>
      <w:r>
        <w:t xml:space="preserve">. </w:t>
      </w:r>
      <w:r w:rsidR="00BE6053">
        <w:t xml:space="preserve">White arrows show regions of folded sections. All cells present ice contamination (dark spots). </w:t>
      </w:r>
      <w:r>
        <w:t>Scale bars 200 nm.</w:t>
      </w:r>
    </w:p>
    <w:p w14:paraId="14198D52" w14:textId="77777777" w:rsidR="008C2C49" w:rsidRDefault="008C2C49" w:rsidP="005A2852">
      <w:pPr>
        <w:keepNext/>
        <w:jc w:val="center"/>
      </w:pPr>
      <w:r>
        <w:rPr>
          <w:noProof/>
        </w:rPr>
        <w:lastRenderedPageBreak/>
        <w:drawing>
          <wp:inline distT="0" distB="0" distL="0" distR="0" wp14:anchorId="47DEF4AA" wp14:editId="63AAEA8F">
            <wp:extent cx="5918301" cy="5349639"/>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18301" cy="5349639"/>
                    </a:xfrm>
                    <a:prstGeom prst="rect">
                      <a:avLst/>
                    </a:prstGeom>
                  </pic:spPr>
                </pic:pic>
              </a:graphicData>
            </a:graphic>
          </wp:inline>
        </w:drawing>
      </w:r>
    </w:p>
    <w:p w14:paraId="76352690" w14:textId="6A4EE212" w:rsidR="0067194D" w:rsidRDefault="008C2C49" w:rsidP="008A2B86">
      <w:pPr>
        <w:pStyle w:val="Caption"/>
      </w:pPr>
      <w:bookmarkStart w:id="623" w:name="_Ref74413149"/>
      <w:bookmarkStart w:id="624" w:name="_Toc90216966"/>
      <w:r>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7</w:t>
      </w:r>
      <w:r w:rsidR="003373BF">
        <w:rPr>
          <w:noProof/>
        </w:rPr>
        <w:fldChar w:fldCharType="end"/>
      </w:r>
      <w:bookmarkEnd w:id="623"/>
      <w:r>
        <w:t xml:space="preserve"> </w:t>
      </w:r>
      <w:r w:rsidR="002700AB">
        <w:t>Density trac</w:t>
      </w:r>
      <w:r w:rsidR="0098037A">
        <w:t>ings</w:t>
      </w:r>
      <w:r w:rsidR="002700AB">
        <w:t xml:space="preserve"> for the cell envelope and septa of </w:t>
      </w:r>
      <w:r w:rsidR="002700AB">
        <w:rPr>
          <w:i/>
        </w:rPr>
        <w:t>S. aureus</w:t>
      </w:r>
      <w:r w:rsidR="005853D9">
        <w:t>.</w:t>
      </w:r>
      <w:bookmarkEnd w:id="624"/>
    </w:p>
    <w:p w14:paraId="4C2105EC" w14:textId="653AE93F" w:rsidR="009D1BC2" w:rsidRPr="009D1BC2" w:rsidRDefault="00EA5506" w:rsidP="009D1BC2">
      <w:pPr>
        <w:pStyle w:val="NoSpacing"/>
        <w:sectPr w:rsidR="009D1BC2" w:rsidRPr="009D1BC2" w:rsidSect="004D0E05">
          <w:pgSz w:w="11906" w:h="16838"/>
          <w:pgMar w:top="1191" w:right="1247" w:bottom="1191" w:left="1247" w:header="709" w:footer="709" w:gutter="0"/>
          <w:cols w:space="708"/>
          <w:titlePg/>
          <w:docGrid w:linePitch="360"/>
        </w:sectPr>
      </w:pPr>
      <w:r>
        <w:t>Representative d</w:t>
      </w:r>
      <w:r w:rsidR="009D1BC2">
        <w:t>ensity trac</w:t>
      </w:r>
      <w:r w:rsidR="0098037A">
        <w:t>ings</w:t>
      </w:r>
      <w:r w:rsidR="009D1BC2">
        <w:t xml:space="preserve"> from cryo-TEM micrographs </w:t>
      </w:r>
      <w:r w:rsidR="008A718C">
        <w:t>of</w:t>
      </w:r>
      <w:r w:rsidR="009D1BC2">
        <w:t xml:space="preserve"> vitrified </w:t>
      </w:r>
      <w:r w:rsidR="009D1BC2">
        <w:rPr>
          <w:i/>
          <w:iCs/>
        </w:rPr>
        <w:t>S. aureus</w:t>
      </w:r>
      <w:r w:rsidR="009D1BC2">
        <w:t xml:space="preserve"> </w:t>
      </w:r>
      <w:r w:rsidR="00CD0E19">
        <w:t xml:space="preserve">SH1000 </w:t>
      </w:r>
      <w:r w:rsidR="009D1BC2">
        <w:t>cells</w:t>
      </w:r>
      <w:r w:rsidR="007F45F2">
        <w:t xml:space="preserve"> showing the bacterial envelope and the septum</w:t>
      </w:r>
      <w:r w:rsidR="009D1BC2">
        <w:t>.</w:t>
      </w:r>
      <w:r w:rsidR="0047390F">
        <w:t xml:space="preserve"> Comparison </w:t>
      </w:r>
      <w:r w:rsidR="008A718C">
        <w:t>of</w:t>
      </w:r>
      <w:r w:rsidR="0047390F">
        <w:t xml:space="preserve"> the</w:t>
      </w:r>
      <w:r w:rsidR="009D1BC2">
        <w:t xml:space="preserve"> </w:t>
      </w:r>
      <w:r w:rsidR="009D1BC2">
        <w:rPr>
          <w:b/>
          <w:bCs/>
        </w:rPr>
        <w:t>(A)</w:t>
      </w:r>
      <w:r w:rsidR="009D1BC2">
        <w:t xml:space="preserve"> </w:t>
      </w:r>
      <w:r w:rsidR="0047390F">
        <w:t>r</w:t>
      </w:r>
      <w:r w:rsidR="009D1BC2">
        <w:t xml:space="preserve">esults obtained from Matias &amp; Beveridge (2006) </w:t>
      </w:r>
      <w:r w:rsidR="009D1BC2">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d0573240-3d12-4cf9-8413-79fe8dd7149d"]}],"mendeley":{"formattedCitation":"&lt;sup&gt;[16]&lt;/sup&gt;","plainTextFormattedCitation":"[16]","previouslyFormattedCitation":"&lt;sup&gt;[16]&lt;/sup&gt;"},"properties":{"noteIndex":0},"schema":"https://github.com/citation-style-language/schema/raw/master/csl-citation.json"}</w:instrText>
      </w:r>
      <w:r w:rsidR="009D1BC2">
        <w:fldChar w:fldCharType="separate"/>
      </w:r>
      <w:r w:rsidR="00DA0A83" w:rsidRPr="00DA0A83">
        <w:rPr>
          <w:noProof/>
          <w:vertAlign w:val="superscript"/>
        </w:rPr>
        <w:t>[16]</w:t>
      </w:r>
      <w:r w:rsidR="009D1BC2">
        <w:fldChar w:fldCharType="end"/>
      </w:r>
      <w:r w:rsidR="0047390F">
        <w:t xml:space="preserve"> and those </w:t>
      </w:r>
      <w:r w:rsidR="0047390F">
        <w:rPr>
          <w:b/>
          <w:bCs/>
        </w:rPr>
        <w:t>(B)</w:t>
      </w:r>
      <w:r w:rsidR="0047390F">
        <w:t xml:space="preserve"> obtained in this study.</w:t>
      </w:r>
      <w:r w:rsidR="0045061C">
        <w:t xml:space="preserve"> </w:t>
      </w:r>
      <w:r w:rsidR="00164B40">
        <w:t xml:space="preserve">The micrographs from this study </w:t>
      </w:r>
      <w:r w:rsidR="0045061C">
        <w:t xml:space="preserve">present visible ice </w:t>
      </w:r>
      <w:r w:rsidR="008F2755">
        <w:t>contamination</w:t>
      </w:r>
      <w:r w:rsidR="0045061C">
        <w:t xml:space="preserve"> (yellow stars).</w:t>
      </w:r>
      <w:r w:rsidR="00F7132B">
        <w:t xml:space="preserve"> Different density levels differentiate the plasma membrane (pm) from the exoplasmic space (es) and the cell wall (</w:t>
      </w:r>
      <w:r w:rsidR="00FB10B7">
        <w:t>cw</w:t>
      </w:r>
      <w:r w:rsidR="00F7132B">
        <w:t>).</w:t>
      </w:r>
      <w:r w:rsidR="0047390F">
        <w:t xml:space="preserve"> Scale bars 50 nm</w:t>
      </w:r>
      <w:r w:rsidR="00940B5B">
        <w:t>.</w:t>
      </w:r>
    </w:p>
    <w:p w14:paraId="0D0D7574" w14:textId="77777777" w:rsidR="00312902" w:rsidRDefault="00312902" w:rsidP="00E423C0">
      <w:pPr>
        <w:keepNext/>
        <w:jc w:val="center"/>
      </w:pPr>
      <w:r>
        <w:rPr>
          <w:noProof/>
        </w:rPr>
        <w:lastRenderedPageBreak/>
        <w:drawing>
          <wp:inline distT="0" distB="0" distL="0" distR="0" wp14:anchorId="1565664F" wp14:editId="183CD368">
            <wp:extent cx="5851616" cy="4266625"/>
            <wp:effectExtent l="0" t="0" r="3175" b="63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851616" cy="4266625"/>
                    </a:xfrm>
                    <a:prstGeom prst="rect">
                      <a:avLst/>
                    </a:prstGeom>
                  </pic:spPr>
                </pic:pic>
              </a:graphicData>
            </a:graphic>
          </wp:inline>
        </w:drawing>
      </w:r>
    </w:p>
    <w:p w14:paraId="7DB62F37" w14:textId="480E053E" w:rsidR="00312902" w:rsidRDefault="00312902" w:rsidP="008A2B86">
      <w:pPr>
        <w:pStyle w:val="Caption"/>
      </w:pPr>
      <w:bookmarkStart w:id="625" w:name="_Ref74389836"/>
      <w:bookmarkStart w:id="626" w:name="_Toc90216967"/>
      <w:r>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8</w:t>
      </w:r>
      <w:r w:rsidR="003373BF">
        <w:rPr>
          <w:noProof/>
        </w:rPr>
        <w:fldChar w:fldCharType="end"/>
      </w:r>
      <w:bookmarkEnd w:id="625"/>
      <w:r>
        <w:t xml:space="preserve"> </w:t>
      </w:r>
      <w:r w:rsidR="00275715">
        <w:t xml:space="preserve">Measurements of the components of </w:t>
      </w:r>
      <w:r w:rsidR="00275715">
        <w:rPr>
          <w:i/>
        </w:rPr>
        <w:t xml:space="preserve">S. </w:t>
      </w:r>
      <w:r w:rsidR="00275715" w:rsidRPr="00275715">
        <w:rPr>
          <w:i/>
        </w:rPr>
        <w:t>aureus</w:t>
      </w:r>
      <w:r w:rsidR="00275715">
        <w:t xml:space="preserve"> c</w:t>
      </w:r>
      <w:r w:rsidRPr="00275715">
        <w:t>ell</w:t>
      </w:r>
      <w:r>
        <w:t xml:space="preserve"> envelope</w:t>
      </w:r>
      <w:r w:rsidR="00275715">
        <w:t>.</w:t>
      </w:r>
      <w:bookmarkEnd w:id="626"/>
    </w:p>
    <w:p w14:paraId="0803F1B8" w14:textId="41BA41FE" w:rsidR="009836AB" w:rsidRDefault="00EC4F76" w:rsidP="00EC4F76">
      <w:pPr>
        <w:pStyle w:val="NoSpacing"/>
        <w:sectPr w:rsidR="009836AB" w:rsidSect="004D0E05">
          <w:pgSz w:w="11906" w:h="16838"/>
          <w:pgMar w:top="1191" w:right="1247" w:bottom="1191" w:left="1247" w:header="709" w:footer="709" w:gutter="0"/>
          <w:cols w:space="708"/>
          <w:titlePg/>
          <w:docGrid w:linePitch="360"/>
        </w:sectPr>
      </w:pPr>
      <w:r>
        <w:t xml:space="preserve">Thickness measurements from vitrified </w:t>
      </w:r>
      <w:r>
        <w:rPr>
          <w:i/>
          <w:iCs/>
        </w:rPr>
        <w:t>S. aureus</w:t>
      </w:r>
      <w:r>
        <w:t xml:space="preserve"> </w:t>
      </w:r>
      <w:r w:rsidR="007274FD">
        <w:t xml:space="preserve">SH1000 </w:t>
      </w:r>
      <w:r>
        <w:t>cells (CEMOVIS)</w:t>
      </w:r>
      <w:r w:rsidR="00BB3E64">
        <w:t xml:space="preserve"> of the plasma membrane (PM</w:t>
      </w:r>
      <w:r w:rsidR="00BE2B03">
        <w:t xml:space="preserve">– </w:t>
      </w:r>
      <w:r w:rsidR="00BE2B03">
        <w:rPr>
          <w:i/>
          <w:iCs/>
        </w:rPr>
        <w:t>n</w:t>
      </w:r>
      <w:r w:rsidR="00BE2B03">
        <w:t> = 116</w:t>
      </w:r>
      <w:r w:rsidR="00BB3E64">
        <w:t>), exoplasmic space (ES</w:t>
      </w:r>
      <w:r w:rsidR="00BD0D54">
        <w:t xml:space="preserve">– </w:t>
      </w:r>
      <w:r w:rsidR="00BD0D54">
        <w:rPr>
          <w:i/>
          <w:iCs/>
        </w:rPr>
        <w:t>n</w:t>
      </w:r>
      <w:r w:rsidR="00BD0D54">
        <w:t> = 86</w:t>
      </w:r>
      <w:r w:rsidR="00BB3E64">
        <w:t>), cell wall (CW</w:t>
      </w:r>
      <w:r w:rsidR="00BD0D54">
        <w:t xml:space="preserve">– </w:t>
      </w:r>
      <w:r w:rsidR="00BD0D54">
        <w:rPr>
          <w:i/>
          <w:iCs/>
        </w:rPr>
        <w:t>n</w:t>
      </w:r>
      <w:r w:rsidR="00BD0D54">
        <w:t> = 85</w:t>
      </w:r>
      <w:r w:rsidR="00BB3E64">
        <w:t>), cell envelope</w:t>
      </w:r>
      <w:r w:rsidR="00570D5A">
        <w:t xml:space="preserve"> (</w:t>
      </w:r>
      <w:r w:rsidR="00570D5A">
        <w:rPr>
          <w:i/>
          <w:iCs/>
        </w:rPr>
        <w:t>n</w:t>
      </w:r>
      <w:r w:rsidR="00570D5A">
        <w:t> = 113)</w:t>
      </w:r>
      <w:r w:rsidR="00A33F14">
        <w:t xml:space="preserve"> and</w:t>
      </w:r>
      <w:r w:rsidR="00BB3E64">
        <w:t xml:space="preserve"> full sept</w:t>
      </w:r>
      <w:r w:rsidR="00B8305B">
        <w:t>um</w:t>
      </w:r>
      <w:r w:rsidR="00570D5A">
        <w:t xml:space="preserve"> (</w:t>
      </w:r>
      <w:r w:rsidR="00570D5A">
        <w:rPr>
          <w:i/>
          <w:iCs/>
        </w:rPr>
        <w:t>n</w:t>
      </w:r>
      <w:r w:rsidR="00570D5A">
        <w:t> = 19)</w:t>
      </w:r>
      <w:r w:rsidR="00A33F14">
        <w:t>.</w:t>
      </w:r>
      <w:r w:rsidR="00BB3E64">
        <w:t xml:space="preserve"> </w:t>
      </w:r>
      <w:r w:rsidR="00C44CBB">
        <w:rPr>
          <w:b/>
          <w:bCs/>
        </w:rPr>
        <w:t>(A)</w:t>
      </w:r>
      <w:r w:rsidR="00C44CBB">
        <w:t xml:space="preserve"> </w:t>
      </w:r>
      <w:r w:rsidR="0074657E">
        <w:t>Thickness c</w:t>
      </w:r>
      <w:r w:rsidR="00C44CBB">
        <w:t>omparison between the different envelope components</w:t>
      </w:r>
      <w:r w:rsidR="0074657E">
        <w:t>.</w:t>
      </w:r>
      <w:r w:rsidR="00C44CBB">
        <w:t xml:space="preserve"> </w:t>
      </w:r>
      <w:r w:rsidR="00C44CBB">
        <w:rPr>
          <w:b/>
          <w:bCs/>
        </w:rPr>
        <w:t>(B)</w:t>
      </w:r>
      <w:r w:rsidR="00C44CBB">
        <w:t xml:space="preserve"> </w:t>
      </w:r>
      <w:r w:rsidR="0074657E">
        <w:t xml:space="preserve">Comparison between the </w:t>
      </w:r>
      <w:r w:rsidR="00C44CBB">
        <w:t xml:space="preserve">mean values </w:t>
      </w:r>
      <w:r w:rsidR="00BE76C0">
        <w:t>±</w:t>
      </w:r>
      <w:r w:rsidR="00C44CBB">
        <w:t xml:space="preserve"> standard deviation</w:t>
      </w:r>
      <w:r w:rsidR="001A19EC">
        <w:t xml:space="preserve"> from this study and </w:t>
      </w:r>
      <w:r w:rsidR="0074657E">
        <w:t>those</w:t>
      </w:r>
      <w:r w:rsidR="001A19EC">
        <w:t xml:space="preserve"> obtained from Matias &amp; Beveridge (2006) </w:t>
      </w:r>
      <w:r w:rsidR="005279D0">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d0573240-3d12-4cf9-8413-79fe8dd7149d"]}],"mendeley":{"formattedCitation":"&lt;sup&gt;[16]&lt;/sup&gt;","plainTextFormattedCitation":"[16]","previouslyFormattedCitation":"&lt;sup&gt;[16]&lt;/sup&gt;"},"properties":{"noteIndex":0},"schema":"https://github.com/citation-style-language/schema/raw/master/csl-citation.json"}</w:instrText>
      </w:r>
      <w:r w:rsidR="005279D0">
        <w:fldChar w:fldCharType="separate"/>
      </w:r>
      <w:r w:rsidR="00DA0A83" w:rsidRPr="00DA0A83">
        <w:rPr>
          <w:noProof/>
          <w:vertAlign w:val="superscript"/>
        </w:rPr>
        <w:t>[16]</w:t>
      </w:r>
      <w:r w:rsidR="005279D0">
        <w:fldChar w:fldCharType="end"/>
      </w:r>
      <w:r w:rsidR="00C44CBB">
        <w:t xml:space="preserve">. </w:t>
      </w:r>
      <w:r w:rsidR="00AB7A41">
        <w:t>Measurements were taken from cryo-TEM micrographs of frozen-hydrated samples</w:t>
      </w:r>
      <w:r w:rsidR="0038007A">
        <w:t xml:space="preserve"> (cells </w:t>
      </w:r>
      <w:r w:rsidR="0038007A">
        <w:rPr>
          <w:i/>
          <w:iCs/>
        </w:rPr>
        <w:t xml:space="preserve">n </w:t>
      </w:r>
      <w:r w:rsidR="0038007A">
        <w:t>= 28)</w:t>
      </w:r>
      <w:r w:rsidR="00AB7A41">
        <w:t>.</w:t>
      </w:r>
      <w:r w:rsidR="00C44CBB">
        <w:t xml:space="preserve"> Analysis carried out with F</w:t>
      </w:r>
      <w:r w:rsidR="00E930CC">
        <w:t>iji</w:t>
      </w:r>
      <w:r w:rsidR="00C44CBB">
        <w:t xml:space="preserve"> and Prism.</w:t>
      </w:r>
      <w:r w:rsidR="00AB7A41">
        <w:t xml:space="preserve"> </w:t>
      </w:r>
    </w:p>
    <w:p w14:paraId="5CB8A18D" w14:textId="6D7F3D4C" w:rsidR="004B0C7E" w:rsidRDefault="004B0C7E" w:rsidP="004B0C7E">
      <w:pPr>
        <w:pStyle w:val="Heading2"/>
      </w:pPr>
      <w:bookmarkStart w:id="627" w:name="_Toc64276372"/>
      <w:bookmarkStart w:id="628" w:name="_Toc64276676"/>
      <w:bookmarkStart w:id="629" w:name="_Toc64276888"/>
      <w:bookmarkStart w:id="630" w:name="_Toc90216885"/>
      <w:r w:rsidRPr="005B0F81">
        <w:lastRenderedPageBreak/>
        <w:t>The exoplasm and the lack of teichoic acids</w:t>
      </w:r>
      <w:bookmarkEnd w:id="627"/>
      <w:bookmarkEnd w:id="628"/>
      <w:bookmarkEnd w:id="629"/>
      <w:r w:rsidR="007006CC">
        <w:t>.</w:t>
      </w:r>
      <w:bookmarkEnd w:id="630"/>
    </w:p>
    <w:p w14:paraId="431A094F" w14:textId="0E6507E7" w:rsidR="009374D8" w:rsidRPr="009374D8" w:rsidRDefault="009374D8" w:rsidP="009374D8">
      <w:r>
        <w:t xml:space="preserve">Teichoic acids (TAs) are a major component of the cell envelope, with lipoteichoic acids (LTA) being the main </w:t>
      </w:r>
      <w:r w:rsidR="002D5129">
        <w:t>constituent</w:t>
      </w:r>
      <w:r>
        <w:t xml:space="preserve"> of the exoplasm and wall </w:t>
      </w:r>
      <w:r w:rsidR="003C5275">
        <w:t>teichoic</w:t>
      </w:r>
      <w:r>
        <w:t xml:space="preserve"> acids (WTA) being the second most important </w:t>
      </w:r>
      <w:r w:rsidR="002D5129">
        <w:t>element</w:t>
      </w:r>
      <w:r>
        <w:t xml:space="preserve"> after PG of the CW.</w:t>
      </w:r>
      <w:r w:rsidR="00285715">
        <w:t xml:space="preserve"> Therefore, this study</w:t>
      </w:r>
      <w:r w:rsidR="009378D9">
        <w:t xml:space="preserve"> continues</w:t>
      </w:r>
      <w:r w:rsidR="00285715">
        <w:t xml:space="preserve"> by analysing the role and morphological effect of these polymers.</w:t>
      </w:r>
      <w:r w:rsidR="009878D1">
        <w:t xml:space="preserve"> SIM images were used for volume estimation as described in section </w:t>
      </w:r>
      <w:r w:rsidR="009878D1">
        <w:fldChar w:fldCharType="begin"/>
      </w:r>
      <w:r w:rsidR="009878D1">
        <w:instrText xml:space="preserve"> REF _Ref71568732 \r \h </w:instrText>
      </w:r>
      <w:r w:rsidR="009878D1">
        <w:fldChar w:fldCharType="separate"/>
      </w:r>
      <w:r w:rsidR="00183CC8">
        <w:t>2.18.5</w:t>
      </w:r>
      <w:r w:rsidR="009878D1">
        <w:fldChar w:fldCharType="end"/>
      </w:r>
      <w:r w:rsidR="00234194">
        <w:t>. TEM micrographs of chemically fixed thin-sections were used for phenotype analysis, CW thickness measurements</w:t>
      </w:r>
      <w:r w:rsidR="003305D2">
        <w:t>,</w:t>
      </w:r>
      <w:r w:rsidR="00234194">
        <w:t xml:space="preserve"> division characterisation and </w:t>
      </w:r>
      <w:r w:rsidR="003305D2">
        <w:t xml:space="preserve">phenotype </w:t>
      </w:r>
      <w:r w:rsidR="00234194">
        <w:t>quantification</w:t>
      </w:r>
      <w:r w:rsidR="008D4CCC">
        <w:t xml:space="preserve"> (</w:t>
      </w:r>
      <w:r w:rsidR="00034BAA">
        <w:t>methodology described in</w:t>
      </w:r>
      <w:r w:rsidR="008D4CCC">
        <w:t xml:space="preserve"> sections </w:t>
      </w:r>
      <w:r w:rsidR="00CB0238">
        <w:fldChar w:fldCharType="begin"/>
      </w:r>
      <w:r w:rsidR="00CB0238">
        <w:instrText xml:space="preserve"> REF _Ref74746790 \r \h </w:instrText>
      </w:r>
      <w:r w:rsidR="00CB0238">
        <w:fldChar w:fldCharType="separate"/>
      </w:r>
      <w:r w:rsidR="00183CC8">
        <w:t>2.20.8</w:t>
      </w:r>
      <w:r w:rsidR="00CB0238">
        <w:fldChar w:fldCharType="end"/>
      </w:r>
      <w:r w:rsidR="00CB0238">
        <w:t xml:space="preserve"> and </w:t>
      </w:r>
      <w:r w:rsidR="00CB0238">
        <w:fldChar w:fldCharType="begin"/>
      </w:r>
      <w:r w:rsidR="00CB0238">
        <w:instrText xml:space="preserve"> REF _Ref74746808 \r \h </w:instrText>
      </w:r>
      <w:r w:rsidR="00CB0238">
        <w:fldChar w:fldCharType="separate"/>
      </w:r>
      <w:r w:rsidR="00183CC8">
        <w:t>2.20.9</w:t>
      </w:r>
      <w:r w:rsidR="00CB0238">
        <w:fldChar w:fldCharType="end"/>
      </w:r>
      <w:r w:rsidR="008D4CCC">
        <w:t>).</w:t>
      </w:r>
    </w:p>
    <w:p w14:paraId="2DCB1CB6" w14:textId="248BCBC9" w:rsidR="004B0C7E" w:rsidRDefault="006C2161" w:rsidP="004B0C7E">
      <w:pPr>
        <w:pStyle w:val="Heading3"/>
        <w:rPr>
          <w:i/>
          <w:iCs/>
        </w:rPr>
      </w:pPr>
      <w:bookmarkStart w:id="631" w:name="_Toc64276373"/>
      <w:bookmarkStart w:id="632" w:name="_Toc64276677"/>
      <w:bookmarkStart w:id="633" w:name="_Toc64276889"/>
      <w:bookmarkStart w:id="634" w:name="_Toc90216886"/>
      <w:r>
        <w:t>Lack of WTA: survival and m</w:t>
      </w:r>
      <w:r w:rsidR="0093467E" w:rsidRPr="0093467E">
        <w:t xml:space="preserve">orphological </w:t>
      </w:r>
      <w:bookmarkEnd w:id="631"/>
      <w:bookmarkEnd w:id="632"/>
      <w:bookmarkEnd w:id="633"/>
      <w:r w:rsidR="0093467E">
        <w:t>effects.</w:t>
      </w:r>
      <w:bookmarkEnd w:id="634"/>
    </w:p>
    <w:p w14:paraId="72277FBC" w14:textId="1B7CE7C1" w:rsidR="00D64744" w:rsidRDefault="00D64744" w:rsidP="00B83F2C">
      <w:r>
        <w:t xml:space="preserve">Unlike LTA, </w:t>
      </w:r>
      <w:r w:rsidR="00D55545">
        <w:t xml:space="preserve">WTA </w:t>
      </w:r>
      <w:r>
        <w:t xml:space="preserve">are not </w:t>
      </w:r>
      <w:r w:rsidR="00BC499C">
        <w:t xml:space="preserve">fully </w:t>
      </w:r>
      <w:r>
        <w:t>located in the exoplasm</w:t>
      </w:r>
      <w:r w:rsidR="00BC499C">
        <w:t xml:space="preserve"> but there are indications that these wall polymers </w:t>
      </w:r>
      <w:r w:rsidR="007E4E98">
        <w:t>can</w:t>
      </w:r>
      <w:r w:rsidR="00BC499C">
        <w:t xml:space="preserve"> extend into the exoplasmic space </w:t>
      </w:r>
      <w:r w:rsidR="00BC499C">
        <w:fldChar w:fldCharType="begin" w:fldLock="1"/>
      </w:r>
      <w:r w:rsidR="005F2DD4">
        <w:instrText xml:space="preserve">ADDIN CSL_CITATION {"citationItems":[{"id":"ITEM-1","itemData":{"DOI":"10.3389/fmicb.2021.664704","ISSN":"1664302X","abstract":"The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F2DD4">
        <w:rPr>
          <w:rFonts w:ascii="Cambria Math" w:hAnsi="Cambria Math" w:cs="Cambria Math"/>
        </w:rPr>
        <w:instrText>∼</w:instrText>
      </w:r>
      <w:r w:rsidR="005F2DD4">
        <w:instrText xml:space="preserve">0.5 M, which would bring in </w:instrText>
      </w:r>
      <w:r w:rsidR="005F2DD4">
        <w:rPr>
          <w:rFonts w:ascii="Cambria Math" w:hAnsi="Cambria Math" w:cs="Cambria Math"/>
        </w:rPr>
        <w:instrText>∼</w:instrText>
      </w:r>
      <w:r w:rsidR="005F2DD4">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Microbiology","id":"ITEM-1","issue":"May","issued":{"date-parts":[["2021"]]},"page":"1-11","title":"How Teichoic Acids Could Support a Periplasm in Gram-Positive Bacteria, and Let Cell Division Cheat Turgor Pressure","type":"article-journal","volume":"12"},"uris":["http://www.mendeley.com/documents/?uuid=8e106983-147c-42ae-88fd-3e44783b571f"]}],"mendeley":{"formattedCitation":"&lt;sup&gt;[166]&lt;/sup&gt;","plainTextFormattedCitation":"[166]","previouslyFormattedCitation":"&lt;sup&gt;[166]&lt;/sup&gt;"},"properties":{"noteIndex":0},"schema":"https://github.com/citation-style-language/schema/raw/master/csl-citation.json"}</w:instrText>
      </w:r>
      <w:r w:rsidR="00BC499C">
        <w:fldChar w:fldCharType="separate"/>
      </w:r>
      <w:r w:rsidR="0054658D" w:rsidRPr="0054658D">
        <w:rPr>
          <w:noProof/>
          <w:vertAlign w:val="superscript"/>
        </w:rPr>
        <w:t>[166]</w:t>
      </w:r>
      <w:r w:rsidR="00BC499C">
        <w:fldChar w:fldCharType="end"/>
      </w:r>
      <w:r w:rsidR="00BC499C">
        <w:t>. Hence,</w:t>
      </w:r>
      <w:r w:rsidR="00D55545">
        <w:t xml:space="preserve"> they remain of great significance for they have a close relationship to LTA</w:t>
      </w:r>
      <w:r w:rsidR="00BC499C">
        <w:t xml:space="preserve"> and their interaction could be responsible for the maintenance of the ES </w:t>
      </w:r>
      <w:r w:rsidR="00BC499C">
        <w:fldChar w:fldCharType="begin" w:fldLock="1"/>
      </w:r>
      <w:r w:rsidR="005F2DD4">
        <w:instrText xml:space="preserve">ADDIN CSL_CITATION {"citationItems":[{"id":"ITEM-1","itemData":{"DOI":"10.3389/fmicb.2021.664704","ISSN":"1664302X","abstract":"The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F2DD4">
        <w:rPr>
          <w:rFonts w:ascii="Cambria Math" w:hAnsi="Cambria Math" w:cs="Cambria Math"/>
        </w:rPr>
        <w:instrText>∼</w:instrText>
      </w:r>
      <w:r w:rsidR="005F2DD4">
        <w:instrText xml:space="preserve">0.5 M, which would bring in </w:instrText>
      </w:r>
      <w:r w:rsidR="005F2DD4">
        <w:rPr>
          <w:rFonts w:ascii="Cambria Math" w:hAnsi="Cambria Math" w:cs="Cambria Math"/>
        </w:rPr>
        <w:instrText>∼</w:instrText>
      </w:r>
      <w:r w:rsidR="005F2DD4">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Microbiology","id":"ITEM-1","issue":"May","issued":{"date-parts":[["2021"]]},"page":"1-11","title":"How Teichoic Acids Could Support a Periplasm in Gram-Positive Bacteria, and Let Cell Division Cheat Turgor Pressure","type":"article-journal","volume":"12"},"uris":["http://www.mendeley.com/documents/?uuid=8e106983-147c-42ae-88fd-3e44783b571f"]}],"mendeley":{"formattedCitation":"&lt;sup&gt;[166]&lt;/sup&gt;","plainTextFormattedCitation":"[166]","previouslyFormattedCitation":"&lt;sup&gt;[166]&lt;/sup&gt;"},"properties":{"noteIndex":0},"schema":"https://github.com/citation-style-language/schema/raw/master/csl-citation.json"}</w:instrText>
      </w:r>
      <w:r w:rsidR="00BC499C">
        <w:fldChar w:fldCharType="separate"/>
      </w:r>
      <w:r w:rsidR="0054658D" w:rsidRPr="0054658D">
        <w:rPr>
          <w:noProof/>
          <w:vertAlign w:val="superscript"/>
        </w:rPr>
        <w:t>[166]</w:t>
      </w:r>
      <w:r w:rsidR="00BC499C">
        <w:fldChar w:fldCharType="end"/>
      </w:r>
      <w:r w:rsidR="00D55545">
        <w:t xml:space="preserve">. </w:t>
      </w:r>
      <w:r w:rsidR="00237729">
        <w:t>WTA are not essential</w:t>
      </w:r>
      <w:r w:rsidR="00A14946">
        <w:t xml:space="preserve"> and therefore a </w:t>
      </w:r>
      <w:r w:rsidR="00A14946">
        <w:rPr>
          <w:i/>
          <w:iCs/>
        </w:rPr>
        <w:t>tarO</w:t>
      </w:r>
      <w:r w:rsidR="00A14946" w:rsidRPr="00A14946">
        <w:t xml:space="preserve"> </w:t>
      </w:r>
      <w:r w:rsidR="00A14946">
        <w:t>mutant lacking these wall polymers can be used to investigate t</w:t>
      </w:r>
      <w:r w:rsidR="00E41E5D">
        <w:t>he effect of WTA on bacterial growth, division and morphology</w:t>
      </w:r>
      <w:r w:rsidR="00B83106">
        <w:t xml:space="preserve"> </w:t>
      </w:r>
      <w:r w:rsidR="00B83106">
        <w:fldChar w:fldCharType="begin" w:fldLock="1"/>
      </w:r>
      <w:r w:rsidR="00260ACA">
        <w:instrText>ADDIN CSL_CITATION {"citationItems":[{"id":"ITEM-1","itemData":{"DOI":"10.1038/nm991","ISBN":"1078-8956 (Print)","ISSN":"10788956","PMID":"14758355","abstract":"Colonization of the anterior nares in approximately 37% of the population is a major risk factor for severe Staphylococcus aureus infections. Here we show that wall teichoic acid (WTA), a surface-exposed staphylococcal polymer, is essential for nasal colonization and mediates interaction with human nasal epithelial cells. WTA-deficient mutants were impaired in their adherence to nasal cells, and were completely unable to colonize cotton rat nares. This study describes the first essential factor for S. aureus nasal colonization.","author":[{"dropping-particle":"","family":"Weidenmaier","given":"Christopher","non-dropping-particle":"","parse-names":false,"suffix":""},{"dropping-particle":"","family":"Kokai-Kun","given":"John F.","non-dropping-particle":"","parse-names":false,"suffix":""},{"dropping-particle":"","family":"Kristian","given":"Sascha A.","non-dropping-particle":"","parse-names":false,"suffix":""},{"dropping-particle":"","family":"Chanturiya","given":"Tanya","non-dropping-particle":"","parse-names":false,"suffix":""},{"dropping-particle":"","family":"Kalbacher","given":"Hubert","non-dropping-particle":"","parse-names":false,"suffix":""},{"dropping-particle":"","family":"Gross","given":"Matthias","non-dropping-particle":"","parse-names":false,"suffix":""},{"dropping-particle":"","family":"Nicholson","given":"Graeme","non-dropping-particle":"","parse-names":false,"suffix":""},{"dropping-particle":"","family":"Neumeister","given":"Birgid","non-dropping-particle":"","parse-names":false,"suffix":""},{"dropping-particle":"","family":"Mond","given":"James J.","non-dropping-particle":"","parse-names":false,"suffix":""},{"dropping-particle":"","family":"Peschel","given":"Andreas","non-dropping-particle":"","parse-names":false,"suffix":""}],"container-title":"Nature Medicine","id":"ITEM-1","issue":"3","issued":{"date-parts":[["2004"]]},"page":"243-245","title":"Role of teichoic acids in Staphylococcus aureus nasal colonization, a major risk factor in nosocomial infections","type":"article-journal","volume":"10"},"uris":["http://www.mendeley.com/documents/?uuid=a633cd3f-c2d1-4070-9cd7-ef0d961d9684"]}],"mendeley":{"formattedCitation":"&lt;sup&gt;[112]&lt;/sup&gt;","plainTextFormattedCitation":"[112]","previouslyFormattedCitation":"&lt;sup&gt;[112]&lt;/sup&gt;"},"properties":{"noteIndex":0},"schema":"https://github.com/citation-style-language/schema/raw/master/csl-citation.json"}</w:instrText>
      </w:r>
      <w:r w:rsidR="00B83106">
        <w:fldChar w:fldCharType="separate"/>
      </w:r>
      <w:r w:rsidR="00C825F9" w:rsidRPr="00C825F9">
        <w:rPr>
          <w:noProof/>
          <w:vertAlign w:val="superscript"/>
        </w:rPr>
        <w:t>[112]</w:t>
      </w:r>
      <w:r w:rsidR="00B83106">
        <w:fldChar w:fldCharType="end"/>
      </w:r>
      <w:r w:rsidR="00A14946">
        <w:t>.</w:t>
      </w:r>
    </w:p>
    <w:p w14:paraId="00E4C86B" w14:textId="4089940F" w:rsidR="00F90590" w:rsidRDefault="000B7669" w:rsidP="00B83F2C">
      <w:r>
        <w:t>The lack of WTA does not affect bacterial growth (</w:t>
      </w:r>
      <w:r>
        <w:fldChar w:fldCharType="begin"/>
      </w:r>
      <w:r>
        <w:instrText xml:space="preserve"> REF _Ref74725931 \h </w:instrText>
      </w:r>
      <w:r>
        <w:fldChar w:fldCharType="separate"/>
      </w:r>
      <w:r w:rsidR="00183CC8">
        <w:t xml:space="preserve">Figure </w:t>
      </w:r>
      <w:r w:rsidR="00183CC8">
        <w:rPr>
          <w:noProof/>
        </w:rPr>
        <w:t>4</w:t>
      </w:r>
      <w:r w:rsidR="00183CC8">
        <w:t>.</w:t>
      </w:r>
      <w:r w:rsidR="00183CC8">
        <w:rPr>
          <w:noProof/>
        </w:rPr>
        <w:t>9</w:t>
      </w:r>
      <w:r>
        <w:fldChar w:fldCharType="end"/>
      </w:r>
      <w:r>
        <w:t>)</w:t>
      </w:r>
      <w:r w:rsidR="00256109">
        <w:t xml:space="preserve">. Yet, </w:t>
      </w:r>
      <w:r w:rsidR="00902A00">
        <w:t xml:space="preserve">there is a differential percentage of </w:t>
      </w:r>
      <w:r w:rsidR="004D19DE">
        <w:t xml:space="preserve">dividing </w:t>
      </w:r>
      <w:r w:rsidR="00902A00">
        <w:t xml:space="preserve">cells at early exponential phase. </w:t>
      </w:r>
      <w:r w:rsidR="00256109">
        <w:rPr>
          <w:i/>
          <w:iCs/>
        </w:rPr>
        <w:t xml:space="preserve">tarO </w:t>
      </w:r>
      <w:r w:rsidR="00256109">
        <w:t>shows more cells with no sept</w:t>
      </w:r>
      <w:r w:rsidR="007C701F">
        <w:t>um</w:t>
      </w:r>
      <w:r w:rsidR="00902A00">
        <w:t xml:space="preserve"> (32.</w:t>
      </w:r>
      <w:r w:rsidR="00D329A6">
        <w:t>6</w:t>
      </w:r>
      <w:r w:rsidR="00902A00">
        <w:t> %)</w:t>
      </w:r>
      <w:r w:rsidR="00256109">
        <w:t xml:space="preserve"> and complete sept</w:t>
      </w:r>
      <w:r w:rsidR="007C701F">
        <w:t>um</w:t>
      </w:r>
      <w:r w:rsidR="00902A00">
        <w:t xml:space="preserve"> (39</w:t>
      </w:r>
      <w:r w:rsidR="00D329A6">
        <w:t>.0</w:t>
      </w:r>
      <w:r w:rsidR="00902A00">
        <w:t> %)</w:t>
      </w:r>
      <w:r w:rsidR="00256109">
        <w:t xml:space="preserve"> than SH1000</w:t>
      </w:r>
      <w:r w:rsidR="00902A00">
        <w:t xml:space="preserve"> (24.</w:t>
      </w:r>
      <w:r w:rsidR="00D329A6">
        <w:t>8</w:t>
      </w:r>
      <w:r w:rsidR="00902A00">
        <w:t> % and 2</w:t>
      </w:r>
      <w:r w:rsidR="00D329A6">
        <w:t>8</w:t>
      </w:r>
      <w:r w:rsidR="00902A00">
        <w:t>.</w:t>
      </w:r>
      <w:r w:rsidR="00D329A6">
        <w:t>7</w:t>
      </w:r>
      <w:r w:rsidR="00902A00">
        <w:t> %, respectively)</w:t>
      </w:r>
      <w:r w:rsidR="00256109">
        <w:t xml:space="preserve">, while </w:t>
      </w:r>
      <w:r w:rsidR="00902A00">
        <w:t>presenting a smaller</w:t>
      </w:r>
      <w:r w:rsidR="00256109">
        <w:t xml:space="preserve"> percentage of cells with incomplete sept</w:t>
      </w:r>
      <w:r w:rsidR="00C12C6B">
        <w:t>um</w:t>
      </w:r>
      <w:r w:rsidR="00256109">
        <w:t xml:space="preserve"> </w:t>
      </w:r>
      <w:r w:rsidR="00902A00">
        <w:t>(27.</w:t>
      </w:r>
      <w:r w:rsidR="003D7C97">
        <w:t>5</w:t>
      </w:r>
      <w:r w:rsidR="00902A00">
        <w:t> % against 45.</w:t>
      </w:r>
      <w:r w:rsidR="003D7C97">
        <w:t>8</w:t>
      </w:r>
      <w:r w:rsidR="00902A00">
        <w:t> % of SH1000)</w:t>
      </w:r>
      <w:r w:rsidR="00473377">
        <w:t xml:space="preserve"> (</w:t>
      </w:r>
      <w:r w:rsidR="00375D47">
        <w:fldChar w:fldCharType="begin"/>
      </w:r>
      <w:r w:rsidR="00375D47">
        <w:instrText xml:space="preserve"> REF _Ref80100214 \h </w:instrText>
      </w:r>
      <w:r w:rsidR="00375D47">
        <w:fldChar w:fldCharType="separate"/>
      </w:r>
      <w:r w:rsidR="00183CC8">
        <w:t xml:space="preserve">Figure </w:t>
      </w:r>
      <w:r w:rsidR="00183CC8">
        <w:rPr>
          <w:noProof/>
        </w:rPr>
        <w:t>4</w:t>
      </w:r>
      <w:r w:rsidR="00183CC8">
        <w:t>.</w:t>
      </w:r>
      <w:r w:rsidR="00183CC8">
        <w:rPr>
          <w:noProof/>
        </w:rPr>
        <w:t>10</w:t>
      </w:r>
      <w:r w:rsidR="00375D47">
        <w:fldChar w:fldCharType="end"/>
      </w:r>
      <w:r w:rsidR="00473377">
        <w:t>).</w:t>
      </w:r>
      <w:r w:rsidR="00412E29">
        <w:t xml:space="preserve"> </w:t>
      </w:r>
      <w:r w:rsidR="00E70712">
        <w:t>Volume estimation from SIM images</w:t>
      </w:r>
      <w:r w:rsidR="00BE6AC9">
        <w:t xml:space="preserve"> showed that </w:t>
      </w:r>
      <w:r w:rsidR="00BE6AC9">
        <w:rPr>
          <w:i/>
          <w:iCs/>
        </w:rPr>
        <w:t>tarO</w:t>
      </w:r>
      <w:r w:rsidR="00BE6AC9">
        <w:t xml:space="preserve"> is significantly </w:t>
      </w:r>
      <w:r w:rsidR="00F813BB">
        <w:t>bigger</w:t>
      </w:r>
      <w:r w:rsidR="00BE6AC9">
        <w:t xml:space="preserve"> than the wildtype</w:t>
      </w:r>
      <w:r w:rsidR="00F813BB">
        <w:t>, with a volume of ~ 0.8 and ~ 0.6 µm</w:t>
      </w:r>
      <w:r w:rsidR="00F813BB">
        <w:rPr>
          <w:vertAlign w:val="superscript"/>
        </w:rPr>
        <w:t>3</w:t>
      </w:r>
      <w:r w:rsidR="00F813BB">
        <w:t xml:space="preserve"> respectively</w:t>
      </w:r>
      <w:r w:rsidR="001604F5">
        <w:t xml:space="preserve"> (p &gt; 0.0001) (</w:t>
      </w:r>
      <w:r w:rsidR="001604F5">
        <w:fldChar w:fldCharType="begin"/>
      </w:r>
      <w:r w:rsidR="001604F5">
        <w:instrText xml:space="preserve"> REF _Ref74746227 \h </w:instrText>
      </w:r>
      <w:r w:rsidR="001604F5">
        <w:fldChar w:fldCharType="separate"/>
      </w:r>
      <w:r w:rsidR="00183CC8">
        <w:t xml:space="preserve">Figure </w:t>
      </w:r>
      <w:r w:rsidR="00183CC8">
        <w:rPr>
          <w:noProof/>
        </w:rPr>
        <w:t>4</w:t>
      </w:r>
      <w:r w:rsidR="00183CC8">
        <w:t>.</w:t>
      </w:r>
      <w:r w:rsidR="00183CC8">
        <w:rPr>
          <w:noProof/>
        </w:rPr>
        <w:t>11</w:t>
      </w:r>
      <w:r w:rsidR="001604F5">
        <w:fldChar w:fldCharType="end"/>
      </w:r>
      <w:r w:rsidR="001604F5">
        <w:t>a</w:t>
      </w:r>
      <w:r w:rsidR="00982D5F">
        <w:t>-b</w:t>
      </w:r>
      <w:r w:rsidR="001604F5">
        <w:t>,</w:t>
      </w:r>
      <w:r w:rsidR="00982D5F">
        <w:t>f</w:t>
      </w:r>
      <w:r w:rsidR="001604F5">
        <w:t>).</w:t>
      </w:r>
      <w:r w:rsidR="006E1244">
        <w:t xml:space="preserve"> Contrar</w:t>
      </w:r>
      <w:r w:rsidR="006E5EBC">
        <w:t>il</w:t>
      </w:r>
      <w:r w:rsidR="006E1244">
        <w:t>y, CW thickness</w:t>
      </w:r>
      <w:r w:rsidR="00632BC2">
        <w:t xml:space="preserve"> comparison to the wildtype,</w:t>
      </w:r>
      <w:r w:rsidR="006E1244">
        <w:t xml:space="preserve"> measured from chemically fixed thin-sections</w:t>
      </w:r>
      <w:r w:rsidR="00632BC2">
        <w:t>,</w:t>
      </w:r>
      <w:r w:rsidR="006E1244">
        <w:t xml:space="preserve"> revealed a </w:t>
      </w:r>
      <w:r w:rsidR="00D464E2">
        <w:t xml:space="preserve">significantly </w:t>
      </w:r>
      <w:r w:rsidR="006E1244">
        <w:t>thinner CW</w:t>
      </w:r>
      <w:r w:rsidR="005740CB">
        <w:t xml:space="preserve"> of 27.7 ± 8.1</w:t>
      </w:r>
      <w:r w:rsidR="003F6246">
        <w:t> nm</w:t>
      </w:r>
      <w:r w:rsidR="00CC2BC9">
        <w:t xml:space="preserve"> in the WTA-depleted strain</w:t>
      </w:r>
      <w:r w:rsidR="006E1244">
        <w:t xml:space="preserve"> (</w:t>
      </w:r>
      <w:r w:rsidR="006E1244">
        <w:fldChar w:fldCharType="begin"/>
      </w:r>
      <w:r w:rsidR="006E1244">
        <w:instrText xml:space="preserve"> REF _Ref74746227 \h </w:instrText>
      </w:r>
      <w:r w:rsidR="006E1244">
        <w:fldChar w:fldCharType="separate"/>
      </w:r>
      <w:r w:rsidR="00183CC8">
        <w:t xml:space="preserve">Figure </w:t>
      </w:r>
      <w:r w:rsidR="00183CC8">
        <w:rPr>
          <w:noProof/>
        </w:rPr>
        <w:t>4</w:t>
      </w:r>
      <w:r w:rsidR="00183CC8">
        <w:t>.</w:t>
      </w:r>
      <w:r w:rsidR="00183CC8">
        <w:rPr>
          <w:noProof/>
        </w:rPr>
        <w:t>11</w:t>
      </w:r>
      <w:r w:rsidR="006E1244">
        <w:fldChar w:fldCharType="end"/>
      </w:r>
      <w:r w:rsidR="006E1244">
        <w:t>c</w:t>
      </w:r>
      <w:r w:rsidR="005740CB">
        <w:t>,</w:t>
      </w:r>
      <w:r w:rsidR="00982D5F">
        <w:t>f;</w:t>
      </w:r>
      <w:r w:rsidR="005740CB">
        <w:t xml:space="preserve"> p &gt; 0.0001</w:t>
      </w:r>
      <w:r w:rsidR="006E1244">
        <w:t>).</w:t>
      </w:r>
      <w:r w:rsidR="00DE3E37">
        <w:t xml:space="preserve"> TEM micrographs</w:t>
      </w:r>
      <w:r w:rsidR="00CA74C0">
        <w:t xml:space="preserve"> show that</w:t>
      </w:r>
      <w:r w:rsidR="00DE3E37">
        <w:t xml:space="preserve"> </w:t>
      </w:r>
      <w:r w:rsidR="00EC4283">
        <w:rPr>
          <w:i/>
          <w:iCs/>
        </w:rPr>
        <w:t>tarO</w:t>
      </w:r>
      <w:r w:rsidR="00EC4283">
        <w:t xml:space="preserve"> cell surface has an inconsistent fuzzy appearance </w:t>
      </w:r>
      <w:r w:rsidR="008C25BF">
        <w:t xml:space="preserve">, which correlated </w:t>
      </w:r>
      <w:r w:rsidR="00F7001B">
        <w:t>with</w:t>
      </w:r>
      <w:r w:rsidR="008C25BF">
        <w:t xml:space="preserve"> </w:t>
      </w:r>
      <w:r w:rsidR="00E107A3">
        <w:t>the</w:t>
      </w:r>
      <w:r w:rsidR="008C25BF">
        <w:t xml:space="preserve"> high standard deviation o</w:t>
      </w:r>
      <w:r w:rsidR="00E107A3">
        <w:t>btained in</w:t>
      </w:r>
      <w:r w:rsidR="008C25BF">
        <w:t xml:space="preserve"> the CW thickness</w:t>
      </w:r>
      <w:r w:rsidR="00E107A3">
        <w:t xml:space="preserve"> measurements</w:t>
      </w:r>
      <w:r w:rsidR="008C25BF">
        <w:t xml:space="preserve"> (</w:t>
      </w:r>
      <w:r w:rsidR="008C25BF">
        <w:fldChar w:fldCharType="begin"/>
      </w:r>
      <w:r w:rsidR="008C25BF">
        <w:instrText xml:space="preserve"> REF _Ref74746227 \h </w:instrText>
      </w:r>
      <w:r w:rsidR="008C25BF">
        <w:fldChar w:fldCharType="separate"/>
      </w:r>
      <w:r w:rsidR="00183CC8">
        <w:t xml:space="preserve">Figure </w:t>
      </w:r>
      <w:r w:rsidR="00183CC8">
        <w:rPr>
          <w:noProof/>
        </w:rPr>
        <w:t>4</w:t>
      </w:r>
      <w:r w:rsidR="00183CC8">
        <w:t>.</w:t>
      </w:r>
      <w:r w:rsidR="00183CC8">
        <w:rPr>
          <w:noProof/>
        </w:rPr>
        <w:t>11</w:t>
      </w:r>
      <w:r w:rsidR="008C25BF">
        <w:fldChar w:fldCharType="end"/>
      </w:r>
      <w:r w:rsidR="008C25BF">
        <w:t>d-</w:t>
      </w:r>
      <w:r w:rsidR="003005C7">
        <w:t>f</w:t>
      </w:r>
      <w:r w:rsidR="008C25BF">
        <w:t>).</w:t>
      </w:r>
      <w:r w:rsidR="00E65CDD">
        <w:t xml:space="preserve"> In addition to a differential surface, </w:t>
      </w:r>
      <w:r w:rsidR="00924B17">
        <w:rPr>
          <w:i/>
          <w:iCs/>
        </w:rPr>
        <w:t>tarO</w:t>
      </w:r>
      <w:r w:rsidR="00924B17">
        <w:t xml:space="preserve"> presents a round</w:t>
      </w:r>
      <w:r w:rsidR="006C0ED0">
        <w:t>er</w:t>
      </w:r>
      <w:r w:rsidR="00924B17">
        <w:t>– almost square–shaped sept</w:t>
      </w:r>
      <w:r w:rsidR="002A096D">
        <w:t>um</w:t>
      </w:r>
      <w:r w:rsidR="00924B17">
        <w:t>, instead of the V-shaped septa observed in the wildtype</w:t>
      </w:r>
      <w:r w:rsidR="00BB3DC9">
        <w:t>, and it lacks the heavily stained septal mid-</w:t>
      </w:r>
      <w:r w:rsidR="004A274D">
        <w:t>line</w:t>
      </w:r>
      <w:r w:rsidR="000235B0">
        <w:t xml:space="preserve"> that </w:t>
      </w:r>
      <w:r w:rsidR="002A096D">
        <w:t xml:space="preserve">may </w:t>
      </w:r>
      <w:r w:rsidR="000235B0">
        <w:t>corresponds to WTA</w:t>
      </w:r>
      <w:r w:rsidR="00924B17">
        <w:t xml:space="preserve"> (</w:t>
      </w:r>
      <w:r w:rsidR="00924B17">
        <w:fldChar w:fldCharType="begin"/>
      </w:r>
      <w:r w:rsidR="00924B17">
        <w:instrText xml:space="preserve"> REF _Ref74751915 \h </w:instrText>
      </w:r>
      <w:r w:rsidR="00924B17">
        <w:fldChar w:fldCharType="separate"/>
      </w:r>
      <w:r w:rsidR="00183CC8">
        <w:t xml:space="preserve">Figure </w:t>
      </w:r>
      <w:r w:rsidR="00183CC8">
        <w:rPr>
          <w:noProof/>
        </w:rPr>
        <w:t>4</w:t>
      </w:r>
      <w:r w:rsidR="00183CC8">
        <w:t>.</w:t>
      </w:r>
      <w:r w:rsidR="00183CC8">
        <w:rPr>
          <w:noProof/>
        </w:rPr>
        <w:t>12</w:t>
      </w:r>
      <w:r w:rsidR="00924B17">
        <w:fldChar w:fldCharType="end"/>
      </w:r>
      <w:r w:rsidR="00DD7DC2">
        <w:t xml:space="preserve">, </w:t>
      </w:r>
      <w:r w:rsidR="00C95599">
        <w:t xml:space="preserve">the </w:t>
      </w:r>
      <w:r w:rsidR="00DD7DC2">
        <w:t>red arrow indicate</w:t>
      </w:r>
      <w:r w:rsidR="003A2D11">
        <w:t>s</w:t>
      </w:r>
      <w:r w:rsidR="00DD7DC2">
        <w:t xml:space="preserve"> the WTA mid-line</w:t>
      </w:r>
      <w:r w:rsidR="00924B17">
        <w:t>)</w:t>
      </w:r>
      <w:r w:rsidR="004A274D">
        <w:t xml:space="preserve"> </w:t>
      </w:r>
      <w:r w:rsidR="004A274D">
        <w:fldChar w:fldCharType="begin" w:fldLock="1"/>
      </w:r>
      <w:r w:rsidR="009D34AE">
        <w:instrText>ADDIN CSL_CITATION {"citationItems":[{"id":"ITEM-1","itemData":{"DOI":"10.1021/cb100269f","ISBN":"1554-8937 (Electronic)\\r1554-8929 (Linking)","ISSN":"15548929","PMID":"20961110","abstract":"Methicillin resistance in Staphylococcus aureus depends on the production of mecA, which encodes penicillin-binding protein 2A (PBP2A), an acquired peptidoglycan transpeptidase (TP) with reduced susceptibility to I-lactam antibiotics. PBP2A cross-links nascent peptidoglycan when the native TPs are inhibited by I-lactams. Although mecA expression is essential for I-lactam resistance, it is not sufficient. Here we show that blocking the expression of wall teichoic acids (WTAs) by inhibiting the first enzyme in the pathway, TarO, sensitizes methicillin-resistant S. aureus (MRSA) strains to I-lactams even though the I-lactam-resistant transpeptidase, PBP2A, is still expressed. The dramatic synergy between TarO inhibitors and I-lactams is noteworthy not simply because strategies to overcome MRSA are desperately needed but because neither TarO nor the activities of the native TPs are essential in MRSA strains. The \"synthetic lethality\" of inhibiting TarO and the native TPs suggests a functional connection between ongoing WTA expression and peptidoglycan assembly in S. aureus. Indeed, transmission electron microscopy shows that S. aureus cells blocked in WTA synthesis have extensive defects in septation and cell separation, indicating dysregulated cell wall assembly and degradation. Our studies imply that WTAs play a fundamental role in S. aureus cell division and raise the possibility that synthetic lethal compound combinations may have therapeutic utility for overcoming antibiotic-resistant bacterial infections. © 2010 American Chemical Society.","author":[{"dropping-particle":"","family":"Campbell","given":"Jennifer","non-dropping-particle":"","parse-names":false,"suffix":""},{"dropping-particle":"","family":"Singh","given":"Atul K.","non-dropping-particle":"","parse-names":false,"suffix":""},{"dropping-particle":"","family":"Santa Maria","given":"John P.","non-dropping-particle":"","parse-names":false,"suffix":""},{"dropping-particle":"","family":"Kim","given":"Younghoon","non-dropping-particle":"","parse-names":false,"suffix":""},{"dropping-particle":"","family":"Brown","given":"Stephanie","non-dropping-particle":"","parse-names":false,"suffix":""},{"dropping-particle":"","family":"Swoboda","given":"Jonathan G.","non-dropping-particle":"","parse-names":false,"suffix":""},{"dropping-particle":"","family":"Mylonakis","given":"Eleftherios","non-dropping-particle":"","parse-names":false,"suffix":""},{"dropping-particle":"","family":"Wilkinson","given":"Brian J.","non-dropping-particle":"","parse-names":false,"suffix":""},{"dropping-particle":"","family":"Walker","given":"Suzanne","non-dropping-particle":"","parse-names":false,"suffix":""}],"container-title":"ACS Chemical Biology","id":"ITEM-1","issue":"1","issued":{"date-parts":[["2011"]]},"page":"106-116","title":"Synthetic lethal compound combinations reveal a fundamental connection between wall teichoic acid and peptidoglycan biosyntheses in staphylococcus aureus","type":"article-journal","volume":"6"},"uris":["http://www.mendeley.com/documents/?uuid=46e3ad63-97a1-352e-8fcb-fa898cb1609c"]},{"id":"ITEM-2","itemData":{"DOI":"10.1111/j.1365-2958.2007.05634.x","ISBN":"0950-382X (Print)\\r0950-382X (Linking)","ISSN":"0950382X","PMID":"17376082","abstract":"Cryo-electron microscopy of frozen-hydrated thin sections permits the observation of the real distribution of mass in biological specimens allowing the native structure of bacteria to be seen, including the natural orientation of their surface layers. Here, we use this approach to study the fine ultrastructure of the division site, or septum, of Staphylococcus aureus D(2)C. Frozen-hydrated sections revealed a differentiated cell wall at the septum, showing two high-density regions sandwiched between three low-density zones. The two zones adjacent to the membrane appeared as an extension of the periplasmic space seen in this organism's cell envelope and showed no distinguishing structures within them. Immediately next to these were higher-density zones that corresponded to nascent cross walls of the septum. Unexpectedly, a rather broad low-density zone was seen separating cross walls in the septum. This mid-zone of low density appeared inflated and without visible structures in isolated cell walls, which showed only the high-density zones of the septum. Here, we suggest that frozen-hydrated thin sections have captured a highly fragile septal region, the mid-zone, which results from the dynamic action of autolysis and actively separates daughter cells during division. The two zones next to the membranes are periplasmic spaces. Immediately next to these are the growing cross walls composed of peptidoglycan, teichoic acid and protein.","author":[{"dropping-particle":"","family":"Matias","given":"V. R F","non-dropping-particle":"","parse-names":false,"suffix":""},{"dropping-particle":"","family":"Beveridge","given":"Terry J.","non-dropping-particle":"","parse-names":false,"suffix":""}],"container-title":"Molecular Microbiology","id":"ITEM-2","issue":"1","issued":{"date-parts":[["2007"]]},"page":"195-206","title":"Cryo-electron microscopy of cell division in Staphylococcus aureus reveals a mid-zone between nascent cross walls","type":"article-journal","volume":"64"},"uris":["http://www.mendeley.com/documents/?uuid=8a1e9224-efda-4be3-9ed3-3b4b51692d38"]}],"mendeley":{"formattedCitation":"&lt;sup&gt;[274,275]&lt;/sup&gt;","plainTextFormattedCitation":"[274,275]","previouslyFormattedCitation":"&lt;sup&gt;[274,275]&lt;/sup&gt;"},"properties":{"noteIndex":0},"schema":"https://github.com/citation-style-language/schema/raw/master/csl-citation.json"}</w:instrText>
      </w:r>
      <w:r w:rsidR="004A274D">
        <w:fldChar w:fldCharType="separate"/>
      </w:r>
      <w:r w:rsidR="002659E5" w:rsidRPr="002659E5">
        <w:rPr>
          <w:noProof/>
          <w:vertAlign w:val="superscript"/>
        </w:rPr>
        <w:t>[274,275]</w:t>
      </w:r>
      <w:r w:rsidR="004A274D">
        <w:fldChar w:fldCharType="end"/>
      </w:r>
      <w:r w:rsidR="00924B17">
        <w:t>.</w:t>
      </w:r>
    </w:p>
    <w:p w14:paraId="35C4D073" w14:textId="773CE9AD" w:rsidR="003033A5" w:rsidRPr="003033A5" w:rsidRDefault="00224912" w:rsidP="004C0A57">
      <w:pPr>
        <w:sectPr w:rsidR="003033A5" w:rsidRPr="003033A5" w:rsidSect="004D0E05">
          <w:pgSz w:w="11906" w:h="16838"/>
          <w:pgMar w:top="1191" w:right="1247" w:bottom="1191" w:left="1247" w:header="709" w:footer="709" w:gutter="0"/>
          <w:cols w:space="708"/>
          <w:titlePg/>
          <w:docGrid w:linePitch="360"/>
        </w:sectPr>
      </w:pPr>
      <w:r>
        <w:lastRenderedPageBreak/>
        <w:t xml:space="preserve">Unfortunately, </w:t>
      </w:r>
      <w:r>
        <w:rPr>
          <w:i/>
          <w:iCs/>
        </w:rPr>
        <w:t>tarO</w:t>
      </w:r>
      <w:r>
        <w:t xml:space="preserve"> could not be analysed by neither</w:t>
      </w:r>
      <w:r w:rsidR="00995BFC">
        <w:t xml:space="preserve"> </w:t>
      </w:r>
      <w:r>
        <w:t>FS</w:t>
      </w:r>
      <w:r w:rsidR="00995BFC">
        <w:t xml:space="preserve"> TEM </w:t>
      </w:r>
      <w:r>
        <w:t>or</w:t>
      </w:r>
      <w:r w:rsidR="00995BFC">
        <w:t xml:space="preserve"> </w:t>
      </w:r>
      <w:r>
        <w:t>CEMOVIS</w:t>
      </w:r>
      <w:r w:rsidR="00995BFC">
        <w:t xml:space="preserve"> cryo-TEM</w:t>
      </w:r>
      <w:r>
        <w:t xml:space="preserve"> </w:t>
      </w:r>
      <w:r w:rsidR="00A76B96">
        <w:t xml:space="preserve">as planned, </w:t>
      </w:r>
      <w:r w:rsidR="00AF2EC5">
        <w:t xml:space="preserve">due to limited accessibility to the </w:t>
      </w:r>
      <w:r w:rsidR="001D3751">
        <w:t>microscopy facility</w:t>
      </w:r>
      <w:r w:rsidR="00AF2EC5">
        <w:t xml:space="preserve"> during 2020.</w:t>
      </w:r>
      <w:r w:rsidR="003033A5">
        <w:t xml:space="preserve"> </w:t>
      </w:r>
    </w:p>
    <w:p w14:paraId="2072D07B" w14:textId="77777777" w:rsidR="00001C36" w:rsidRDefault="00001C36" w:rsidP="00574A16">
      <w:pPr>
        <w:keepNext/>
        <w:jc w:val="center"/>
      </w:pPr>
      <w:r>
        <w:rPr>
          <w:noProof/>
        </w:rPr>
        <w:lastRenderedPageBreak/>
        <w:drawing>
          <wp:inline distT="0" distB="0" distL="0" distR="0" wp14:anchorId="7FAC9A15" wp14:editId="5BCB008F">
            <wp:extent cx="5467011" cy="2890604"/>
            <wp:effectExtent l="0" t="0" r="0"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79201" cy="2897049"/>
                    </a:xfrm>
                    <a:prstGeom prst="rect">
                      <a:avLst/>
                    </a:prstGeom>
                  </pic:spPr>
                </pic:pic>
              </a:graphicData>
            </a:graphic>
          </wp:inline>
        </w:drawing>
      </w:r>
    </w:p>
    <w:p w14:paraId="6B8EB0E7" w14:textId="20FBFBE2" w:rsidR="00B83F2C" w:rsidRDefault="00001C36" w:rsidP="008A2B86">
      <w:pPr>
        <w:pStyle w:val="Caption"/>
      </w:pPr>
      <w:bookmarkStart w:id="635" w:name="_Ref74725931"/>
      <w:bookmarkStart w:id="636" w:name="_Toc90216968"/>
      <w:r>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9</w:t>
      </w:r>
      <w:r w:rsidR="003373BF">
        <w:rPr>
          <w:noProof/>
        </w:rPr>
        <w:fldChar w:fldCharType="end"/>
      </w:r>
      <w:bookmarkEnd w:id="635"/>
      <w:r>
        <w:t xml:space="preserve"> </w:t>
      </w:r>
      <w:r w:rsidR="004652E9">
        <w:t xml:space="preserve">Analysis of the lack of WTA on </w:t>
      </w:r>
      <w:r w:rsidR="004652E9">
        <w:rPr>
          <w:i/>
        </w:rPr>
        <w:t>S. aureus</w:t>
      </w:r>
      <w:r w:rsidR="00CB23DF">
        <w:rPr>
          <w:iCs w:val="0"/>
        </w:rPr>
        <w:t xml:space="preserve"> growth</w:t>
      </w:r>
      <w:r w:rsidR="004652E9">
        <w:t>.</w:t>
      </w:r>
      <w:bookmarkEnd w:id="636"/>
    </w:p>
    <w:p w14:paraId="096BBF35" w14:textId="017F0269" w:rsidR="00CB23DF" w:rsidRDefault="00E97E72" w:rsidP="002B6394">
      <w:pPr>
        <w:pStyle w:val="NoSpacing"/>
        <w:sectPr w:rsidR="00CB23DF" w:rsidSect="004D0E05">
          <w:pgSz w:w="11906" w:h="16838"/>
          <w:pgMar w:top="1191" w:right="1247" w:bottom="1191" w:left="1247" w:header="709" w:footer="709" w:gutter="0"/>
          <w:cols w:space="708"/>
          <w:titlePg/>
          <w:docGrid w:linePitch="360"/>
        </w:sectPr>
      </w:pPr>
      <w:r>
        <w:rPr>
          <w:b/>
          <w:bCs/>
        </w:rPr>
        <w:t>(A)</w:t>
      </w:r>
      <w:r>
        <w:t xml:space="preserve"> Absorbance and </w:t>
      </w:r>
      <w:r>
        <w:rPr>
          <w:b/>
          <w:bCs/>
        </w:rPr>
        <w:t>(B)</w:t>
      </w:r>
      <w:r>
        <w:t xml:space="preserve"> CFU/ml measurements for the compared growth of </w:t>
      </w:r>
      <w:r>
        <w:rPr>
          <w:i/>
          <w:iCs/>
        </w:rPr>
        <w:t xml:space="preserve">S. </w:t>
      </w:r>
      <w:r w:rsidRPr="00E97E72">
        <w:rPr>
          <w:i/>
          <w:iCs/>
        </w:rPr>
        <w:t>aureus</w:t>
      </w:r>
      <w:r>
        <w:t xml:space="preserve"> SH1000</w:t>
      </w:r>
      <w:r w:rsidR="00C2162C">
        <w:t xml:space="preserve"> (blue</w:t>
      </w:r>
      <w:r w:rsidR="00842CD2">
        <w:t xml:space="preserve">– </w:t>
      </w:r>
      <w:r w:rsidR="0028346D">
        <w:t>6 biological repeats</w:t>
      </w:r>
      <w:r w:rsidR="00C2162C">
        <w:t>)</w:t>
      </w:r>
      <w:r>
        <w:t xml:space="preserve"> and </w:t>
      </w:r>
      <w:r>
        <w:rPr>
          <w:i/>
          <w:iCs/>
        </w:rPr>
        <w:t>tarO</w:t>
      </w:r>
      <w:r w:rsidR="00C2162C">
        <w:t xml:space="preserve"> (green</w:t>
      </w:r>
      <w:r w:rsidR="0028346D">
        <w:t>– 3 biological repeats</w:t>
      </w:r>
      <w:r w:rsidR="00C2162C">
        <w:t>)</w:t>
      </w:r>
      <w:r w:rsidR="003720D6">
        <w:t>.</w:t>
      </w:r>
    </w:p>
    <w:p w14:paraId="321A9CB5" w14:textId="77777777" w:rsidR="00CB23DF" w:rsidRDefault="00CB23DF" w:rsidP="00B01DA7">
      <w:pPr>
        <w:pStyle w:val="NoSpacing"/>
        <w:keepNext/>
        <w:jc w:val="center"/>
      </w:pPr>
      <w:r>
        <w:rPr>
          <w:noProof/>
        </w:rPr>
        <w:lastRenderedPageBreak/>
        <w:drawing>
          <wp:inline distT="0" distB="0" distL="0" distR="0" wp14:anchorId="7527CBEB" wp14:editId="047EB5D4">
            <wp:extent cx="4978687" cy="6873231"/>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78687" cy="6873231"/>
                    </a:xfrm>
                    <a:prstGeom prst="rect">
                      <a:avLst/>
                    </a:prstGeom>
                  </pic:spPr>
                </pic:pic>
              </a:graphicData>
            </a:graphic>
          </wp:inline>
        </w:drawing>
      </w:r>
    </w:p>
    <w:p w14:paraId="093B8A6C" w14:textId="60CB2E16" w:rsidR="00CB23DF" w:rsidRDefault="00422BD9" w:rsidP="00CB23DF">
      <w:pPr>
        <w:pStyle w:val="Caption"/>
      </w:pPr>
      <w:bookmarkStart w:id="637" w:name="_Ref80100214"/>
      <w:bookmarkStart w:id="638" w:name="_Toc90216969"/>
      <w:r>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10</w:t>
      </w:r>
      <w:r w:rsidR="003373BF">
        <w:rPr>
          <w:noProof/>
        </w:rPr>
        <w:fldChar w:fldCharType="end"/>
      </w:r>
      <w:bookmarkEnd w:id="637"/>
      <w:r>
        <w:t xml:space="preserve"> Analysis </w:t>
      </w:r>
      <w:r w:rsidR="00CB23DF">
        <w:t xml:space="preserve">of the lack of WTA on </w:t>
      </w:r>
      <w:r w:rsidR="00CB23DF">
        <w:rPr>
          <w:i/>
        </w:rPr>
        <w:t xml:space="preserve">S. aureus </w:t>
      </w:r>
      <w:r w:rsidR="00CB23DF">
        <w:rPr>
          <w:iCs w:val="0"/>
        </w:rPr>
        <w:t>division</w:t>
      </w:r>
      <w:r w:rsidR="00CB23DF">
        <w:t>.</w:t>
      </w:r>
      <w:bookmarkEnd w:id="638"/>
    </w:p>
    <w:p w14:paraId="35E6507E" w14:textId="5BD63008" w:rsidR="001E7EA6" w:rsidRPr="001E7EA6" w:rsidRDefault="001E7EA6" w:rsidP="001E7EA6">
      <w:pPr>
        <w:pStyle w:val="NoSpacing"/>
      </w:pPr>
      <w:r>
        <w:rPr>
          <w:b/>
          <w:bCs/>
        </w:rPr>
        <w:t>(A)</w:t>
      </w:r>
      <w:r>
        <w:t xml:space="preserve"> Normalised quantification of the percentage of SH1000 (blue) and </w:t>
      </w:r>
      <w:r>
        <w:rPr>
          <w:i/>
          <w:iCs/>
        </w:rPr>
        <w:t xml:space="preserve">tarO </w:t>
      </w:r>
      <w:r>
        <w:t xml:space="preserve">(green) with no septum, incomplete septum, complete septum and growth defects during early exponential phase. Floating bars represent the minimum, mean and maximum value. </w:t>
      </w:r>
      <w:r>
        <w:rPr>
          <w:b/>
          <w:bCs/>
        </w:rPr>
        <w:t>(B)</w:t>
      </w:r>
      <w:r>
        <w:t xml:space="preserve"> Representative TEM micrographs cropped from high magnification (4800x), scale bars 500 nm. </w:t>
      </w:r>
      <w:r>
        <w:rPr>
          <w:b/>
          <w:bCs/>
        </w:rPr>
        <w:t>(</w:t>
      </w:r>
      <w:r w:rsidR="000E59C2">
        <w:rPr>
          <w:b/>
          <w:bCs/>
        </w:rPr>
        <w:t>C</w:t>
      </w:r>
      <w:r>
        <w:rPr>
          <w:b/>
          <w:bCs/>
        </w:rPr>
        <w:t>)</w:t>
      </w:r>
      <w:r>
        <w:t xml:space="preserve"> Mean value ± standard deviation (SD) for each category. Two biological repeats for each, with a total of </w:t>
      </w:r>
      <w:r>
        <w:rPr>
          <w:i/>
          <w:iCs/>
        </w:rPr>
        <w:t>n </w:t>
      </w:r>
      <w:r>
        <w:t xml:space="preserve">= 905 and </w:t>
      </w:r>
      <w:r>
        <w:rPr>
          <w:i/>
          <w:iCs/>
        </w:rPr>
        <w:t>n</w:t>
      </w:r>
      <w:r>
        <w:t xml:space="preserve"> = 1224 cells analysed for SH1000 and </w:t>
      </w:r>
      <w:r>
        <w:rPr>
          <w:i/>
          <w:iCs/>
        </w:rPr>
        <w:t>tarO</w:t>
      </w:r>
      <w:r>
        <w:t>, respectively</w:t>
      </w:r>
      <w:r w:rsidR="00A0005B">
        <w:t>.</w:t>
      </w:r>
    </w:p>
    <w:p w14:paraId="7C8B82CC" w14:textId="4C39F413" w:rsidR="00CB23DF" w:rsidRDefault="00CB23DF" w:rsidP="00CB23DF">
      <w:pPr>
        <w:pStyle w:val="Caption"/>
        <w:sectPr w:rsidR="00CB23DF" w:rsidSect="004D0E05">
          <w:pgSz w:w="11906" w:h="16838"/>
          <w:pgMar w:top="1191" w:right="1247" w:bottom="1191" w:left="1247" w:header="709" w:footer="709" w:gutter="0"/>
          <w:cols w:space="708"/>
          <w:titlePg/>
          <w:docGrid w:linePitch="360"/>
        </w:sectPr>
      </w:pPr>
    </w:p>
    <w:p w14:paraId="73E4F839" w14:textId="77777777" w:rsidR="00825ACD" w:rsidRDefault="00825ACD" w:rsidP="00E373E4">
      <w:pPr>
        <w:pStyle w:val="NoSpacing"/>
        <w:keepNext/>
        <w:jc w:val="center"/>
      </w:pPr>
      <w:r>
        <w:rPr>
          <w:noProof/>
        </w:rPr>
        <w:lastRenderedPageBreak/>
        <w:drawing>
          <wp:inline distT="0" distB="0" distL="0" distR="0" wp14:anchorId="00DFD699" wp14:editId="37821844">
            <wp:extent cx="5884672" cy="6242675"/>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884672" cy="6242675"/>
                    </a:xfrm>
                    <a:prstGeom prst="rect">
                      <a:avLst/>
                    </a:prstGeom>
                  </pic:spPr>
                </pic:pic>
              </a:graphicData>
            </a:graphic>
          </wp:inline>
        </w:drawing>
      </w:r>
    </w:p>
    <w:p w14:paraId="2061247D" w14:textId="1AE8B46B" w:rsidR="002B6394" w:rsidRDefault="00825ACD" w:rsidP="008A2B86">
      <w:pPr>
        <w:pStyle w:val="Caption"/>
      </w:pPr>
      <w:bookmarkStart w:id="639" w:name="_Ref74746227"/>
      <w:bookmarkStart w:id="640" w:name="_Toc90216970"/>
      <w:r>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11</w:t>
      </w:r>
      <w:r w:rsidR="003373BF">
        <w:rPr>
          <w:noProof/>
        </w:rPr>
        <w:fldChar w:fldCharType="end"/>
      </w:r>
      <w:bookmarkEnd w:id="639"/>
      <w:r>
        <w:t xml:space="preserve"> </w:t>
      </w:r>
      <w:r w:rsidR="0058359E">
        <w:t>Role</w:t>
      </w:r>
      <w:r>
        <w:t xml:space="preserve"> of WTA </w:t>
      </w:r>
      <w:r w:rsidR="0058359E">
        <w:t>i</w:t>
      </w:r>
      <w:r>
        <w:t>n cell volume and CW thickness.</w:t>
      </w:r>
      <w:bookmarkEnd w:id="640"/>
    </w:p>
    <w:p w14:paraId="27DD147E" w14:textId="1F771D1C" w:rsidR="0065351F" w:rsidRDefault="00825ACD" w:rsidP="00825ACD">
      <w:pPr>
        <w:pStyle w:val="NoSpacing"/>
        <w:sectPr w:rsidR="0065351F" w:rsidSect="004D0E05">
          <w:pgSz w:w="11906" w:h="16838"/>
          <w:pgMar w:top="1191" w:right="1247" w:bottom="1191" w:left="1247" w:header="709" w:footer="709" w:gutter="0"/>
          <w:cols w:space="708"/>
          <w:titlePg/>
          <w:docGrid w:linePitch="360"/>
        </w:sectPr>
      </w:pPr>
      <w:r>
        <w:rPr>
          <w:b/>
          <w:bCs/>
        </w:rPr>
        <w:t xml:space="preserve">(A) </w:t>
      </w:r>
      <w:r w:rsidR="003F140E">
        <w:t xml:space="preserve">Representative </w:t>
      </w:r>
      <w:r w:rsidR="007A36CD">
        <w:t xml:space="preserve">OMX SIM images of NHS-ester Alexa Fluor™555 labelled cells for SH1000 (blue) and </w:t>
      </w:r>
      <w:r w:rsidR="007A36CD">
        <w:rPr>
          <w:i/>
          <w:iCs/>
        </w:rPr>
        <w:t xml:space="preserve">tarO </w:t>
      </w:r>
      <w:r w:rsidR="007A36CD">
        <w:t xml:space="preserve">(green). Scale bar 1 µm. </w:t>
      </w:r>
      <w:r w:rsidR="007A36CD">
        <w:rPr>
          <w:b/>
          <w:bCs/>
        </w:rPr>
        <w:t xml:space="preserve">(B) </w:t>
      </w:r>
      <w:r w:rsidR="00A101C0">
        <w:t>Cell volume estimation from SIM images. Statistical analysis: t-test with Wel</w:t>
      </w:r>
      <w:r w:rsidR="00E15582">
        <w:t>c</w:t>
      </w:r>
      <w:r w:rsidR="00A101C0">
        <w:t>h</w:t>
      </w:r>
      <w:r w:rsidR="000B568B">
        <w:t>’s</w:t>
      </w:r>
      <w:r w:rsidR="00A101C0">
        <w:t xml:space="preserve"> correction (**** p &lt; 0.0001, </w:t>
      </w:r>
      <w:r w:rsidR="00A101C0">
        <w:rPr>
          <w:i/>
          <w:iCs/>
        </w:rPr>
        <w:t>n</w:t>
      </w:r>
      <w:r w:rsidR="00A101C0">
        <w:t> &gt; 100)</w:t>
      </w:r>
      <w:r w:rsidR="009A58FA">
        <w:t xml:space="preserve">. </w:t>
      </w:r>
      <w:r w:rsidR="001F181D" w:rsidRPr="00AB3CB7">
        <w:rPr>
          <w:b/>
          <w:bCs/>
        </w:rPr>
        <w:t>(</w:t>
      </w:r>
      <w:r w:rsidR="001F181D">
        <w:rPr>
          <w:b/>
          <w:bCs/>
        </w:rPr>
        <w:t>C)</w:t>
      </w:r>
      <w:r w:rsidR="001F181D">
        <w:t xml:space="preserve"> Average cell wall thickness from TEM micrographs of chemically fixed SH1000 (blue) and </w:t>
      </w:r>
      <w:r w:rsidR="001F181D" w:rsidRPr="000D7655">
        <w:rPr>
          <w:i/>
          <w:iCs/>
        </w:rPr>
        <w:t>tarO</w:t>
      </w:r>
      <w:r w:rsidR="001F181D">
        <w:t xml:space="preserve"> (green) cells. Two biological repeats for each, </w:t>
      </w:r>
      <w:r w:rsidR="001F181D" w:rsidRPr="009A58FA">
        <w:rPr>
          <w:i/>
          <w:iCs/>
        </w:rPr>
        <w:t>n</w:t>
      </w:r>
      <w:r w:rsidR="001F181D">
        <w:t> &gt; 400. Statistical analysis: t-test with Wel</w:t>
      </w:r>
      <w:r w:rsidR="00E15582">
        <w:t>c</w:t>
      </w:r>
      <w:r w:rsidR="001F181D">
        <w:t>h</w:t>
      </w:r>
      <w:r w:rsidR="000B568B">
        <w:t>’s</w:t>
      </w:r>
      <w:r w:rsidR="001F181D">
        <w:t xml:space="preserve"> correction (**** p &lt; 0.0001). The box plot represents the minimum, first quartile, median, third quartile and maximum.</w:t>
      </w:r>
      <w:r w:rsidR="001F181D" w:rsidRPr="001F181D">
        <w:rPr>
          <w:b/>
          <w:bCs/>
        </w:rPr>
        <w:t xml:space="preserve"> </w:t>
      </w:r>
      <w:r w:rsidR="001F181D">
        <w:rPr>
          <w:b/>
          <w:bCs/>
        </w:rPr>
        <w:t xml:space="preserve">(D) </w:t>
      </w:r>
      <w:r w:rsidR="001F181D">
        <w:t xml:space="preserve">Representative cell for SH1000 and </w:t>
      </w:r>
      <w:r w:rsidR="001F181D">
        <w:rPr>
          <w:i/>
          <w:iCs/>
        </w:rPr>
        <w:t>tarO</w:t>
      </w:r>
      <w:r w:rsidR="001F181D">
        <w:t>, as indicated. High magnification (</w:t>
      </w:r>
      <w:r w:rsidR="001F181D" w:rsidRPr="00AF4804">
        <w:t>6800x</w:t>
      </w:r>
      <w:r w:rsidR="001F181D">
        <w:t xml:space="preserve"> and 4800x), scale bar </w:t>
      </w:r>
      <w:r w:rsidR="001F181D" w:rsidRPr="00AF4804">
        <w:t>200 nm</w:t>
      </w:r>
      <w:r w:rsidR="001F181D">
        <w:t xml:space="preserve">. </w:t>
      </w:r>
      <w:r w:rsidR="001F181D">
        <w:rPr>
          <w:b/>
          <w:bCs/>
        </w:rPr>
        <w:t>(E)</w:t>
      </w:r>
      <w:r w:rsidR="001F181D">
        <w:t xml:space="preserve"> Zoomed sections of the micrographs shown in</w:t>
      </w:r>
      <w:r w:rsidR="001F181D" w:rsidRPr="00686B5C">
        <w:rPr>
          <w:b/>
          <w:bCs/>
        </w:rPr>
        <w:t xml:space="preserve"> </w:t>
      </w:r>
      <w:r w:rsidR="001F181D" w:rsidRPr="004D5980">
        <w:t>(</w:t>
      </w:r>
      <w:r w:rsidR="001F181D">
        <w:t>D</w:t>
      </w:r>
      <w:r w:rsidR="001F181D" w:rsidRPr="004D5980">
        <w:t>)</w:t>
      </w:r>
      <w:r w:rsidR="001F181D">
        <w:t xml:space="preserve"> for SH1000 (blue rectangles) and </w:t>
      </w:r>
      <w:r w:rsidR="001F181D">
        <w:rPr>
          <w:i/>
          <w:iCs/>
        </w:rPr>
        <w:t>tarO</w:t>
      </w:r>
      <w:r w:rsidR="001F181D">
        <w:t xml:space="preserve"> (green rectangles), showing the natural variation of the cell wall thickness: thicker (upper solid rectangles), thinner (lower dashed rectangles). Scale bar </w:t>
      </w:r>
      <w:r w:rsidR="001F181D" w:rsidRPr="00AF4804">
        <w:t>50 nm</w:t>
      </w:r>
      <w:r w:rsidR="001F181D">
        <w:t xml:space="preserve">, pm– plasma membrane, cw– cell wall, es– exoplasmic space. </w:t>
      </w:r>
      <w:r w:rsidR="007A36CD">
        <w:rPr>
          <w:b/>
          <w:bCs/>
        </w:rPr>
        <w:t>(</w:t>
      </w:r>
      <w:r w:rsidR="001F181D">
        <w:rPr>
          <w:b/>
          <w:bCs/>
        </w:rPr>
        <w:t>F</w:t>
      </w:r>
      <w:r w:rsidR="007A36CD">
        <w:rPr>
          <w:b/>
          <w:bCs/>
        </w:rPr>
        <w:t xml:space="preserve">) </w:t>
      </w:r>
      <w:r w:rsidR="00BE68E6">
        <w:t xml:space="preserve">Mean value ± standard deviation for volume estimation and CW thickness from </w:t>
      </w:r>
      <w:r w:rsidR="00BE68E6" w:rsidRPr="004D5980">
        <w:t>(</w:t>
      </w:r>
      <w:r w:rsidR="001F181D">
        <w:t>B</w:t>
      </w:r>
      <w:r w:rsidR="00BE68E6" w:rsidRPr="004D5980">
        <w:t xml:space="preserve">) </w:t>
      </w:r>
      <w:r w:rsidR="00BE68E6">
        <w:t xml:space="preserve">and </w:t>
      </w:r>
      <w:r w:rsidR="00BE68E6" w:rsidRPr="004D5980">
        <w:t>(</w:t>
      </w:r>
      <w:r w:rsidR="001F181D">
        <w:t>C</w:t>
      </w:r>
      <w:r w:rsidR="00E726F7">
        <w:t>).</w:t>
      </w:r>
      <w:r w:rsidR="00BE68E6" w:rsidRPr="00AB3CB7">
        <w:rPr>
          <w:b/>
          <w:bCs/>
        </w:rPr>
        <w:t xml:space="preserve"> </w:t>
      </w:r>
    </w:p>
    <w:p w14:paraId="740337F3" w14:textId="77777777" w:rsidR="0065351F" w:rsidRDefault="0065351F" w:rsidP="00AA7DA1">
      <w:pPr>
        <w:pStyle w:val="NoSpacing"/>
        <w:keepNext/>
        <w:jc w:val="center"/>
      </w:pPr>
      <w:r>
        <w:rPr>
          <w:noProof/>
        </w:rPr>
        <w:lastRenderedPageBreak/>
        <w:drawing>
          <wp:inline distT="0" distB="0" distL="0" distR="0" wp14:anchorId="2361133C" wp14:editId="2A31D185">
            <wp:extent cx="5885846" cy="702534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885846" cy="7025345"/>
                    </a:xfrm>
                    <a:prstGeom prst="rect">
                      <a:avLst/>
                    </a:prstGeom>
                  </pic:spPr>
                </pic:pic>
              </a:graphicData>
            </a:graphic>
          </wp:inline>
        </w:drawing>
      </w:r>
    </w:p>
    <w:p w14:paraId="5044364C" w14:textId="642231FF" w:rsidR="00825ACD" w:rsidRDefault="0065351F" w:rsidP="008A2B86">
      <w:pPr>
        <w:pStyle w:val="Caption"/>
      </w:pPr>
      <w:bookmarkStart w:id="641" w:name="_Ref74751915"/>
      <w:bookmarkStart w:id="642" w:name="_Toc90216971"/>
      <w:r>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12</w:t>
      </w:r>
      <w:r w:rsidR="003373BF">
        <w:rPr>
          <w:noProof/>
        </w:rPr>
        <w:fldChar w:fldCharType="end"/>
      </w:r>
      <w:bookmarkEnd w:id="641"/>
      <w:r>
        <w:t xml:space="preserve"> TEM micrographs of </w:t>
      </w:r>
      <w:r>
        <w:rPr>
          <w:i/>
        </w:rPr>
        <w:t>S. aureus tarO</w:t>
      </w:r>
      <w:r>
        <w:t xml:space="preserve"> and septa comparison with SH1000.</w:t>
      </w:r>
      <w:bookmarkEnd w:id="642"/>
    </w:p>
    <w:p w14:paraId="0E3707B8" w14:textId="3C011399" w:rsidR="007C59A6" w:rsidRPr="000332F4" w:rsidRDefault="00FE27B2" w:rsidP="007C59A6">
      <w:pPr>
        <w:pStyle w:val="NoSpacing"/>
        <w:sectPr w:rsidR="007C59A6" w:rsidRPr="000332F4" w:rsidSect="004D0E05">
          <w:pgSz w:w="11906" w:h="16838"/>
          <w:pgMar w:top="1191" w:right="1247" w:bottom="1191" w:left="1247" w:header="709" w:footer="709" w:gutter="0"/>
          <w:cols w:space="708"/>
          <w:titlePg/>
          <w:docGrid w:linePitch="360"/>
        </w:sectPr>
      </w:pPr>
      <w:r>
        <w:rPr>
          <w:b/>
          <w:bCs/>
        </w:rPr>
        <w:t>(A)</w:t>
      </w:r>
      <w:r>
        <w:t xml:space="preserve"> </w:t>
      </w:r>
      <w:r w:rsidR="0088529D">
        <w:t xml:space="preserve">TEM micrographs of chemically fixed </w:t>
      </w:r>
      <w:r w:rsidR="0088529D">
        <w:rPr>
          <w:i/>
          <w:iCs/>
        </w:rPr>
        <w:t>S. aureus tarO</w:t>
      </w:r>
      <w:r>
        <w:t xml:space="preserve"> </w:t>
      </w:r>
      <w:r w:rsidR="00E70D96">
        <w:t>(</w:t>
      </w:r>
      <w:r w:rsidR="0088529D">
        <w:t xml:space="preserve">high magnification, </w:t>
      </w:r>
      <w:r>
        <w:t>4800x</w:t>
      </w:r>
      <w:r w:rsidR="00E70D96">
        <w:t>)</w:t>
      </w:r>
      <w:r>
        <w:t xml:space="preserve">, scale bar 1 µm. </w:t>
      </w:r>
      <w:r>
        <w:rPr>
          <w:b/>
          <w:bCs/>
        </w:rPr>
        <w:t>(B)</w:t>
      </w:r>
      <w:r w:rsidR="0017369E">
        <w:t xml:space="preserve"> </w:t>
      </w:r>
      <w:r w:rsidR="00BA4CD1">
        <w:t>Septal shape c</w:t>
      </w:r>
      <w:r w:rsidR="00406AF5">
        <w:t xml:space="preserve">omparison </w:t>
      </w:r>
      <w:r w:rsidR="00BA4CD1">
        <w:t>between</w:t>
      </w:r>
      <w:r w:rsidR="00406AF5">
        <w:t xml:space="preserve"> </w:t>
      </w:r>
      <w:r w:rsidR="00406AF5" w:rsidRPr="00406AF5">
        <w:rPr>
          <w:i/>
          <w:iCs/>
        </w:rPr>
        <w:t>tarO</w:t>
      </w:r>
      <w:r w:rsidR="00617908">
        <w:rPr>
          <w:i/>
          <w:iCs/>
        </w:rPr>
        <w:t xml:space="preserve"> </w:t>
      </w:r>
      <w:r w:rsidR="00617908">
        <w:t>(green)</w:t>
      </w:r>
      <w:r w:rsidR="00406AF5">
        <w:t xml:space="preserve"> and its parental strain (SH1000</w:t>
      </w:r>
      <w:r w:rsidR="00617908">
        <w:t>, blue</w:t>
      </w:r>
      <w:r w:rsidR="00406AF5">
        <w:t xml:space="preserve">). </w:t>
      </w:r>
      <w:r w:rsidR="0017369E" w:rsidRPr="00406AF5">
        <w:t>Representative</w:t>
      </w:r>
      <w:r w:rsidR="0017369E">
        <w:t xml:space="preserve"> dividing cells with</w:t>
      </w:r>
      <w:r w:rsidR="00FA5648">
        <w:t xml:space="preserve"> an</w:t>
      </w:r>
      <w:r w:rsidR="0017369E">
        <w:t xml:space="preserve"> incomplete sept</w:t>
      </w:r>
      <w:r w:rsidR="00FA5648">
        <w:t>um</w:t>
      </w:r>
      <w:r w:rsidR="00DD069E">
        <w:t>, s</w:t>
      </w:r>
      <w:r w:rsidR="00996937">
        <w:t>cale bar 200 nm.</w:t>
      </w:r>
      <w:r w:rsidR="00E53261">
        <w:t xml:space="preserve"> Zoomed coloured squares show a differential septal shape: SH1000 (blue)–V-shape and </w:t>
      </w:r>
      <w:r w:rsidR="00E53261" w:rsidRPr="00E53261">
        <w:rPr>
          <w:i/>
          <w:iCs/>
        </w:rPr>
        <w:t>tarO</w:t>
      </w:r>
      <w:r w:rsidR="00E53261">
        <w:t xml:space="preserve"> (green)– </w:t>
      </w:r>
      <w:r w:rsidR="00EA113F">
        <w:t>aberrantly</w:t>
      </w:r>
      <w:r w:rsidR="00E53261">
        <w:t>-shape</w:t>
      </w:r>
      <w:r w:rsidR="00EA113F">
        <w:t>d</w:t>
      </w:r>
      <w:r>
        <w:rPr>
          <w:i/>
          <w:iCs/>
        </w:rPr>
        <w:t>.</w:t>
      </w:r>
      <w:r w:rsidR="000332F4">
        <w:t xml:space="preserve"> </w:t>
      </w:r>
      <w:r w:rsidR="00996937">
        <w:t xml:space="preserve">Scale bar 50 nm. </w:t>
      </w:r>
      <w:r w:rsidR="00E61200">
        <w:t>The r</w:t>
      </w:r>
      <w:r w:rsidR="000332F4">
        <w:t xml:space="preserve">ed arrow </w:t>
      </w:r>
      <w:r w:rsidR="007B60E0">
        <w:t>indicates</w:t>
      </w:r>
      <w:r w:rsidR="000332F4">
        <w:t xml:space="preserve"> a heavily stained septal mid-zone </w:t>
      </w:r>
      <w:r w:rsidR="007B60E0">
        <w:t>present in</w:t>
      </w:r>
      <w:r w:rsidR="000332F4">
        <w:t xml:space="preserve"> the wildtype alone.</w:t>
      </w:r>
    </w:p>
    <w:p w14:paraId="56FA4562" w14:textId="19B673E0" w:rsidR="006C2161" w:rsidRDefault="006C2161" w:rsidP="006C2161">
      <w:pPr>
        <w:pStyle w:val="Heading3"/>
        <w:rPr>
          <w:i/>
          <w:iCs/>
        </w:rPr>
      </w:pPr>
      <w:bookmarkStart w:id="643" w:name="_Toc90216887"/>
      <w:r>
        <w:lastRenderedPageBreak/>
        <w:t>Lack of LTA: survival and m</w:t>
      </w:r>
      <w:r w:rsidRPr="0093467E">
        <w:t xml:space="preserve">orphological </w:t>
      </w:r>
      <w:r>
        <w:t>effects.</w:t>
      </w:r>
      <w:bookmarkEnd w:id="643"/>
    </w:p>
    <w:p w14:paraId="070BED21" w14:textId="21951FE2" w:rsidR="002B2D3F" w:rsidRDefault="001C3755" w:rsidP="0093467E">
      <w:r>
        <w:t>Past publications have described the essentiality of LTA, documenting various morphological aberrations including thickened CW, increased size, clump</w:t>
      </w:r>
      <w:r w:rsidR="00FC3C45">
        <w:t>ing</w:t>
      </w:r>
      <w:r>
        <w:t xml:space="preserve">, and division </w:t>
      </w:r>
      <w:r w:rsidR="00973F6F">
        <w:t xml:space="preserve">alterations associated with its </w:t>
      </w:r>
      <w:r w:rsidR="005D058A">
        <w:t>loss</w:t>
      </w:r>
      <w:r>
        <w:t xml:space="preserve"> </w:t>
      </w:r>
      <w:r>
        <w:fldChar w:fldCharType="begin" w:fldLock="1"/>
      </w:r>
      <w:r w:rsidR="00260ACA">
        <w:instrText>ADDIN CSL_CITATION {"citationItems":[{"id":"ITEM-1","itemData":{"DOI":"10.1073/pnas.0701821104","ISBN":"0027-8424 (Print)\\r0027-8424 (Linking)","ISSN":"0027-8424","PMID":"17483484","abstract":"Lipoteichoic acid (LTA), a glycerol phosphate surface polymer, is a component of the envelope of Gram-positive bacteria. However, the molecular basis for its synthesis or function is not known. Here we report that Staphylococcus aureus LtaS synthesizes glycerol phosphate LTA. Construction of a mutant S. aureus strain with inducible ltaS expression revealed that LTA synthesis is required for bacterial growth and cell division. An ltaS homologue of Bacillus subtilis restored LTA synthesis and the growth of ltaS mutant staphylococci. Thus, LtaS inhibition can be used as a target to treat human infections caused by antibiotic-resistant S. aureus or other bacterial pathogens.","author":[{"dropping-particle":"","family":"Grundling","given":"A.","non-dropping-particle":"","parse-names":false,"suffix":""},{"dropping-particle":"","family":"Schneewind","given":"O.","non-dropping-particle":"","parse-names":false,"suffix":""}],"container-title":"Proceedings of the National Academy of Sciences","id":"ITEM-1","issue":"20","issued":{"date-parts":[["2007"]]},"page":"8478-8483","title":"Synthesis of glycerol phosphate lipoteichoic acid in Staphylococcus aureus","type":"article-journal","volume":"104"},"uris":["http://www.mendeley.com/documents/?uuid=33b7fcb3-ffde-4606-8a67-126926b4d10a"]}],"mendeley":{"formattedCitation":"&lt;sup&gt;[99]&lt;/sup&gt;","plainTextFormattedCitation":"[99]","previouslyFormattedCitation":"&lt;sup&gt;[99]&lt;/sup&gt;"},"properties":{"noteIndex":0},"schema":"https://github.com/citation-style-language/schema/raw/master/csl-citation.json"}</w:instrText>
      </w:r>
      <w:r>
        <w:fldChar w:fldCharType="separate"/>
      </w:r>
      <w:r w:rsidR="00C825F9" w:rsidRPr="00C825F9">
        <w:rPr>
          <w:noProof/>
          <w:vertAlign w:val="superscript"/>
        </w:rPr>
        <w:t>[99]</w:t>
      </w:r>
      <w:r>
        <w:fldChar w:fldCharType="end"/>
      </w:r>
      <w:r>
        <w:t xml:space="preserve">. </w:t>
      </w:r>
      <w:r w:rsidR="00705412">
        <w:t>Yet, at</w:t>
      </w:r>
      <w:r>
        <w:t xml:space="preserve"> a later date </w:t>
      </w:r>
      <w:r w:rsidRPr="00A70C9C">
        <w:rPr>
          <w:rFonts w:ascii="Calibri" w:eastAsia="Times New Roman" w:hAnsi="Calibri" w:cs="Calibri"/>
          <w:szCs w:val="24"/>
          <w:lang w:eastAsia="en-GB"/>
        </w:rPr>
        <w:t xml:space="preserve">Corrigan </w:t>
      </w:r>
      <w:r w:rsidRPr="00A70C9C">
        <w:rPr>
          <w:rFonts w:ascii="Calibri" w:eastAsia="Times New Roman" w:hAnsi="Calibri" w:cs="Calibri"/>
          <w:i/>
          <w:iCs/>
          <w:szCs w:val="24"/>
          <w:lang w:eastAsia="en-GB"/>
        </w:rPr>
        <w:t>et al</w:t>
      </w:r>
      <w:r w:rsidRPr="00A70C9C">
        <w:rPr>
          <w:rFonts w:ascii="Calibri" w:eastAsia="Times New Roman" w:hAnsi="Calibri" w:cs="Calibri"/>
          <w:szCs w:val="24"/>
          <w:lang w:eastAsia="en-GB"/>
        </w:rPr>
        <w:t>.</w:t>
      </w:r>
      <w:r w:rsidR="004A7BD7">
        <w:rPr>
          <w:rFonts w:ascii="Calibri" w:eastAsia="Times New Roman" w:hAnsi="Calibri" w:cs="Calibri"/>
          <w:szCs w:val="24"/>
          <w:lang w:eastAsia="en-GB"/>
        </w:rPr>
        <w:t>,</w:t>
      </w:r>
      <w:r w:rsidRPr="00A70C9C">
        <w:rPr>
          <w:rFonts w:ascii="Calibri" w:eastAsia="Times New Roman" w:hAnsi="Calibri" w:cs="Calibri"/>
          <w:szCs w:val="24"/>
          <w:lang w:eastAsia="en-GB"/>
        </w:rPr>
        <w:t xml:space="preserve"> (20</w:t>
      </w:r>
      <w:r w:rsidR="00534744">
        <w:rPr>
          <w:rFonts w:ascii="Calibri" w:eastAsia="Times New Roman" w:hAnsi="Calibri" w:cs="Calibri"/>
          <w:szCs w:val="24"/>
          <w:lang w:eastAsia="en-GB"/>
        </w:rPr>
        <w:t>11</w:t>
      </w:r>
      <w:r w:rsidRPr="00A70C9C">
        <w:rPr>
          <w:rFonts w:ascii="Calibri" w:eastAsia="Times New Roman" w:hAnsi="Calibri" w:cs="Calibri"/>
          <w:szCs w:val="24"/>
          <w:lang w:eastAsia="en-GB"/>
        </w:rPr>
        <w:t xml:space="preserve">) </w:t>
      </w:r>
      <w:r w:rsidR="006A781A">
        <w:rPr>
          <w:rFonts w:ascii="Calibri" w:eastAsia="Times New Roman" w:hAnsi="Calibri" w:cs="Calibri"/>
          <w:szCs w:val="24"/>
          <w:lang w:eastAsia="en-GB"/>
        </w:rPr>
        <w:t>showed</w:t>
      </w:r>
      <w:r>
        <w:rPr>
          <w:rFonts w:ascii="Calibri" w:eastAsia="Times New Roman" w:hAnsi="Calibri" w:cs="Calibri"/>
          <w:szCs w:val="24"/>
          <w:lang w:eastAsia="en-GB"/>
        </w:rPr>
        <w:t xml:space="preserve"> that</w:t>
      </w:r>
      <w:r w:rsidRPr="00A70C9C">
        <w:rPr>
          <w:rFonts w:ascii="Calibri" w:eastAsia="Times New Roman" w:hAnsi="Calibri" w:cs="Calibri"/>
          <w:szCs w:val="24"/>
          <w:lang w:eastAsia="en-GB"/>
        </w:rPr>
        <w:t xml:space="preserve"> a suppressor mutation in the </w:t>
      </w:r>
      <w:r w:rsidRPr="00A70C9C">
        <w:rPr>
          <w:rFonts w:ascii="Calibri" w:eastAsia="Times New Roman" w:hAnsi="Calibri" w:cs="Calibri"/>
          <w:i/>
          <w:iCs/>
          <w:szCs w:val="24"/>
          <w:lang w:eastAsia="en-GB"/>
        </w:rPr>
        <w:t xml:space="preserve">gdpP </w:t>
      </w:r>
      <w:r w:rsidRPr="00A70C9C">
        <w:rPr>
          <w:rFonts w:ascii="Calibri" w:eastAsia="Times New Roman" w:hAnsi="Calibri" w:cs="Calibri"/>
          <w:szCs w:val="24"/>
          <w:lang w:eastAsia="en-GB"/>
        </w:rPr>
        <w:t>gene</w:t>
      </w:r>
      <w:r>
        <w:rPr>
          <w:rFonts w:ascii="Calibri" w:eastAsia="Times New Roman" w:hAnsi="Calibri" w:cs="Calibri"/>
          <w:szCs w:val="24"/>
          <w:lang w:eastAsia="en-GB"/>
        </w:rPr>
        <w:t xml:space="preserve"> </w:t>
      </w:r>
      <w:r w:rsidR="006A781A">
        <w:rPr>
          <w:rFonts w:ascii="Calibri" w:eastAsia="Times New Roman" w:hAnsi="Calibri" w:cs="Calibri"/>
          <w:szCs w:val="24"/>
          <w:lang w:eastAsia="en-GB"/>
        </w:rPr>
        <w:t>le</w:t>
      </w:r>
      <w:r w:rsidR="00C70B4C">
        <w:rPr>
          <w:rFonts w:ascii="Calibri" w:eastAsia="Times New Roman" w:hAnsi="Calibri" w:cs="Calibri"/>
          <w:szCs w:val="24"/>
          <w:lang w:eastAsia="en-GB"/>
        </w:rPr>
        <w:t>d</w:t>
      </w:r>
      <w:r w:rsidR="006A781A">
        <w:rPr>
          <w:rFonts w:ascii="Calibri" w:eastAsia="Times New Roman" w:hAnsi="Calibri" w:cs="Calibri"/>
          <w:szCs w:val="24"/>
          <w:lang w:eastAsia="en-GB"/>
        </w:rPr>
        <w:t xml:space="preserve"> to</w:t>
      </w:r>
      <w:r>
        <w:rPr>
          <w:rFonts w:ascii="Calibri" w:eastAsia="Times New Roman" w:hAnsi="Calibri" w:cs="Calibri"/>
          <w:szCs w:val="24"/>
          <w:lang w:eastAsia="en-GB"/>
        </w:rPr>
        <w:t xml:space="preserve"> an </w:t>
      </w:r>
      <w:r>
        <w:rPr>
          <w:rFonts w:ascii="Calibri" w:eastAsia="Times New Roman" w:hAnsi="Calibri" w:cs="Calibri"/>
          <w:i/>
          <w:iCs/>
          <w:szCs w:val="24"/>
          <w:lang w:eastAsia="en-GB"/>
        </w:rPr>
        <w:t>ltaS</w:t>
      </w:r>
      <w:r>
        <w:rPr>
          <w:rFonts w:ascii="Calibri" w:eastAsia="Times New Roman" w:hAnsi="Calibri" w:cs="Calibri"/>
          <w:szCs w:val="24"/>
          <w:lang w:eastAsia="en-GB"/>
        </w:rPr>
        <w:t xml:space="preserve"> mutant</w:t>
      </w:r>
      <w:r w:rsidR="006A781A">
        <w:rPr>
          <w:rFonts w:ascii="Calibri" w:eastAsia="Times New Roman" w:hAnsi="Calibri" w:cs="Calibri"/>
          <w:szCs w:val="24"/>
          <w:lang w:eastAsia="en-GB"/>
        </w:rPr>
        <w:t xml:space="preserve"> </w:t>
      </w:r>
      <w:r w:rsidR="00C70B4C">
        <w:rPr>
          <w:rFonts w:ascii="Calibri" w:eastAsia="Times New Roman" w:hAnsi="Calibri" w:cs="Calibri"/>
          <w:szCs w:val="24"/>
          <w:lang w:eastAsia="en-GB"/>
        </w:rPr>
        <w:t xml:space="preserve">that was </w:t>
      </w:r>
      <w:r w:rsidR="006A781A">
        <w:rPr>
          <w:rFonts w:ascii="Calibri" w:eastAsia="Times New Roman" w:hAnsi="Calibri" w:cs="Calibri"/>
          <w:szCs w:val="24"/>
          <w:lang w:eastAsia="en-GB"/>
        </w:rPr>
        <w:t>able to grow and</w:t>
      </w:r>
      <w:r>
        <w:rPr>
          <w:rFonts w:ascii="Calibri" w:eastAsia="Times New Roman" w:hAnsi="Calibri" w:cs="Calibri"/>
          <w:szCs w:val="24"/>
          <w:lang w:eastAsia="en-GB"/>
        </w:rPr>
        <w:t xml:space="preserve"> have </w:t>
      </w:r>
      <w:r w:rsidR="006A781A">
        <w:rPr>
          <w:rFonts w:ascii="Calibri" w:eastAsia="Times New Roman" w:hAnsi="Calibri" w:cs="Calibri"/>
          <w:szCs w:val="24"/>
          <w:lang w:eastAsia="en-GB"/>
        </w:rPr>
        <w:t>the same morphology as its parental strain</w:t>
      </w:r>
      <w:r>
        <w:rPr>
          <w:rFonts w:ascii="Calibri" w:eastAsia="Times New Roman" w:hAnsi="Calibri" w:cs="Calibri"/>
          <w:szCs w:val="24"/>
          <w:lang w:eastAsia="en-GB"/>
        </w:rPr>
        <w:t xml:space="preserve"> </w:t>
      </w:r>
      <w:r>
        <w:rPr>
          <w:rFonts w:ascii="Calibri" w:eastAsia="Times New Roman" w:hAnsi="Calibri" w:cs="Calibri"/>
          <w:szCs w:val="24"/>
          <w:lang w:eastAsia="en-GB"/>
        </w:rPr>
        <w:fldChar w:fldCharType="begin" w:fldLock="1"/>
      </w:r>
      <w:r w:rsidR="00DA0A83">
        <w:rPr>
          <w:rFonts w:ascii="Calibri" w:eastAsia="Times New Roman" w:hAnsi="Calibri" w:cs="Calibri"/>
          <w:szCs w:val="24"/>
          <w:lang w:eastAsia="en-GB"/>
        </w:rPr>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mendeley":{"formattedCitation":"&lt;sup&gt;[63]&lt;/sup&gt;","plainTextFormattedCitation":"[63]","previouslyFormattedCitation":"&lt;sup&gt;[63]&lt;/sup&gt;"},"properties":{"noteIndex":0},"schema":"https://github.com/citation-style-language/schema/raw/master/csl-citation.json"}</w:instrText>
      </w:r>
      <w:r>
        <w:rPr>
          <w:rFonts w:ascii="Calibri" w:eastAsia="Times New Roman" w:hAnsi="Calibri" w:cs="Calibri"/>
          <w:szCs w:val="24"/>
          <w:lang w:eastAsia="en-GB"/>
        </w:rPr>
        <w:fldChar w:fldCharType="separate"/>
      </w:r>
      <w:r w:rsidR="00DA0A83" w:rsidRPr="00DA0A83">
        <w:rPr>
          <w:rFonts w:ascii="Calibri" w:eastAsia="Times New Roman" w:hAnsi="Calibri" w:cs="Calibri"/>
          <w:noProof/>
          <w:szCs w:val="24"/>
          <w:vertAlign w:val="superscript"/>
          <w:lang w:eastAsia="en-GB"/>
        </w:rPr>
        <w:t>[63]</w:t>
      </w:r>
      <w:r>
        <w:rPr>
          <w:rFonts w:ascii="Calibri" w:eastAsia="Times New Roman" w:hAnsi="Calibri" w:cs="Calibri"/>
          <w:szCs w:val="24"/>
          <w:lang w:eastAsia="en-GB"/>
        </w:rPr>
        <w:fldChar w:fldCharType="end"/>
      </w:r>
      <w:r>
        <w:rPr>
          <w:rFonts w:ascii="Calibri" w:eastAsia="Times New Roman" w:hAnsi="Calibri" w:cs="Calibri"/>
          <w:szCs w:val="24"/>
          <w:lang w:eastAsia="en-GB"/>
        </w:rPr>
        <w:t xml:space="preserve">. </w:t>
      </w:r>
      <w:r w:rsidR="00556FAA">
        <w:t>This investigation</w:t>
      </w:r>
      <w:r w:rsidR="002B2D3F">
        <w:t xml:space="preserve"> provides quantitative data for the morphological changes caused by the lack of this membrane-attached polymer</w:t>
      </w:r>
      <w:r w:rsidR="001E433C">
        <w:t xml:space="preserve"> in the </w:t>
      </w:r>
      <w:r w:rsidR="001E433C">
        <w:rPr>
          <w:i/>
          <w:iCs/>
        </w:rPr>
        <w:t>S. aureus</w:t>
      </w:r>
      <w:r w:rsidR="001E433C">
        <w:t xml:space="preserve"> SH1000 background.</w:t>
      </w:r>
    </w:p>
    <w:p w14:paraId="7C983301" w14:textId="362D73E0" w:rsidR="00255507" w:rsidRDefault="00255507" w:rsidP="00255507">
      <w:pPr>
        <w:pStyle w:val="Heading4"/>
      </w:pPr>
      <w:bookmarkStart w:id="644" w:name="_Toc90216888"/>
      <w:r>
        <w:t>Transduction of LTA mutations into</w:t>
      </w:r>
      <w:r w:rsidR="00B11B30">
        <w:t xml:space="preserve"> the</w:t>
      </w:r>
      <w:r>
        <w:t xml:space="preserve"> </w:t>
      </w:r>
      <w:r>
        <w:rPr>
          <w:i/>
          <w:iCs w:val="0"/>
        </w:rPr>
        <w:t>S. aureus</w:t>
      </w:r>
      <w:r>
        <w:t xml:space="preserve"> SH1000 background.</w:t>
      </w:r>
      <w:bookmarkEnd w:id="644"/>
    </w:p>
    <w:p w14:paraId="594A8788" w14:textId="476732C0" w:rsidR="007D2681" w:rsidRDefault="002A02B2" w:rsidP="008C26CB">
      <w:r>
        <w:t>Angelika Gr</w:t>
      </w:r>
      <w:r w:rsidRPr="002A02B2">
        <w:t>ün</w:t>
      </w:r>
      <w:r>
        <w:t>dling kindly provided us with the corresponding</w:t>
      </w:r>
      <w:r w:rsidR="004D7A33">
        <w:t xml:space="preserve"> </w:t>
      </w:r>
      <w:r>
        <w:t>LTA mutants used in her research</w:t>
      </w:r>
      <w:r w:rsidR="001835C5">
        <w:t xml:space="preserve">: </w:t>
      </w:r>
      <w:r w:rsidR="001E0ACF">
        <w:t xml:space="preserve">(1) </w:t>
      </w:r>
      <w:r w:rsidR="001835C5">
        <w:t xml:space="preserve">an </w:t>
      </w:r>
      <w:r w:rsidR="00505CBF">
        <w:t>IPTG-</w:t>
      </w:r>
      <w:r w:rsidR="001835C5">
        <w:t>inducible</w:t>
      </w:r>
      <w:r w:rsidR="004E67D3">
        <w:t xml:space="preserve"> </w:t>
      </w:r>
      <w:r w:rsidR="008A16B3">
        <w:rPr>
          <w:i/>
          <w:iCs/>
        </w:rPr>
        <w:t>P</w:t>
      </w:r>
      <w:r w:rsidR="004E67D3" w:rsidRPr="008A16B3">
        <w:rPr>
          <w:i/>
          <w:iCs/>
          <w:vertAlign w:val="subscript"/>
        </w:rPr>
        <w:t>spac</w:t>
      </w:r>
      <w:r w:rsidR="001835C5">
        <w:t xml:space="preserve"> LTA mutant (</w:t>
      </w:r>
      <w:r w:rsidR="007A2F8E">
        <w:t>RN4220</w:t>
      </w:r>
      <w:r w:rsidR="002069FF">
        <w:t xml:space="preserve"> </w:t>
      </w:r>
      <w:r w:rsidR="001835C5">
        <w:rPr>
          <w:i/>
          <w:iCs/>
        </w:rPr>
        <w:t>iltaS</w:t>
      </w:r>
      <w:r w:rsidR="007A2F8E">
        <w:rPr>
          <w:i/>
          <w:iCs/>
        </w:rPr>
        <w:t xml:space="preserve">: </w:t>
      </w:r>
      <w:r w:rsidR="00475C0E">
        <w:rPr>
          <w:i/>
          <w:iCs/>
        </w:rPr>
        <w:t>e</w:t>
      </w:r>
      <w:r w:rsidR="007A2F8E">
        <w:rPr>
          <w:i/>
          <w:iCs/>
        </w:rPr>
        <w:t>rmR</w:t>
      </w:r>
      <w:r w:rsidR="008E609F">
        <w:t xml:space="preserve"> – ANG499</w:t>
      </w:r>
      <w:r w:rsidR="001835C5" w:rsidRPr="000C1511">
        <w:t>)</w:t>
      </w:r>
      <w:r w:rsidR="001835C5">
        <w:t xml:space="preserve"> and </w:t>
      </w:r>
      <w:r w:rsidR="001E0ACF">
        <w:t xml:space="preserve">(2) </w:t>
      </w:r>
      <w:r w:rsidR="001835C5">
        <w:t xml:space="preserve">a complemented </w:t>
      </w:r>
      <w:r w:rsidR="00505CBF">
        <w:rPr>
          <w:i/>
          <w:iCs/>
        </w:rPr>
        <w:t xml:space="preserve">ltaS </w:t>
      </w:r>
      <w:r w:rsidR="001835C5">
        <w:t xml:space="preserve">deletion with a point mutation in the </w:t>
      </w:r>
      <w:r w:rsidR="001835C5">
        <w:rPr>
          <w:i/>
          <w:iCs/>
        </w:rPr>
        <w:t>gdpP</w:t>
      </w:r>
      <w:r w:rsidR="001835C5">
        <w:t xml:space="preserve"> gene (</w:t>
      </w:r>
      <w:r w:rsidR="007A2F8E">
        <w:t>LAC*</w:t>
      </w:r>
      <w:r w:rsidR="002069FF">
        <w:t xml:space="preserve"> </w:t>
      </w:r>
      <w:r w:rsidR="00AB2AE2">
        <w:rPr>
          <w:lang w:val="el-GR"/>
        </w:rPr>
        <w:t>Δ</w:t>
      </w:r>
      <w:r w:rsidR="001835C5">
        <w:rPr>
          <w:i/>
          <w:iCs/>
        </w:rPr>
        <w:t>ltaS</w:t>
      </w:r>
      <w:r w:rsidR="00AB2AE2">
        <w:rPr>
          <w:i/>
          <w:iCs/>
        </w:rPr>
        <w:t>::erm</w:t>
      </w:r>
      <w:r w:rsidR="001835C5">
        <w:rPr>
          <w:i/>
          <w:iCs/>
        </w:rPr>
        <w:t xml:space="preserve"> gdpP</w:t>
      </w:r>
      <w:r w:rsidR="00AB2AE2">
        <w:t xml:space="preserve">(V425F) </w:t>
      </w:r>
      <w:r w:rsidR="00FC54DA" w:rsidRPr="00FC54DA">
        <w:t>–</w:t>
      </w:r>
      <w:r w:rsidR="00FC54DA">
        <w:t xml:space="preserve"> </w:t>
      </w:r>
      <w:r w:rsidR="00FC54DA" w:rsidRPr="00AB2AE2">
        <w:t>ANG</w:t>
      </w:r>
      <w:r w:rsidR="00AB2AE2">
        <w:t>2430)</w:t>
      </w:r>
      <w:r w:rsidR="000C1511">
        <w:t xml:space="preserve"> </w:t>
      </w:r>
      <w:r w:rsidR="000C1511">
        <w:fldChar w:fldCharType="begin" w:fldLock="1"/>
      </w:r>
      <w:r w:rsidR="00260ACA">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stress","type":"article-journal","volume":"7"},"uris":["http://www.mendeley.com/documents/?uuid=6999529d-9f41-47d1-a708-ec2e7a140162"]},{"id":"ITEM-2","itemData":{"DOI":"10.1073/pnas.0701821104","ISBN":"0027-8424 (Print)\\r0027-8424 (Linking)","ISSN":"0027-8424","PMID":"17483484","abstract":"Lipoteichoic acid (LTA), a glycerol phosphate surface polymer, is a component of the envelope of Gram-positive bacteria. However, the molecular basis for its synthesis or function is not known. Here we report that Staphylococcus aureus LtaS synthesizes glycerol phosphate LTA. Construction of a mutant S. aureus strain with inducible ltaS expression revealed that LTA synthesis is required for bacterial growth and cell division. An ltaS homologue of Bacillus subtilis restored LTA synthesis and the growth of ltaS mutant staphylococci. Thus, LtaS inhibition can be used as a target to treat human infections caused by antibiotic-resistant S. aureus or other bacterial pathogens.","author":[{"dropping-particle":"","family":"Grundling","given":"A.","non-dropping-particle":"","parse-names":false,"suffix":""},{"dropping-particle":"","family":"Schneewind","given":"O.","non-dropping-particle":"","parse-names":false,"suffix":""}],"container-title":"Proceedings of the National Academy of Sciences","id":"ITEM-2","issue":"20","issued":{"date-parts":[["2007"]]},"page":"8478-8483","title":"Synthesis of glycerol phosphate lipoteichoic acid in Staphylococcus aureus","type":"article-journal","volume":"104"},"uris":["http://www.mendeley.com/documents/?uuid=33b7fcb3-ffde-4606-8a67-126926b4d10a"]}],"mendeley":{"formattedCitation":"&lt;sup&gt;[63,99]&lt;/sup&gt;","plainTextFormattedCitation":"[63,99]","previouslyFormattedCitation":"&lt;sup&gt;[63,99]&lt;/sup&gt;"},"properties":{"noteIndex":0},"schema":"https://github.com/citation-style-language/schema/raw/master/csl-citation.json"}</w:instrText>
      </w:r>
      <w:r w:rsidR="000C1511">
        <w:fldChar w:fldCharType="separate"/>
      </w:r>
      <w:r w:rsidR="00C825F9" w:rsidRPr="00C825F9">
        <w:rPr>
          <w:noProof/>
          <w:vertAlign w:val="superscript"/>
        </w:rPr>
        <w:t>[63,99]</w:t>
      </w:r>
      <w:r w:rsidR="000C1511">
        <w:fldChar w:fldCharType="end"/>
      </w:r>
      <w:r w:rsidR="004919AA">
        <w:t xml:space="preserve"> (</w:t>
      </w:r>
      <w:r w:rsidR="004919AA">
        <w:fldChar w:fldCharType="begin"/>
      </w:r>
      <w:r w:rsidR="004919AA">
        <w:instrText xml:space="preserve"> REF _Ref74484583 \h </w:instrText>
      </w:r>
      <w:r w:rsidR="004919AA">
        <w:fldChar w:fldCharType="separate"/>
      </w:r>
      <w:r w:rsidR="00183CC8">
        <w:t xml:space="preserve">Table </w:t>
      </w:r>
      <w:r w:rsidR="00183CC8">
        <w:rPr>
          <w:noProof/>
        </w:rPr>
        <w:t>2</w:t>
      </w:r>
      <w:r w:rsidR="00183CC8">
        <w:t>.</w:t>
      </w:r>
      <w:r w:rsidR="00183CC8">
        <w:rPr>
          <w:noProof/>
        </w:rPr>
        <w:t>4</w:t>
      </w:r>
      <w:r w:rsidR="004919AA">
        <w:fldChar w:fldCharType="end"/>
      </w:r>
      <w:r w:rsidR="004919AA">
        <w:t>)</w:t>
      </w:r>
      <w:r w:rsidR="000C1511">
        <w:t>.</w:t>
      </w:r>
      <w:r w:rsidR="007A4DC2">
        <w:t xml:space="preserve"> </w:t>
      </w:r>
      <w:r w:rsidR="004D7A33">
        <w:t>T</w:t>
      </w:r>
      <w:r w:rsidR="0007731A">
        <w:t xml:space="preserve">hese were used to construct </w:t>
      </w:r>
      <w:r w:rsidR="0007731A">
        <w:rPr>
          <w:i/>
          <w:iCs/>
        </w:rPr>
        <w:t xml:space="preserve">S. </w:t>
      </w:r>
      <w:r w:rsidR="0007731A" w:rsidRPr="0007731A">
        <w:rPr>
          <w:i/>
          <w:iCs/>
        </w:rPr>
        <w:t>aureus</w:t>
      </w:r>
      <w:r w:rsidR="0007731A">
        <w:t xml:space="preserve"> </w:t>
      </w:r>
      <w:r w:rsidR="0007731A" w:rsidRPr="0007731A">
        <w:t>SH1000</w:t>
      </w:r>
      <w:r w:rsidR="0007731A">
        <w:t xml:space="preserve"> </w:t>
      </w:r>
      <w:r w:rsidR="00AF4632">
        <w:t>LTA mutants</w:t>
      </w:r>
      <w:r w:rsidR="0007731A">
        <w:t xml:space="preserve"> and</w:t>
      </w:r>
      <w:r w:rsidR="004D7A33">
        <w:t xml:space="preserve"> verify if the changes in bacterial growth and morphology </w:t>
      </w:r>
      <w:r w:rsidR="0007731A">
        <w:t>were consistent with those recorded for</w:t>
      </w:r>
      <w:r w:rsidR="0050279D">
        <w:t xml:space="preserve"> their</w:t>
      </w:r>
      <w:r w:rsidR="0007731A">
        <w:t xml:space="preserve"> </w:t>
      </w:r>
      <w:r w:rsidR="0050279D">
        <w:t xml:space="preserve">RN4220 and </w:t>
      </w:r>
      <w:r w:rsidR="0007731A">
        <w:t>LAC*</w:t>
      </w:r>
      <w:r w:rsidR="0050279D">
        <w:t xml:space="preserve"> </w:t>
      </w:r>
      <w:r w:rsidR="004F0297">
        <w:t>parental strains</w:t>
      </w:r>
      <w:r w:rsidR="0007731A">
        <w:t>.</w:t>
      </w:r>
    </w:p>
    <w:p w14:paraId="79CF2C0E" w14:textId="3664A52A" w:rsidR="00144D16" w:rsidRPr="00144D16" w:rsidRDefault="00830268" w:rsidP="00FA05E6">
      <w:pPr>
        <w:rPr>
          <w:rFonts w:ascii="Calibri" w:eastAsia="Times New Roman" w:hAnsi="Calibri" w:cs="Calibri"/>
          <w:szCs w:val="24"/>
          <w:lang w:eastAsia="en-GB"/>
        </w:rPr>
      </w:pPr>
      <w:r>
        <w:rPr>
          <w:rFonts w:ascii="Calibri" w:eastAsia="Times New Roman" w:hAnsi="Calibri" w:cs="Calibri"/>
          <w:szCs w:val="24"/>
          <w:lang w:eastAsia="en-GB"/>
        </w:rPr>
        <w:t>(1)</w:t>
      </w:r>
      <w:r w:rsidR="00A20E08">
        <w:rPr>
          <w:rFonts w:ascii="Calibri" w:eastAsia="Times New Roman" w:hAnsi="Calibri" w:cs="Calibri"/>
          <w:szCs w:val="24"/>
          <w:lang w:eastAsia="en-GB"/>
        </w:rPr>
        <w:t xml:space="preserve"> </w:t>
      </w:r>
      <w:r w:rsidR="00144D16">
        <w:rPr>
          <w:rFonts w:ascii="Calibri" w:eastAsia="Times New Roman" w:hAnsi="Calibri" w:cs="Calibri"/>
          <w:szCs w:val="24"/>
          <w:lang w:eastAsia="en-GB"/>
        </w:rPr>
        <w:t>ANG499 strain ha</w:t>
      </w:r>
      <w:r w:rsidR="001705F0">
        <w:rPr>
          <w:rFonts w:ascii="Calibri" w:eastAsia="Times New Roman" w:hAnsi="Calibri" w:cs="Calibri"/>
          <w:szCs w:val="24"/>
          <w:lang w:eastAsia="en-GB"/>
        </w:rPr>
        <w:t>s</w:t>
      </w:r>
      <w:r w:rsidR="00144D16">
        <w:rPr>
          <w:rFonts w:ascii="Calibri" w:eastAsia="Times New Roman" w:hAnsi="Calibri" w:cs="Calibri"/>
          <w:szCs w:val="24"/>
          <w:lang w:eastAsia="en-GB"/>
        </w:rPr>
        <w:t xml:space="preserve"> </w:t>
      </w:r>
      <w:r w:rsidR="00DF54A9">
        <w:rPr>
          <w:rFonts w:ascii="Calibri" w:eastAsia="Times New Roman" w:hAnsi="Calibri" w:cs="Calibri"/>
          <w:szCs w:val="24"/>
          <w:lang w:eastAsia="en-GB"/>
        </w:rPr>
        <w:t xml:space="preserve">a </w:t>
      </w:r>
      <w:r w:rsidR="00144D16">
        <w:rPr>
          <w:rFonts w:ascii="Calibri" w:eastAsia="Times New Roman" w:hAnsi="Calibri" w:cs="Calibri"/>
          <w:szCs w:val="24"/>
          <w:lang w:eastAsia="en-GB"/>
        </w:rPr>
        <w:t>pMutin-HA-</w:t>
      </w:r>
      <w:r w:rsidR="00144D16">
        <w:rPr>
          <w:rFonts w:ascii="Calibri" w:eastAsia="Times New Roman" w:hAnsi="Calibri" w:cs="Calibri"/>
          <w:i/>
          <w:iCs/>
          <w:szCs w:val="24"/>
          <w:lang w:eastAsia="en-GB"/>
        </w:rPr>
        <w:t>ltaS</w:t>
      </w:r>
      <w:r w:rsidR="00144D16">
        <w:rPr>
          <w:rFonts w:ascii="Calibri" w:eastAsia="Times New Roman" w:hAnsi="Calibri" w:cs="Calibri"/>
          <w:szCs w:val="24"/>
          <w:lang w:eastAsia="en-GB"/>
        </w:rPr>
        <w:t xml:space="preserve"> plasmid with</w:t>
      </w:r>
      <w:r w:rsidR="00F62EA4">
        <w:rPr>
          <w:rFonts w:ascii="Calibri" w:eastAsia="Times New Roman" w:hAnsi="Calibri" w:cs="Calibri"/>
          <w:szCs w:val="24"/>
          <w:lang w:eastAsia="en-GB"/>
        </w:rPr>
        <w:t xml:space="preserve"> </w:t>
      </w:r>
      <w:r w:rsidR="00F62EA4">
        <w:rPr>
          <w:rFonts w:ascii="Calibri" w:eastAsia="Times New Roman" w:hAnsi="Calibri" w:cs="Calibri"/>
          <w:i/>
          <w:iCs/>
          <w:szCs w:val="24"/>
          <w:lang w:eastAsia="en-GB"/>
        </w:rPr>
        <w:t>ltaS</w:t>
      </w:r>
      <w:r w:rsidR="00144D16">
        <w:rPr>
          <w:rFonts w:ascii="Calibri" w:eastAsia="Times New Roman" w:hAnsi="Calibri" w:cs="Calibri"/>
          <w:szCs w:val="24"/>
          <w:lang w:eastAsia="en-GB"/>
        </w:rPr>
        <w:t xml:space="preserve"> </w:t>
      </w:r>
      <w:r w:rsidR="00F62EA4">
        <w:rPr>
          <w:rFonts w:ascii="Calibri" w:eastAsia="Times New Roman" w:hAnsi="Calibri" w:cs="Calibri"/>
          <w:szCs w:val="24"/>
          <w:lang w:eastAsia="en-GB"/>
        </w:rPr>
        <w:t>(</w:t>
      </w:r>
      <w:r w:rsidR="00144D16">
        <w:rPr>
          <w:rFonts w:ascii="Calibri" w:eastAsia="Times New Roman" w:hAnsi="Calibri" w:cs="Calibri"/>
          <w:szCs w:val="24"/>
          <w:lang w:eastAsia="en-GB"/>
        </w:rPr>
        <w:t>first 471 nucleotides and preceding ribosome binding sites</w:t>
      </w:r>
      <w:r w:rsidR="00F62EA4">
        <w:rPr>
          <w:rFonts w:ascii="Calibri" w:eastAsia="Times New Roman" w:hAnsi="Calibri" w:cs="Calibri"/>
          <w:szCs w:val="24"/>
          <w:lang w:eastAsia="en-GB"/>
        </w:rPr>
        <w:t xml:space="preserve">) </w:t>
      </w:r>
      <w:r w:rsidR="00144D16">
        <w:rPr>
          <w:rFonts w:ascii="Calibri" w:eastAsia="Times New Roman" w:hAnsi="Calibri" w:cs="Calibri"/>
          <w:szCs w:val="24"/>
          <w:lang w:eastAsia="en-GB"/>
        </w:rPr>
        <w:t xml:space="preserve">placed under the </w:t>
      </w:r>
      <w:r w:rsidR="006F3FF1">
        <w:rPr>
          <w:i/>
          <w:iCs/>
        </w:rPr>
        <w:t>P</w:t>
      </w:r>
      <w:r w:rsidR="006F3FF1" w:rsidRPr="008A16B3">
        <w:rPr>
          <w:i/>
          <w:iCs/>
          <w:vertAlign w:val="subscript"/>
        </w:rPr>
        <w:t>spac</w:t>
      </w:r>
      <w:r w:rsidR="006F3FF1">
        <w:rPr>
          <w:rFonts w:ascii="Calibri" w:eastAsia="Times New Roman" w:hAnsi="Calibri" w:cs="Calibri"/>
          <w:szCs w:val="24"/>
          <w:lang w:eastAsia="en-GB"/>
        </w:rPr>
        <w:t xml:space="preserve"> </w:t>
      </w:r>
      <w:r w:rsidR="00144D16">
        <w:rPr>
          <w:rFonts w:ascii="Calibri" w:eastAsia="Times New Roman" w:hAnsi="Calibri" w:cs="Calibri"/>
          <w:szCs w:val="24"/>
          <w:lang w:eastAsia="en-GB"/>
        </w:rPr>
        <w:t>promoter</w:t>
      </w:r>
      <w:r w:rsidR="005A4D57">
        <w:rPr>
          <w:rFonts w:ascii="Calibri" w:eastAsia="Times New Roman" w:hAnsi="Calibri" w:cs="Calibri"/>
          <w:szCs w:val="24"/>
          <w:lang w:eastAsia="en-GB"/>
        </w:rPr>
        <w:t xml:space="preserve"> </w:t>
      </w:r>
      <w:r w:rsidR="00C45E28">
        <w:rPr>
          <w:rFonts w:ascii="Calibri" w:eastAsia="Times New Roman" w:hAnsi="Calibri" w:cs="Calibri"/>
          <w:szCs w:val="24"/>
          <w:lang w:eastAsia="en-GB"/>
        </w:rPr>
        <w:fldChar w:fldCharType="begin" w:fldLock="1"/>
      </w:r>
      <w:r w:rsidR="00260ACA">
        <w:rPr>
          <w:rFonts w:ascii="Calibri" w:eastAsia="Times New Roman" w:hAnsi="Calibri" w:cs="Calibri"/>
          <w:szCs w:val="24"/>
          <w:lang w:eastAsia="en-GB"/>
        </w:rPr>
        <w:instrText>ADDIN CSL_CITATION {"citationItems":[{"id":"ITEM-1","itemData":{"DOI":"10.1073/pnas.0701821104","ISBN":"0027-8424 (Print)\\r0027-8424 (Linking)","ISSN":"0027-8424","PMID":"17483484","abstract":"Lipoteichoic acid (LTA), a glycerol phosphate surface polymer, is a component of the envelope of Gram-positive bacteria. However, the molecular basis for its synthesis or function is not known. Here we report that Staphylococcus aureus LtaS synthesizes glycerol phosphate LTA. Construction of a mutant S. aureus strain with inducible ltaS expression revealed that LTA synthesis is required for bacterial growth and cell division. An ltaS homologue of Bacillus subtilis restored LTA synthesis and the growth of ltaS mutant staphylococci. Thus, LtaS inhibition can be used as a target to treat human infections caused by antibiotic-resistant S. aureus or other bacterial pathogens.","author":[{"dropping-particle":"","family":"Grundling","given":"A.","non-dropping-particle":"","parse-names":false,"suffix":""},{"dropping-particle":"","family":"Schneewind","given":"O.","non-dropping-particle":"","parse-names":false,"suffix":""}],"container-title":"Proceedings of the National Academy of Sciences","id":"ITEM-1","issue":"20","issued":{"date-parts":[["2007"]]},"page":"8478-8483","title":"Synthesis of glycerol phosphate lipoteichoic acid in Staphylococcus aureus","type":"article-journal","volume":"104"},"uris":["http://www.mendeley.com/documents/?uuid=33b7fcb3-ffde-4606-8a67-126926b4d10a"]}],"mendeley":{"formattedCitation":"&lt;sup&gt;[99]&lt;/sup&gt;","plainTextFormattedCitation":"[99]","previouslyFormattedCitation":"&lt;sup&gt;[99]&lt;/sup&gt;"},"properties":{"noteIndex":0},"schema":"https://github.com/citation-style-language/schema/raw/master/csl-citation.json"}</w:instrText>
      </w:r>
      <w:r w:rsidR="00C45E28">
        <w:rPr>
          <w:rFonts w:ascii="Calibri" w:eastAsia="Times New Roman" w:hAnsi="Calibri" w:cs="Calibri"/>
          <w:szCs w:val="24"/>
          <w:lang w:eastAsia="en-GB"/>
        </w:rPr>
        <w:fldChar w:fldCharType="separate"/>
      </w:r>
      <w:r w:rsidR="00C825F9" w:rsidRPr="00C825F9">
        <w:rPr>
          <w:rFonts w:ascii="Calibri" w:eastAsia="Times New Roman" w:hAnsi="Calibri" w:cs="Calibri"/>
          <w:noProof/>
          <w:szCs w:val="24"/>
          <w:vertAlign w:val="superscript"/>
          <w:lang w:eastAsia="en-GB"/>
        </w:rPr>
        <w:t>[99]</w:t>
      </w:r>
      <w:r w:rsidR="00C45E28">
        <w:rPr>
          <w:rFonts w:ascii="Calibri" w:eastAsia="Times New Roman" w:hAnsi="Calibri" w:cs="Calibri"/>
          <w:szCs w:val="24"/>
          <w:lang w:eastAsia="en-GB"/>
        </w:rPr>
        <w:fldChar w:fldCharType="end"/>
      </w:r>
      <w:r w:rsidR="00144D16">
        <w:rPr>
          <w:rFonts w:ascii="Calibri" w:eastAsia="Times New Roman" w:hAnsi="Calibri" w:cs="Calibri"/>
          <w:szCs w:val="24"/>
          <w:lang w:eastAsia="en-GB"/>
        </w:rPr>
        <w:t>.</w:t>
      </w:r>
      <w:r w:rsidR="005A4D57">
        <w:rPr>
          <w:rFonts w:ascii="Calibri" w:eastAsia="Times New Roman" w:hAnsi="Calibri" w:cs="Calibri"/>
          <w:szCs w:val="24"/>
          <w:lang w:eastAsia="en-GB"/>
        </w:rPr>
        <w:t xml:space="preserve"> This IPTG-inducible </w:t>
      </w:r>
      <w:r w:rsidR="00BA58BA">
        <w:rPr>
          <w:rFonts w:ascii="Calibri" w:eastAsia="Times New Roman" w:hAnsi="Calibri" w:cs="Calibri"/>
          <w:szCs w:val="24"/>
          <w:lang w:eastAsia="en-GB"/>
        </w:rPr>
        <w:t>construct</w:t>
      </w:r>
      <w:r w:rsidR="005A4D57">
        <w:rPr>
          <w:rFonts w:ascii="Calibri" w:eastAsia="Times New Roman" w:hAnsi="Calibri" w:cs="Calibri"/>
          <w:szCs w:val="24"/>
          <w:lang w:eastAsia="en-GB"/>
        </w:rPr>
        <w:t xml:space="preserve"> was transduced into the SH1000 parental strain (SJF 682)</w:t>
      </w:r>
      <w:r w:rsidR="004D64D7">
        <w:rPr>
          <w:rFonts w:ascii="Calibri" w:eastAsia="Times New Roman" w:hAnsi="Calibri" w:cs="Calibri"/>
          <w:szCs w:val="24"/>
          <w:lang w:eastAsia="en-GB"/>
        </w:rPr>
        <w:t xml:space="preserve"> </w:t>
      </w:r>
      <w:r w:rsidR="002F1A15">
        <w:rPr>
          <w:rFonts w:ascii="Calibri" w:eastAsia="Times New Roman" w:hAnsi="Calibri" w:cs="Calibri"/>
          <w:szCs w:val="24"/>
          <w:lang w:eastAsia="en-GB"/>
        </w:rPr>
        <w:t>using</w:t>
      </w:r>
      <w:r w:rsidR="004D64D7">
        <w:rPr>
          <w:rFonts w:ascii="Calibri" w:eastAsia="Times New Roman" w:hAnsi="Calibri" w:cs="Calibri"/>
          <w:szCs w:val="24"/>
          <w:lang w:eastAsia="en-GB"/>
        </w:rPr>
        <w:t xml:space="preserve"> </w:t>
      </w:r>
      <w:r w:rsidR="00765874">
        <w:rPr>
          <w:rFonts w:ascii="Calibri" w:eastAsia="Times New Roman" w:hAnsi="Calibri" w:cs="Calibri"/>
          <w:szCs w:val="24"/>
          <w:lang w:eastAsia="en-GB"/>
        </w:rPr>
        <w:t>the</w:t>
      </w:r>
      <w:r w:rsidR="004D64D7">
        <w:rPr>
          <w:rFonts w:ascii="Calibri" w:eastAsia="Times New Roman" w:hAnsi="Calibri" w:cs="Calibri"/>
          <w:szCs w:val="24"/>
          <w:lang w:eastAsia="en-GB"/>
        </w:rPr>
        <w:t xml:space="preserve"> </w:t>
      </w:r>
      <w:r w:rsidR="004D64D7">
        <w:rPr>
          <w:rFonts w:ascii="Calibri" w:eastAsia="Times New Roman" w:hAnsi="Calibri" w:cs="Calibri"/>
          <w:szCs w:val="24"/>
          <w:lang w:val="el-GR" w:eastAsia="en-GB"/>
        </w:rPr>
        <w:t>φ</w:t>
      </w:r>
      <w:r w:rsidR="004D64D7" w:rsidRPr="00751501">
        <w:rPr>
          <w:rFonts w:ascii="Calibri" w:eastAsia="Times New Roman" w:hAnsi="Calibri" w:cs="Calibri"/>
          <w:szCs w:val="24"/>
          <w:lang w:eastAsia="en-GB"/>
        </w:rPr>
        <w:t>11</w:t>
      </w:r>
      <w:r w:rsidR="004D64D7">
        <w:rPr>
          <w:rFonts w:ascii="Calibri" w:eastAsia="Times New Roman" w:hAnsi="Calibri" w:cs="Calibri"/>
          <w:szCs w:val="24"/>
          <w:lang w:eastAsia="en-GB"/>
        </w:rPr>
        <w:t xml:space="preserve"> bacteriophage</w:t>
      </w:r>
      <w:r w:rsidR="005A4D57">
        <w:rPr>
          <w:rFonts w:ascii="Calibri" w:eastAsia="Times New Roman" w:hAnsi="Calibri" w:cs="Calibri"/>
          <w:szCs w:val="24"/>
          <w:lang w:eastAsia="en-GB"/>
        </w:rPr>
        <w:t xml:space="preserve">, following the transduction protocol described in section </w:t>
      </w:r>
      <w:r w:rsidR="008B28D4">
        <w:rPr>
          <w:rFonts w:ascii="Calibri" w:eastAsia="Times New Roman" w:hAnsi="Calibri" w:cs="Calibri"/>
          <w:szCs w:val="24"/>
          <w:highlight w:val="yellow"/>
          <w:lang w:eastAsia="en-GB"/>
        </w:rPr>
        <w:fldChar w:fldCharType="begin"/>
      </w:r>
      <w:r w:rsidR="008B28D4">
        <w:rPr>
          <w:rFonts w:ascii="Calibri" w:eastAsia="Times New Roman" w:hAnsi="Calibri" w:cs="Calibri"/>
          <w:szCs w:val="24"/>
          <w:lang w:eastAsia="en-GB"/>
        </w:rPr>
        <w:instrText xml:space="preserve"> REF _Ref75540707 \r \h </w:instrText>
      </w:r>
      <w:r w:rsidR="008B28D4">
        <w:rPr>
          <w:rFonts w:ascii="Calibri" w:eastAsia="Times New Roman" w:hAnsi="Calibri" w:cs="Calibri"/>
          <w:szCs w:val="24"/>
          <w:highlight w:val="yellow"/>
          <w:lang w:eastAsia="en-GB"/>
        </w:rPr>
      </w:r>
      <w:r w:rsidR="008B28D4">
        <w:rPr>
          <w:rFonts w:ascii="Calibri" w:eastAsia="Times New Roman" w:hAnsi="Calibri" w:cs="Calibri"/>
          <w:szCs w:val="24"/>
          <w:highlight w:val="yellow"/>
          <w:lang w:eastAsia="en-GB"/>
        </w:rPr>
        <w:fldChar w:fldCharType="separate"/>
      </w:r>
      <w:r w:rsidR="00183CC8">
        <w:rPr>
          <w:rFonts w:ascii="Calibri" w:eastAsia="Times New Roman" w:hAnsi="Calibri" w:cs="Calibri"/>
          <w:szCs w:val="24"/>
          <w:lang w:eastAsia="en-GB"/>
        </w:rPr>
        <w:t>2.16</w:t>
      </w:r>
      <w:r w:rsidR="008B28D4">
        <w:rPr>
          <w:rFonts w:ascii="Calibri" w:eastAsia="Times New Roman" w:hAnsi="Calibri" w:cs="Calibri"/>
          <w:szCs w:val="24"/>
          <w:highlight w:val="yellow"/>
          <w:lang w:eastAsia="en-GB"/>
        </w:rPr>
        <w:fldChar w:fldCharType="end"/>
      </w:r>
      <w:r w:rsidR="005A4D57">
        <w:rPr>
          <w:rFonts w:ascii="Calibri" w:eastAsia="Times New Roman" w:hAnsi="Calibri" w:cs="Calibri"/>
          <w:szCs w:val="24"/>
          <w:lang w:eastAsia="en-GB"/>
        </w:rPr>
        <w:t>. The</w:t>
      </w:r>
      <w:r w:rsidR="004D64D7">
        <w:rPr>
          <w:rFonts w:ascii="Calibri" w:eastAsia="Times New Roman" w:hAnsi="Calibri" w:cs="Calibri"/>
          <w:szCs w:val="24"/>
          <w:lang w:eastAsia="en-GB"/>
        </w:rPr>
        <w:t xml:space="preserve"> </w:t>
      </w:r>
      <w:r w:rsidR="004D64D7">
        <w:rPr>
          <w:rFonts w:ascii="Calibri" w:eastAsia="Times New Roman" w:hAnsi="Calibri" w:cs="Calibri"/>
          <w:i/>
          <w:iCs/>
          <w:szCs w:val="24"/>
          <w:lang w:eastAsia="en-GB"/>
        </w:rPr>
        <w:t xml:space="preserve">S. aureus </w:t>
      </w:r>
      <w:r w:rsidR="004D64D7">
        <w:rPr>
          <w:rFonts w:ascii="Calibri" w:eastAsia="Times New Roman" w:hAnsi="Calibri" w:cs="Calibri"/>
          <w:szCs w:val="24"/>
          <w:lang w:eastAsia="en-GB"/>
        </w:rPr>
        <w:t>SH1000</w:t>
      </w:r>
      <w:r w:rsidR="00FE6A9F">
        <w:rPr>
          <w:rFonts w:ascii="Calibri" w:eastAsia="Times New Roman" w:hAnsi="Calibri" w:cs="Calibri"/>
          <w:szCs w:val="24"/>
          <w:lang w:eastAsia="en-GB"/>
        </w:rPr>
        <w:t xml:space="preserve"> </w:t>
      </w:r>
      <w:r w:rsidR="004D64D7">
        <w:rPr>
          <w:rFonts w:ascii="Calibri" w:eastAsia="Times New Roman" w:hAnsi="Calibri" w:cs="Calibri"/>
          <w:i/>
          <w:iCs/>
          <w:szCs w:val="24"/>
          <w:lang w:eastAsia="en-GB"/>
        </w:rPr>
        <w:t>iltaS</w:t>
      </w:r>
      <w:r w:rsidR="004D64D7">
        <w:rPr>
          <w:rFonts w:ascii="Calibri" w:eastAsia="Times New Roman" w:hAnsi="Calibri" w:cs="Calibri"/>
          <w:szCs w:val="24"/>
          <w:lang w:eastAsia="en-GB"/>
        </w:rPr>
        <w:t xml:space="preserve"> (SJF 5157) was </w:t>
      </w:r>
      <w:r w:rsidR="00083423">
        <w:rPr>
          <w:rFonts w:ascii="Calibri" w:eastAsia="Times New Roman" w:hAnsi="Calibri" w:cs="Calibri"/>
          <w:szCs w:val="24"/>
          <w:lang w:eastAsia="en-GB"/>
        </w:rPr>
        <w:t>obtained.</w:t>
      </w:r>
    </w:p>
    <w:p w14:paraId="333D4A9D" w14:textId="0E4A259B" w:rsidR="00751501" w:rsidRDefault="001820C2" w:rsidP="00FA05E6">
      <w:pPr>
        <w:rPr>
          <w:rFonts w:ascii="Calibri" w:eastAsia="Times New Roman" w:hAnsi="Calibri" w:cs="Calibri"/>
          <w:szCs w:val="24"/>
          <w:lang w:eastAsia="en-GB"/>
        </w:rPr>
      </w:pPr>
      <w:r>
        <w:rPr>
          <w:rFonts w:ascii="Calibri" w:eastAsia="Times New Roman" w:hAnsi="Calibri" w:cs="Calibri"/>
          <w:szCs w:val="24"/>
          <w:lang w:eastAsia="en-GB"/>
        </w:rPr>
        <w:t xml:space="preserve">(2) A two-step transduction was carried out to obtain the </w:t>
      </w:r>
      <w:r>
        <w:rPr>
          <w:rFonts w:ascii="Calibri" w:eastAsia="Times New Roman" w:hAnsi="Calibri" w:cs="Calibri"/>
          <w:i/>
          <w:iCs/>
          <w:szCs w:val="24"/>
          <w:lang w:eastAsia="en-GB"/>
        </w:rPr>
        <w:t>ltaS</w:t>
      </w:r>
      <w:r>
        <w:rPr>
          <w:rFonts w:ascii="Calibri" w:eastAsia="Times New Roman" w:hAnsi="Calibri" w:cs="Calibri"/>
          <w:szCs w:val="24"/>
          <w:lang w:eastAsia="en-GB"/>
        </w:rPr>
        <w:t xml:space="preserve">-depleted strain with the complementary mutation in </w:t>
      </w:r>
      <w:r>
        <w:rPr>
          <w:rFonts w:ascii="Calibri" w:eastAsia="Times New Roman" w:hAnsi="Calibri" w:cs="Calibri"/>
          <w:i/>
          <w:iCs/>
          <w:szCs w:val="24"/>
          <w:lang w:eastAsia="en-GB"/>
        </w:rPr>
        <w:t>gdpP</w:t>
      </w:r>
      <w:r w:rsidRPr="005E2FEC">
        <w:rPr>
          <w:rFonts w:ascii="Calibri" w:eastAsia="Times New Roman" w:hAnsi="Calibri" w:cs="Calibri"/>
          <w:szCs w:val="24"/>
          <w:lang w:eastAsia="en-GB"/>
        </w:rPr>
        <w:t>.</w:t>
      </w:r>
      <w:r w:rsidR="00A140CA">
        <w:rPr>
          <w:rFonts w:ascii="Calibri" w:eastAsia="Times New Roman" w:hAnsi="Calibri" w:cs="Calibri"/>
          <w:szCs w:val="24"/>
          <w:lang w:eastAsia="en-GB"/>
        </w:rPr>
        <w:t xml:space="preserve">  First, </w:t>
      </w:r>
      <w:r w:rsidR="00C73246">
        <w:rPr>
          <w:rFonts w:ascii="Calibri" w:eastAsia="Times New Roman" w:hAnsi="Calibri" w:cs="Calibri"/>
          <w:szCs w:val="24"/>
          <w:lang w:eastAsia="en-GB"/>
        </w:rPr>
        <w:t>LAC*</w:t>
      </w:r>
      <w:r w:rsidR="00E351AA">
        <w:rPr>
          <w:rFonts w:ascii="Calibri" w:eastAsia="Times New Roman" w:hAnsi="Calibri" w:cs="Calibri"/>
          <w:szCs w:val="24"/>
          <w:lang w:eastAsia="en-GB"/>
        </w:rPr>
        <w:t xml:space="preserve"> </w:t>
      </w:r>
      <w:r w:rsidR="00C73246">
        <w:rPr>
          <w:rFonts w:ascii="Calibri" w:eastAsia="Times New Roman" w:hAnsi="Calibri" w:cs="Calibri"/>
          <w:szCs w:val="24"/>
          <w:lang w:val="el-GR" w:eastAsia="en-GB"/>
        </w:rPr>
        <w:t>Δ</w:t>
      </w:r>
      <w:r w:rsidR="00CA083C">
        <w:rPr>
          <w:rFonts w:ascii="Calibri" w:eastAsia="Times New Roman" w:hAnsi="Calibri" w:cs="Calibri"/>
          <w:i/>
          <w:iCs/>
          <w:szCs w:val="24"/>
          <w:lang w:eastAsia="en-GB"/>
        </w:rPr>
        <w:t>gdpP::kan</w:t>
      </w:r>
      <w:r w:rsidR="00CA083C">
        <w:rPr>
          <w:rFonts w:ascii="Calibri" w:eastAsia="Times New Roman" w:hAnsi="Calibri" w:cs="Calibri"/>
          <w:szCs w:val="24"/>
          <w:lang w:eastAsia="en-GB"/>
        </w:rPr>
        <w:t xml:space="preserve"> </w:t>
      </w:r>
      <w:r w:rsidR="00C73246">
        <w:rPr>
          <w:rFonts w:ascii="Calibri" w:eastAsia="Times New Roman" w:hAnsi="Calibri" w:cs="Calibri"/>
          <w:szCs w:val="24"/>
          <w:lang w:eastAsia="en-GB"/>
        </w:rPr>
        <w:t>(</w:t>
      </w:r>
      <w:r w:rsidR="00CA083C">
        <w:rPr>
          <w:rFonts w:ascii="Calibri" w:eastAsia="Times New Roman" w:hAnsi="Calibri" w:cs="Calibri"/>
          <w:szCs w:val="24"/>
          <w:lang w:eastAsia="en-GB"/>
        </w:rPr>
        <w:t>ANG1961</w:t>
      </w:r>
      <w:r w:rsidR="00C73246">
        <w:rPr>
          <w:rFonts w:ascii="Calibri" w:eastAsia="Times New Roman" w:hAnsi="Calibri" w:cs="Calibri"/>
          <w:szCs w:val="24"/>
          <w:lang w:eastAsia="en-GB"/>
        </w:rPr>
        <w:t>)</w:t>
      </w:r>
      <w:r w:rsidR="00CA083C">
        <w:rPr>
          <w:rFonts w:ascii="Calibri" w:eastAsia="Times New Roman" w:hAnsi="Calibri" w:cs="Calibri"/>
          <w:szCs w:val="24"/>
          <w:lang w:eastAsia="en-GB"/>
        </w:rPr>
        <w:t xml:space="preserve"> strain was transduced into the SH1000 parental strain (SJF 682).</w:t>
      </w:r>
      <w:r w:rsidR="00B0112B">
        <w:rPr>
          <w:rFonts w:ascii="Calibri" w:eastAsia="Times New Roman" w:hAnsi="Calibri" w:cs="Calibri"/>
          <w:szCs w:val="24"/>
          <w:lang w:eastAsia="en-GB"/>
        </w:rPr>
        <w:t xml:space="preserve"> Secondly, the resulting SH1000</w:t>
      </w:r>
      <w:r w:rsidR="00E95EFE">
        <w:rPr>
          <w:rFonts w:ascii="Calibri" w:eastAsia="Times New Roman" w:hAnsi="Calibri" w:cs="Calibri"/>
          <w:szCs w:val="24"/>
          <w:lang w:eastAsia="en-GB"/>
        </w:rPr>
        <w:t xml:space="preserve"> </w:t>
      </w:r>
      <w:r w:rsidR="00C7722B">
        <w:rPr>
          <w:rFonts w:ascii="Calibri" w:eastAsia="Times New Roman" w:hAnsi="Calibri" w:cs="Calibri"/>
          <w:szCs w:val="24"/>
          <w:lang w:val="el-GR" w:eastAsia="en-GB"/>
        </w:rPr>
        <w:t>Δ</w:t>
      </w:r>
      <w:r w:rsidR="00FE6A9F">
        <w:rPr>
          <w:rFonts w:ascii="Calibri" w:eastAsia="Times New Roman" w:hAnsi="Calibri" w:cs="Calibri"/>
          <w:szCs w:val="24"/>
          <w:lang w:eastAsia="en-GB"/>
        </w:rPr>
        <w:t xml:space="preserve"> </w:t>
      </w:r>
      <w:r w:rsidR="00B0112B">
        <w:rPr>
          <w:rFonts w:ascii="Calibri" w:eastAsia="Times New Roman" w:hAnsi="Calibri" w:cs="Calibri"/>
          <w:i/>
          <w:iCs/>
          <w:szCs w:val="24"/>
          <w:lang w:eastAsia="en-GB"/>
        </w:rPr>
        <w:t>gdpP::kan</w:t>
      </w:r>
      <w:r w:rsidR="00B0112B">
        <w:rPr>
          <w:rFonts w:ascii="Calibri" w:eastAsia="Times New Roman" w:hAnsi="Calibri" w:cs="Calibri"/>
          <w:szCs w:val="24"/>
          <w:lang w:eastAsia="en-GB"/>
        </w:rPr>
        <w:t xml:space="preserve"> strain (SJF 5158) was used as a recipient strain for the transduction of the </w:t>
      </w:r>
      <w:r w:rsidR="00B0112B">
        <w:rPr>
          <w:rFonts w:ascii="Calibri" w:eastAsia="Times New Roman" w:hAnsi="Calibri" w:cs="Calibri"/>
          <w:i/>
          <w:iCs/>
          <w:szCs w:val="24"/>
          <w:lang w:eastAsia="en-GB"/>
        </w:rPr>
        <w:t>ltaS</w:t>
      </w:r>
      <w:r w:rsidR="00B0112B">
        <w:rPr>
          <w:rFonts w:ascii="Calibri" w:eastAsia="Times New Roman" w:hAnsi="Calibri" w:cs="Calibri"/>
          <w:szCs w:val="24"/>
          <w:lang w:eastAsia="en-GB"/>
        </w:rPr>
        <w:t xml:space="preserve"> deletion from ANG2430.</w:t>
      </w:r>
      <w:r w:rsidR="00F21B5D">
        <w:rPr>
          <w:rFonts w:ascii="Calibri" w:eastAsia="Times New Roman" w:hAnsi="Calibri" w:cs="Calibri"/>
          <w:szCs w:val="24"/>
          <w:lang w:eastAsia="en-GB"/>
        </w:rPr>
        <w:t xml:space="preserve"> This resulted in </w:t>
      </w:r>
      <w:r w:rsidR="002F779D">
        <w:rPr>
          <w:rFonts w:ascii="Calibri" w:eastAsia="Times New Roman" w:hAnsi="Calibri" w:cs="Calibri"/>
          <w:i/>
          <w:iCs/>
          <w:szCs w:val="24"/>
          <w:lang w:eastAsia="en-GB"/>
        </w:rPr>
        <w:t>S. aureus</w:t>
      </w:r>
      <w:r w:rsidR="002F779D">
        <w:rPr>
          <w:rFonts w:ascii="Calibri" w:eastAsia="Times New Roman" w:hAnsi="Calibri" w:cs="Calibri"/>
          <w:szCs w:val="24"/>
          <w:lang w:eastAsia="en-GB"/>
        </w:rPr>
        <w:t xml:space="preserve"> SH1000</w:t>
      </w:r>
      <w:r w:rsidR="00FE6A9F">
        <w:rPr>
          <w:rFonts w:ascii="Calibri" w:eastAsia="Times New Roman" w:hAnsi="Calibri" w:cs="Calibri"/>
          <w:szCs w:val="24"/>
          <w:lang w:eastAsia="en-GB"/>
        </w:rPr>
        <w:t xml:space="preserve"> </w:t>
      </w:r>
      <w:r w:rsidR="002F779D">
        <w:rPr>
          <w:rFonts w:ascii="Calibri" w:eastAsia="Times New Roman" w:hAnsi="Calibri" w:cs="Calibri"/>
          <w:szCs w:val="24"/>
          <w:lang w:val="el-GR" w:eastAsia="en-GB"/>
        </w:rPr>
        <w:t>Δ</w:t>
      </w:r>
      <w:r w:rsidR="002F779D">
        <w:rPr>
          <w:rFonts w:ascii="Calibri" w:eastAsia="Times New Roman" w:hAnsi="Calibri" w:cs="Calibri"/>
          <w:i/>
          <w:iCs/>
          <w:szCs w:val="24"/>
          <w:lang w:eastAsia="en-GB"/>
        </w:rPr>
        <w:t>ltaS</w:t>
      </w:r>
      <w:r w:rsidR="00117A3F">
        <w:rPr>
          <w:rFonts w:ascii="Calibri" w:eastAsia="Times New Roman" w:hAnsi="Calibri" w:cs="Calibri"/>
          <w:i/>
          <w:iCs/>
          <w:szCs w:val="24"/>
          <w:lang w:eastAsia="en-GB"/>
        </w:rPr>
        <w:t>::erm</w:t>
      </w:r>
      <w:r w:rsidR="002F779D">
        <w:rPr>
          <w:rFonts w:ascii="Calibri" w:eastAsia="Times New Roman" w:hAnsi="Calibri" w:cs="Calibri"/>
          <w:i/>
          <w:iCs/>
          <w:szCs w:val="24"/>
          <w:lang w:eastAsia="en-GB"/>
        </w:rPr>
        <w:t xml:space="preserve"> </w:t>
      </w:r>
      <w:r w:rsidR="00117A3F">
        <w:rPr>
          <w:rFonts w:ascii="Calibri" w:eastAsia="Times New Roman" w:hAnsi="Calibri" w:cs="Calibri"/>
          <w:i/>
          <w:iCs/>
          <w:szCs w:val="24"/>
          <w:lang w:val="el-GR" w:eastAsia="en-GB"/>
        </w:rPr>
        <w:t>Δ</w:t>
      </w:r>
      <w:r w:rsidR="002F779D">
        <w:rPr>
          <w:rFonts w:ascii="Calibri" w:eastAsia="Times New Roman" w:hAnsi="Calibri" w:cs="Calibri"/>
          <w:i/>
          <w:iCs/>
          <w:szCs w:val="24"/>
          <w:lang w:eastAsia="en-GB"/>
        </w:rPr>
        <w:t>gdpP::kan</w:t>
      </w:r>
      <w:r w:rsidR="002F779D">
        <w:rPr>
          <w:rFonts w:ascii="Calibri" w:eastAsia="Times New Roman" w:hAnsi="Calibri" w:cs="Calibri"/>
          <w:szCs w:val="24"/>
          <w:lang w:eastAsia="en-GB"/>
        </w:rPr>
        <w:t xml:space="preserve"> (SJF 5159).</w:t>
      </w:r>
    </w:p>
    <w:p w14:paraId="4D9169A6" w14:textId="5E8EE3F0" w:rsidR="00786710" w:rsidRDefault="00786710" w:rsidP="00FA05E6">
      <w:pPr>
        <w:rPr>
          <w:rFonts w:ascii="Calibri" w:eastAsia="Times New Roman" w:hAnsi="Calibri" w:cs="Calibri"/>
          <w:szCs w:val="24"/>
          <w:lang w:eastAsia="en-GB"/>
        </w:rPr>
      </w:pPr>
    </w:p>
    <w:p w14:paraId="2ACB57D7" w14:textId="77777777" w:rsidR="00786710" w:rsidRPr="002F779D" w:rsidRDefault="00786710" w:rsidP="00FA05E6">
      <w:pPr>
        <w:rPr>
          <w:rFonts w:ascii="Calibri" w:eastAsia="Times New Roman" w:hAnsi="Calibri" w:cs="Calibri"/>
          <w:szCs w:val="24"/>
          <w:lang w:eastAsia="en-GB"/>
        </w:rPr>
      </w:pPr>
    </w:p>
    <w:p w14:paraId="0A9D50A3" w14:textId="3EA76E66" w:rsidR="003C2546" w:rsidRDefault="00460298" w:rsidP="00FA05E6">
      <w:pPr>
        <w:rPr>
          <w:rFonts w:ascii="Calibri" w:eastAsia="Times New Roman" w:hAnsi="Calibri" w:cs="Calibri"/>
          <w:szCs w:val="24"/>
          <w:lang w:eastAsia="en-GB"/>
        </w:rPr>
        <w:sectPr w:rsidR="003C2546" w:rsidSect="004D0E05">
          <w:pgSz w:w="11906" w:h="16838"/>
          <w:pgMar w:top="1191" w:right="1247" w:bottom="1191" w:left="1247" w:header="709" w:footer="709" w:gutter="0"/>
          <w:cols w:space="708"/>
          <w:titlePg/>
          <w:docGrid w:linePitch="360"/>
        </w:sectPr>
      </w:pPr>
      <w:r>
        <w:rPr>
          <w:rFonts w:ascii="Calibri" w:eastAsia="Times New Roman" w:hAnsi="Calibri" w:cs="Calibri"/>
          <w:szCs w:val="24"/>
          <w:lang w:eastAsia="en-GB"/>
        </w:rPr>
        <w:lastRenderedPageBreak/>
        <w:t xml:space="preserve">The resulting </w:t>
      </w:r>
      <w:r w:rsidR="00601C93">
        <w:rPr>
          <w:rFonts w:ascii="Calibri" w:eastAsia="Times New Roman" w:hAnsi="Calibri" w:cs="Calibri"/>
          <w:szCs w:val="24"/>
          <w:lang w:eastAsia="en-GB"/>
        </w:rPr>
        <w:t xml:space="preserve">SH1000 </w:t>
      </w:r>
      <w:r>
        <w:rPr>
          <w:rFonts w:ascii="Calibri" w:eastAsia="Times New Roman" w:hAnsi="Calibri" w:cs="Calibri"/>
          <w:szCs w:val="24"/>
          <w:lang w:eastAsia="en-GB"/>
        </w:rPr>
        <w:t>mutant</w:t>
      </w:r>
      <w:r w:rsidR="00FB2A41">
        <w:rPr>
          <w:rFonts w:ascii="Calibri" w:eastAsia="Times New Roman" w:hAnsi="Calibri" w:cs="Calibri"/>
          <w:szCs w:val="24"/>
          <w:lang w:eastAsia="en-GB"/>
        </w:rPr>
        <w:t xml:space="preserve"> strains</w:t>
      </w:r>
      <w:r>
        <w:rPr>
          <w:rFonts w:ascii="Calibri" w:eastAsia="Times New Roman" w:hAnsi="Calibri" w:cs="Calibri"/>
          <w:szCs w:val="24"/>
          <w:lang w:eastAsia="en-GB"/>
        </w:rPr>
        <w:t xml:space="preserve">, </w:t>
      </w:r>
      <w:r w:rsidR="00773DF3">
        <w:rPr>
          <w:rFonts w:ascii="Calibri" w:eastAsia="Times New Roman" w:hAnsi="Calibri" w:cs="Calibri"/>
          <w:i/>
          <w:iCs/>
          <w:szCs w:val="24"/>
          <w:lang w:eastAsia="en-GB"/>
        </w:rPr>
        <w:t>gdpP::kan</w:t>
      </w:r>
      <w:r w:rsidR="00032FD3">
        <w:rPr>
          <w:rFonts w:ascii="Calibri" w:eastAsia="Times New Roman" w:hAnsi="Calibri" w:cs="Calibri"/>
          <w:szCs w:val="24"/>
          <w:lang w:eastAsia="en-GB"/>
        </w:rPr>
        <w:t xml:space="preserve"> and </w:t>
      </w:r>
      <w:r w:rsidR="00032FD3">
        <w:rPr>
          <w:rFonts w:ascii="Calibri" w:eastAsia="Times New Roman" w:hAnsi="Calibri" w:cs="Calibri"/>
          <w:i/>
          <w:iCs/>
          <w:szCs w:val="24"/>
          <w:lang w:eastAsia="en-GB"/>
        </w:rPr>
        <w:t>ltaS gdpP::kan</w:t>
      </w:r>
      <w:r w:rsidR="00601C93">
        <w:rPr>
          <w:rFonts w:ascii="Calibri" w:eastAsia="Times New Roman" w:hAnsi="Calibri" w:cs="Calibri"/>
          <w:i/>
          <w:iCs/>
          <w:szCs w:val="24"/>
          <w:lang w:eastAsia="en-GB"/>
        </w:rPr>
        <w:t xml:space="preserve"> </w:t>
      </w:r>
      <w:r w:rsidR="00601C93">
        <w:rPr>
          <w:rFonts w:ascii="Calibri" w:eastAsia="Times New Roman" w:hAnsi="Calibri" w:cs="Calibri"/>
          <w:szCs w:val="24"/>
          <w:lang w:eastAsia="en-GB"/>
        </w:rPr>
        <w:t>(SJF </w:t>
      </w:r>
      <w:r w:rsidR="00773DF3">
        <w:rPr>
          <w:rFonts w:ascii="Calibri" w:eastAsia="Times New Roman" w:hAnsi="Calibri" w:cs="Calibri"/>
          <w:szCs w:val="24"/>
          <w:lang w:eastAsia="en-GB"/>
        </w:rPr>
        <w:t>5158</w:t>
      </w:r>
      <w:r w:rsidR="00601C93">
        <w:rPr>
          <w:rFonts w:ascii="Calibri" w:eastAsia="Times New Roman" w:hAnsi="Calibri" w:cs="Calibri"/>
          <w:szCs w:val="24"/>
          <w:lang w:eastAsia="en-GB"/>
        </w:rPr>
        <w:t xml:space="preserve"> and SJF 5159)</w:t>
      </w:r>
      <w:r>
        <w:rPr>
          <w:rFonts w:ascii="Calibri" w:eastAsia="Times New Roman" w:hAnsi="Calibri" w:cs="Calibri"/>
          <w:szCs w:val="24"/>
          <w:lang w:eastAsia="en-GB"/>
        </w:rPr>
        <w:t xml:space="preserve">, </w:t>
      </w:r>
      <w:r w:rsidR="00032FD3">
        <w:rPr>
          <w:rFonts w:ascii="Calibri" w:eastAsia="Times New Roman" w:hAnsi="Calibri" w:cs="Calibri"/>
          <w:szCs w:val="24"/>
          <w:lang w:eastAsia="en-GB"/>
        </w:rPr>
        <w:t xml:space="preserve">were </w:t>
      </w:r>
      <w:r w:rsidR="00875716">
        <w:rPr>
          <w:rFonts w:ascii="Calibri" w:eastAsia="Times New Roman" w:hAnsi="Calibri" w:cs="Calibri"/>
          <w:szCs w:val="24"/>
          <w:lang w:eastAsia="en-GB"/>
        </w:rPr>
        <w:t>analysed</w:t>
      </w:r>
      <w:r w:rsidR="00032FD3">
        <w:rPr>
          <w:rFonts w:ascii="Calibri" w:eastAsia="Times New Roman" w:hAnsi="Calibri" w:cs="Calibri"/>
          <w:szCs w:val="24"/>
          <w:lang w:eastAsia="en-GB"/>
        </w:rPr>
        <w:t xml:space="preserve"> by PCR</w:t>
      </w:r>
      <w:r w:rsidR="007D7DF0">
        <w:rPr>
          <w:rFonts w:ascii="Calibri" w:eastAsia="Times New Roman" w:hAnsi="Calibri" w:cs="Calibri"/>
          <w:szCs w:val="24"/>
          <w:lang w:eastAsia="en-GB"/>
        </w:rPr>
        <w:t xml:space="preserve"> using the primers listed on </w:t>
      </w:r>
      <w:r w:rsidR="007D7DF0">
        <w:rPr>
          <w:rFonts w:ascii="Calibri" w:eastAsia="Times New Roman" w:hAnsi="Calibri" w:cs="Calibri"/>
          <w:szCs w:val="24"/>
          <w:lang w:eastAsia="en-GB"/>
        </w:rPr>
        <w:fldChar w:fldCharType="begin"/>
      </w:r>
      <w:r w:rsidR="007D7DF0">
        <w:rPr>
          <w:rFonts w:ascii="Calibri" w:eastAsia="Times New Roman" w:hAnsi="Calibri" w:cs="Calibri"/>
          <w:szCs w:val="24"/>
          <w:lang w:eastAsia="en-GB"/>
        </w:rPr>
        <w:instrText xml:space="preserve"> REF _Ref74496496 \h </w:instrText>
      </w:r>
      <w:r w:rsidR="007D7DF0">
        <w:rPr>
          <w:rFonts w:ascii="Calibri" w:eastAsia="Times New Roman" w:hAnsi="Calibri" w:cs="Calibri"/>
          <w:szCs w:val="24"/>
          <w:lang w:eastAsia="en-GB"/>
        </w:rPr>
      </w:r>
      <w:r w:rsidR="007D7DF0">
        <w:rPr>
          <w:rFonts w:ascii="Calibri" w:eastAsia="Times New Roman" w:hAnsi="Calibri" w:cs="Calibri"/>
          <w:szCs w:val="24"/>
          <w:lang w:eastAsia="en-GB"/>
        </w:rPr>
        <w:fldChar w:fldCharType="separate"/>
      </w:r>
      <w:r w:rsidR="00183CC8">
        <w:t xml:space="preserve">Table </w:t>
      </w:r>
      <w:r w:rsidR="00183CC8">
        <w:rPr>
          <w:noProof/>
        </w:rPr>
        <w:t>2</w:t>
      </w:r>
      <w:r w:rsidR="00183CC8">
        <w:t>.</w:t>
      </w:r>
      <w:r w:rsidR="00183CC8">
        <w:rPr>
          <w:noProof/>
        </w:rPr>
        <w:t>3</w:t>
      </w:r>
      <w:r w:rsidR="007D7DF0">
        <w:rPr>
          <w:rFonts w:ascii="Calibri" w:eastAsia="Times New Roman" w:hAnsi="Calibri" w:cs="Calibri"/>
          <w:szCs w:val="24"/>
          <w:lang w:eastAsia="en-GB"/>
        </w:rPr>
        <w:fldChar w:fldCharType="end"/>
      </w:r>
      <w:r w:rsidR="00162CA3">
        <w:rPr>
          <w:rFonts w:ascii="Calibri" w:eastAsia="Times New Roman" w:hAnsi="Calibri" w:cs="Calibri"/>
          <w:szCs w:val="24"/>
          <w:lang w:eastAsia="en-GB"/>
        </w:rPr>
        <w:t xml:space="preserve"> (protocol described in section </w:t>
      </w:r>
      <w:r w:rsidR="000918BA">
        <w:rPr>
          <w:rFonts w:ascii="Calibri" w:eastAsia="Times New Roman" w:hAnsi="Calibri" w:cs="Calibri"/>
          <w:szCs w:val="24"/>
          <w:highlight w:val="yellow"/>
          <w:lang w:eastAsia="en-GB"/>
        </w:rPr>
        <w:fldChar w:fldCharType="begin"/>
      </w:r>
      <w:r w:rsidR="000918BA">
        <w:rPr>
          <w:rFonts w:ascii="Calibri" w:eastAsia="Times New Roman" w:hAnsi="Calibri" w:cs="Calibri"/>
          <w:szCs w:val="24"/>
          <w:lang w:eastAsia="en-GB"/>
        </w:rPr>
        <w:instrText xml:space="preserve"> REF _Ref75540764 \r \h </w:instrText>
      </w:r>
      <w:r w:rsidR="000918BA">
        <w:rPr>
          <w:rFonts w:ascii="Calibri" w:eastAsia="Times New Roman" w:hAnsi="Calibri" w:cs="Calibri"/>
          <w:szCs w:val="24"/>
          <w:highlight w:val="yellow"/>
          <w:lang w:eastAsia="en-GB"/>
        </w:rPr>
      </w:r>
      <w:r w:rsidR="000918BA">
        <w:rPr>
          <w:rFonts w:ascii="Calibri" w:eastAsia="Times New Roman" w:hAnsi="Calibri" w:cs="Calibri"/>
          <w:szCs w:val="24"/>
          <w:highlight w:val="yellow"/>
          <w:lang w:eastAsia="en-GB"/>
        </w:rPr>
        <w:fldChar w:fldCharType="separate"/>
      </w:r>
      <w:r w:rsidR="00183CC8">
        <w:rPr>
          <w:rFonts w:ascii="Calibri" w:eastAsia="Times New Roman" w:hAnsi="Calibri" w:cs="Calibri"/>
          <w:szCs w:val="24"/>
          <w:lang w:eastAsia="en-GB"/>
        </w:rPr>
        <w:t>2.17</w:t>
      </w:r>
      <w:r w:rsidR="000918BA">
        <w:rPr>
          <w:rFonts w:ascii="Calibri" w:eastAsia="Times New Roman" w:hAnsi="Calibri" w:cs="Calibri"/>
          <w:szCs w:val="24"/>
          <w:highlight w:val="yellow"/>
          <w:lang w:eastAsia="en-GB"/>
        </w:rPr>
        <w:fldChar w:fldCharType="end"/>
      </w:r>
      <w:r w:rsidR="00162CA3">
        <w:rPr>
          <w:rFonts w:ascii="Calibri" w:eastAsia="Times New Roman" w:hAnsi="Calibri" w:cs="Calibri"/>
          <w:szCs w:val="24"/>
          <w:lang w:eastAsia="en-GB"/>
        </w:rPr>
        <w:t>).</w:t>
      </w:r>
      <w:r w:rsidR="00DC5F37">
        <w:rPr>
          <w:rFonts w:ascii="Calibri" w:eastAsia="Times New Roman" w:hAnsi="Calibri" w:cs="Calibri"/>
          <w:szCs w:val="24"/>
          <w:lang w:eastAsia="en-GB"/>
        </w:rPr>
        <w:t xml:space="preserve"> </w:t>
      </w:r>
      <w:r w:rsidR="006E402C">
        <w:rPr>
          <w:rFonts w:ascii="Calibri" w:eastAsia="Times New Roman" w:hAnsi="Calibri" w:cs="Calibri"/>
          <w:szCs w:val="24"/>
          <w:lang w:eastAsia="en-GB"/>
        </w:rPr>
        <w:t xml:space="preserve">Transductions were </w:t>
      </w:r>
      <w:r w:rsidR="00E50650">
        <w:rPr>
          <w:rFonts w:ascii="Calibri" w:eastAsia="Times New Roman" w:hAnsi="Calibri" w:cs="Calibri"/>
          <w:szCs w:val="24"/>
          <w:lang w:eastAsia="en-GB"/>
        </w:rPr>
        <w:t>verified</w:t>
      </w:r>
      <w:r w:rsidR="006E402C">
        <w:rPr>
          <w:rFonts w:ascii="Calibri" w:eastAsia="Times New Roman" w:hAnsi="Calibri" w:cs="Calibri"/>
          <w:szCs w:val="24"/>
          <w:lang w:eastAsia="en-GB"/>
        </w:rPr>
        <w:t xml:space="preserve"> by amplifying their respective antibiotic markers and the existence, disruption or deletion of the gene of interest. Parental and donor strains were used as positive and negative controls</w:t>
      </w:r>
      <w:r w:rsidR="00157767">
        <w:rPr>
          <w:rFonts w:ascii="Calibri" w:eastAsia="Times New Roman" w:hAnsi="Calibri" w:cs="Calibri"/>
          <w:szCs w:val="24"/>
          <w:lang w:eastAsia="en-GB"/>
        </w:rPr>
        <w:t xml:space="preserve"> (</w:t>
      </w:r>
      <w:r w:rsidR="00157767">
        <w:rPr>
          <w:rFonts w:ascii="Calibri" w:eastAsia="Times New Roman" w:hAnsi="Calibri" w:cs="Calibri"/>
          <w:szCs w:val="24"/>
          <w:lang w:eastAsia="en-GB"/>
        </w:rPr>
        <w:fldChar w:fldCharType="begin"/>
      </w:r>
      <w:r w:rsidR="00157767">
        <w:rPr>
          <w:rFonts w:ascii="Calibri" w:eastAsia="Times New Roman" w:hAnsi="Calibri" w:cs="Calibri"/>
          <w:szCs w:val="24"/>
          <w:lang w:eastAsia="en-GB"/>
        </w:rPr>
        <w:instrText xml:space="preserve"> REF _Ref74591020 \h </w:instrText>
      </w:r>
      <w:r w:rsidR="00157767">
        <w:rPr>
          <w:rFonts w:ascii="Calibri" w:eastAsia="Times New Roman" w:hAnsi="Calibri" w:cs="Calibri"/>
          <w:szCs w:val="24"/>
          <w:lang w:eastAsia="en-GB"/>
        </w:rPr>
      </w:r>
      <w:r w:rsidR="00157767">
        <w:rPr>
          <w:rFonts w:ascii="Calibri" w:eastAsia="Times New Roman" w:hAnsi="Calibri" w:cs="Calibri"/>
          <w:szCs w:val="24"/>
          <w:lang w:eastAsia="en-GB"/>
        </w:rPr>
        <w:fldChar w:fldCharType="separate"/>
      </w:r>
      <w:r w:rsidR="00183CC8">
        <w:t xml:space="preserve">Figure </w:t>
      </w:r>
      <w:r w:rsidR="00183CC8">
        <w:rPr>
          <w:noProof/>
        </w:rPr>
        <w:t>4</w:t>
      </w:r>
      <w:r w:rsidR="00183CC8">
        <w:t>.</w:t>
      </w:r>
      <w:r w:rsidR="00183CC8">
        <w:rPr>
          <w:noProof/>
        </w:rPr>
        <w:t>13</w:t>
      </w:r>
      <w:r w:rsidR="00157767">
        <w:rPr>
          <w:rFonts w:ascii="Calibri" w:eastAsia="Times New Roman" w:hAnsi="Calibri" w:cs="Calibri"/>
          <w:szCs w:val="24"/>
          <w:lang w:eastAsia="en-GB"/>
        </w:rPr>
        <w:fldChar w:fldCharType="end"/>
      </w:r>
      <w:r w:rsidR="00157767">
        <w:rPr>
          <w:rFonts w:ascii="Calibri" w:eastAsia="Times New Roman" w:hAnsi="Calibri" w:cs="Calibri"/>
          <w:szCs w:val="24"/>
          <w:lang w:eastAsia="en-GB"/>
        </w:rPr>
        <w:t>)</w:t>
      </w:r>
      <w:r w:rsidR="006E402C">
        <w:rPr>
          <w:rFonts w:ascii="Calibri" w:eastAsia="Times New Roman" w:hAnsi="Calibri" w:cs="Calibri"/>
          <w:szCs w:val="24"/>
          <w:lang w:eastAsia="en-GB"/>
        </w:rPr>
        <w:t>.</w:t>
      </w:r>
    </w:p>
    <w:p w14:paraId="0ACC2FE9" w14:textId="77777777" w:rsidR="00D03FC6" w:rsidRDefault="00D03FC6" w:rsidP="00374F55">
      <w:pPr>
        <w:keepNext/>
        <w:jc w:val="center"/>
      </w:pPr>
      <w:r>
        <w:rPr>
          <w:rFonts w:ascii="Calibri" w:eastAsia="Times New Roman" w:hAnsi="Calibri" w:cs="Calibri"/>
          <w:noProof/>
          <w:szCs w:val="24"/>
          <w:lang w:eastAsia="en-GB"/>
        </w:rPr>
        <w:lastRenderedPageBreak/>
        <w:drawing>
          <wp:inline distT="0" distB="0" distL="0" distR="0" wp14:anchorId="6B73C1D8" wp14:editId="09386605">
            <wp:extent cx="5969394" cy="6202574"/>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85135" cy="6218930"/>
                    </a:xfrm>
                    <a:prstGeom prst="rect">
                      <a:avLst/>
                    </a:prstGeom>
                  </pic:spPr>
                </pic:pic>
              </a:graphicData>
            </a:graphic>
          </wp:inline>
        </w:drawing>
      </w:r>
    </w:p>
    <w:p w14:paraId="01A850D8" w14:textId="76FD3948" w:rsidR="00D03FC6" w:rsidRDefault="00D03FC6" w:rsidP="008A2B86">
      <w:pPr>
        <w:pStyle w:val="Caption"/>
      </w:pPr>
      <w:bookmarkStart w:id="645" w:name="_Ref74591020"/>
      <w:bookmarkStart w:id="646" w:name="_Toc90216972"/>
      <w:r>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13</w:t>
      </w:r>
      <w:r w:rsidR="003373BF">
        <w:rPr>
          <w:noProof/>
        </w:rPr>
        <w:fldChar w:fldCharType="end"/>
      </w:r>
      <w:bookmarkEnd w:id="645"/>
      <w:r>
        <w:t xml:space="preserve"> </w:t>
      </w:r>
      <w:r w:rsidR="00FA57DB">
        <w:t>PCR verification</w:t>
      </w:r>
      <w:r w:rsidR="009B4068">
        <w:t xml:space="preserve"> of SH1000</w:t>
      </w:r>
      <w:r w:rsidR="004518A4">
        <w:t xml:space="preserve"> </w:t>
      </w:r>
      <w:r w:rsidR="004518A4">
        <w:rPr>
          <w:i/>
        </w:rPr>
        <w:t>gdpP</w:t>
      </w:r>
      <w:r w:rsidR="009718C8">
        <w:rPr>
          <w:i/>
        </w:rPr>
        <w:t>::kan</w:t>
      </w:r>
      <w:r w:rsidR="004518A4">
        <w:t xml:space="preserve"> (SJF 5158) and SH1000</w:t>
      </w:r>
      <w:r w:rsidR="009B4068">
        <w:t xml:space="preserve"> </w:t>
      </w:r>
      <w:r w:rsidR="009B4068">
        <w:rPr>
          <w:i/>
        </w:rPr>
        <w:t>ltaS</w:t>
      </w:r>
      <w:r w:rsidR="009718C8">
        <w:rPr>
          <w:i/>
        </w:rPr>
        <w:t xml:space="preserve"> gdpP::kan</w:t>
      </w:r>
      <w:r w:rsidR="009B4068">
        <w:t xml:space="preserve"> (SJF 5159).</w:t>
      </w:r>
      <w:bookmarkEnd w:id="646"/>
    </w:p>
    <w:p w14:paraId="3CF22C32" w14:textId="2E1C785F" w:rsidR="00A31136" w:rsidRPr="00A22C62" w:rsidRDefault="009D3CBE" w:rsidP="00FA57DB">
      <w:pPr>
        <w:pStyle w:val="NoSpacing"/>
        <w:sectPr w:rsidR="00A31136" w:rsidRPr="00A22C62" w:rsidSect="004D0E05">
          <w:pgSz w:w="11906" w:h="16838"/>
          <w:pgMar w:top="1191" w:right="1247" w:bottom="1191" w:left="1247" w:header="709" w:footer="709" w:gutter="0"/>
          <w:cols w:space="708"/>
          <w:titlePg/>
          <w:docGrid w:linePitch="360"/>
        </w:sectPr>
      </w:pPr>
      <w:r>
        <w:t>2.5 % (w/v)</w:t>
      </w:r>
      <w:r w:rsidR="00EC55DF">
        <w:t xml:space="preserve"> </w:t>
      </w:r>
      <w:r>
        <w:t>TAE agarose gels showing PCR amplifications for</w:t>
      </w:r>
      <w:r w:rsidR="00441560">
        <w:t xml:space="preserve"> the verification of</w:t>
      </w:r>
      <w:r>
        <w:t xml:space="preserve"> SH1000</w:t>
      </w:r>
      <w:r>
        <w:rPr>
          <w:lang w:val="el-GR"/>
        </w:rPr>
        <w:t>Δ</w:t>
      </w:r>
      <w:r>
        <w:rPr>
          <w:i/>
          <w:iCs/>
        </w:rPr>
        <w:t xml:space="preserve">ltaS::erm </w:t>
      </w:r>
      <w:r>
        <w:rPr>
          <w:i/>
          <w:iCs/>
          <w:lang w:val="el-GR"/>
        </w:rPr>
        <w:t>Δ</w:t>
      </w:r>
      <w:r>
        <w:rPr>
          <w:i/>
          <w:iCs/>
        </w:rPr>
        <w:t>gdpP::kan</w:t>
      </w:r>
      <w:r>
        <w:t xml:space="preserve"> (lane 1) and SH1000</w:t>
      </w:r>
      <w:r>
        <w:rPr>
          <w:lang w:val="el-GR"/>
        </w:rPr>
        <w:t>Δ</w:t>
      </w:r>
      <w:r w:rsidRPr="009D3CBE">
        <w:rPr>
          <w:i/>
          <w:iCs/>
        </w:rPr>
        <w:t>gdpP::kan</w:t>
      </w:r>
      <w:r>
        <w:t xml:space="preserve"> </w:t>
      </w:r>
      <w:r w:rsidR="00B04EE1">
        <w:t>(lane 3</w:t>
      </w:r>
      <w:r w:rsidR="00A05010">
        <w:t xml:space="preserve"> and lane 5</w:t>
      </w:r>
      <w:r w:rsidR="00B04EE1">
        <w:t>)</w:t>
      </w:r>
      <w:r w:rsidR="00A25F54">
        <w:t xml:space="preserve"> strains</w:t>
      </w:r>
      <w:r w:rsidR="00B04EE1">
        <w:t xml:space="preserve"> </w:t>
      </w:r>
      <w:r w:rsidR="00441560">
        <w:t xml:space="preserve">constructed </w:t>
      </w:r>
      <w:r w:rsidR="00A25F54">
        <w:t>for</w:t>
      </w:r>
      <w:r w:rsidR="00441560">
        <w:t xml:space="preserve"> this study</w:t>
      </w:r>
      <w:r w:rsidR="00A31136">
        <w:t>.</w:t>
      </w:r>
      <w:r w:rsidR="002F6610">
        <w:t xml:space="preserve"> Underneath each picture, are the physical maps of the region of interest showing the expected band sizes.</w:t>
      </w:r>
      <w:r w:rsidR="00A05010">
        <w:t xml:space="preserve"> </w:t>
      </w:r>
      <w:r w:rsidR="006D6D42">
        <w:rPr>
          <w:b/>
          <w:bCs/>
        </w:rPr>
        <w:t>(A)</w:t>
      </w:r>
      <w:r w:rsidR="006D6D42">
        <w:t xml:space="preserve"> Verification of </w:t>
      </w:r>
      <w:r w:rsidR="006D6D42" w:rsidRPr="006A7ACB">
        <w:rPr>
          <w:i/>
          <w:iCs/>
        </w:rPr>
        <w:t>ltaS</w:t>
      </w:r>
      <w:r w:rsidR="006D6D42">
        <w:t xml:space="preserve"> deletion</w:t>
      </w:r>
      <w:r w:rsidR="002F6610">
        <w:t xml:space="preserve"> using primers ltaS_Fwd and ltaS_Rev</w:t>
      </w:r>
      <w:r w:rsidR="006D6D42">
        <w:t xml:space="preserve">. </w:t>
      </w:r>
      <w:r w:rsidR="006D6D42">
        <w:rPr>
          <w:b/>
          <w:bCs/>
        </w:rPr>
        <w:t xml:space="preserve">(B) </w:t>
      </w:r>
      <w:r w:rsidR="006D6D42">
        <w:t xml:space="preserve">Verification of </w:t>
      </w:r>
      <w:r w:rsidR="006D6D42" w:rsidRPr="006D6D42">
        <w:rPr>
          <w:i/>
          <w:iCs/>
        </w:rPr>
        <w:t>kanR</w:t>
      </w:r>
      <w:r w:rsidR="006D6D42">
        <w:t xml:space="preserve"> insertion</w:t>
      </w:r>
      <w:r w:rsidR="002F6610">
        <w:t xml:space="preserve"> using primers KanR_Fwd and KanR_Rev</w:t>
      </w:r>
      <w:r w:rsidR="006D6D42">
        <w:t xml:space="preserve">. </w:t>
      </w:r>
      <w:r w:rsidR="006D6D42">
        <w:rPr>
          <w:b/>
          <w:bCs/>
        </w:rPr>
        <w:t>(C)</w:t>
      </w:r>
      <w:r w:rsidR="006D6D42">
        <w:t xml:space="preserve"> Verification of</w:t>
      </w:r>
      <w:r w:rsidR="0020633A">
        <w:t xml:space="preserve"> </w:t>
      </w:r>
      <w:r w:rsidR="0020633A" w:rsidRPr="0020633A">
        <w:rPr>
          <w:i/>
          <w:iCs/>
        </w:rPr>
        <w:t>kanR</w:t>
      </w:r>
      <w:r w:rsidR="0020633A">
        <w:t xml:space="preserve"> insertion in </w:t>
      </w:r>
      <w:r w:rsidR="0020633A" w:rsidRPr="0020633A">
        <w:rPr>
          <w:i/>
          <w:iCs/>
        </w:rPr>
        <w:t>gdpP</w:t>
      </w:r>
      <w:r w:rsidR="002F6610">
        <w:rPr>
          <w:i/>
          <w:iCs/>
        </w:rPr>
        <w:t xml:space="preserve"> </w:t>
      </w:r>
      <w:r w:rsidR="002F6610">
        <w:t>using primers VP62_Fwd and KanR_Rev</w:t>
      </w:r>
      <w:r w:rsidR="006D6D42">
        <w:t xml:space="preserve">. </w:t>
      </w:r>
      <w:r w:rsidR="006D6D42">
        <w:rPr>
          <w:b/>
          <w:bCs/>
        </w:rPr>
        <w:t>(D)</w:t>
      </w:r>
      <w:r w:rsidR="006D6D42">
        <w:t xml:space="preserve"> Verification of </w:t>
      </w:r>
      <w:r w:rsidR="006D6D42" w:rsidRPr="006D6D42">
        <w:rPr>
          <w:i/>
          <w:iCs/>
        </w:rPr>
        <w:t>gdpP</w:t>
      </w:r>
      <w:r w:rsidR="006D6D42">
        <w:t xml:space="preserve"> deletion</w:t>
      </w:r>
      <w:r w:rsidR="002F6610">
        <w:t xml:space="preserve"> using primers VP61_Fwd and VP60_Rev</w:t>
      </w:r>
      <w:r w:rsidR="006D6D42">
        <w:t xml:space="preserve">. </w:t>
      </w:r>
      <w:r w:rsidR="00ED3F06">
        <w:t>Controls:</w:t>
      </w:r>
      <w:r w:rsidR="000264E1">
        <w:t xml:space="preserve"> </w:t>
      </w:r>
      <w:r w:rsidR="00A05010" w:rsidRPr="006D6D42">
        <w:t>SH1000</w:t>
      </w:r>
      <w:r w:rsidR="00A05010">
        <w:t xml:space="preserve"> (lane 2</w:t>
      </w:r>
      <w:r w:rsidR="00ED3F06">
        <w:t>)</w:t>
      </w:r>
      <w:r w:rsidR="00A05010">
        <w:t>, LAC*</w:t>
      </w:r>
      <w:r w:rsidR="00A05010" w:rsidRPr="00A05010">
        <w:t xml:space="preserve"> </w:t>
      </w:r>
      <w:r w:rsidR="00A05010">
        <w:rPr>
          <w:lang w:val="el-GR"/>
        </w:rPr>
        <w:t>Δ</w:t>
      </w:r>
      <w:r w:rsidR="00A05010">
        <w:rPr>
          <w:i/>
          <w:iCs/>
        </w:rPr>
        <w:t>ltaS::erm gdpP</w:t>
      </w:r>
      <w:r w:rsidR="00A05010">
        <w:t>(V425F) (lane 4),</w:t>
      </w:r>
      <w:r w:rsidR="00ED3F06">
        <w:t xml:space="preserve"> and</w:t>
      </w:r>
      <w:r w:rsidR="00A05010">
        <w:t xml:space="preserve"> LAC*</w:t>
      </w:r>
      <w:r w:rsidR="00A05010" w:rsidRPr="00A05010">
        <w:t xml:space="preserve"> </w:t>
      </w:r>
      <w:r w:rsidR="00A05010">
        <w:rPr>
          <w:lang w:val="el-GR"/>
        </w:rPr>
        <w:t>Δ</w:t>
      </w:r>
      <w:r w:rsidR="00A05010">
        <w:rPr>
          <w:i/>
          <w:iCs/>
        </w:rPr>
        <w:t>gdpP::kan</w:t>
      </w:r>
      <w:r w:rsidR="00693BAA">
        <w:rPr>
          <w:i/>
          <w:iCs/>
        </w:rPr>
        <w:t xml:space="preserve"> </w:t>
      </w:r>
      <w:r w:rsidR="00693BAA">
        <w:t>(lane 6</w:t>
      </w:r>
      <w:r w:rsidR="00ED3F06">
        <w:t>)</w:t>
      </w:r>
      <w:r w:rsidR="00693BAA">
        <w:t>.</w:t>
      </w:r>
      <w:r w:rsidR="0091614B">
        <w:t xml:space="preserve"> </w:t>
      </w:r>
      <w:r w:rsidR="002830C3">
        <w:t xml:space="preserve">Quick-Load® DNA ladders of 100 bp and 1 kb to the right and left of each gel, respectively. </w:t>
      </w:r>
      <w:r w:rsidR="0091614B">
        <w:t xml:space="preserve">White arrows– </w:t>
      </w:r>
      <w:r w:rsidR="0091614B">
        <w:rPr>
          <w:i/>
          <w:iCs/>
        </w:rPr>
        <w:t>ltaS</w:t>
      </w:r>
      <w:r w:rsidR="0091614B">
        <w:t xml:space="preserve"> deletion band (~ 1457 bp) and </w:t>
      </w:r>
      <w:r w:rsidR="0091614B">
        <w:rPr>
          <w:i/>
          <w:iCs/>
        </w:rPr>
        <w:t xml:space="preserve">kanR </w:t>
      </w:r>
      <w:r w:rsidR="0091614B">
        <w:t xml:space="preserve">insertion in </w:t>
      </w:r>
      <w:r w:rsidR="0091614B">
        <w:rPr>
          <w:i/>
          <w:iCs/>
        </w:rPr>
        <w:t>gdpP</w:t>
      </w:r>
      <w:r w:rsidR="0091614B">
        <w:t xml:space="preserve"> (~ 739 bp) of</w:t>
      </w:r>
      <w:r w:rsidR="0091614B" w:rsidRPr="0091614B">
        <w:t xml:space="preserve"> </w:t>
      </w:r>
      <w:r w:rsidR="0091614B">
        <w:t>SH1000</w:t>
      </w:r>
      <w:r w:rsidR="0091614B">
        <w:rPr>
          <w:lang w:val="el-GR"/>
        </w:rPr>
        <w:t>Δ</w:t>
      </w:r>
      <w:r w:rsidR="0091614B">
        <w:rPr>
          <w:i/>
          <w:iCs/>
        </w:rPr>
        <w:t xml:space="preserve">ltaS::erm </w:t>
      </w:r>
      <w:r w:rsidR="0091614B">
        <w:rPr>
          <w:i/>
          <w:iCs/>
          <w:lang w:val="el-GR"/>
        </w:rPr>
        <w:t>Δ</w:t>
      </w:r>
      <w:r w:rsidR="0091614B">
        <w:rPr>
          <w:i/>
          <w:iCs/>
        </w:rPr>
        <w:t>gdpP::kan.</w:t>
      </w:r>
      <w:r w:rsidR="00A22C62">
        <w:t xml:space="preserve"> The primers used are described in </w:t>
      </w:r>
      <w:r w:rsidR="00A22C62">
        <w:fldChar w:fldCharType="begin"/>
      </w:r>
      <w:r w:rsidR="00A22C62">
        <w:instrText xml:space="preserve"> REF _Ref74496496 \h </w:instrText>
      </w:r>
      <w:r w:rsidR="00A22C62">
        <w:fldChar w:fldCharType="separate"/>
      </w:r>
      <w:r w:rsidR="00183CC8">
        <w:t xml:space="preserve">Table </w:t>
      </w:r>
      <w:r w:rsidR="00183CC8">
        <w:rPr>
          <w:noProof/>
        </w:rPr>
        <w:t>2</w:t>
      </w:r>
      <w:r w:rsidR="00183CC8">
        <w:t>.</w:t>
      </w:r>
      <w:r w:rsidR="00183CC8">
        <w:rPr>
          <w:noProof/>
        </w:rPr>
        <w:t>3</w:t>
      </w:r>
      <w:r w:rsidR="00A22C62">
        <w:fldChar w:fldCharType="end"/>
      </w:r>
      <w:r w:rsidR="00A22C62">
        <w:t>.</w:t>
      </w:r>
    </w:p>
    <w:p w14:paraId="6E84B2FF" w14:textId="7FE67DEE" w:rsidR="00BA5F34" w:rsidRDefault="00AE13C6" w:rsidP="00BA5F34">
      <w:pPr>
        <w:pStyle w:val="Heading4"/>
      </w:pPr>
      <w:bookmarkStart w:id="647" w:name="_Toc90216889"/>
      <w:bookmarkStart w:id="648" w:name="_Toc64276376"/>
      <w:bookmarkStart w:id="649" w:name="_Toc64276680"/>
      <w:bookmarkStart w:id="650" w:name="_Toc64276892"/>
      <w:bookmarkStart w:id="651" w:name="_Ref71512017"/>
      <w:r>
        <w:lastRenderedPageBreak/>
        <w:t>E</w:t>
      </w:r>
      <w:r w:rsidR="00BA5F34">
        <w:t xml:space="preserve">ffect of </w:t>
      </w:r>
      <w:r w:rsidR="00B31AE9">
        <w:t xml:space="preserve">the </w:t>
      </w:r>
      <w:r>
        <w:t>loss</w:t>
      </w:r>
      <w:r w:rsidR="00BA5F34">
        <w:t xml:space="preserve"> of LTA</w:t>
      </w:r>
      <w:r w:rsidR="00542E57">
        <w:t xml:space="preserve"> </w:t>
      </w:r>
      <w:r>
        <w:t>on</w:t>
      </w:r>
      <w:r w:rsidR="00BA5F34">
        <w:t xml:space="preserve"> </w:t>
      </w:r>
      <w:r w:rsidR="00BA5F34">
        <w:rPr>
          <w:i/>
          <w:iCs w:val="0"/>
        </w:rPr>
        <w:t>S. aureus</w:t>
      </w:r>
      <w:r w:rsidR="00BA5F34">
        <w:t xml:space="preserve"> SH1000.</w:t>
      </w:r>
      <w:bookmarkEnd w:id="647"/>
    </w:p>
    <w:p w14:paraId="1CACD2EA" w14:textId="568A490E" w:rsidR="00217DE1" w:rsidRDefault="00125A05" w:rsidP="00217DE1">
      <w:pPr>
        <w:jc w:val="both"/>
      </w:pPr>
      <w:r>
        <w:t>Gr</w:t>
      </w:r>
      <w:r w:rsidRPr="00125A05">
        <w:t>ü</w:t>
      </w:r>
      <w:r>
        <w:t xml:space="preserve">ndling &amp; Schneewind (2007) </w:t>
      </w:r>
      <w:r>
        <w:fldChar w:fldCharType="begin" w:fldLock="1"/>
      </w:r>
      <w:r w:rsidR="00260ACA">
        <w:instrText>ADDIN CSL_CITATION {"citationItems":[{"id":"ITEM-1","itemData":{"DOI":"10.1073/pnas.0701821104","ISBN":"0027-8424 (Print)\\r0027-8424 (Linking)","ISSN":"0027-8424","PMID":"17483484","abstract":"Lipoteichoic acid (LTA), a glycerol phosphate surface polymer, is a component of the envelope of Gram-positive bacteria. However, the molecular basis for its synthesis or function is not known. Here we report that Staphylococcus aureus LtaS synthesizes glycerol phosphate LTA. Construction of a mutant S. aureus strain with inducible ltaS expression revealed that LTA synthesis is required for bacterial growth and cell division. An ltaS homologue of Bacillus subtilis restored LTA synthesis and the growth of ltaS mutant staphylococci. Thus, LtaS inhibition can be used as a target to treat human infections caused by antibiotic-resistant S. aureus or other bacterial pathogens.","author":[{"dropping-particle":"","family":"Grundling","given":"A.","non-dropping-particle":"","parse-names":false,"suffix":""},{"dropping-particle":"","family":"Schneewind","given":"O.","non-dropping-particle":"","parse-names":false,"suffix":""}],"container-title":"Proceedings of the National Academy of Sciences","id":"ITEM-1","issue":"20","issued":{"date-parts":[["2007"]]},"page":"8478-8483","title":"Synthesis of glycerol phosphate lipoteichoic acid in Staphylococcus aureus","type":"article-journal","volume":"104"},"uris":["http://www.mendeley.com/documents/?uuid=33b7fcb3-ffde-4606-8a67-126926b4d10a"]}],"mendeley":{"formattedCitation":"&lt;sup&gt;[99]&lt;/sup&gt;","plainTextFormattedCitation":"[99]","previouslyFormattedCitation":"&lt;sup&gt;[99]&lt;/sup&gt;"},"properties":{"noteIndex":0},"schema":"https://github.com/citation-style-language/schema/raw/master/csl-citation.json"}</w:instrText>
      </w:r>
      <w:r>
        <w:fldChar w:fldCharType="separate"/>
      </w:r>
      <w:r w:rsidR="00C825F9" w:rsidRPr="00C825F9">
        <w:rPr>
          <w:noProof/>
          <w:vertAlign w:val="superscript"/>
        </w:rPr>
        <w:t>[99]</w:t>
      </w:r>
      <w:r>
        <w:fldChar w:fldCharType="end"/>
      </w:r>
      <w:r>
        <w:t xml:space="preserve"> described </w:t>
      </w:r>
      <w:r>
        <w:rPr>
          <w:i/>
          <w:iCs/>
        </w:rPr>
        <w:t xml:space="preserve">S. aureus </w:t>
      </w:r>
      <w:r>
        <w:t xml:space="preserve">RNA4220 </w:t>
      </w:r>
      <w:r w:rsidRPr="00542E57">
        <w:rPr>
          <w:i/>
          <w:iCs/>
        </w:rPr>
        <w:t>iltaS</w:t>
      </w:r>
      <w:r>
        <w:t xml:space="preserve">, a strain with </w:t>
      </w:r>
      <w:r>
        <w:rPr>
          <w:i/>
          <w:iCs/>
        </w:rPr>
        <w:t xml:space="preserve">ltaS </w:t>
      </w:r>
      <w:r>
        <w:t xml:space="preserve">under a </w:t>
      </w:r>
      <w:r w:rsidR="00EC4231">
        <w:rPr>
          <w:i/>
          <w:iCs/>
        </w:rPr>
        <w:t>P</w:t>
      </w:r>
      <w:r w:rsidR="00EC4231" w:rsidRPr="008A16B3">
        <w:rPr>
          <w:i/>
          <w:iCs/>
          <w:vertAlign w:val="subscript"/>
        </w:rPr>
        <w:t>spac</w:t>
      </w:r>
      <w:r w:rsidR="00EC4231">
        <w:t xml:space="preserve"> </w:t>
      </w:r>
      <w:r>
        <w:t>IPTG-inducible promoter.</w:t>
      </w:r>
      <w:r w:rsidR="00F730F7">
        <w:t xml:space="preserve"> Their research showed that depletion of LTA in RN4220 cells caused growth arrest, increased cell size and aberrant division.</w:t>
      </w:r>
      <w:r w:rsidR="00361745">
        <w:t xml:space="preserve"> </w:t>
      </w:r>
      <w:r w:rsidR="00164B40">
        <w:t>D</w:t>
      </w:r>
      <w:r w:rsidR="005B5F9F">
        <w:t>ata</w:t>
      </w:r>
      <w:r w:rsidR="00361745">
        <w:t xml:space="preserve"> for</w:t>
      </w:r>
      <w:r w:rsidR="00EC76B3">
        <w:t xml:space="preserve"> </w:t>
      </w:r>
      <w:r w:rsidR="00EC76B3">
        <w:rPr>
          <w:i/>
          <w:iCs/>
        </w:rPr>
        <w:t xml:space="preserve">iltaS </w:t>
      </w:r>
      <w:r w:rsidR="00EC76B3">
        <w:t>in</w:t>
      </w:r>
      <w:r w:rsidR="00361745">
        <w:t xml:space="preserve"> </w:t>
      </w:r>
      <w:r w:rsidR="00361745">
        <w:rPr>
          <w:i/>
          <w:iCs/>
        </w:rPr>
        <w:t>S. aureus</w:t>
      </w:r>
      <w:r w:rsidR="00361745">
        <w:t xml:space="preserve"> SH1000 background</w:t>
      </w:r>
      <w:r w:rsidR="005B5F9F">
        <w:t xml:space="preserve"> also </w:t>
      </w:r>
      <w:r w:rsidR="002530DA">
        <w:t>confirms</w:t>
      </w:r>
      <w:r w:rsidR="005B5F9F">
        <w:t xml:space="preserve"> all of the above. Both optical density (OD</w:t>
      </w:r>
      <w:r w:rsidR="005B5F9F">
        <w:rPr>
          <w:vertAlign w:val="subscript"/>
        </w:rPr>
        <w:t>600</w:t>
      </w:r>
      <w:r w:rsidR="005B5F9F">
        <w:t xml:space="preserve">) and colony forming units (CFU/ml) measurements </w:t>
      </w:r>
      <w:r w:rsidR="00361745">
        <w:t>show</w:t>
      </w:r>
      <w:r w:rsidR="005B5F9F">
        <w:t>ed</w:t>
      </w:r>
      <w:r w:rsidR="00E7244B">
        <w:t xml:space="preserve"> growth cessation</w:t>
      </w:r>
      <w:r w:rsidR="00E90721">
        <w:t xml:space="preserve"> after 3–4 h</w:t>
      </w:r>
      <w:r w:rsidR="00E725A3">
        <w:t xml:space="preserve"> of growth without the inducer</w:t>
      </w:r>
      <w:r w:rsidR="006D6ED8">
        <w:t xml:space="preserve"> </w:t>
      </w:r>
      <w:r w:rsidR="0098792B">
        <w:t>(</w:t>
      </w:r>
      <w:r w:rsidR="0098792B">
        <w:fldChar w:fldCharType="begin"/>
      </w:r>
      <w:r w:rsidR="0098792B">
        <w:instrText xml:space="preserve"> REF _Ref74829870 \h </w:instrText>
      </w:r>
      <w:r w:rsidR="0098792B">
        <w:fldChar w:fldCharType="separate"/>
      </w:r>
      <w:r w:rsidR="00183CC8">
        <w:t xml:space="preserve">Figure </w:t>
      </w:r>
      <w:r w:rsidR="00183CC8">
        <w:rPr>
          <w:noProof/>
        </w:rPr>
        <w:t>4</w:t>
      </w:r>
      <w:r w:rsidR="00183CC8">
        <w:t>.</w:t>
      </w:r>
      <w:r w:rsidR="00183CC8">
        <w:rPr>
          <w:noProof/>
        </w:rPr>
        <w:t>14</w:t>
      </w:r>
      <w:r w:rsidR="0098792B">
        <w:fldChar w:fldCharType="end"/>
      </w:r>
      <w:r w:rsidR="0098792B">
        <w:t>a</w:t>
      </w:r>
      <w:r w:rsidR="006D6ED8">
        <w:t>-b</w:t>
      </w:r>
      <w:r w:rsidR="0098792B">
        <w:t>)</w:t>
      </w:r>
      <w:r w:rsidR="00E7244B">
        <w:t>.</w:t>
      </w:r>
      <w:r w:rsidR="00113362">
        <w:t xml:space="preserve"> </w:t>
      </w:r>
      <w:r w:rsidR="00217DE1">
        <w:t xml:space="preserve">Cell volume of </w:t>
      </w:r>
      <w:r w:rsidR="00217DE1">
        <w:rPr>
          <w:i/>
          <w:iCs/>
        </w:rPr>
        <w:t xml:space="preserve">iltaS </w:t>
      </w:r>
      <w:r w:rsidR="00217DE1">
        <w:t xml:space="preserve">after removal of the IPTG inducer, also showed an increase of ~ 42.9 % in respect to </w:t>
      </w:r>
      <w:r w:rsidR="00217DE1">
        <w:rPr>
          <w:i/>
          <w:iCs/>
        </w:rPr>
        <w:t xml:space="preserve">iltaS </w:t>
      </w:r>
      <w:r w:rsidR="00217DE1">
        <w:t>with 1 mM IPTG, and ~ 57.1 % in comparison to the wildtype (</w:t>
      </w:r>
      <w:r w:rsidR="00217DE1">
        <w:fldChar w:fldCharType="begin"/>
      </w:r>
      <w:r w:rsidR="00217DE1">
        <w:instrText xml:space="preserve"> REF _Ref74829870 \h </w:instrText>
      </w:r>
      <w:r w:rsidR="00217DE1">
        <w:fldChar w:fldCharType="separate"/>
      </w:r>
      <w:r w:rsidR="00183CC8">
        <w:t xml:space="preserve">Figure </w:t>
      </w:r>
      <w:r w:rsidR="00183CC8">
        <w:rPr>
          <w:noProof/>
        </w:rPr>
        <w:t>4</w:t>
      </w:r>
      <w:r w:rsidR="00183CC8">
        <w:t>.</w:t>
      </w:r>
      <w:r w:rsidR="00183CC8">
        <w:rPr>
          <w:noProof/>
        </w:rPr>
        <w:t>14</w:t>
      </w:r>
      <w:r w:rsidR="00217DE1">
        <w:fldChar w:fldCharType="end"/>
      </w:r>
      <w:r w:rsidR="00217DE1">
        <w:t>d-e).</w:t>
      </w:r>
      <w:r w:rsidR="00217DE1" w:rsidRPr="00217DE1">
        <w:t xml:space="preserve"> </w:t>
      </w:r>
      <w:r w:rsidR="00217DE1">
        <w:t xml:space="preserve">Cell volume was estimated from SIM images of labelled cells as described in section </w:t>
      </w:r>
      <w:r w:rsidR="00217DE1">
        <w:fldChar w:fldCharType="begin"/>
      </w:r>
      <w:r w:rsidR="00217DE1">
        <w:instrText xml:space="preserve"> REF _Ref71568732 \r \h </w:instrText>
      </w:r>
      <w:r w:rsidR="00217DE1">
        <w:fldChar w:fldCharType="separate"/>
      </w:r>
      <w:r w:rsidR="00183CC8">
        <w:t>2.18.5</w:t>
      </w:r>
      <w:r w:rsidR="00217DE1">
        <w:fldChar w:fldCharType="end"/>
      </w:r>
    </w:p>
    <w:p w14:paraId="278184B0" w14:textId="525E970F" w:rsidR="00880E1D" w:rsidRPr="00880E1D" w:rsidRDefault="00880E1D" w:rsidP="000A3016">
      <w:pPr>
        <w:jc w:val="both"/>
        <w:rPr>
          <w:i/>
          <w:iCs/>
        </w:rPr>
      </w:pPr>
      <w:r>
        <w:t>Quantification of the different phenotypes observed</w:t>
      </w:r>
      <w:r w:rsidR="000F6B68">
        <w:t xml:space="preserve"> (</w:t>
      </w:r>
      <w:r w:rsidR="000F6B68">
        <w:fldChar w:fldCharType="begin"/>
      </w:r>
      <w:r w:rsidR="000F6B68">
        <w:instrText xml:space="preserve"> REF _Ref74924348 \h </w:instrText>
      </w:r>
      <w:r w:rsidR="000F6B68">
        <w:fldChar w:fldCharType="separate"/>
      </w:r>
      <w:r w:rsidR="00183CC8">
        <w:t xml:space="preserve">Figure </w:t>
      </w:r>
      <w:r w:rsidR="00183CC8">
        <w:rPr>
          <w:noProof/>
        </w:rPr>
        <w:t>4</w:t>
      </w:r>
      <w:r w:rsidR="00183CC8">
        <w:t>.</w:t>
      </w:r>
      <w:r w:rsidR="00183CC8">
        <w:rPr>
          <w:noProof/>
        </w:rPr>
        <w:t>15</w:t>
      </w:r>
      <w:r w:rsidR="000F6B68">
        <w:fldChar w:fldCharType="end"/>
      </w:r>
      <w:r w:rsidR="00F2267C">
        <w:t>a</w:t>
      </w:r>
      <w:r w:rsidR="000F6B68">
        <w:t>)</w:t>
      </w:r>
      <w:r>
        <w:t xml:space="preserve"> was difficult as many of these can occur at the same time. </w:t>
      </w:r>
      <w:r w:rsidR="00A57080">
        <w:fldChar w:fldCharType="begin"/>
      </w:r>
      <w:r w:rsidR="00A57080">
        <w:instrText xml:space="preserve"> REF _Ref74924348 \h </w:instrText>
      </w:r>
      <w:r w:rsidR="00A57080">
        <w:fldChar w:fldCharType="separate"/>
      </w:r>
      <w:r w:rsidR="00183CC8">
        <w:t xml:space="preserve">Figure </w:t>
      </w:r>
      <w:r w:rsidR="00183CC8">
        <w:rPr>
          <w:noProof/>
        </w:rPr>
        <w:t>4</w:t>
      </w:r>
      <w:r w:rsidR="00183CC8">
        <w:t>.</w:t>
      </w:r>
      <w:r w:rsidR="00183CC8">
        <w:rPr>
          <w:noProof/>
        </w:rPr>
        <w:t>15</w:t>
      </w:r>
      <w:r w:rsidR="00A57080">
        <w:fldChar w:fldCharType="end"/>
      </w:r>
      <w:r w:rsidR="0054291C">
        <w:t>b</w:t>
      </w:r>
      <w:r>
        <w:t xml:space="preserve"> explains the criteria used to quantify division stages and morphological defects observed in SH1000 </w:t>
      </w:r>
      <w:r>
        <w:rPr>
          <w:i/>
          <w:iCs/>
        </w:rPr>
        <w:t>iltaS</w:t>
      </w:r>
      <w:r w:rsidRPr="00880E1D">
        <w:t>.</w:t>
      </w:r>
      <w:r w:rsidR="008C61DA">
        <w:t xml:space="preserve"> Removal of the IPTG inducer leads </w:t>
      </w:r>
      <w:r w:rsidR="00BD05A2">
        <w:t>to</w:t>
      </w:r>
      <w:r w:rsidR="008C61DA">
        <w:t xml:space="preserve"> an increase in the percentage of cells with morphological defects: ~ 45.3 %</w:t>
      </w:r>
      <w:r w:rsidR="00410EE5">
        <w:t xml:space="preserve"> </w:t>
      </w:r>
      <w:r w:rsidR="00BA5DF7">
        <w:t xml:space="preserve">of affected cells </w:t>
      </w:r>
      <w:r w:rsidR="00410EE5">
        <w:t>at 2 h of growth</w:t>
      </w:r>
      <w:r w:rsidR="008C61DA">
        <w:t xml:space="preserve">, ~ 69.9 % </w:t>
      </w:r>
      <w:r w:rsidR="00410EE5">
        <w:t xml:space="preserve">at 4 h </w:t>
      </w:r>
      <w:r w:rsidR="008C61DA">
        <w:t xml:space="preserve">and ~ 64.4 % </w:t>
      </w:r>
      <w:r w:rsidR="00410EE5">
        <w:t>at</w:t>
      </w:r>
      <w:r w:rsidR="00C22B4A">
        <w:t xml:space="preserve"> 6 h </w:t>
      </w:r>
      <w:r w:rsidR="0059009C">
        <w:t>(</w:t>
      </w:r>
      <w:r w:rsidR="00A57080">
        <w:fldChar w:fldCharType="begin"/>
      </w:r>
      <w:r w:rsidR="00A57080">
        <w:instrText xml:space="preserve"> REF _Ref74924348 \h </w:instrText>
      </w:r>
      <w:r w:rsidR="00A57080">
        <w:fldChar w:fldCharType="separate"/>
      </w:r>
      <w:r w:rsidR="00183CC8">
        <w:t xml:space="preserve">Figure </w:t>
      </w:r>
      <w:r w:rsidR="00183CC8">
        <w:rPr>
          <w:noProof/>
        </w:rPr>
        <w:t>4</w:t>
      </w:r>
      <w:r w:rsidR="00183CC8">
        <w:t>.</w:t>
      </w:r>
      <w:r w:rsidR="00183CC8">
        <w:rPr>
          <w:noProof/>
        </w:rPr>
        <w:t>15</w:t>
      </w:r>
      <w:r w:rsidR="00A57080">
        <w:fldChar w:fldCharType="end"/>
      </w:r>
      <w:r w:rsidR="00D80A97">
        <w:t>)</w:t>
      </w:r>
      <w:r w:rsidR="0059009C">
        <w:t>.</w:t>
      </w:r>
      <w:r w:rsidR="002A0437">
        <w:t xml:space="preserve"> </w:t>
      </w:r>
      <w:r w:rsidR="00F5402E">
        <w:t xml:space="preserve">A closer look at each sample population by TEM confirms that the effects of the lack of LTA worsens after </w:t>
      </w:r>
      <w:r w:rsidR="00BA2F4B">
        <w:t>4 h of growth, with visible aberrations including thickened cell walls, multiple septation</w:t>
      </w:r>
      <w:r w:rsidR="00367C18">
        <w:t xml:space="preserve"> events</w:t>
      </w:r>
      <w:r w:rsidR="00BA2F4B">
        <w:t xml:space="preserve"> </w:t>
      </w:r>
      <w:r w:rsidR="009879B0">
        <w:t>i</w:t>
      </w:r>
      <w:r w:rsidR="00BA2F4B">
        <w:t xml:space="preserve">n the same division plane, and clumping </w:t>
      </w:r>
      <w:r w:rsidR="00F5402E">
        <w:t>(</w:t>
      </w:r>
      <w:r w:rsidR="00F5402E">
        <w:fldChar w:fldCharType="begin"/>
      </w:r>
      <w:r w:rsidR="00F5402E">
        <w:instrText xml:space="preserve"> REF _Ref74933723 \h </w:instrText>
      </w:r>
      <w:r w:rsidR="00F5402E">
        <w:fldChar w:fldCharType="separate"/>
      </w:r>
      <w:r w:rsidR="00183CC8">
        <w:t xml:space="preserve">Figure </w:t>
      </w:r>
      <w:r w:rsidR="00183CC8">
        <w:rPr>
          <w:noProof/>
        </w:rPr>
        <w:t>4</w:t>
      </w:r>
      <w:r w:rsidR="00183CC8">
        <w:t>.</w:t>
      </w:r>
      <w:r w:rsidR="00183CC8">
        <w:rPr>
          <w:noProof/>
        </w:rPr>
        <w:t>16</w:t>
      </w:r>
      <w:r w:rsidR="00F5402E">
        <w:fldChar w:fldCharType="end"/>
      </w:r>
      <w:r w:rsidR="00F5402E">
        <w:t>).</w:t>
      </w:r>
      <w:r w:rsidR="0022780C">
        <w:t xml:space="preserve"> A detailed categorisation of aberrant cells can be found in </w:t>
      </w:r>
      <w:r w:rsidR="0022780C">
        <w:fldChar w:fldCharType="begin"/>
      </w:r>
      <w:r w:rsidR="0022780C">
        <w:instrText xml:space="preserve"> REF _Ref77866475 \h </w:instrText>
      </w:r>
      <w:r w:rsidR="0022780C">
        <w:fldChar w:fldCharType="separate"/>
      </w:r>
      <w:r w:rsidR="00183CC8">
        <w:t xml:space="preserve">Supplementary Figure </w:t>
      </w:r>
      <w:r w:rsidR="00183CC8">
        <w:rPr>
          <w:noProof/>
        </w:rPr>
        <w:t>1</w:t>
      </w:r>
      <w:r w:rsidR="0022780C">
        <w:fldChar w:fldCharType="end"/>
      </w:r>
      <w:r w:rsidR="0022780C">
        <w:t>.</w:t>
      </w:r>
      <w:r w:rsidR="00F5402E">
        <w:t xml:space="preserve"> </w:t>
      </w:r>
      <w:r w:rsidR="002A0437">
        <w:t xml:space="preserve">In accordance </w:t>
      </w:r>
      <w:r w:rsidR="00E86419">
        <w:t>with</w:t>
      </w:r>
      <w:r w:rsidR="002A0437">
        <w:t xml:space="preserve"> the growth arrest observed</w:t>
      </w:r>
      <w:r w:rsidR="004E36C1">
        <w:t xml:space="preserve"> with </w:t>
      </w:r>
      <w:r w:rsidR="004E36C1">
        <w:rPr>
          <w:i/>
          <w:iCs/>
        </w:rPr>
        <w:t>iltaS</w:t>
      </w:r>
      <w:r w:rsidR="002A0437">
        <w:t xml:space="preserve"> after 3-4 h</w:t>
      </w:r>
      <w:r w:rsidR="00101DC0">
        <w:t xml:space="preserve"> (</w:t>
      </w:r>
      <w:r w:rsidR="00101DC0">
        <w:fldChar w:fldCharType="begin"/>
      </w:r>
      <w:r w:rsidR="00101DC0">
        <w:instrText xml:space="preserve"> REF _Ref74829870 \h </w:instrText>
      </w:r>
      <w:r w:rsidR="00101DC0">
        <w:fldChar w:fldCharType="separate"/>
      </w:r>
      <w:r w:rsidR="00183CC8">
        <w:t xml:space="preserve">Figure </w:t>
      </w:r>
      <w:r w:rsidR="00183CC8">
        <w:rPr>
          <w:noProof/>
        </w:rPr>
        <w:t>4</w:t>
      </w:r>
      <w:r w:rsidR="00183CC8">
        <w:t>.</w:t>
      </w:r>
      <w:r w:rsidR="00183CC8">
        <w:rPr>
          <w:noProof/>
        </w:rPr>
        <w:t>14</w:t>
      </w:r>
      <w:r w:rsidR="00101DC0">
        <w:fldChar w:fldCharType="end"/>
      </w:r>
      <w:r w:rsidR="00101DC0">
        <w:t>a-b)</w:t>
      </w:r>
      <w:r w:rsidR="002A0437">
        <w:t xml:space="preserve">, the biggest increase in morphological defects is noted after </w:t>
      </w:r>
      <w:r w:rsidR="005637C4">
        <w:t>this time</w:t>
      </w:r>
      <w:r w:rsidR="00F5402E">
        <w:t xml:space="preserve"> (</w:t>
      </w:r>
      <w:r w:rsidR="00F5402E">
        <w:fldChar w:fldCharType="begin"/>
      </w:r>
      <w:r w:rsidR="00F5402E">
        <w:instrText xml:space="preserve"> REF _Ref74924348 \h </w:instrText>
      </w:r>
      <w:r w:rsidR="00F5402E">
        <w:fldChar w:fldCharType="separate"/>
      </w:r>
      <w:r w:rsidR="00183CC8">
        <w:t xml:space="preserve">Figure </w:t>
      </w:r>
      <w:r w:rsidR="00183CC8">
        <w:rPr>
          <w:noProof/>
        </w:rPr>
        <w:t>4</w:t>
      </w:r>
      <w:r w:rsidR="00183CC8">
        <w:t>.</w:t>
      </w:r>
      <w:r w:rsidR="00183CC8">
        <w:rPr>
          <w:noProof/>
        </w:rPr>
        <w:t>15</w:t>
      </w:r>
      <w:r w:rsidR="00F5402E">
        <w:fldChar w:fldCharType="end"/>
      </w:r>
      <w:r w:rsidR="00F5402E">
        <w:t xml:space="preserve"> and </w:t>
      </w:r>
      <w:r w:rsidR="00F5402E">
        <w:fldChar w:fldCharType="begin"/>
      </w:r>
      <w:r w:rsidR="00F5402E">
        <w:instrText xml:space="preserve"> REF _Ref74933723 \h </w:instrText>
      </w:r>
      <w:r w:rsidR="00F5402E">
        <w:fldChar w:fldCharType="separate"/>
      </w:r>
      <w:r w:rsidR="00183CC8">
        <w:t xml:space="preserve">Figure </w:t>
      </w:r>
      <w:r w:rsidR="00183CC8">
        <w:rPr>
          <w:noProof/>
        </w:rPr>
        <w:t>4</w:t>
      </w:r>
      <w:r w:rsidR="00183CC8">
        <w:t>.</w:t>
      </w:r>
      <w:r w:rsidR="00183CC8">
        <w:rPr>
          <w:noProof/>
        </w:rPr>
        <w:t>16</w:t>
      </w:r>
      <w:r w:rsidR="00F5402E">
        <w:fldChar w:fldCharType="end"/>
      </w:r>
      <w:r w:rsidR="00F5402E">
        <w:t>)</w:t>
      </w:r>
      <w:r w:rsidR="00430663">
        <w:t>.</w:t>
      </w:r>
    </w:p>
    <w:p w14:paraId="23BC63ED" w14:textId="77777777" w:rsidR="006673FF" w:rsidRDefault="006673FF" w:rsidP="00EF447F">
      <w:pPr>
        <w:keepNext/>
        <w:jc w:val="center"/>
      </w:pPr>
      <w:r>
        <w:rPr>
          <w:noProof/>
        </w:rPr>
        <w:lastRenderedPageBreak/>
        <w:drawing>
          <wp:inline distT="0" distB="0" distL="0" distR="0" wp14:anchorId="28D4C830" wp14:editId="32674C7C">
            <wp:extent cx="5939762" cy="7155340"/>
            <wp:effectExtent l="0" t="0" r="444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65321" cy="7186129"/>
                    </a:xfrm>
                    <a:prstGeom prst="rect">
                      <a:avLst/>
                    </a:prstGeom>
                  </pic:spPr>
                </pic:pic>
              </a:graphicData>
            </a:graphic>
          </wp:inline>
        </w:drawing>
      </w:r>
    </w:p>
    <w:p w14:paraId="42E87414" w14:textId="771EA8D7" w:rsidR="006673FF" w:rsidRDefault="006673FF" w:rsidP="008A2B86">
      <w:pPr>
        <w:pStyle w:val="Caption"/>
      </w:pPr>
      <w:bookmarkStart w:id="652" w:name="_Ref74829870"/>
      <w:bookmarkStart w:id="653" w:name="_Toc90216973"/>
      <w:r>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14</w:t>
      </w:r>
      <w:r w:rsidR="003373BF">
        <w:rPr>
          <w:noProof/>
        </w:rPr>
        <w:fldChar w:fldCharType="end"/>
      </w:r>
      <w:bookmarkEnd w:id="652"/>
      <w:r>
        <w:t xml:space="preserve"> Lack of LTA effect on bacterial growth and cell size of </w:t>
      </w:r>
      <w:r>
        <w:rPr>
          <w:i/>
        </w:rPr>
        <w:t>S. aureus</w:t>
      </w:r>
      <w:r>
        <w:t xml:space="preserve"> SH1000.</w:t>
      </w:r>
      <w:bookmarkEnd w:id="653"/>
    </w:p>
    <w:p w14:paraId="2F9DCCA4" w14:textId="08D0EE10" w:rsidR="008806A3" w:rsidRDefault="0072754C" w:rsidP="006673FF">
      <w:pPr>
        <w:pStyle w:val="NoSpacing"/>
        <w:sectPr w:rsidR="008806A3" w:rsidSect="004D0E05">
          <w:pgSz w:w="11906" w:h="16838"/>
          <w:pgMar w:top="1191" w:right="1247" w:bottom="1191" w:left="1247" w:header="709" w:footer="709" w:gutter="0"/>
          <w:cols w:space="708"/>
          <w:titlePg/>
          <w:docGrid w:linePitch="360"/>
        </w:sectPr>
      </w:pPr>
      <w:r>
        <w:rPr>
          <w:b/>
          <w:bCs/>
        </w:rPr>
        <w:t>(A)</w:t>
      </w:r>
      <w:r>
        <w:t xml:space="preserve"> Absorbance and </w:t>
      </w:r>
      <w:r>
        <w:rPr>
          <w:b/>
          <w:bCs/>
        </w:rPr>
        <w:t>(B)</w:t>
      </w:r>
      <w:r>
        <w:t xml:space="preserve"> CFU/ml measurements for the compared growth of </w:t>
      </w:r>
      <w:r>
        <w:rPr>
          <w:i/>
          <w:iCs/>
        </w:rPr>
        <w:t xml:space="preserve">S. </w:t>
      </w:r>
      <w:r w:rsidRPr="00E97E72">
        <w:rPr>
          <w:i/>
          <w:iCs/>
        </w:rPr>
        <w:t>aureus</w:t>
      </w:r>
      <w:r>
        <w:t xml:space="preserve"> SH1000 (blue</w:t>
      </w:r>
      <w:r w:rsidR="00DD1497">
        <w:t>– 6 biological repeats</w:t>
      </w:r>
      <w:r>
        <w:t xml:space="preserve">) and </w:t>
      </w:r>
      <w:r>
        <w:rPr>
          <w:i/>
          <w:iCs/>
        </w:rPr>
        <w:t>iltaS</w:t>
      </w:r>
      <w:r>
        <w:t xml:space="preserve"> with</w:t>
      </w:r>
      <w:r w:rsidR="00F23D41">
        <w:t xml:space="preserve"> 1 mM IPTG</w:t>
      </w:r>
      <w:r>
        <w:t xml:space="preserve"> (red</w:t>
      </w:r>
      <w:r w:rsidR="00DD1497">
        <w:t>– 3 biological repeats</w:t>
      </w:r>
      <w:r>
        <w:t>) and without the inducer</w:t>
      </w:r>
      <w:r w:rsidR="00F23D41">
        <w:t xml:space="preserve"> (orange</w:t>
      </w:r>
      <w:r w:rsidR="00DD1497">
        <w:t xml:space="preserve">– </w:t>
      </w:r>
      <w:r w:rsidR="00C056A9">
        <w:t>5</w:t>
      </w:r>
      <w:r w:rsidR="00DD1497">
        <w:t xml:space="preserve"> biological repeats</w:t>
      </w:r>
      <w:r w:rsidR="00F23D41">
        <w:t>)</w:t>
      </w:r>
      <w:r>
        <w:rPr>
          <w:i/>
          <w:iCs/>
        </w:rPr>
        <w:t>.</w:t>
      </w:r>
      <w:r>
        <w:t xml:space="preserve"> </w:t>
      </w:r>
      <w:r>
        <w:rPr>
          <w:b/>
          <w:bCs/>
        </w:rPr>
        <w:t xml:space="preserve">(C) </w:t>
      </w:r>
      <w:r w:rsidR="00B25E2F">
        <w:t xml:space="preserve">Representative </w:t>
      </w:r>
      <w:r w:rsidR="005210B7">
        <w:t xml:space="preserve">OMX SIM images of NHS-ester Alexa Fluor™555 labelled cells for SH1000 (blue), </w:t>
      </w:r>
      <w:r w:rsidR="005210B7">
        <w:rPr>
          <w:i/>
          <w:iCs/>
        </w:rPr>
        <w:t>iltaS</w:t>
      </w:r>
      <w:r w:rsidR="005210B7">
        <w:t xml:space="preserve"> with 1 mM IPTG (red) and </w:t>
      </w:r>
      <w:r w:rsidR="005210B7">
        <w:rPr>
          <w:i/>
          <w:iCs/>
        </w:rPr>
        <w:t>iltaS</w:t>
      </w:r>
      <w:r w:rsidR="005210B7">
        <w:t xml:space="preserve"> without the inducer (orange). Scale bar 1 µm. </w:t>
      </w:r>
      <w:r w:rsidR="005210B7">
        <w:rPr>
          <w:b/>
          <w:bCs/>
        </w:rPr>
        <w:t>(D)</w:t>
      </w:r>
      <w:r w:rsidR="005210B7">
        <w:t xml:space="preserve"> </w:t>
      </w:r>
      <w:r>
        <w:t xml:space="preserve">Cell volume estimation from </w:t>
      </w:r>
      <w:r w:rsidR="005210B7">
        <w:t xml:space="preserve">SIM images. </w:t>
      </w:r>
      <w:r>
        <w:t xml:space="preserve">Statistical analysis: </w:t>
      </w:r>
      <w:r w:rsidR="001F7752">
        <w:t>t-</w:t>
      </w:r>
      <w:r w:rsidR="00C600E4">
        <w:t xml:space="preserve"> </w:t>
      </w:r>
      <w:r>
        <w:t>test</w:t>
      </w:r>
      <w:r w:rsidR="001F7752">
        <w:t xml:space="preserve"> with Welch</w:t>
      </w:r>
      <w:r w:rsidR="000B568B">
        <w:t>’s</w:t>
      </w:r>
      <w:r w:rsidR="001F7752">
        <w:t xml:space="preserve"> correction</w:t>
      </w:r>
      <w:r>
        <w:t xml:space="preserve"> (**** p &lt; 0.0001, </w:t>
      </w:r>
      <w:r>
        <w:rPr>
          <w:i/>
          <w:iCs/>
        </w:rPr>
        <w:t>n</w:t>
      </w:r>
      <w:r>
        <w:t> &gt; 100).</w:t>
      </w:r>
      <w:r w:rsidR="00E10E2C">
        <w:t xml:space="preserve"> </w:t>
      </w:r>
      <w:r w:rsidR="00E10E2C">
        <w:rPr>
          <w:b/>
          <w:bCs/>
        </w:rPr>
        <w:t>(</w:t>
      </w:r>
      <w:r w:rsidR="005210B7">
        <w:rPr>
          <w:b/>
          <w:bCs/>
        </w:rPr>
        <w:t>E</w:t>
      </w:r>
      <w:r w:rsidR="00E10E2C">
        <w:rPr>
          <w:b/>
          <w:bCs/>
        </w:rPr>
        <w:t>)</w:t>
      </w:r>
      <w:r w:rsidR="00E10E2C">
        <w:t xml:space="preserve"> Mean value ± standard deviation for volume estimation from </w:t>
      </w:r>
      <w:r w:rsidR="00E10E2C" w:rsidRPr="004D5980">
        <w:t>(</w:t>
      </w:r>
      <w:r w:rsidR="005210B7">
        <w:t>D</w:t>
      </w:r>
      <w:r w:rsidR="00E10E2C">
        <w:t>)</w:t>
      </w:r>
      <w:r w:rsidR="006673FF">
        <w:t>.</w:t>
      </w:r>
    </w:p>
    <w:p w14:paraId="69CF8D82" w14:textId="77777777" w:rsidR="008806A3" w:rsidRDefault="008806A3" w:rsidP="00D1281A">
      <w:pPr>
        <w:pStyle w:val="NoSpacing"/>
        <w:keepNext/>
        <w:jc w:val="center"/>
      </w:pPr>
      <w:r>
        <w:rPr>
          <w:noProof/>
        </w:rPr>
        <w:lastRenderedPageBreak/>
        <w:drawing>
          <wp:inline distT="0" distB="0" distL="0" distR="0" wp14:anchorId="3A58BA44" wp14:editId="07C9B360">
            <wp:extent cx="4135120" cy="7443216"/>
            <wp:effectExtent l="0" t="0" r="508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167012" cy="7500622"/>
                    </a:xfrm>
                    <a:prstGeom prst="rect">
                      <a:avLst/>
                    </a:prstGeom>
                  </pic:spPr>
                </pic:pic>
              </a:graphicData>
            </a:graphic>
          </wp:inline>
        </w:drawing>
      </w:r>
    </w:p>
    <w:p w14:paraId="6154416D" w14:textId="63339863" w:rsidR="006673FF" w:rsidRDefault="008806A3" w:rsidP="008A2B86">
      <w:pPr>
        <w:pStyle w:val="Caption"/>
        <w:rPr>
          <w:i/>
        </w:rPr>
      </w:pPr>
      <w:bookmarkStart w:id="654" w:name="_Ref74924348"/>
      <w:bookmarkStart w:id="655" w:name="_Toc90216974"/>
      <w:r>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15</w:t>
      </w:r>
      <w:r w:rsidR="003373BF">
        <w:rPr>
          <w:noProof/>
        </w:rPr>
        <w:fldChar w:fldCharType="end"/>
      </w:r>
      <w:bookmarkEnd w:id="654"/>
      <w:r w:rsidR="005321CC">
        <w:t xml:space="preserve"> </w:t>
      </w:r>
      <w:r w:rsidR="00DA287F">
        <w:t xml:space="preserve"> </w:t>
      </w:r>
      <w:r w:rsidR="00AC269E">
        <w:t xml:space="preserve">Division stages and morphology quantification of LTA-depleted </w:t>
      </w:r>
      <w:r w:rsidR="00AC269E">
        <w:rPr>
          <w:i/>
        </w:rPr>
        <w:t>S. aureus.</w:t>
      </w:r>
      <w:bookmarkEnd w:id="655"/>
    </w:p>
    <w:p w14:paraId="6BE021E9" w14:textId="187C96AC" w:rsidR="001D501F" w:rsidRPr="002417F6" w:rsidRDefault="001D501F" w:rsidP="001D501F">
      <w:pPr>
        <w:pStyle w:val="NoSpacing"/>
      </w:pPr>
      <w:r>
        <w:rPr>
          <w:b/>
          <w:bCs/>
        </w:rPr>
        <w:t>(A)</w:t>
      </w:r>
      <w:r>
        <w:t xml:space="preserve"> Normalised quantification of </w:t>
      </w:r>
      <w:r>
        <w:rPr>
          <w:i/>
          <w:iCs/>
        </w:rPr>
        <w:t>iltaS</w:t>
      </w:r>
      <w:r>
        <w:t xml:space="preserve"> with 1 mM IPTG (red) and without the inducer</w:t>
      </w:r>
      <w:r>
        <w:rPr>
          <w:i/>
          <w:iCs/>
        </w:rPr>
        <w:t xml:space="preserve"> </w:t>
      </w:r>
      <w:r>
        <w:t>(orange) after 2, 4 and 6 h of growth.</w:t>
      </w:r>
      <w:r>
        <w:rPr>
          <w:b/>
          <w:bCs/>
        </w:rPr>
        <w:t xml:space="preserve"> </w:t>
      </w:r>
      <w:r>
        <w:t>Quantification criteria: no sept</w:t>
      </w:r>
      <w:r w:rsidR="00E001C4">
        <w:t>um</w:t>
      </w:r>
      <w:r>
        <w:t xml:space="preserve"> (dark green), incomplete sept</w:t>
      </w:r>
      <w:r w:rsidR="00E001C4">
        <w:t>um</w:t>
      </w:r>
      <w:r>
        <w:t xml:space="preserve"> (medium green), complete sept</w:t>
      </w:r>
      <w:r w:rsidR="00E001C4">
        <w:t>um</w:t>
      </w:r>
      <w:r>
        <w:t xml:space="preserve"> (light green) and growth defects (yellow).</w:t>
      </w:r>
      <w:r w:rsidR="000C7020">
        <w:rPr>
          <w:b/>
          <w:bCs/>
        </w:rPr>
        <w:t xml:space="preserve"> (</w:t>
      </w:r>
      <w:r w:rsidR="00626497">
        <w:rPr>
          <w:b/>
          <w:bCs/>
        </w:rPr>
        <w:t>B</w:t>
      </w:r>
      <w:r w:rsidR="000C7020">
        <w:rPr>
          <w:b/>
          <w:bCs/>
        </w:rPr>
        <w:t>)</w:t>
      </w:r>
      <w:r w:rsidR="000C7020">
        <w:t xml:space="preserve"> </w:t>
      </w:r>
      <w:r>
        <w:t>Representative TEM micrographs</w:t>
      </w:r>
      <w:r w:rsidR="0082092F">
        <w:t xml:space="preserve"> for each quantification category.</w:t>
      </w:r>
      <w:r>
        <w:t xml:space="preserve"> </w:t>
      </w:r>
      <w:r w:rsidR="0082092F">
        <w:t>C</w:t>
      </w:r>
      <w:r>
        <w:t>ropped from high magnification (</w:t>
      </w:r>
      <w:r w:rsidR="00DA7DB9">
        <w:t>29</w:t>
      </w:r>
      <w:r>
        <w:t>00x), scale bars </w:t>
      </w:r>
      <w:r w:rsidR="0082092F">
        <w:t>3</w:t>
      </w:r>
      <w:r>
        <w:t xml:space="preserve">00 nm. </w:t>
      </w:r>
      <w:r>
        <w:rPr>
          <w:b/>
          <w:bCs/>
        </w:rPr>
        <w:t>(</w:t>
      </w:r>
      <w:r w:rsidR="00626497">
        <w:rPr>
          <w:b/>
          <w:bCs/>
        </w:rPr>
        <w:t>C</w:t>
      </w:r>
      <w:r>
        <w:rPr>
          <w:b/>
          <w:bCs/>
        </w:rPr>
        <w:t>)</w:t>
      </w:r>
      <w:r>
        <w:t xml:space="preserve"> Mean value for each category</w:t>
      </w:r>
      <w:r w:rsidR="003722CD">
        <w:t xml:space="preserve"> representing the percentage of the sample population.</w:t>
      </w:r>
      <w:r>
        <w:t xml:space="preserve"> </w:t>
      </w:r>
      <w:r w:rsidR="00132B2B">
        <w:t>One</w:t>
      </w:r>
      <w:r>
        <w:t xml:space="preserve"> biological repeat.</w:t>
      </w:r>
      <w:r w:rsidR="002417F6">
        <w:t xml:space="preserve"> Total number of cells analysed for </w:t>
      </w:r>
      <w:r w:rsidR="002417F6">
        <w:rPr>
          <w:i/>
          <w:iCs/>
        </w:rPr>
        <w:t>iltaS</w:t>
      </w:r>
      <w:r w:rsidR="002417F6">
        <w:t xml:space="preserve"> (IPTG): </w:t>
      </w:r>
      <w:r w:rsidR="002417F6">
        <w:rPr>
          <w:i/>
          <w:iCs/>
        </w:rPr>
        <w:t>n </w:t>
      </w:r>
      <w:r w:rsidR="002417F6">
        <w:t xml:space="preserve">= 463 (2 h), </w:t>
      </w:r>
      <w:r w:rsidR="002417F6">
        <w:rPr>
          <w:i/>
          <w:iCs/>
        </w:rPr>
        <w:t>n </w:t>
      </w:r>
      <w:r w:rsidR="002417F6">
        <w:t xml:space="preserve">= 608 (4 h), and </w:t>
      </w:r>
      <w:r w:rsidR="002417F6">
        <w:rPr>
          <w:i/>
          <w:iCs/>
        </w:rPr>
        <w:t>n </w:t>
      </w:r>
      <w:r w:rsidR="002417F6">
        <w:t xml:space="preserve">= 753 (6 h). Total number of cells analysed for </w:t>
      </w:r>
      <w:r w:rsidR="002417F6">
        <w:rPr>
          <w:i/>
          <w:iCs/>
        </w:rPr>
        <w:t>iltaS</w:t>
      </w:r>
      <w:r w:rsidR="002417F6">
        <w:t xml:space="preserve">: </w:t>
      </w:r>
      <w:r w:rsidR="002417F6">
        <w:rPr>
          <w:i/>
          <w:iCs/>
        </w:rPr>
        <w:t>n </w:t>
      </w:r>
      <w:r w:rsidR="002417F6">
        <w:t xml:space="preserve">= 726 (2 h), </w:t>
      </w:r>
      <w:r w:rsidR="002417F6">
        <w:rPr>
          <w:i/>
          <w:iCs/>
        </w:rPr>
        <w:t>n </w:t>
      </w:r>
      <w:r w:rsidR="002417F6">
        <w:t xml:space="preserve">= 617 (4 h) and </w:t>
      </w:r>
      <w:r w:rsidR="002417F6">
        <w:rPr>
          <w:i/>
          <w:iCs/>
        </w:rPr>
        <w:t>n</w:t>
      </w:r>
      <w:r w:rsidR="002417F6">
        <w:t> = 736 (6 h</w:t>
      </w:r>
      <w:r w:rsidR="0092365E">
        <w:t>).</w:t>
      </w:r>
    </w:p>
    <w:p w14:paraId="1D47C527" w14:textId="77777777" w:rsidR="009128FE" w:rsidRDefault="009128FE" w:rsidP="006959D7">
      <w:pPr>
        <w:pStyle w:val="NoSpacing"/>
        <w:sectPr w:rsidR="009128FE" w:rsidSect="004D0E05">
          <w:pgSz w:w="11906" w:h="16838"/>
          <w:pgMar w:top="1191" w:right="1247" w:bottom="1191" w:left="1247" w:header="709" w:footer="709" w:gutter="0"/>
          <w:cols w:space="708"/>
          <w:titlePg/>
          <w:docGrid w:linePitch="360"/>
        </w:sectPr>
      </w:pPr>
    </w:p>
    <w:p w14:paraId="5B5020C1" w14:textId="77777777" w:rsidR="009128FE" w:rsidRDefault="009128FE" w:rsidP="00E07E3D">
      <w:pPr>
        <w:pStyle w:val="NoSpacing"/>
        <w:keepNext/>
        <w:jc w:val="center"/>
      </w:pPr>
      <w:r>
        <w:rPr>
          <w:noProof/>
        </w:rPr>
        <w:lastRenderedPageBreak/>
        <w:drawing>
          <wp:inline distT="0" distB="0" distL="0" distR="0" wp14:anchorId="06D934EE" wp14:editId="487FBF75">
            <wp:extent cx="5388409" cy="8118763"/>
            <wp:effectExtent l="0" t="0" r="0" b="0"/>
            <wp:docPr id="88" name="Picture 88" descr="A picture containing pizz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pizza&#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401205" cy="8138043"/>
                    </a:xfrm>
                    <a:prstGeom prst="rect">
                      <a:avLst/>
                    </a:prstGeom>
                  </pic:spPr>
                </pic:pic>
              </a:graphicData>
            </a:graphic>
          </wp:inline>
        </w:drawing>
      </w:r>
    </w:p>
    <w:p w14:paraId="6E16B5D3" w14:textId="04B48711" w:rsidR="006959D7" w:rsidRDefault="009128FE" w:rsidP="008A2B86">
      <w:pPr>
        <w:pStyle w:val="Caption"/>
      </w:pPr>
      <w:bookmarkStart w:id="656" w:name="_Ref74933723"/>
      <w:bookmarkStart w:id="657" w:name="_Toc90216975"/>
      <w:r>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16</w:t>
      </w:r>
      <w:r w:rsidR="003373BF">
        <w:rPr>
          <w:noProof/>
        </w:rPr>
        <w:fldChar w:fldCharType="end"/>
      </w:r>
      <w:bookmarkEnd w:id="656"/>
      <w:r>
        <w:t xml:space="preserve">  TEM of </w:t>
      </w:r>
      <w:r>
        <w:rPr>
          <w:i/>
        </w:rPr>
        <w:t>S. aureus</w:t>
      </w:r>
      <w:r>
        <w:t xml:space="preserve"> </w:t>
      </w:r>
      <w:r>
        <w:rPr>
          <w:i/>
        </w:rPr>
        <w:t>iltaS</w:t>
      </w:r>
      <w:r>
        <w:t>.</w:t>
      </w:r>
      <w:bookmarkEnd w:id="657"/>
    </w:p>
    <w:p w14:paraId="029D3161" w14:textId="5519E4C1" w:rsidR="009128FE" w:rsidRPr="009128FE" w:rsidRDefault="009128FE" w:rsidP="009128FE">
      <w:pPr>
        <w:pStyle w:val="NoSpacing"/>
        <w:sectPr w:rsidR="009128FE" w:rsidRPr="009128FE" w:rsidSect="004D0E05">
          <w:pgSz w:w="11906" w:h="16838"/>
          <w:pgMar w:top="1191" w:right="1247" w:bottom="1191" w:left="1247" w:header="709" w:footer="709" w:gutter="0"/>
          <w:cols w:space="708"/>
          <w:titlePg/>
          <w:docGrid w:linePitch="360"/>
        </w:sectPr>
      </w:pPr>
      <w:r>
        <w:t xml:space="preserve">TEM micrographs of chemically fixed </w:t>
      </w:r>
      <w:r>
        <w:rPr>
          <w:i/>
          <w:iCs/>
        </w:rPr>
        <w:t xml:space="preserve">S. aureus iltaS </w:t>
      </w:r>
      <w:r>
        <w:t>with 1 mM IPTG (left, red) and without the inducer (orange, right).</w:t>
      </w:r>
      <w:r w:rsidR="00CD00DE">
        <w:t xml:space="preserve"> Samples fixed at 2 (top), 4 (middle), and 6 h (bottom) of growth.</w:t>
      </w:r>
      <w:r w:rsidR="002E5B54">
        <w:t xml:space="preserve"> Cropped from high magnification (</w:t>
      </w:r>
      <w:r w:rsidR="00C402DE">
        <w:t xml:space="preserve">Left– </w:t>
      </w:r>
      <w:r w:rsidR="002E5B54">
        <w:t>4800x</w:t>
      </w:r>
      <w:r w:rsidR="00C402DE">
        <w:t xml:space="preserve">, Right– </w:t>
      </w:r>
      <w:r w:rsidR="002E5B54">
        <w:t>2900x), scale bars 300 nm.</w:t>
      </w:r>
    </w:p>
    <w:p w14:paraId="0495FA78" w14:textId="54D11749" w:rsidR="004B0C7E" w:rsidRDefault="001942D8" w:rsidP="00BA5F34">
      <w:pPr>
        <w:pStyle w:val="Heading4"/>
      </w:pPr>
      <w:bookmarkStart w:id="658" w:name="_Toc90216890"/>
      <w:r>
        <w:lastRenderedPageBreak/>
        <w:t xml:space="preserve">Analysis of </w:t>
      </w:r>
      <w:r w:rsidR="003E238F">
        <w:rPr>
          <w:i/>
          <w:iCs w:val="0"/>
        </w:rPr>
        <w:t xml:space="preserve">S. aureus </w:t>
      </w:r>
      <w:r w:rsidR="003E238F">
        <w:t xml:space="preserve">SH1000 </w:t>
      </w:r>
      <w:r w:rsidR="004B0C7E" w:rsidRPr="004B2440">
        <w:rPr>
          <w:i/>
          <w:iCs w:val="0"/>
        </w:rPr>
        <w:t>ltaS</w:t>
      </w:r>
      <w:r w:rsidR="004B0C7E" w:rsidRPr="005B0F81">
        <w:t xml:space="preserve"> </w:t>
      </w:r>
      <w:r w:rsidR="004B0C7E" w:rsidRPr="004B2440">
        <w:rPr>
          <w:i/>
          <w:iCs w:val="0"/>
        </w:rPr>
        <w:t>gdpP::kan</w:t>
      </w:r>
      <w:bookmarkEnd w:id="648"/>
      <w:bookmarkEnd w:id="649"/>
      <w:bookmarkEnd w:id="650"/>
      <w:bookmarkEnd w:id="651"/>
      <w:r w:rsidR="00475DEE">
        <w:t>.</w:t>
      </w:r>
      <w:bookmarkEnd w:id="658"/>
    </w:p>
    <w:p w14:paraId="353FDA6D" w14:textId="490407FB" w:rsidR="00B2481C" w:rsidRDefault="00B2481C" w:rsidP="00B2481C">
      <w:r>
        <w:t xml:space="preserve">The </w:t>
      </w:r>
      <w:r w:rsidR="001C3F8D">
        <w:t xml:space="preserve">previous </w:t>
      </w:r>
      <w:r>
        <w:t>section proved that studying the</w:t>
      </w:r>
      <w:r w:rsidR="00A364EC">
        <w:t xml:space="preserve"> effects of the</w:t>
      </w:r>
      <w:r>
        <w:t xml:space="preserve"> lack of LTA is </w:t>
      </w:r>
      <w:r w:rsidR="002268BF">
        <w:t xml:space="preserve">difficult </w:t>
      </w:r>
      <w:r>
        <w:t xml:space="preserve">due </w:t>
      </w:r>
      <w:r w:rsidR="002268BF">
        <w:t>to</w:t>
      </w:r>
      <w:r>
        <w:t xml:space="preserve"> growth arrest and </w:t>
      </w:r>
      <w:r w:rsidR="002268BF">
        <w:t xml:space="preserve">a </w:t>
      </w:r>
      <w:r>
        <w:t>high concentration of aberrant cells.</w:t>
      </w:r>
      <w:r w:rsidR="004B2440">
        <w:t xml:space="preserve"> Corrigan </w:t>
      </w:r>
      <w:r w:rsidR="004B2440">
        <w:rPr>
          <w:i/>
          <w:iCs/>
        </w:rPr>
        <w:t>at al</w:t>
      </w:r>
      <w:r w:rsidR="004B2440">
        <w:t>., (20</w:t>
      </w:r>
      <w:r w:rsidR="00534744">
        <w:t>11</w:t>
      </w:r>
      <w:r w:rsidR="004B2440">
        <w:t>)</w:t>
      </w:r>
      <w:r w:rsidR="00C345F8">
        <w:t xml:space="preserve"> </w:t>
      </w:r>
      <w:r w:rsidR="00C345F8">
        <w:fldChar w:fldCharType="begin" w:fldLock="1"/>
      </w:r>
      <w:r w:rsidR="00DA0A83">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mendeley":{"formattedCitation":"&lt;sup&gt;[63]&lt;/sup&gt;","plainTextFormattedCitation":"[63]","previouslyFormattedCitation":"&lt;sup&gt;[63]&lt;/sup&gt;"},"properties":{"noteIndex":0},"schema":"https://github.com/citation-style-language/schema/raw/master/csl-citation.json"}</w:instrText>
      </w:r>
      <w:r w:rsidR="00C345F8">
        <w:fldChar w:fldCharType="separate"/>
      </w:r>
      <w:r w:rsidR="00DA0A83" w:rsidRPr="00DA0A83">
        <w:rPr>
          <w:noProof/>
          <w:vertAlign w:val="superscript"/>
        </w:rPr>
        <w:t>[63]</w:t>
      </w:r>
      <w:r w:rsidR="00C345F8">
        <w:fldChar w:fldCharType="end"/>
      </w:r>
      <w:r w:rsidR="004B2440">
        <w:t xml:space="preserve"> showed that a suppressor mutation in the </w:t>
      </w:r>
      <w:r w:rsidR="004B2440">
        <w:rPr>
          <w:i/>
          <w:iCs/>
        </w:rPr>
        <w:t>gdpP</w:t>
      </w:r>
      <w:r w:rsidR="004B2440">
        <w:t xml:space="preserve"> gene restores normal growth</w:t>
      </w:r>
      <w:r w:rsidR="00C0512E">
        <w:t>.</w:t>
      </w:r>
      <w:r w:rsidR="00474713">
        <w:t xml:space="preserve"> </w:t>
      </w:r>
      <w:r w:rsidR="008000EA">
        <w:t>Loss</w:t>
      </w:r>
      <w:r w:rsidR="00C34588">
        <w:t xml:space="preserve"> of </w:t>
      </w:r>
      <w:r w:rsidR="00474713">
        <w:t xml:space="preserve">GdpP, a phosphodiesterase protein that uses c-di-AMP as a substrate, leads to increased intracellular levels of this cyclic dinucleotide. </w:t>
      </w:r>
      <w:r w:rsidR="00882D64">
        <w:t xml:space="preserve">The nucleotide </w:t>
      </w:r>
      <w:r w:rsidR="00886BF6">
        <w:t>c-di-AMP</w:t>
      </w:r>
      <w:r w:rsidR="00882D64">
        <w:t xml:space="preserve"> is</w:t>
      </w:r>
      <w:r w:rsidR="00886BF6">
        <w:t xml:space="preserve"> produced by DacA</w:t>
      </w:r>
      <w:r w:rsidR="00882D64">
        <w:t xml:space="preserve"> and acts a</w:t>
      </w:r>
      <w:r w:rsidR="00886BF6">
        <w:t xml:space="preserve">s a secondary </w:t>
      </w:r>
      <w:r w:rsidR="00760AD5">
        <w:t>messenger</w:t>
      </w:r>
      <w:r w:rsidR="00886BF6">
        <w:t xml:space="preserve"> that helps </w:t>
      </w:r>
      <w:r w:rsidR="00760AD5">
        <w:t xml:space="preserve">control cell size and cope with extreme membrane and CW stress </w:t>
      </w:r>
      <w:r w:rsidR="00760AD5">
        <w:fldChar w:fldCharType="begin" w:fldLock="1"/>
      </w:r>
      <w:r w:rsidR="00DA0A83">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mendeley":{"formattedCitation":"&lt;sup&gt;[63]&lt;/sup&gt;","plainTextFormattedCitation":"[63]","previouslyFormattedCitation":"&lt;sup&gt;[63]&lt;/sup&gt;"},"properties":{"noteIndex":0},"schema":"https://github.com/citation-style-language/schema/raw/master/csl-citation.json"}</w:instrText>
      </w:r>
      <w:r w:rsidR="00760AD5">
        <w:fldChar w:fldCharType="separate"/>
      </w:r>
      <w:r w:rsidR="00DA0A83" w:rsidRPr="00DA0A83">
        <w:rPr>
          <w:noProof/>
          <w:vertAlign w:val="superscript"/>
        </w:rPr>
        <w:t>[63]</w:t>
      </w:r>
      <w:r w:rsidR="00760AD5">
        <w:fldChar w:fldCharType="end"/>
      </w:r>
      <w:r w:rsidR="00760AD5">
        <w:t xml:space="preserve">. </w:t>
      </w:r>
      <w:r w:rsidR="000E09D9">
        <w:t>A</w:t>
      </w:r>
      <w:r w:rsidR="004552AF">
        <w:t xml:space="preserve"> mutation in </w:t>
      </w:r>
      <w:r w:rsidR="002268BF">
        <w:rPr>
          <w:i/>
          <w:iCs/>
        </w:rPr>
        <w:t>gdpP</w:t>
      </w:r>
      <w:r w:rsidR="000E09D9">
        <w:t xml:space="preserve"> compensated for the phenotypes of</w:t>
      </w:r>
      <w:r w:rsidR="004552AF">
        <w:t xml:space="preserve"> LTA</w:t>
      </w:r>
      <w:r w:rsidR="000E09D9">
        <w:t xml:space="preserve">-depleted </w:t>
      </w:r>
      <w:r w:rsidR="004552AF">
        <w:t>mutants</w:t>
      </w:r>
      <w:r w:rsidR="000E09D9">
        <w:t>, resulting in</w:t>
      </w:r>
      <w:r w:rsidR="004552AF">
        <w:t xml:space="preserve"> a reduction in cell size</w:t>
      </w:r>
      <w:r w:rsidR="00AE51BD">
        <w:t xml:space="preserve"> and morphological defects, and</w:t>
      </w:r>
      <w:r w:rsidR="000E09D9">
        <w:t xml:space="preserve"> restored growth</w:t>
      </w:r>
      <w:r w:rsidR="00AE51BD">
        <w:t xml:space="preserve"> </w:t>
      </w:r>
      <w:r w:rsidR="000E09D9">
        <w:t xml:space="preserve">in </w:t>
      </w:r>
      <w:r w:rsidR="00F66CC9">
        <w:rPr>
          <w:i/>
          <w:iCs/>
        </w:rPr>
        <w:t xml:space="preserve">S. aureus </w:t>
      </w:r>
      <w:r w:rsidR="000E09D9">
        <w:t>RN4200</w:t>
      </w:r>
      <w:r w:rsidR="002C3B51">
        <w:t xml:space="preserve"> and LAC*</w:t>
      </w:r>
      <w:r w:rsidR="000E09D9">
        <w:t xml:space="preserve"> </w:t>
      </w:r>
      <w:r w:rsidR="004364B0">
        <w:rPr>
          <w:i/>
          <w:iCs/>
        </w:rPr>
        <w:fldChar w:fldCharType="begin" w:fldLock="1"/>
      </w:r>
      <w:r w:rsidR="00DA0A83">
        <w:rPr>
          <w:i/>
          <w:iCs/>
        </w:rPr>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mendeley":{"formattedCitation":"&lt;sup&gt;[63]&lt;/sup&gt;","plainTextFormattedCitation":"[63]","previouslyFormattedCitation":"&lt;sup&gt;[63]&lt;/sup&gt;"},"properties":{"noteIndex":0},"schema":"https://github.com/citation-style-language/schema/raw/master/csl-citation.json"}</w:instrText>
      </w:r>
      <w:r w:rsidR="004364B0">
        <w:rPr>
          <w:i/>
          <w:iCs/>
        </w:rPr>
        <w:fldChar w:fldCharType="separate"/>
      </w:r>
      <w:r w:rsidR="00DA0A83" w:rsidRPr="00DA0A83">
        <w:rPr>
          <w:iCs/>
          <w:noProof/>
          <w:vertAlign w:val="superscript"/>
        </w:rPr>
        <w:t>[63]</w:t>
      </w:r>
      <w:r w:rsidR="004364B0">
        <w:rPr>
          <w:i/>
          <w:iCs/>
        </w:rPr>
        <w:fldChar w:fldCharType="end"/>
      </w:r>
      <w:r w:rsidR="000E09D9">
        <w:rPr>
          <w:i/>
          <w:iCs/>
        </w:rPr>
        <w:t xml:space="preserve">. </w:t>
      </w:r>
      <w:r w:rsidR="00FB0E30">
        <w:t xml:space="preserve">Therefore, SH1000 </w:t>
      </w:r>
      <w:r w:rsidR="00FB0E30">
        <w:rPr>
          <w:i/>
          <w:iCs/>
        </w:rPr>
        <w:t>ltaS gdpP::kan</w:t>
      </w:r>
      <w:r w:rsidR="00FB0E30">
        <w:t xml:space="preserve"> was </w:t>
      </w:r>
      <w:r w:rsidR="00AD065D">
        <w:t>analys</w:t>
      </w:r>
      <w:r w:rsidR="001D6E7F">
        <w:t>ed</w:t>
      </w:r>
      <w:r w:rsidR="00F644F3">
        <w:t>.</w:t>
      </w:r>
    </w:p>
    <w:p w14:paraId="50F4ADD6" w14:textId="5E2D69FF" w:rsidR="003059E0" w:rsidRPr="00BB6FAF" w:rsidRDefault="00DE17DB" w:rsidP="003059E0">
      <w:r w:rsidRPr="00BB6FAF">
        <w:t>Both optical density and CFU/ml</w:t>
      </w:r>
      <w:r w:rsidR="000B6894" w:rsidRPr="00BB6FAF">
        <w:t xml:space="preserve"> </w:t>
      </w:r>
      <w:r w:rsidRPr="00BB6FAF">
        <w:t xml:space="preserve">measurements </w:t>
      </w:r>
      <w:r w:rsidR="00CD6754" w:rsidRPr="00BB6FAF">
        <w:t>demonstrated</w:t>
      </w:r>
      <w:r w:rsidRPr="00BB6FAF">
        <w:t xml:space="preserve"> that the deletion of </w:t>
      </w:r>
      <w:r w:rsidRPr="00BB6FAF">
        <w:rPr>
          <w:i/>
          <w:iCs/>
        </w:rPr>
        <w:t>gdpP</w:t>
      </w:r>
      <w:r w:rsidRPr="00BB6FAF">
        <w:t xml:space="preserve"> allows bacterial growth </w:t>
      </w:r>
      <w:r w:rsidR="00C4322F" w:rsidRPr="00BB6FAF">
        <w:t xml:space="preserve">of </w:t>
      </w:r>
      <w:r w:rsidRPr="00BB6FAF">
        <w:t>the SH1000 LTA-depleted strain</w:t>
      </w:r>
      <w:r w:rsidR="004C32C1" w:rsidRPr="00BB6FAF">
        <w:t xml:space="preserve"> (</w:t>
      </w:r>
      <w:r w:rsidR="00AC5EA2" w:rsidRPr="00BB6FAF">
        <w:fldChar w:fldCharType="begin"/>
      </w:r>
      <w:r w:rsidR="00AC5EA2" w:rsidRPr="00BB6FAF">
        <w:instrText xml:space="preserve"> REF _Ref74945643 \h </w:instrText>
      </w:r>
      <w:r w:rsidR="00AC5EA2" w:rsidRPr="00BB6FAF">
        <w:fldChar w:fldCharType="separate"/>
      </w:r>
      <w:r w:rsidR="00183CC8">
        <w:t xml:space="preserve">Figure </w:t>
      </w:r>
      <w:r w:rsidR="00183CC8">
        <w:rPr>
          <w:noProof/>
        </w:rPr>
        <w:t>4</w:t>
      </w:r>
      <w:r w:rsidR="00183CC8">
        <w:t>.</w:t>
      </w:r>
      <w:r w:rsidR="00183CC8">
        <w:rPr>
          <w:noProof/>
        </w:rPr>
        <w:t>17</w:t>
      </w:r>
      <w:r w:rsidR="00AC5EA2" w:rsidRPr="00BB6FAF">
        <w:fldChar w:fldCharType="end"/>
      </w:r>
      <w:r w:rsidR="00AC5EA2" w:rsidRPr="00BB6FAF">
        <w:t>a-b</w:t>
      </w:r>
      <w:r w:rsidR="004C32C1" w:rsidRPr="00BB6FAF">
        <w:t>).</w:t>
      </w:r>
      <w:r w:rsidR="00C462F2" w:rsidRPr="00BB6FAF">
        <w:t xml:space="preserve"> However, this suppressor mutation did not restore </w:t>
      </w:r>
      <w:r w:rsidR="00BA51E1" w:rsidRPr="00BB6FAF">
        <w:t xml:space="preserve">all </w:t>
      </w:r>
      <w:r w:rsidR="00C462F2" w:rsidRPr="00BB6FAF">
        <w:t xml:space="preserve">the aberrant </w:t>
      </w:r>
      <w:r w:rsidR="00BA51E1" w:rsidRPr="00BB6FAF">
        <w:t xml:space="preserve">morphological </w:t>
      </w:r>
      <w:r w:rsidR="00C462F2" w:rsidRPr="00BB6FAF">
        <w:t>characteristic</w:t>
      </w:r>
      <w:r w:rsidR="00BA51E1" w:rsidRPr="00BB6FAF">
        <w:t>s</w:t>
      </w:r>
      <w:r w:rsidR="00C462F2" w:rsidRPr="00BB6FAF">
        <w:t xml:space="preserve"> of LTA-depletion</w:t>
      </w:r>
      <w:r w:rsidR="00905426" w:rsidRPr="00BB6FAF">
        <w:t xml:space="preserve">. </w:t>
      </w:r>
      <w:r w:rsidR="00905426" w:rsidRPr="00FE2FE4">
        <w:rPr>
          <w:lang w:val="es-ES"/>
        </w:rPr>
        <w:t xml:space="preserve">Corrigan </w:t>
      </w:r>
      <w:r w:rsidR="00905426" w:rsidRPr="00FE2FE4">
        <w:rPr>
          <w:i/>
          <w:iCs/>
          <w:lang w:val="es-ES"/>
        </w:rPr>
        <w:t>et al.</w:t>
      </w:r>
      <w:r w:rsidR="0030513F">
        <w:rPr>
          <w:i/>
          <w:iCs/>
          <w:lang w:val="es-ES"/>
        </w:rPr>
        <w:t>,</w:t>
      </w:r>
      <w:r w:rsidR="00905426" w:rsidRPr="00FE2FE4">
        <w:rPr>
          <w:i/>
          <w:iCs/>
          <w:lang w:val="es-ES"/>
        </w:rPr>
        <w:t xml:space="preserve"> </w:t>
      </w:r>
      <w:r w:rsidR="00905426" w:rsidRPr="00FE2FE4">
        <w:rPr>
          <w:lang w:val="es-ES"/>
        </w:rPr>
        <w:t>(20</w:t>
      </w:r>
      <w:r w:rsidR="00534744">
        <w:rPr>
          <w:lang w:val="es-ES"/>
        </w:rPr>
        <w:t>11</w:t>
      </w:r>
      <w:r w:rsidR="00905426" w:rsidRPr="00FE2FE4">
        <w:rPr>
          <w:lang w:val="es-ES"/>
        </w:rPr>
        <w:t>)</w:t>
      </w:r>
      <w:r w:rsidR="000D7690" w:rsidRPr="00FE2FE4">
        <w:rPr>
          <w:lang w:val="es-ES"/>
        </w:rPr>
        <w:t xml:space="preserve"> </w:t>
      </w:r>
      <w:r w:rsidR="000D7690" w:rsidRPr="00BB6FAF">
        <w:fldChar w:fldCharType="begin" w:fldLock="1"/>
      </w:r>
      <w:r w:rsidR="00DA0A83" w:rsidRPr="00FE2FE4">
        <w:rPr>
          <w:lang w:val="es-ES"/>
        </w:rPr>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mendeley":{"formattedCitation":"&lt;sup&gt;[63]&lt;/sup&gt;","plainTextFormattedCitation":"[63]","previouslyFormattedCitation":"&lt;sup&gt;[63]&lt;/sup&gt;"},"properties":{"noteIndex":0},"schema":"https://github.com/citation-style-language/schema/raw/master/csl-citation.json"}</w:instrText>
      </w:r>
      <w:r w:rsidR="000D7690" w:rsidRPr="00BB6FAF">
        <w:fldChar w:fldCharType="separate"/>
      </w:r>
      <w:r w:rsidR="00DA0A83" w:rsidRPr="00FE2FE4">
        <w:rPr>
          <w:noProof/>
          <w:vertAlign w:val="superscript"/>
          <w:lang w:val="es-ES"/>
        </w:rPr>
        <w:t>[63]</w:t>
      </w:r>
      <w:r w:rsidR="000D7690" w:rsidRPr="00BB6FAF">
        <w:fldChar w:fldCharType="end"/>
      </w:r>
      <w:r w:rsidR="00445DCA" w:rsidRPr="00FE2FE4">
        <w:rPr>
          <w:lang w:val="es-ES"/>
        </w:rPr>
        <w:t xml:space="preserve"> </w:t>
      </w:r>
      <w:r w:rsidR="00905426" w:rsidRPr="00FE2FE4">
        <w:rPr>
          <w:lang w:val="es-ES"/>
        </w:rPr>
        <w:t xml:space="preserve">showed that </w:t>
      </w:r>
      <w:r w:rsidR="00905426" w:rsidRPr="00FE2FE4">
        <w:rPr>
          <w:i/>
          <w:iCs/>
          <w:lang w:val="es-ES"/>
        </w:rPr>
        <w:t>gdpP</w:t>
      </w:r>
      <w:r w:rsidR="00905426" w:rsidRPr="00FE2FE4">
        <w:rPr>
          <w:lang w:val="es-ES"/>
        </w:rPr>
        <w:t xml:space="preserve"> mutation</w:t>
      </w:r>
      <w:r w:rsidR="00445DCA" w:rsidRPr="00FE2FE4">
        <w:rPr>
          <w:lang w:val="es-ES"/>
        </w:rPr>
        <w:t>s</w:t>
      </w:r>
      <w:r w:rsidR="00905426" w:rsidRPr="00FE2FE4">
        <w:rPr>
          <w:lang w:val="es-ES"/>
        </w:rPr>
        <w:t xml:space="preserve"> lead to a </w:t>
      </w:r>
      <w:r w:rsidR="00562440" w:rsidRPr="00FE2FE4">
        <w:rPr>
          <w:lang w:val="es-ES"/>
        </w:rPr>
        <w:t xml:space="preserve">reduction </w:t>
      </w:r>
      <w:r w:rsidR="00B3316B" w:rsidRPr="00FE2FE4">
        <w:rPr>
          <w:lang w:val="es-ES"/>
        </w:rPr>
        <w:t>in cell size</w:t>
      </w:r>
      <w:r w:rsidR="00F1370D" w:rsidRPr="00FE2FE4">
        <w:rPr>
          <w:lang w:val="es-ES"/>
        </w:rPr>
        <w:t xml:space="preserve">, </w:t>
      </w:r>
      <w:r w:rsidR="00B3316B" w:rsidRPr="00FE2FE4">
        <w:rPr>
          <w:lang w:val="es-ES"/>
        </w:rPr>
        <w:t xml:space="preserve">and </w:t>
      </w:r>
      <w:r w:rsidR="007E45C8" w:rsidRPr="00FE2FE4">
        <w:rPr>
          <w:lang w:val="es-ES"/>
        </w:rPr>
        <w:t xml:space="preserve">this </w:t>
      </w:r>
      <w:r w:rsidR="00B3316B" w:rsidRPr="00FE2FE4">
        <w:rPr>
          <w:lang w:val="es-ES"/>
        </w:rPr>
        <w:t>remains true in the SH1000 background</w:t>
      </w:r>
      <w:r w:rsidR="007E45C8" w:rsidRPr="00FE2FE4">
        <w:rPr>
          <w:lang w:val="es-ES"/>
        </w:rPr>
        <w:t>, with a 50 % reduction in size (0.3 ± 0.1  µm</w:t>
      </w:r>
      <w:r w:rsidR="007E45C8" w:rsidRPr="00FE2FE4">
        <w:rPr>
          <w:vertAlign w:val="superscript"/>
          <w:lang w:val="es-ES"/>
        </w:rPr>
        <w:t>3</w:t>
      </w:r>
      <w:r w:rsidR="000331CA" w:rsidRPr="00FE2FE4">
        <w:rPr>
          <w:lang w:val="es-ES"/>
        </w:rPr>
        <w:t>)</w:t>
      </w:r>
      <w:r w:rsidR="007E45C8" w:rsidRPr="00FE2FE4">
        <w:rPr>
          <w:i/>
          <w:iCs/>
          <w:lang w:val="es-ES"/>
        </w:rPr>
        <w:t xml:space="preserve"> </w:t>
      </w:r>
      <w:r w:rsidR="007E45C8" w:rsidRPr="00FE2FE4">
        <w:rPr>
          <w:lang w:val="es-ES"/>
        </w:rPr>
        <w:t>(</w:t>
      </w:r>
      <w:r w:rsidR="007E45C8" w:rsidRPr="00BB6FAF">
        <w:fldChar w:fldCharType="begin"/>
      </w:r>
      <w:r w:rsidR="007E45C8" w:rsidRPr="00FE2FE4">
        <w:rPr>
          <w:lang w:val="es-ES"/>
        </w:rPr>
        <w:instrText xml:space="preserve"> REF _Ref74945643 \h </w:instrText>
      </w:r>
      <w:r w:rsidR="007E45C8" w:rsidRPr="00BB6FAF">
        <w:fldChar w:fldCharType="separate"/>
      </w:r>
      <w:r w:rsidR="00183CC8" w:rsidRPr="00AA0383">
        <w:rPr>
          <w:lang w:val="es-ES"/>
        </w:rPr>
        <w:t xml:space="preserve">Figure </w:t>
      </w:r>
      <w:r w:rsidR="00183CC8" w:rsidRPr="00AA0383">
        <w:rPr>
          <w:noProof/>
          <w:lang w:val="es-ES"/>
        </w:rPr>
        <w:t>4</w:t>
      </w:r>
      <w:r w:rsidR="00183CC8" w:rsidRPr="00AA0383">
        <w:rPr>
          <w:lang w:val="es-ES"/>
        </w:rPr>
        <w:t>.</w:t>
      </w:r>
      <w:r w:rsidR="00183CC8" w:rsidRPr="00AA0383">
        <w:rPr>
          <w:noProof/>
          <w:lang w:val="es-ES"/>
        </w:rPr>
        <w:t>17</w:t>
      </w:r>
      <w:r w:rsidR="007E45C8" w:rsidRPr="00BB6FAF">
        <w:fldChar w:fldCharType="end"/>
      </w:r>
      <w:r w:rsidR="007E45C8" w:rsidRPr="00FE2FE4">
        <w:rPr>
          <w:lang w:val="es-ES"/>
        </w:rPr>
        <w:t>c-e).</w:t>
      </w:r>
      <w:r w:rsidR="00D96FC2" w:rsidRPr="00FE2FE4">
        <w:rPr>
          <w:lang w:val="es-ES"/>
        </w:rPr>
        <w:t xml:space="preserve"> </w:t>
      </w:r>
      <w:r w:rsidR="00115A36" w:rsidRPr="00BB6FAF">
        <w:t>However</w:t>
      </w:r>
      <w:r w:rsidR="00D30303" w:rsidRPr="00BB6FAF">
        <w:t xml:space="preserve">, </w:t>
      </w:r>
      <w:r w:rsidR="00D30303" w:rsidRPr="00BB6FAF">
        <w:rPr>
          <w:i/>
          <w:iCs/>
        </w:rPr>
        <w:t>ltaS gdpP::kan</w:t>
      </w:r>
      <w:r w:rsidR="00D30303" w:rsidRPr="00BB6FAF">
        <w:t xml:space="preserve"> had a</w:t>
      </w:r>
      <w:r w:rsidR="00183F3B">
        <w:t>n average increase of</w:t>
      </w:r>
      <w:r w:rsidR="00D30303" w:rsidRPr="00BB6FAF">
        <w:t xml:space="preserve"> 2.67x </w:t>
      </w:r>
      <w:r w:rsidR="00115A36" w:rsidRPr="00BB6FAF">
        <w:t>in size</w:t>
      </w:r>
      <w:r w:rsidR="00D30303" w:rsidRPr="00BB6FAF">
        <w:t xml:space="preserve"> (1.6 ± 0.9 µm</w:t>
      </w:r>
      <w:r w:rsidR="00D30303" w:rsidRPr="00BB6FAF">
        <w:rPr>
          <w:vertAlign w:val="superscript"/>
        </w:rPr>
        <w:t>3</w:t>
      </w:r>
      <w:r w:rsidR="00D30303" w:rsidRPr="00BB6FAF">
        <w:t xml:space="preserve">) in comparison to the wildtype. </w:t>
      </w:r>
      <w:r w:rsidR="003059E0" w:rsidRPr="00BB6FAF">
        <w:t xml:space="preserve">TEM and SEM images showed that this </w:t>
      </w:r>
      <w:r w:rsidR="002C0786" w:rsidRPr="00BB6FAF">
        <w:t>was</w:t>
      </w:r>
      <w:r w:rsidR="003059E0" w:rsidRPr="00BB6FAF">
        <w:t xml:space="preserve"> only true for some cells (53 %</w:t>
      </w:r>
      <w:r w:rsidR="007E3192" w:rsidRPr="00BB6FAF">
        <w:t xml:space="preserve"> of the population</w:t>
      </w:r>
      <w:r w:rsidR="003059E0" w:rsidRPr="00BB6FAF">
        <w:t xml:space="preserve">), while </w:t>
      </w:r>
      <w:r w:rsidR="003C1868" w:rsidRPr="00BB6FAF">
        <w:t>others</w:t>
      </w:r>
      <w:r w:rsidR="003059E0" w:rsidRPr="00BB6FAF">
        <w:t xml:space="preserve"> had </w:t>
      </w:r>
      <w:r w:rsidR="003C1868" w:rsidRPr="00BB6FAF">
        <w:t>a</w:t>
      </w:r>
      <w:r w:rsidR="003059E0" w:rsidRPr="00BB6FAF">
        <w:t xml:space="preserve"> restored cell size similar to its parental strain as expected with the </w:t>
      </w:r>
      <w:r w:rsidR="003059E0" w:rsidRPr="00BB6FAF">
        <w:rPr>
          <w:i/>
          <w:iCs/>
        </w:rPr>
        <w:t xml:space="preserve">gdpP </w:t>
      </w:r>
      <w:r w:rsidR="003059E0" w:rsidRPr="00BB6FAF">
        <w:t xml:space="preserve">mutation </w:t>
      </w:r>
      <w:r w:rsidR="003C1868" w:rsidRPr="00BB6FAF">
        <w:t>(</w:t>
      </w:r>
      <w:r w:rsidR="00AC31B2" w:rsidRPr="00BB6FAF">
        <w:fldChar w:fldCharType="begin"/>
      </w:r>
      <w:r w:rsidR="00AC31B2" w:rsidRPr="00BB6FAF">
        <w:instrText xml:space="preserve"> REF _Ref75798843 \h </w:instrText>
      </w:r>
      <w:r w:rsidR="00AC31B2" w:rsidRPr="00BB6FAF">
        <w:fldChar w:fldCharType="separate"/>
      </w:r>
      <w:r w:rsidR="00183CC8">
        <w:t xml:space="preserve">Figure </w:t>
      </w:r>
      <w:r w:rsidR="00183CC8">
        <w:rPr>
          <w:noProof/>
        </w:rPr>
        <w:t>4</w:t>
      </w:r>
      <w:r w:rsidR="00183CC8">
        <w:t>.</w:t>
      </w:r>
      <w:r w:rsidR="00183CC8">
        <w:rPr>
          <w:noProof/>
        </w:rPr>
        <w:t>18</w:t>
      </w:r>
      <w:r w:rsidR="00AC31B2" w:rsidRPr="00BB6FAF">
        <w:fldChar w:fldCharType="end"/>
      </w:r>
      <w:r w:rsidR="003C1868" w:rsidRPr="00BB6FAF">
        <w:t xml:space="preserve">, </w:t>
      </w:r>
      <w:r w:rsidR="003059E0" w:rsidRPr="00BB6FAF">
        <w:fldChar w:fldCharType="begin"/>
      </w:r>
      <w:r w:rsidR="003059E0" w:rsidRPr="00BB6FAF">
        <w:instrText xml:space="preserve"> REF _Ref77883118 \h </w:instrText>
      </w:r>
      <w:r w:rsidR="003059E0" w:rsidRPr="00BB6FAF">
        <w:fldChar w:fldCharType="separate"/>
      </w:r>
      <w:r w:rsidR="00183CC8">
        <w:t xml:space="preserve">Supplementary Figure </w:t>
      </w:r>
      <w:r w:rsidR="00183CC8">
        <w:rPr>
          <w:noProof/>
        </w:rPr>
        <w:t>2</w:t>
      </w:r>
      <w:r w:rsidR="003059E0" w:rsidRPr="00BB6FAF">
        <w:fldChar w:fldCharType="end"/>
      </w:r>
      <w:r w:rsidR="003059E0" w:rsidRPr="00BB6FAF">
        <w:t>).</w:t>
      </w:r>
    </w:p>
    <w:p w14:paraId="7605BACC" w14:textId="1F796059" w:rsidR="00E81027" w:rsidRPr="008B3B92" w:rsidRDefault="00E81027" w:rsidP="00E81027">
      <w:r>
        <w:rPr>
          <w:i/>
          <w:iCs/>
        </w:rPr>
        <w:t xml:space="preserve">ltaS gdpP::kan </w:t>
      </w:r>
      <w:r>
        <w:t>has 24.5 % of aberrant cells, higher than the wildtype (0.8 %) (</w:t>
      </w:r>
      <w:r>
        <w:fldChar w:fldCharType="begin"/>
      </w:r>
      <w:r>
        <w:instrText xml:space="preserve"> REF _Ref75013998 \h </w:instrText>
      </w:r>
      <w:r>
        <w:fldChar w:fldCharType="separate"/>
      </w:r>
      <w:r w:rsidR="00183CC8">
        <w:t xml:space="preserve">Figure </w:t>
      </w:r>
      <w:r w:rsidR="00183CC8">
        <w:rPr>
          <w:noProof/>
        </w:rPr>
        <w:t>4</w:t>
      </w:r>
      <w:r w:rsidR="00183CC8">
        <w:t>.</w:t>
      </w:r>
      <w:r w:rsidR="00183CC8">
        <w:rPr>
          <w:noProof/>
        </w:rPr>
        <w:t>19</w:t>
      </w:r>
      <w:r>
        <w:fldChar w:fldCharType="end"/>
      </w:r>
      <w:r>
        <w:t xml:space="preserve">a,c). </w:t>
      </w:r>
      <w:r w:rsidR="00AB1CE5">
        <w:t>Various</w:t>
      </w:r>
      <w:r>
        <w:t xml:space="preserve"> division aberrations</w:t>
      </w:r>
      <w:r w:rsidR="00AB1CE5">
        <w:t xml:space="preserve"> were observed</w:t>
      </w:r>
      <w:r>
        <w:t>, including multiple septa and misplacement of septa (</w:t>
      </w:r>
      <w:r>
        <w:fldChar w:fldCharType="begin"/>
      </w:r>
      <w:r>
        <w:instrText xml:space="preserve"> REF _Ref75798843 \h </w:instrText>
      </w:r>
      <w:r>
        <w:fldChar w:fldCharType="separate"/>
      </w:r>
      <w:r w:rsidR="00183CC8">
        <w:t xml:space="preserve">Figure </w:t>
      </w:r>
      <w:r w:rsidR="00183CC8">
        <w:rPr>
          <w:noProof/>
        </w:rPr>
        <w:t>4</w:t>
      </w:r>
      <w:r w:rsidR="00183CC8">
        <w:t>.</w:t>
      </w:r>
      <w:r w:rsidR="00183CC8">
        <w:rPr>
          <w:noProof/>
        </w:rPr>
        <w:t>18</w:t>
      </w:r>
      <w:r>
        <w:fldChar w:fldCharType="end"/>
      </w:r>
      <w:r w:rsidR="007F4963">
        <w:t xml:space="preserve">, </w:t>
      </w:r>
      <w:r w:rsidR="007F4963">
        <w:fldChar w:fldCharType="begin"/>
      </w:r>
      <w:r w:rsidR="007F4963">
        <w:instrText xml:space="preserve"> REF _Ref75013998 \h </w:instrText>
      </w:r>
      <w:r w:rsidR="007F4963">
        <w:fldChar w:fldCharType="separate"/>
      </w:r>
      <w:r w:rsidR="00183CC8">
        <w:t xml:space="preserve">Figure </w:t>
      </w:r>
      <w:r w:rsidR="00183CC8">
        <w:rPr>
          <w:noProof/>
        </w:rPr>
        <w:t>4</w:t>
      </w:r>
      <w:r w:rsidR="00183CC8">
        <w:t>.</w:t>
      </w:r>
      <w:r w:rsidR="00183CC8">
        <w:rPr>
          <w:noProof/>
        </w:rPr>
        <w:t>19</w:t>
      </w:r>
      <w:r w:rsidR="007F4963">
        <w:fldChar w:fldCharType="end"/>
      </w:r>
      <w:r w:rsidR="007F4963">
        <w:t>b,</w:t>
      </w:r>
      <w:r>
        <w:t xml:space="preserve"> and </w:t>
      </w:r>
      <w:r>
        <w:fldChar w:fldCharType="begin"/>
      </w:r>
      <w:r>
        <w:instrText xml:space="preserve"> REF _Ref75024127 \h </w:instrText>
      </w:r>
      <w:r>
        <w:fldChar w:fldCharType="separate"/>
      </w:r>
      <w:r w:rsidR="00183CC8">
        <w:t xml:space="preserve">Figure </w:t>
      </w:r>
      <w:r w:rsidR="00183CC8">
        <w:rPr>
          <w:noProof/>
        </w:rPr>
        <w:t>4</w:t>
      </w:r>
      <w:r w:rsidR="00183CC8">
        <w:t>.</w:t>
      </w:r>
      <w:r w:rsidR="00183CC8">
        <w:rPr>
          <w:noProof/>
        </w:rPr>
        <w:t>20</w:t>
      </w:r>
      <w:r>
        <w:fldChar w:fldCharType="end"/>
      </w:r>
      <w:r>
        <w:t xml:space="preserve">). These aberrations are very much like the ones described for </w:t>
      </w:r>
      <w:r>
        <w:rPr>
          <w:i/>
          <w:iCs/>
        </w:rPr>
        <w:t>iltaS</w:t>
      </w:r>
      <w:r>
        <w:t xml:space="preserve"> (</w:t>
      </w:r>
      <w:r>
        <w:fldChar w:fldCharType="begin"/>
      </w:r>
      <w:r>
        <w:instrText xml:space="preserve"> REF _Ref74924348 \h </w:instrText>
      </w:r>
      <w:r>
        <w:fldChar w:fldCharType="separate"/>
      </w:r>
      <w:r w:rsidR="00183CC8">
        <w:t xml:space="preserve">Figure </w:t>
      </w:r>
      <w:r w:rsidR="00183CC8">
        <w:rPr>
          <w:noProof/>
        </w:rPr>
        <w:t>4</w:t>
      </w:r>
      <w:r w:rsidR="00183CC8">
        <w:t>.</w:t>
      </w:r>
      <w:r w:rsidR="00183CC8">
        <w:rPr>
          <w:noProof/>
        </w:rPr>
        <w:t>15</w:t>
      </w:r>
      <w:r>
        <w:fldChar w:fldCharType="end"/>
      </w:r>
      <w:r>
        <w:t xml:space="preserve"> and </w:t>
      </w:r>
      <w:r>
        <w:fldChar w:fldCharType="begin"/>
      </w:r>
      <w:r>
        <w:instrText xml:space="preserve"> REF _Ref74933723 \h </w:instrText>
      </w:r>
      <w:r>
        <w:fldChar w:fldCharType="separate"/>
      </w:r>
      <w:r w:rsidR="00183CC8">
        <w:t xml:space="preserve">Figure </w:t>
      </w:r>
      <w:r w:rsidR="00183CC8">
        <w:rPr>
          <w:noProof/>
        </w:rPr>
        <w:t>4</w:t>
      </w:r>
      <w:r w:rsidR="00183CC8">
        <w:t>.</w:t>
      </w:r>
      <w:r w:rsidR="00183CC8">
        <w:rPr>
          <w:noProof/>
        </w:rPr>
        <w:t>16</w:t>
      </w:r>
      <w:r>
        <w:fldChar w:fldCharType="end"/>
      </w:r>
      <w:r>
        <w:t>). Regardless of their size, many cells have developed the division anomalies, with 76.4 % of these having a bigger size and only 26.1 % having a “wildtype-normal” size (</w:t>
      </w:r>
      <w:r>
        <w:fldChar w:fldCharType="begin"/>
      </w:r>
      <w:r>
        <w:instrText xml:space="preserve"> REF _Ref77883118 \h </w:instrText>
      </w:r>
      <w:r>
        <w:fldChar w:fldCharType="separate"/>
      </w:r>
      <w:r w:rsidR="00183CC8">
        <w:t xml:space="preserve">Supplementary Figure </w:t>
      </w:r>
      <w:r w:rsidR="00183CC8">
        <w:rPr>
          <w:noProof/>
        </w:rPr>
        <w:t>2</w:t>
      </w:r>
      <w:r>
        <w:fldChar w:fldCharType="end"/>
      </w:r>
      <w:r>
        <w:t xml:space="preserve">). </w:t>
      </w:r>
    </w:p>
    <w:p w14:paraId="1FDF6D9C" w14:textId="0D09FEDF" w:rsidR="00E81027" w:rsidRDefault="00E81027" w:rsidP="00F10029">
      <w:pPr>
        <w:sectPr w:rsidR="00E81027" w:rsidSect="004D0E05">
          <w:pgSz w:w="11906" w:h="16838"/>
          <w:pgMar w:top="1191" w:right="1247" w:bottom="1191" w:left="1247" w:header="709" w:footer="709" w:gutter="0"/>
          <w:cols w:space="708"/>
          <w:titlePg/>
          <w:docGrid w:linePitch="360"/>
        </w:sectPr>
      </w:pPr>
    </w:p>
    <w:p w14:paraId="04E8EF9C" w14:textId="77777777" w:rsidR="00F10029" w:rsidRDefault="00F10029" w:rsidP="00646CF2">
      <w:pPr>
        <w:keepNext/>
        <w:jc w:val="center"/>
      </w:pPr>
      <w:r>
        <w:rPr>
          <w:noProof/>
        </w:rPr>
        <w:lastRenderedPageBreak/>
        <w:drawing>
          <wp:inline distT="0" distB="0" distL="0" distR="0" wp14:anchorId="076C308A" wp14:editId="1B739925">
            <wp:extent cx="5905308" cy="7176654"/>
            <wp:effectExtent l="0" t="0" r="63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31156" cy="7208067"/>
                    </a:xfrm>
                    <a:prstGeom prst="rect">
                      <a:avLst/>
                    </a:prstGeom>
                  </pic:spPr>
                </pic:pic>
              </a:graphicData>
            </a:graphic>
          </wp:inline>
        </w:drawing>
      </w:r>
    </w:p>
    <w:p w14:paraId="06F247E2" w14:textId="0C02F502" w:rsidR="00F10029" w:rsidRDefault="00F10029" w:rsidP="008A2B86">
      <w:pPr>
        <w:pStyle w:val="Caption"/>
      </w:pPr>
      <w:bookmarkStart w:id="659" w:name="_Ref74945643"/>
      <w:bookmarkStart w:id="660" w:name="_Toc90216976"/>
      <w:r>
        <w:t xml:space="preserve">Figure </w:t>
      </w:r>
      <w:r w:rsidR="003373BF">
        <w:fldChar w:fldCharType="begin"/>
      </w:r>
      <w:r w:rsidR="003373BF">
        <w:instrText xml:space="preserve"> STYL</w:instrText>
      </w:r>
      <w:r w:rsidR="003373BF">
        <w:instrText xml:space="preserve">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17</w:t>
      </w:r>
      <w:r w:rsidR="003373BF">
        <w:rPr>
          <w:noProof/>
        </w:rPr>
        <w:fldChar w:fldCharType="end"/>
      </w:r>
      <w:bookmarkEnd w:id="659"/>
      <w:r>
        <w:t xml:space="preserve"> </w:t>
      </w:r>
      <w:r w:rsidR="00494A5A">
        <w:t xml:space="preserve">Bacterial growth and cell volume of </w:t>
      </w:r>
      <w:r w:rsidR="00494A5A">
        <w:rPr>
          <w:i/>
        </w:rPr>
        <w:t xml:space="preserve">S. aureus </w:t>
      </w:r>
      <w:r w:rsidR="00494A5A">
        <w:t xml:space="preserve">SH1000 </w:t>
      </w:r>
      <w:r w:rsidR="00494A5A">
        <w:rPr>
          <w:i/>
        </w:rPr>
        <w:t>ltaS gdpP::kan</w:t>
      </w:r>
      <w:r>
        <w:t>.</w:t>
      </w:r>
      <w:bookmarkEnd w:id="660"/>
    </w:p>
    <w:p w14:paraId="612983A4" w14:textId="69C76DD0" w:rsidR="00983F94" w:rsidRDefault="00957A47" w:rsidP="00F10029">
      <w:pPr>
        <w:pStyle w:val="NoSpacing"/>
        <w:sectPr w:rsidR="00983F94" w:rsidSect="004D0E05">
          <w:pgSz w:w="11906" w:h="16838"/>
          <w:pgMar w:top="1191" w:right="1247" w:bottom="1191" w:left="1247" w:header="709" w:footer="709" w:gutter="0"/>
          <w:cols w:space="708"/>
          <w:titlePg/>
          <w:docGrid w:linePitch="360"/>
        </w:sectPr>
      </w:pPr>
      <w:r>
        <w:rPr>
          <w:b/>
          <w:bCs/>
        </w:rPr>
        <w:t>(A)</w:t>
      </w:r>
      <w:r>
        <w:t xml:space="preserve"> Absorbance and </w:t>
      </w:r>
      <w:r>
        <w:rPr>
          <w:b/>
          <w:bCs/>
        </w:rPr>
        <w:t>(B)</w:t>
      </w:r>
      <w:r>
        <w:t xml:space="preserve"> CFU/ml measurements for the compared growth of </w:t>
      </w:r>
      <w:r>
        <w:rPr>
          <w:i/>
          <w:iCs/>
        </w:rPr>
        <w:t xml:space="preserve">S. </w:t>
      </w:r>
      <w:r w:rsidRPr="00E97E72">
        <w:rPr>
          <w:i/>
          <w:iCs/>
        </w:rPr>
        <w:t>aureus</w:t>
      </w:r>
      <w:r>
        <w:t xml:space="preserve"> SH1000 (blue</w:t>
      </w:r>
      <w:r w:rsidR="00C056A9">
        <w:t>– 6 biological repeats</w:t>
      </w:r>
      <w:r>
        <w:t xml:space="preserve">) and </w:t>
      </w:r>
      <w:r>
        <w:rPr>
          <w:i/>
          <w:iCs/>
        </w:rPr>
        <w:t>ltaS gdpP</w:t>
      </w:r>
      <w:r>
        <w:t>::kan (purple</w:t>
      </w:r>
      <w:r w:rsidR="00C056A9">
        <w:t>– 3 biological repeats</w:t>
      </w:r>
      <w:r>
        <w:t>)</w:t>
      </w:r>
      <w:r w:rsidR="00F174FD">
        <w:t>.</w:t>
      </w:r>
      <w:r>
        <w:t xml:space="preserve"> </w:t>
      </w:r>
      <w:r>
        <w:rPr>
          <w:b/>
          <w:bCs/>
        </w:rPr>
        <w:t xml:space="preserve">(C) </w:t>
      </w:r>
      <w:r w:rsidR="00DE6E8E">
        <w:t xml:space="preserve">Representative </w:t>
      </w:r>
      <w:r>
        <w:t>OMX SIM images of NHS-ester Alexa Fluor™555 labelled cells for SH1000 (blue)</w:t>
      </w:r>
      <w:r w:rsidR="0051266C">
        <w:t xml:space="preserve">, </w:t>
      </w:r>
      <w:r>
        <w:rPr>
          <w:i/>
          <w:iCs/>
        </w:rPr>
        <w:t>ltaS</w:t>
      </w:r>
      <w:r w:rsidR="00277CB2">
        <w:rPr>
          <w:i/>
          <w:iCs/>
        </w:rPr>
        <w:t xml:space="preserve"> gdpP::kan</w:t>
      </w:r>
      <w:r>
        <w:t xml:space="preserve"> (</w:t>
      </w:r>
      <w:r w:rsidR="00277CB2">
        <w:t>purple</w:t>
      </w:r>
      <w:r>
        <w:t>)</w:t>
      </w:r>
      <w:r w:rsidR="0051266C">
        <w:t xml:space="preserve"> and control strain </w:t>
      </w:r>
      <w:r w:rsidR="0051266C">
        <w:rPr>
          <w:i/>
          <w:iCs/>
        </w:rPr>
        <w:t>gdpP::kan</w:t>
      </w:r>
      <w:r w:rsidR="0051266C">
        <w:t xml:space="preserve"> (grey)</w:t>
      </w:r>
      <w:r>
        <w:t xml:space="preserve">. Scale bar 1 µm. </w:t>
      </w:r>
      <w:r>
        <w:rPr>
          <w:b/>
          <w:bCs/>
        </w:rPr>
        <w:t>(D)</w:t>
      </w:r>
      <w:r>
        <w:t xml:space="preserve"> Cell volume estimation from SIM images. Statistical analysis: </w:t>
      </w:r>
      <w:r w:rsidR="001F7752">
        <w:t>t- test with Welch</w:t>
      </w:r>
      <w:r w:rsidR="000B568B">
        <w:t>’s co</w:t>
      </w:r>
      <w:r w:rsidR="001F7752">
        <w:t xml:space="preserve">rrection </w:t>
      </w:r>
      <w:r>
        <w:t xml:space="preserve">(**** p &lt; 0.0001, </w:t>
      </w:r>
      <w:r>
        <w:rPr>
          <w:i/>
          <w:iCs/>
        </w:rPr>
        <w:t>n</w:t>
      </w:r>
      <w:r>
        <w:t xml:space="preserve"> &gt; 100). </w:t>
      </w:r>
      <w:r>
        <w:rPr>
          <w:b/>
          <w:bCs/>
        </w:rPr>
        <w:t>(E)</w:t>
      </w:r>
      <w:r>
        <w:t xml:space="preserve"> Mean value ± standard deviation for volume estimation from </w:t>
      </w:r>
      <w:r w:rsidRPr="004D5980">
        <w:t>(</w:t>
      </w:r>
      <w:r>
        <w:t>D</w:t>
      </w:r>
      <w:r w:rsidR="00D506C0">
        <w:t>)</w:t>
      </w:r>
      <w:r w:rsidR="00F10029">
        <w:t>.</w:t>
      </w:r>
    </w:p>
    <w:p w14:paraId="0095D4BB" w14:textId="77777777" w:rsidR="00983F94" w:rsidRDefault="00983F94" w:rsidP="006E2AA6">
      <w:pPr>
        <w:pStyle w:val="NoSpacing"/>
        <w:keepNext/>
        <w:jc w:val="center"/>
      </w:pPr>
      <w:r>
        <w:rPr>
          <w:noProof/>
        </w:rPr>
        <w:lastRenderedPageBreak/>
        <w:drawing>
          <wp:inline distT="0" distB="0" distL="0" distR="0" wp14:anchorId="4ADAAC1E" wp14:editId="3D7A65C3">
            <wp:extent cx="5871409" cy="6927273"/>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66" cstate="print">
                      <a:extLst>
                        <a:ext uri="{BEBA8EAE-BF5A-486C-A8C5-ECC9F3942E4B}">
                          <a14:imgProps xmlns:a14="http://schemas.microsoft.com/office/drawing/2010/main">
                            <a14:imgLayer r:embed="rId67">
                              <a14:imgEffect>
                                <a14:brightnessContrast bright="7000"/>
                              </a14:imgEffect>
                            </a14:imgLayer>
                          </a14:imgProps>
                        </a:ext>
                        <a:ext uri="{28A0092B-C50C-407E-A947-70E740481C1C}">
                          <a14:useLocalDpi xmlns:a14="http://schemas.microsoft.com/office/drawing/2010/main" val="0"/>
                        </a:ext>
                      </a:extLst>
                    </a:blip>
                    <a:stretch>
                      <a:fillRect/>
                    </a:stretch>
                  </pic:blipFill>
                  <pic:spPr>
                    <a:xfrm>
                      <a:off x="0" y="0"/>
                      <a:ext cx="5884606" cy="6942844"/>
                    </a:xfrm>
                    <a:prstGeom prst="rect">
                      <a:avLst/>
                    </a:prstGeom>
                  </pic:spPr>
                </pic:pic>
              </a:graphicData>
            </a:graphic>
          </wp:inline>
        </w:drawing>
      </w:r>
    </w:p>
    <w:p w14:paraId="54944972" w14:textId="1E5D4467" w:rsidR="00403076" w:rsidRDefault="00983F94" w:rsidP="008A2B86">
      <w:pPr>
        <w:pStyle w:val="Caption"/>
        <w:rPr>
          <w:i/>
        </w:rPr>
      </w:pPr>
      <w:bookmarkStart w:id="661" w:name="_Ref75798843"/>
      <w:bookmarkStart w:id="662" w:name="_Toc90216977"/>
      <w:r>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18</w:t>
      </w:r>
      <w:r w:rsidR="003373BF">
        <w:rPr>
          <w:noProof/>
        </w:rPr>
        <w:fldChar w:fldCharType="end"/>
      </w:r>
      <w:bookmarkEnd w:id="661"/>
      <w:r>
        <w:t xml:space="preserve"> </w:t>
      </w:r>
      <w:r w:rsidR="00472BA6">
        <w:t xml:space="preserve">TEM and </w:t>
      </w:r>
      <w:r>
        <w:t>SEM micrographs of</w:t>
      </w:r>
      <w:r w:rsidR="00472BA6">
        <w:t xml:space="preserve"> chemically fixed</w:t>
      </w:r>
      <w:r>
        <w:t xml:space="preserve"> </w:t>
      </w:r>
      <w:r>
        <w:rPr>
          <w:i/>
        </w:rPr>
        <w:t>ltaS gdpP::kan.</w:t>
      </w:r>
      <w:bookmarkEnd w:id="662"/>
    </w:p>
    <w:p w14:paraId="691CDA97" w14:textId="31D854AE" w:rsidR="0096191F" w:rsidRPr="0096191F" w:rsidRDefault="001634A0" w:rsidP="0096191F">
      <w:pPr>
        <w:pStyle w:val="NoSpacing"/>
      </w:pPr>
      <w:r>
        <w:rPr>
          <w:b/>
          <w:bCs/>
        </w:rPr>
        <w:t xml:space="preserve">(A) </w:t>
      </w:r>
      <w:r>
        <w:t xml:space="preserve">TEM micrograph of chemically fixed </w:t>
      </w:r>
      <w:r>
        <w:rPr>
          <w:i/>
          <w:iCs/>
        </w:rPr>
        <w:t>S. aureus</w:t>
      </w:r>
      <w:r>
        <w:t xml:space="preserve"> </w:t>
      </w:r>
      <w:r>
        <w:rPr>
          <w:i/>
          <w:iCs/>
        </w:rPr>
        <w:t>ltaS gdpP::kan.</w:t>
      </w:r>
      <w:r>
        <w:t xml:space="preserve"> Magnification of 2900x. Scale bar 1 µm. </w:t>
      </w:r>
      <w:r>
        <w:rPr>
          <w:b/>
          <w:bCs/>
        </w:rPr>
        <w:t>(B)</w:t>
      </w:r>
      <w:r>
        <w:t xml:space="preserve"> </w:t>
      </w:r>
      <w:r w:rsidR="0096191F">
        <w:t xml:space="preserve">SEM micrographs of chemically fixed </w:t>
      </w:r>
      <w:r w:rsidR="0096191F">
        <w:rPr>
          <w:i/>
          <w:iCs/>
        </w:rPr>
        <w:t>ltaS gdpP::kan</w:t>
      </w:r>
      <w:r w:rsidR="0096191F">
        <w:t xml:space="preserve"> </w:t>
      </w:r>
      <w:r>
        <w:t xml:space="preserve">and </w:t>
      </w:r>
      <w:r w:rsidR="0026788D">
        <w:t>its comparison to SH1000</w:t>
      </w:r>
      <w:r>
        <w:t>.</w:t>
      </w:r>
      <w:r w:rsidR="001828FA">
        <w:t xml:space="preserve"> </w:t>
      </w:r>
      <w:r>
        <w:t>M</w:t>
      </w:r>
      <w:r w:rsidR="001828FA">
        <w:t xml:space="preserve">agnification </w:t>
      </w:r>
      <w:r w:rsidR="000D119F">
        <w:t>300</w:t>
      </w:r>
      <w:r w:rsidR="0096191F">
        <w:t xml:space="preserve">00x. </w:t>
      </w:r>
      <w:r w:rsidR="005E311A">
        <w:t xml:space="preserve">Scale bar 2 µm. </w:t>
      </w:r>
      <w:r w:rsidR="00AC31B2">
        <w:t>Red</w:t>
      </w:r>
      <w:r w:rsidR="001F0F78">
        <w:t xml:space="preserve"> arrow indicate morphological defects typical of the lack of lipoteichoic acids. </w:t>
      </w:r>
    </w:p>
    <w:p w14:paraId="7C7E8A89" w14:textId="73E9349C" w:rsidR="0096191F" w:rsidRPr="0096191F" w:rsidRDefault="0096191F" w:rsidP="0096191F">
      <w:pPr>
        <w:pStyle w:val="NoSpacing"/>
        <w:sectPr w:rsidR="0096191F" w:rsidRPr="0096191F" w:rsidSect="004D0E05">
          <w:pgSz w:w="11906" w:h="16838"/>
          <w:pgMar w:top="1191" w:right="1247" w:bottom="1191" w:left="1247" w:header="709" w:footer="709" w:gutter="0"/>
          <w:cols w:space="708"/>
          <w:titlePg/>
          <w:docGrid w:linePitch="360"/>
        </w:sectPr>
      </w:pPr>
    </w:p>
    <w:p w14:paraId="06DFAE8E" w14:textId="77777777" w:rsidR="00377727" w:rsidRDefault="00403076" w:rsidP="004C65EB">
      <w:pPr>
        <w:pStyle w:val="NoSpacing"/>
        <w:keepNext/>
        <w:jc w:val="center"/>
      </w:pPr>
      <w:r>
        <w:rPr>
          <w:noProof/>
        </w:rPr>
        <w:lastRenderedPageBreak/>
        <w:drawing>
          <wp:inline distT="0" distB="0" distL="0" distR="0" wp14:anchorId="333D3EE8" wp14:editId="11EEC709">
            <wp:extent cx="4560570" cy="735683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562203" cy="7359467"/>
                    </a:xfrm>
                    <a:prstGeom prst="rect">
                      <a:avLst/>
                    </a:prstGeom>
                  </pic:spPr>
                </pic:pic>
              </a:graphicData>
            </a:graphic>
          </wp:inline>
        </w:drawing>
      </w:r>
    </w:p>
    <w:p w14:paraId="5B70B703" w14:textId="03C025F9" w:rsidR="00F10029" w:rsidRDefault="00377727" w:rsidP="008A2B86">
      <w:pPr>
        <w:pStyle w:val="Caption"/>
        <w:rPr>
          <w:i/>
        </w:rPr>
      </w:pPr>
      <w:bookmarkStart w:id="663" w:name="_Ref75013998"/>
      <w:bookmarkStart w:id="664" w:name="_Toc90216978"/>
      <w:r>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19</w:t>
      </w:r>
      <w:r w:rsidR="003373BF">
        <w:rPr>
          <w:noProof/>
        </w:rPr>
        <w:fldChar w:fldCharType="end"/>
      </w:r>
      <w:bookmarkEnd w:id="663"/>
      <w:r>
        <w:t xml:space="preserve"> </w:t>
      </w:r>
      <w:r w:rsidR="00190F26">
        <w:t xml:space="preserve">Morphological quantification of </w:t>
      </w:r>
      <w:r w:rsidR="00190F26">
        <w:rPr>
          <w:i/>
        </w:rPr>
        <w:t xml:space="preserve">S. aureus </w:t>
      </w:r>
      <w:r w:rsidR="00190F26">
        <w:t xml:space="preserve">SH1000 </w:t>
      </w:r>
      <w:r w:rsidR="00190F26">
        <w:rPr>
          <w:i/>
        </w:rPr>
        <w:t>ltaS gdpP::kan</w:t>
      </w:r>
      <w:r w:rsidR="006563A5">
        <w:rPr>
          <w:i/>
        </w:rPr>
        <w:t>.</w:t>
      </w:r>
      <w:bookmarkEnd w:id="664"/>
    </w:p>
    <w:p w14:paraId="2E7D10DA" w14:textId="269F1614" w:rsidR="00C25DD8" w:rsidRDefault="009A2FB4" w:rsidP="009A2FB4">
      <w:pPr>
        <w:pStyle w:val="NoSpacing"/>
        <w:sectPr w:rsidR="00C25DD8" w:rsidSect="004D0E05">
          <w:pgSz w:w="11906" w:h="16838"/>
          <w:pgMar w:top="1191" w:right="1247" w:bottom="1191" w:left="1247" w:header="709" w:footer="709" w:gutter="0"/>
          <w:cols w:space="708"/>
          <w:titlePg/>
          <w:docGrid w:linePitch="360"/>
        </w:sectPr>
      </w:pPr>
      <w:r>
        <w:rPr>
          <w:b/>
          <w:bCs/>
        </w:rPr>
        <w:t>(A)</w:t>
      </w:r>
      <w:r>
        <w:t xml:space="preserve"> Normalised quantification of the percentage of SH1000 (blue) and </w:t>
      </w:r>
      <w:r>
        <w:rPr>
          <w:i/>
          <w:iCs/>
        </w:rPr>
        <w:t xml:space="preserve">ltaS gdpP::kan </w:t>
      </w:r>
      <w:r>
        <w:t>(</w:t>
      </w:r>
      <w:r w:rsidR="00034CC9">
        <w:t>purple</w:t>
      </w:r>
      <w:r>
        <w:t>) with no sept</w:t>
      </w:r>
      <w:r w:rsidR="008D0B55">
        <w:t>um</w:t>
      </w:r>
      <w:r>
        <w:t>, incomplete sept</w:t>
      </w:r>
      <w:r w:rsidR="008D0B55">
        <w:t>um</w:t>
      </w:r>
      <w:r>
        <w:t>, complete sept</w:t>
      </w:r>
      <w:r w:rsidR="008D0B55">
        <w:t>um</w:t>
      </w:r>
      <w:r>
        <w:t xml:space="preserve"> and growth defects</w:t>
      </w:r>
      <w:r w:rsidR="00371255">
        <w:t xml:space="preserve"> </w:t>
      </w:r>
      <w:r>
        <w:t>during early exponential phase. Floating bars</w:t>
      </w:r>
      <w:r w:rsidR="00610B45">
        <w:t xml:space="preserve"> </w:t>
      </w:r>
      <w:r>
        <w:t>represent the minimum, mean and maximum value.</w:t>
      </w:r>
      <w:r w:rsidR="00400F7B">
        <w:t xml:space="preserve"> </w:t>
      </w:r>
      <w:r w:rsidR="00400F7B">
        <w:rPr>
          <w:b/>
          <w:bCs/>
        </w:rPr>
        <w:t>(B</w:t>
      </w:r>
      <w:r w:rsidR="0012422B">
        <w:rPr>
          <w:b/>
          <w:bCs/>
        </w:rPr>
        <w:t xml:space="preserve">) </w:t>
      </w:r>
      <w:r>
        <w:t>Representative TEM micrographs</w:t>
      </w:r>
      <w:r w:rsidR="00610B45" w:rsidRPr="00610B45">
        <w:t xml:space="preserve"> </w:t>
      </w:r>
      <w:r w:rsidR="00610B45">
        <w:t>of</w:t>
      </w:r>
      <w:r w:rsidR="00474BBC">
        <w:t xml:space="preserve"> the categories in (A) for</w:t>
      </w:r>
      <w:r w:rsidR="00610B45">
        <w:t xml:space="preserve"> </w:t>
      </w:r>
      <w:r w:rsidR="00610B45">
        <w:rPr>
          <w:i/>
          <w:iCs/>
        </w:rPr>
        <w:t>ltaS gdpP::kan</w:t>
      </w:r>
      <w:r w:rsidR="002C7FA9">
        <w:t>.</w:t>
      </w:r>
      <w:r>
        <w:t xml:space="preserve"> </w:t>
      </w:r>
      <w:r w:rsidR="002C7FA9">
        <w:t>C</w:t>
      </w:r>
      <w:r>
        <w:t>ropped from high magnification (4800x</w:t>
      </w:r>
      <w:r w:rsidR="0012422B">
        <w:t xml:space="preserve"> and 2900x</w:t>
      </w:r>
      <w:r>
        <w:t>), scale bars </w:t>
      </w:r>
      <w:r w:rsidR="0012422B">
        <w:t>3</w:t>
      </w:r>
      <w:r>
        <w:t xml:space="preserve">00 nm. </w:t>
      </w:r>
      <w:r>
        <w:rPr>
          <w:b/>
          <w:bCs/>
        </w:rPr>
        <w:t>(</w:t>
      </w:r>
      <w:r w:rsidR="00E14815">
        <w:rPr>
          <w:b/>
          <w:bCs/>
        </w:rPr>
        <w:t>C</w:t>
      </w:r>
      <w:r>
        <w:rPr>
          <w:b/>
          <w:bCs/>
        </w:rPr>
        <w:t>)</w:t>
      </w:r>
      <w:r>
        <w:t xml:space="preserve"> Mean value ± standard deviation (SD) for each</w:t>
      </w:r>
      <w:r w:rsidR="00CE0DE7">
        <w:t xml:space="preserve"> quantification</w:t>
      </w:r>
      <w:r>
        <w:t xml:space="preserve"> category. Two biological repeats for each, with a total of </w:t>
      </w:r>
      <w:r>
        <w:rPr>
          <w:i/>
          <w:iCs/>
        </w:rPr>
        <w:t>n </w:t>
      </w:r>
      <w:r>
        <w:t xml:space="preserve">= 905 and </w:t>
      </w:r>
      <w:r>
        <w:rPr>
          <w:i/>
          <w:iCs/>
        </w:rPr>
        <w:t>n</w:t>
      </w:r>
      <w:r>
        <w:t xml:space="preserve"> = </w:t>
      </w:r>
      <w:r w:rsidR="00594530">
        <w:t>1467</w:t>
      </w:r>
      <w:r>
        <w:t xml:space="preserve"> cells analysed for SH1000 and </w:t>
      </w:r>
      <w:r w:rsidR="00C1271F">
        <w:rPr>
          <w:i/>
          <w:iCs/>
        </w:rPr>
        <w:t>ltaS gdpP::kan</w:t>
      </w:r>
      <w:r>
        <w:t>, respectively</w:t>
      </w:r>
      <w:r w:rsidR="000A3F51">
        <w:t>.</w:t>
      </w:r>
    </w:p>
    <w:p w14:paraId="6478502E" w14:textId="77777777" w:rsidR="00A3345A" w:rsidRDefault="00A3345A" w:rsidP="00BE5DBC">
      <w:pPr>
        <w:pStyle w:val="NoSpacing"/>
        <w:keepNext/>
        <w:jc w:val="center"/>
      </w:pPr>
      <w:r>
        <w:rPr>
          <w:noProof/>
        </w:rPr>
        <w:lastRenderedPageBreak/>
        <w:drawing>
          <wp:inline distT="0" distB="0" distL="0" distR="0" wp14:anchorId="6A97D5CC" wp14:editId="7FE16443">
            <wp:extent cx="5625771" cy="8449310"/>
            <wp:effectExtent l="0" t="0" r="63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628385" cy="8453236"/>
                    </a:xfrm>
                    <a:prstGeom prst="rect">
                      <a:avLst/>
                    </a:prstGeom>
                  </pic:spPr>
                </pic:pic>
              </a:graphicData>
            </a:graphic>
          </wp:inline>
        </w:drawing>
      </w:r>
    </w:p>
    <w:p w14:paraId="27D9283B" w14:textId="70ADA34E" w:rsidR="00F80EB1" w:rsidRDefault="00A3345A" w:rsidP="008A2B86">
      <w:pPr>
        <w:pStyle w:val="Caption"/>
        <w:rPr>
          <w:i/>
        </w:rPr>
      </w:pPr>
      <w:bookmarkStart w:id="665" w:name="_Ref75024127"/>
      <w:bookmarkStart w:id="666" w:name="_Toc90216979"/>
      <w:r>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20</w:t>
      </w:r>
      <w:r w:rsidR="003373BF">
        <w:rPr>
          <w:noProof/>
        </w:rPr>
        <w:fldChar w:fldCharType="end"/>
      </w:r>
      <w:bookmarkEnd w:id="665"/>
      <w:r w:rsidR="00666959">
        <w:t xml:space="preserve"> High magnification TEM micrographs of</w:t>
      </w:r>
      <w:r w:rsidR="00DE73FE">
        <w:t xml:space="preserve"> chemically fixed</w:t>
      </w:r>
      <w:r w:rsidR="00666959">
        <w:t xml:space="preserve"> </w:t>
      </w:r>
      <w:r w:rsidR="00666959">
        <w:rPr>
          <w:i/>
        </w:rPr>
        <w:t>S. aureus ltaS gdpP::kan.</w:t>
      </w:r>
      <w:bookmarkEnd w:id="666"/>
    </w:p>
    <w:p w14:paraId="1598804F" w14:textId="0B7C74EB" w:rsidR="00F75031" w:rsidRPr="008F368B" w:rsidRDefault="008F368B" w:rsidP="008F368B">
      <w:pPr>
        <w:pStyle w:val="NoSpacing"/>
      </w:pPr>
      <w:r>
        <w:t xml:space="preserve">Chemically fixed </w:t>
      </w:r>
      <w:r>
        <w:rPr>
          <w:i/>
          <w:iCs/>
        </w:rPr>
        <w:t>S. aureus ltaS gdpP::kan</w:t>
      </w:r>
      <w:r>
        <w:t xml:space="preserve"> at 4800x magnification.</w:t>
      </w:r>
      <w:r w:rsidR="00C75128">
        <w:t xml:space="preserve"> Scale bar 500 nm.</w:t>
      </w:r>
    </w:p>
    <w:p w14:paraId="712B32F3" w14:textId="4CFE863D" w:rsidR="009A2FB4" w:rsidRPr="009A2FB4" w:rsidRDefault="009A2FB4" w:rsidP="009A2FB4">
      <w:pPr>
        <w:pStyle w:val="NoSpacing"/>
        <w:sectPr w:rsidR="009A2FB4" w:rsidRPr="009A2FB4" w:rsidSect="004D0E05">
          <w:pgSz w:w="11906" w:h="16838"/>
          <w:pgMar w:top="1191" w:right="1247" w:bottom="1191" w:left="1247" w:header="709" w:footer="709" w:gutter="0"/>
          <w:cols w:space="708"/>
          <w:titlePg/>
          <w:docGrid w:linePitch="360"/>
        </w:sectPr>
      </w:pPr>
    </w:p>
    <w:p w14:paraId="266BCD82" w14:textId="42EF69E5" w:rsidR="00F43B86" w:rsidRDefault="00575584" w:rsidP="00F43B86">
      <w:pPr>
        <w:pStyle w:val="Heading3"/>
      </w:pPr>
      <w:bookmarkStart w:id="667" w:name="_Toc90216891"/>
      <w:bookmarkStart w:id="668" w:name="_Toc64276377"/>
      <w:bookmarkStart w:id="669" w:name="_Toc64276681"/>
      <w:bookmarkStart w:id="670" w:name="_Toc64276893"/>
      <w:r>
        <w:lastRenderedPageBreak/>
        <w:t>E</w:t>
      </w:r>
      <w:r w:rsidR="00B96923">
        <w:t>ffect</w:t>
      </w:r>
      <w:r>
        <w:t xml:space="preserve"> of the lack of LTA</w:t>
      </w:r>
      <w:r w:rsidR="00B96923">
        <w:t xml:space="preserve"> on the </w:t>
      </w:r>
      <w:r w:rsidR="00722FB0">
        <w:t xml:space="preserve">bacterial envelope and </w:t>
      </w:r>
      <w:r w:rsidR="00B96923">
        <w:t>exoplasmic space</w:t>
      </w:r>
      <w:r w:rsidR="00A1722F">
        <w:t>.</w:t>
      </w:r>
      <w:bookmarkEnd w:id="667"/>
    </w:p>
    <w:p w14:paraId="57B4AD04" w14:textId="6EAE678C" w:rsidR="00F75031" w:rsidRDefault="00996682" w:rsidP="00F75031">
      <w:pPr>
        <w:pStyle w:val="BodyThesis"/>
      </w:pPr>
      <w:r>
        <w:t xml:space="preserve">Despite a </w:t>
      </w:r>
      <w:r w:rsidR="00E65835">
        <w:t>large</w:t>
      </w:r>
      <w:r>
        <w:t xml:space="preserve"> percentage of the sample population showing LTA-characteristic defects, </w:t>
      </w:r>
      <w:r w:rsidR="00164B40">
        <w:t>this study</w:t>
      </w:r>
      <w:r>
        <w:t xml:space="preserve"> shows that ~ 4</w:t>
      </w:r>
      <w:r w:rsidR="005658EF">
        <w:t>1.2</w:t>
      </w:r>
      <w:r>
        <w:t xml:space="preserve"> % have a normal </w:t>
      </w:r>
      <w:r w:rsidR="00C514D3">
        <w:t xml:space="preserve">cell size and </w:t>
      </w:r>
      <w:r>
        <w:t>morphology</w:t>
      </w:r>
      <w:r w:rsidR="006A0132">
        <w:t xml:space="preserve"> (</w:t>
      </w:r>
      <w:r w:rsidR="006A0132">
        <w:fldChar w:fldCharType="begin"/>
      </w:r>
      <w:r w:rsidR="006A0132">
        <w:instrText xml:space="preserve"> REF _Ref77883118 \h </w:instrText>
      </w:r>
      <w:r w:rsidR="006A0132">
        <w:fldChar w:fldCharType="separate"/>
      </w:r>
      <w:r w:rsidR="00183CC8">
        <w:t xml:space="preserve">Supplementary Figure </w:t>
      </w:r>
      <w:r w:rsidR="00183CC8">
        <w:rPr>
          <w:noProof/>
        </w:rPr>
        <w:t>2</w:t>
      </w:r>
      <w:r w:rsidR="006A0132">
        <w:fldChar w:fldCharType="end"/>
      </w:r>
      <w:r w:rsidR="006A0132">
        <w:t>)</w:t>
      </w:r>
      <w:r w:rsidR="00077940">
        <w:t xml:space="preserve"> and restored cell growth</w:t>
      </w:r>
      <w:r w:rsidR="006A0132">
        <w:t xml:space="preserve"> (</w:t>
      </w:r>
      <w:r w:rsidR="006A0132">
        <w:fldChar w:fldCharType="begin"/>
      </w:r>
      <w:r w:rsidR="006A0132">
        <w:instrText xml:space="preserve"> REF _Ref74945643 \h </w:instrText>
      </w:r>
      <w:r w:rsidR="006A0132">
        <w:fldChar w:fldCharType="separate"/>
      </w:r>
      <w:r w:rsidR="00183CC8">
        <w:t xml:space="preserve">Figure </w:t>
      </w:r>
      <w:r w:rsidR="00183CC8">
        <w:rPr>
          <w:noProof/>
        </w:rPr>
        <w:t>4</w:t>
      </w:r>
      <w:r w:rsidR="00183CC8">
        <w:t>.</w:t>
      </w:r>
      <w:r w:rsidR="00183CC8">
        <w:rPr>
          <w:noProof/>
        </w:rPr>
        <w:t>17</w:t>
      </w:r>
      <w:r w:rsidR="006A0132">
        <w:fldChar w:fldCharType="end"/>
      </w:r>
      <w:r w:rsidR="006A0132">
        <w:t>)</w:t>
      </w:r>
      <w:r w:rsidR="00C514D3">
        <w:t xml:space="preserve">. This makes </w:t>
      </w:r>
      <w:r w:rsidR="00C514D3">
        <w:rPr>
          <w:i/>
          <w:iCs/>
        </w:rPr>
        <w:t>ltaS gdpP::kan</w:t>
      </w:r>
      <w:r w:rsidR="00C514D3">
        <w:t xml:space="preserve"> a </w:t>
      </w:r>
      <w:r w:rsidR="00720EC4">
        <w:t>more suitable</w:t>
      </w:r>
      <w:r w:rsidR="00C514D3">
        <w:t xml:space="preserve"> strain than </w:t>
      </w:r>
      <w:r w:rsidR="00C514D3">
        <w:rPr>
          <w:i/>
          <w:iCs/>
        </w:rPr>
        <w:t>iltaS</w:t>
      </w:r>
      <w:r w:rsidR="00C514D3">
        <w:t xml:space="preserve"> for the study of LTA and </w:t>
      </w:r>
      <w:r w:rsidR="005E66F5">
        <w:t>its</w:t>
      </w:r>
      <w:r w:rsidR="00C514D3">
        <w:t xml:space="preserve"> role in exoplasm maintenance.</w:t>
      </w:r>
      <w:r w:rsidR="00632567">
        <w:t xml:space="preserve"> The next step was to </w:t>
      </w:r>
      <w:r w:rsidR="00173FA3">
        <w:t>determine</w:t>
      </w:r>
      <w:r w:rsidR="00632567">
        <w:t xml:space="preserve"> if there </w:t>
      </w:r>
      <w:r w:rsidR="00BA5171">
        <w:t>were</w:t>
      </w:r>
      <w:r w:rsidR="00632567">
        <w:t xml:space="preserve"> any visible differences in morphology with freeze-substitution</w:t>
      </w:r>
      <w:r w:rsidR="00107B5D">
        <w:t xml:space="preserve"> (FS)</w:t>
      </w:r>
      <w:r w:rsidR="00632567">
        <w:t xml:space="preserve"> TEM, as this technique provides better structural preservation for bacterial envelope analysis.</w:t>
      </w:r>
    </w:p>
    <w:p w14:paraId="04738B55" w14:textId="0B58119D" w:rsidR="0022781C" w:rsidRDefault="009537FD" w:rsidP="00F75031">
      <w:pPr>
        <w:pStyle w:val="BodyThesis"/>
      </w:pPr>
      <w:r>
        <w:t xml:space="preserve">Only a handful of </w:t>
      </w:r>
      <w:r w:rsidR="00690925">
        <w:t xml:space="preserve">FS-TEM </w:t>
      </w:r>
      <w:r>
        <w:t xml:space="preserve">micrographs were acquired, and the </w:t>
      </w:r>
      <w:r w:rsidR="00437C25">
        <w:t>majority</w:t>
      </w:r>
      <w:r>
        <w:t xml:space="preserve"> presented badly vitrified samples. </w:t>
      </w:r>
      <w:r w:rsidR="00DE73FE">
        <w:fldChar w:fldCharType="begin"/>
      </w:r>
      <w:r w:rsidR="00DE73FE">
        <w:instrText xml:space="preserve"> REF _Ref75098847 \h </w:instrText>
      </w:r>
      <w:r w:rsidR="00DE73FE">
        <w:fldChar w:fldCharType="separate"/>
      </w:r>
      <w:r w:rsidR="00183CC8">
        <w:t xml:space="preserve">Figure </w:t>
      </w:r>
      <w:r w:rsidR="00183CC8">
        <w:rPr>
          <w:noProof/>
        </w:rPr>
        <w:t>4</w:t>
      </w:r>
      <w:r w:rsidR="00183CC8">
        <w:t>.</w:t>
      </w:r>
      <w:r w:rsidR="00183CC8">
        <w:rPr>
          <w:noProof/>
        </w:rPr>
        <w:t>21</w:t>
      </w:r>
      <w:r w:rsidR="00DE73FE">
        <w:fldChar w:fldCharType="end"/>
      </w:r>
      <w:r w:rsidR="00690925">
        <w:t xml:space="preserve"> </w:t>
      </w:r>
      <w:r w:rsidR="005D29AB">
        <w:t xml:space="preserve">and </w:t>
      </w:r>
      <w:r w:rsidR="00DE73FE">
        <w:fldChar w:fldCharType="begin"/>
      </w:r>
      <w:r w:rsidR="00DE73FE">
        <w:instrText xml:space="preserve"> REF _Ref75098850 \h </w:instrText>
      </w:r>
      <w:r w:rsidR="00DE73FE">
        <w:fldChar w:fldCharType="separate"/>
      </w:r>
      <w:r w:rsidR="00183CC8">
        <w:t xml:space="preserve">Figure </w:t>
      </w:r>
      <w:r w:rsidR="00183CC8">
        <w:rPr>
          <w:noProof/>
        </w:rPr>
        <w:t>4</w:t>
      </w:r>
      <w:r w:rsidR="00183CC8">
        <w:t>.</w:t>
      </w:r>
      <w:r w:rsidR="00183CC8">
        <w:rPr>
          <w:noProof/>
        </w:rPr>
        <w:t>22</w:t>
      </w:r>
      <w:r w:rsidR="00DE73FE">
        <w:fldChar w:fldCharType="end"/>
      </w:r>
      <w:r>
        <w:t xml:space="preserve"> show</w:t>
      </w:r>
      <w:r w:rsidR="00690925">
        <w:t xml:space="preserve"> a</w:t>
      </w:r>
      <w:r>
        <w:t xml:space="preserve"> </w:t>
      </w:r>
      <w:r w:rsidR="005D29AB">
        <w:t>selection of the</w:t>
      </w:r>
      <w:r w:rsidR="00690925">
        <w:t>se</w:t>
      </w:r>
      <w:r w:rsidR="005D29AB">
        <w:t xml:space="preserve"> micrographs with</w:t>
      </w:r>
      <w:r w:rsidR="00690925">
        <w:t xml:space="preserve"> the</w:t>
      </w:r>
      <w:r w:rsidR="005D29AB">
        <w:t xml:space="preserve"> least burst cells, although there are still signs of cell damage. </w:t>
      </w:r>
      <w:r w:rsidR="003B75F5">
        <w:t xml:space="preserve">Similarly to SH1000, the images showed a heavily stained population and a lesser stained one with more </w:t>
      </w:r>
      <w:r w:rsidR="00690925">
        <w:t xml:space="preserve">structural </w:t>
      </w:r>
      <w:r w:rsidR="003B75F5">
        <w:t>detail at the bacterial envelope</w:t>
      </w:r>
      <w:r w:rsidR="009E0D34">
        <w:t>.</w:t>
      </w:r>
      <w:r w:rsidR="00567244">
        <w:t xml:space="preserve"> </w:t>
      </w:r>
      <w:r w:rsidR="001743D8">
        <w:t xml:space="preserve">A closeup look at the envelope of FS </w:t>
      </w:r>
      <w:r w:rsidR="00D62DBE" w:rsidRPr="00D62DBE">
        <w:rPr>
          <w:i/>
          <w:iCs/>
        </w:rPr>
        <w:t>iltaS</w:t>
      </w:r>
      <w:r w:rsidR="00D62DBE">
        <w:t xml:space="preserve"> and </w:t>
      </w:r>
      <w:r w:rsidR="001743D8" w:rsidRPr="00D62DBE">
        <w:rPr>
          <w:i/>
          <w:iCs/>
        </w:rPr>
        <w:t>ltaS</w:t>
      </w:r>
      <w:r w:rsidR="001743D8">
        <w:rPr>
          <w:i/>
          <w:iCs/>
        </w:rPr>
        <w:t xml:space="preserve"> gdpP::kan</w:t>
      </w:r>
      <w:r w:rsidR="001743D8">
        <w:t xml:space="preserve"> showed the same </w:t>
      </w:r>
      <w:r w:rsidR="00631EEE">
        <w:t xml:space="preserve">visible </w:t>
      </w:r>
      <w:r w:rsidR="001743D8">
        <w:t xml:space="preserve">structure </w:t>
      </w:r>
      <w:r w:rsidR="009106DA">
        <w:t>as</w:t>
      </w:r>
      <w:r w:rsidR="001743D8">
        <w:t xml:space="preserve"> SH1000</w:t>
      </w:r>
      <w:r w:rsidR="00E07D26">
        <w:t>, with two additional and unidentified layers</w:t>
      </w:r>
      <w:r w:rsidR="001743D8">
        <w:t xml:space="preserve"> (</w:t>
      </w:r>
      <w:r w:rsidR="000810BA">
        <w:fldChar w:fldCharType="begin"/>
      </w:r>
      <w:r w:rsidR="000810BA">
        <w:instrText xml:space="preserve"> REF _Ref75076238 \h </w:instrText>
      </w:r>
      <w:r w:rsidR="000810BA">
        <w:fldChar w:fldCharType="separate"/>
      </w:r>
      <w:r w:rsidR="00183CC8">
        <w:t xml:space="preserve">Figure </w:t>
      </w:r>
      <w:r w:rsidR="00183CC8">
        <w:rPr>
          <w:noProof/>
        </w:rPr>
        <w:t>4</w:t>
      </w:r>
      <w:r w:rsidR="00183CC8">
        <w:t>.</w:t>
      </w:r>
      <w:r w:rsidR="00183CC8">
        <w:rPr>
          <w:noProof/>
        </w:rPr>
        <w:t>23</w:t>
      </w:r>
      <w:r w:rsidR="000810BA">
        <w:fldChar w:fldCharType="end"/>
      </w:r>
      <w:r w:rsidR="00E07D26">
        <w:t>, layer I and II</w:t>
      </w:r>
      <w:r w:rsidR="000810BA">
        <w:t>)</w:t>
      </w:r>
      <w:r w:rsidR="009106DA">
        <w:t xml:space="preserve">. </w:t>
      </w:r>
    </w:p>
    <w:p w14:paraId="7F5F3C9D" w14:textId="3FD84D66" w:rsidR="00554676" w:rsidRPr="00554676" w:rsidRDefault="00554676" w:rsidP="00F75031">
      <w:pPr>
        <w:pStyle w:val="BodyThesis"/>
        <w:sectPr w:rsidR="00554676" w:rsidRPr="00554676" w:rsidSect="004D0E05">
          <w:pgSz w:w="11906" w:h="16838"/>
          <w:pgMar w:top="1191" w:right="1247" w:bottom="1191" w:left="1247" w:header="709" w:footer="709" w:gutter="0"/>
          <w:cols w:space="708"/>
          <w:titlePg/>
          <w:docGrid w:linePitch="360"/>
        </w:sectPr>
      </w:pPr>
      <w:r>
        <w:t xml:space="preserve">Unfortunately, </w:t>
      </w:r>
      <w:r w:rsidR="00330202">
        <w:t xml:space="preserve">time and accessibility restraints meant that </w:t>
      </w:r>
      <w:r>
        <w:t xml:space="preserve">neither </w:t>
      </w:r>
      <w:r>
        <w:rPr>
          <w:i/>
          <w:iCs/>
        </w:rPr>
        <w:t>iltaS</w:t>
      </w:r>
      <w:r>
        <w:t xml:space="preserve"> nor </w:t>
      </w:r>
      <w:r>
        <w:rPr>
          <w:i/>
          <w:iCs/>
        </w:rPr>
        <w:t xml:space="preserve">ltaS gdpP::kan </w:t>
      </w:r>
      <w:r>
        <w:t xml:space="preserve">could be analysed by CEMOVIS </w:t>
      </w:r>
      <w:r w:rsidR="00CE4C94">
        <w:t>for a detailed study of its effect on the exoplasmic space</w:t>
      </w:r>
      <w:r w:rsidR="00E61433">
        <w:t>.</w:t>
      </w:r>
      <w:r>
        <w:t xml:space="preserve"> </w:t>
      </w:r>
    </w:p>
    <w:p w14:paraId="20B815C8" w14:textId="77777777" w:rsidR="0022781C" w:rsidRDefault="0022781C" w:rsidP="00DC4264">
      <w:pPr>
        <w:pStyle w:val="BodyThesis"/>
        <w:keepNext/>
        <w:jc w:val="center"/>
      </w:pPr>
      <w:r>
        <w:rPr>
          <w:noProof/>
        </w:rPr>
        <w:lastRenderedPageBreak/>
        <w:drawing>
          <wp:inline distT="0" distB="0" distL="0" distR="0" wp14:anchorId="164141F0" wp14:editId="05E57E21">
            <wp:extent cx="5915886" cy="5985163"/>
            <wp:effectExtent l="0" t="0" r="2540" b="0"/>
            <wp:docPr id="94" name="Picture 94" descr="A collage of black and white circ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collage of black and white circles&#10;&#10;Description automatically generated with low confidence"/>
                    <pic:cNvPicPr/>
                  </pic:nvPicPr>
                  <pic:blipFill>
                    <a:blip r:embed="rId70" cstate="print">
                      <a:extLst>
                        <a:ext uri="{BEBA8EAE-BF5A-486C-A8C5-ECC9F3942E4B}">
                          <a14:imgProps xmlns:a14="http://schemas.microsoft.com/office/drawing/2010/main">
                            <a14:imgLayer r:embed="rId71">
                              <a14:imgEffect>
                                <a14:brightnessContrast bright="13000"/>
                              </a14:imgEffect>
                            </a14:imgLayer>
                          </a14:imgProps>
                        </a:ext>
                        <a:ext uri="{28A0092B-C50C-407E-A947-70E740481C1C}">
                          <a14:useLocalDpi xmlns:a14="http://schemas.microsoft.com/office/drawing/2010/main" val="0"/>
                        </a:ext>
                      </a:extLst>
                    </a:blip>
                    <a:stretch>
                      <a:fillRect/>
                    </a:stretch>
                  </pic:blipFill>
                  <pic:spPr>
                    <a:xfrm>
                      <a:off x="0" y="0"/>
                      <a:ext cx="5939393" cy="6008945"/>
                    </a:xfrm>
                    <a:prstGeom prst="rect">
                      <a:avLst/>
                    </a:prstGeom>
                  </pic:spPr>
                </pic:pic>
              </a:graphicData>
            </a:graphic>
          </wp:inline>
        </w:drawing>
      </w:r>
    </w:p>
    <w:p w14:paraId="18083060" w14:textId="1702E6B3" w:rsidR="001743D8" w:rsidRDefault="0022781C" w:rsidP="008A2B86">
      <w:pPr>
        <w:pStyle w:val="Caption"/>
      </w:pPr>
      <w:bookmarkStart w:id="671" w:name="_Ref75098847"/>
      <w:bookmarkStart w:id="672" w:name="_Toc90216980"/>
      <w:r>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21</w:t>
      </w:r>
      <w:r w:rsidR="003373BF">
        <w:rPr>
          <w:noProof/>
        </w:rPr>
        <w:fldChar w:fldCharType="end"/>
      </w:r>
      <w:bookmarkEnd w:id="671"/>
      <w:r w:rsidR="00DF2731" w:rsidRPr="00DF2731">
        <w:t xml:space="preserve"> </w:t>
      </w:r>
      <w:r w:rsidR="00DF2731">
        <w:t xml:space="preserve">Low and mid-magnification TEM micrographs of freeze-substituted </w:t>
      </w:r>
      <w:r w:rsidR="00DF2731">
        <w:rPr>
          <w:i/>
        </w:rPr>
        <w:t>S. aureus ltaS gdpP::kan</w:t>
      </w:r>
      <w:bookmarkEnd w:id="672"/>
    </w:p>
    <w:p w14:paraId="4A4D0742" w14:textId="30E141C5" w:rsidR="0022781C" w:rsidRDefault="00374EDC" w:rsidP="0022781C">
      <w:pPr>
        <w:pStyle w:val="NoSpacing"/>
        <w:sectPr w:rsidR="0022781C" w:rsidSect="004D0E05">
          <w:pgSz w:w="11906" w:h="16838"/>
          <w:pgMar w:top="1191" w:right="1247" w:bottom="1191" w:left="1247" w:header="709" w:footer="709" w:gutter="0"/>
          <w:cols w:space="708"/>
          <w:titlePg/>
          <w:docGrid w:linePitch="360"/>
        </w:sectPr>
      </w:pPr>
      <w:r>
        <w:t xml:space="preserve">TEM micrographs of freeze-substituted </w:t>
      </w:r>
      <w:r>
        <w:rPr>
          <w:i/>
          <w:iCs/>
        </w:rPr>
        <w:t>S. aureus ltaS g</w:t>
      </w:r>
      <w:r w:rsidR="0027784D">
        <w:rPr>
          <w:i/>
          <w:iCs/>
        </w:rPr>
        <w:t>d</w:t>
      </w:r>
      <w:r>
        <w:rPr>
          <w:i/>
          <w:iCs/>
        </w:rPr>
        <w:t>pP::kan</w:t>
      </w:r>
      <w:r>
        <w:t xml:space="preserve"> at </w:t>
      </w:r>
      <w:r>
        <w:rPr>
          <w:b/>
          <w:bCs/>
        </w:rPr>
        <w:t>(A)</w:t>
      </w:r>
      <w:r>
        <w:t xml:space="preserve"> </w:t>
      </w:r>
      <w:r w:rsidR="00B03EEC">
        <w:t xml:space="preserve">1400x and </w:t>
      </w:r>
      <w:r w:rsidR="00B03EEC">
        <w:rPr>
          <w:b/>
          <w:bCs/>
        </w:rPr>
        <w:t>(B)</w:t>
      </w:r>
      <w:r w:rsidR="00B03EEC">
        <w:t xml:space="preserve"> 2900x</w:t>
      </w:r>
      <w:r>
        <w:t>.</w:t>
      </w:r>
      <w:r w:rsidR="00065F01">
        <w:t xml:space="preserve"> </w:t>
      </w:r>
      <w:r>
        <w:t>Scale bars</w:t>
      </w:r>
      <w:r w:rsidR="009F5209">
        <w:t xml:space="preserve"> </w:t>
      </w:r>
      <w:r>
        <w:t>1 µm</w:t>
      </w:r>
      <w:r w:rsidR="0022781C">
        <w:t>.</w:t>
      </w:r>
    </w:p>
    <w:p w14:paraId="40F6087C" w14:textId="77777777" w:rsidR="0022781C" w:rsidRDefault="0022781C" w:rsidP="0022781C">
      <w:pPr>
        <w:pStyle w:val="NoSpacing"/>
        <w:keepNext/>
        <w:jc w:val="center"/>
      </w:pPr>
      <w:r>
        <w:rPr>
          <w:noProof/>
        </w:rPr>
        <w:lastRenderedPageBreak/>
        <w:drawing>
          <wp:inline distT="0" distB="0" distL="0" distR="0" wp14:anchorId="1A7384D5" wp14:editId="483227EF">
            <wp:extent cx="5472951" cy="8293544"/>
            <wp:effectExtent l="0" t="0" r="1270" b="0"/>
            <wp:docPr id="95" name="Picture 95" descr="A picture containing text, indoor, outdoor object, pizz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indoor, outdoor object, pizza&#10;&#10;Description automatically generated"/>
                    <pic:cNvPicPr/>
                  </pic:nvPicPr>
                  <pic:blipFill>
                    <a:blip r:embed="rId72" cstate="print">
                      <a:extLst>
                        <a:ext uri="{BEBA8EAE-BF5A-486C-A8C5-ECC9F3942E4B}">
                          <a14:imgProps xmlns:a14="http://schemas.microsoft.com/office/drawing/2010/main">
                            <a14:imgLayer r:embed="rId73">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5493950" cy="8325365"/>
                    </a:xfrm>
                    <a:prstGeom prst="rect">
                      <a:avLst/>
                    </a:prstGeom>
                  </pic:spPr>
                </pic:pic>
              </a:graphicData>
            </a:graphic>
          </wp:inline>
        </w:drawing>
      </w:r>
    </w:p>
    <w:p w14:paraId="0D92742A" w14:textId="5AE45C16" w:rsidR="0022781C" w:rsidRPr="002F60C9" w:rsidRDefault="0022781C" w:rsidP="008A2B86">
      <w:pPr>
        <w:pStyle w:val="Caption"/>
        <w:rPr>
          <w:i/>
        </w:rPr>
      </w:pPr>
      <w:bookmarkStart w:id="673" w:name="_Ref75098850"/>
      <w:bookmarkStart w:id="674" w:name="_Toc90216981"/>
      <w:r>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22</w:t>
      </w:r>
      <w:r w:rsidR="003373BF">
        <w:rPr>
          <w:noProof/>
        </w:rPr>
        <w:fldChar w:fldCharType="end"/>
      </w:r>
      <w:bookmarkEnd w:id="673"/>
      <w:r w:rsidR="002F60C9">
        <w:t xml:space="preserve"> High magnification TEM micrographs of free</w:t>
      </w:r>
      <w:r w:rsidR="00472208">
        <w:t>z</w:t>
      </w:r>
      <w:r w:rsidR="002F60C9">
        <w:t xml:space="preserve">e-substituted </w:t>
      </w:r>
      <w:r w:rsidR="002F60C9">
        <w:rPr>
          <w:i/>
        </w:rPr>
        <w:t>S. aure</w:t>
      </w:r>
      <w:r w:rsidR="00472208">
        <w:rPr>
          <w:i/>
        </w:rPr>
        <w:t>u</w:t>
      </w:r>
      <w:r w:rsidR="002F60C9">
        <w:rPr>
          <w:i/>
        </w:rPr>
        <w:t>s ltaS gdpP::kan.</w:t>
      </w:r>
      <w:bookmarkEnd w:id="674"/>
    </w:p>
    <w:p w14:paraId="3BBA5055" w14:textId="368CBCD2" w:rsidR="0022781C" w:rsidRPr="0022781C" w:rsidRDefault="00D24AAD" w:rsidP="0022781C">
      <w:pPr>
        <w:pStyle w:val="NoSpacing"/>
      </w:pPr>
      <w:r>
        <w:t xml:space="preserve">TEM micrographs of freeze-substituted </w:t>
      </w:r>
      <w:r>
        <w:rPr>
          <w:i/>
          <w:iCs/>
        </w:rPr>
        <w:t>S. aureus ltaS g</w:t>
      </w:r>
      <w:r w:rsidR="002622D6">
        <w:rPr>
          <w:i/>
          <w:iCs/>
        </w:rPr>
        <w:t>d</w:t>
      </w:r>
      <w:r>
        <w:rPr>
          <w:i/>
          <w:iCs/>
        </w:rPr>
        <w:t>pP::kan</w:t>
      </w:r>
      <w:r>
        <w:t xml:space="preserve"> at </w:t>
      </w:r>
      <w:r>
        <w:rPr>
          <w:b/>
          <w:bCs/>
        </w:rPr>
        <w:t>(A)</w:t>
      </w:r>
      <w:r>
        <w:t xml:space="preserve"> 6800x and </w:t>
      </w:r>
      <w:r>
        <w:rPr>
          <w:b/>
          <w:bCs/>
        </w:rPr>
        <w:t>(B)</w:t>
      </w:r>
      <w:r>
        <w:t xml:space="preserve"> 9300x. Scale bars 300 nm</w:t>
      </w:r>
      <w:r w:rsidR="0022781C">
        <w:t>.</w:t>
      </w:r>
    </w:p>
    <w:p w14:paraId="4B50C299" w14:textId="3A52DD7F" w:rsidR="00726A78" w:rsidRDefault="00726A78" w:rsidP="00F75031">
      <w:pPr>
        <w:pStyle w:val="BodyThesis"/>
        <w:sectPr w:rsidR="00726A78" w:rsidSect="004D0E05">
          <w:pgSz w:w="11906" w:h="16838"/>
          <w:pgMar w:top="1191" w:right="1247" w:bottom="1191" w:left="1247" w:header="709" w:footer="709" w:gutter="0"/>
          <w:cols w:space="708"/>
          <w:titlePg/>
          <w:docGrid w:linePitch="360"/>
        </w:sectPr>
      </w:pPr>
    </w:p>
    <w:p w14:paraId="4D3F17CB" w14:textId="77777777" w:rsidR="001743D8" w:rsidRDefault="001743D8" w:rsidP="009925F6">
      <w:pPr>
        <w:pStyle w:val="BodyThesis"/>
        <w:keepNext/>
        <w:jc w:val="center"/>
      </w:pPr>
      <w:r>
        <w:rPr>
          <w:noProof/>
        </w:rPr>
        <w:lastRenderedPageBreak/>
        <w:drawing>
          <wp:inline distT="0" distB="0" distL="0" distR="0" wp14:anchorId="2DF73722" wp14:editId="68D755A7">
            <wp:extent cx="8835691" cy="5002306"/>
            <wp:effectExtent l="0" t="0" r="3810" b="190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74" cstate="print">
                      <a:extLst>
                        <a:ext uri="{28A0092B-C50C-407E-A947-70E740481C1C}">
                          <a14:useLocalDpi xmlns:a14="http://schemas.microsoft.com/office/drawing/2010/main" val="0"/>
                        </a:ext>
                      </a:extLst>
                    </a:blip>
                    <a:stretch>
                      <a:fillRect/>
                    </a:stretch>
                  </pic:blipFill>
                  <pic:spPr>
                    <a:xfrm>
                      <a:off x="0" y="0"/>
                      <a:ext cx="8868632" cy="5020956"/>
                    </a:xfrm>
                    <a:prstGeom prst="rect">
                      <a:avLst/>
                    </a:prstGeom>
                  </pic:spPr>
                </pic:pic>
              </a:graphicData>
            </a:graphic>
          </wp:inline>
        </w:drawing>
      </w:r>
    </w:p>
    <w:p w14:paraId="4FCFC5B7" w14:textId="68E70EAD" w:rsidR="00857D96" w:rsidRDefault="001743D8" w:rsidP="008A2B86">
      <w:pPr>
        <w:pStyle w:val="Caption"/>
        <w:rPr>
          <w:i/>
        </w:rPr>
      </w:pPr>
      <w:bookmarkStart w:id="675" w:name="_Ref75076238"/>
      <w:bookmarkStart w:id="676" w:name="_Toc90216982"/>
      <w:r>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23</w:t>
      </w:r>
      <w:r w:rsidR="003373BF">
        <w:rPr>
          <w:noProof/>
        </w:rPr>
        <w:fldChar w:fldCharType="end"/>
      </w:r>
      <w:bookmarkEnd w:id="675"/>
      <w:r>
        <w:t xml:space="preserve"> Cell envelope</w:t>
      </w:r>
      <w:r w:rsidR="00001C21">
        <w:t xml:space="preserve"> comparison</w:t>
      </w:r>
      <w:r>
        <w:t xml:space="preserve"> of freeze-substituted</w:t>
      </w:r>
      <w:r w:rsidR="00001C21">
        <w:t xml:space="preserve"> SH1000 </w:t>
      </w:r>
      <w:r w:rsidR="0024689D">
        <w:t>and LTA-depleted strains</w:t>
      </w:r>
      <w:r w:rsidR="009E073E">
        <w:rPr>
          <w:i/>
        </w:rPr>
        <w:t>.</w:t>
      </w:r>
      <w:bookmarkEnd w:id="676"/>
    </w:p>
    <w:p w14:paraId="3A241AA6" w14:textId="76E4F997" w:rsidR="00857D96" w:rsidRDefault="00857D96" w:rsidP="00857D96">
      <w:pPr>
        <w:pStyle w:val="NoSpacing"/>
        <w:sectPr w:rsidR="00857D96" w:rsidSect="009042B4">
          <w:pgSz w:w="16838" w:h="11906" w:orient="landscape"/>
          <w:pgMar w:top="1247" w:right="1191" w:bottom="1247" w:left="1191" w:header="709" w:footer="709" w:gutter="0"/>
          <w:cols w:space="708"/>
          <w:titlePg/>
          <w:docGrid w:linePitch="360"/>
        </w:sectPr>
      </w:pPr>
      <w:r>
        <w:t xml:space="preserve">Representative FS </w:t>
      </w:r>
      <w:r>
        <w:rPr>
          <w:b/>
          <w:bCs/>
        </w:rPr>
        <w:t>(</w:t>
      </w:r>
      <w:r w:rsidR="009745FF">
        <w:rPr>
          <w:b/>
          <w:bCs/>
        </w:rPr>
        <w:t>A</w:t>
      </w:r>
      <w:r>
        <w:rPr>
          <w:b/>
          <w:bCs/>
        </w:rPr>
        <w:t xml:space="preserve">) </w:t>
      </w:r>
      <w:r w:rsidR="009745FF">
        <w:t>SH1000 cell</w:t>
      </w:r>
      <w:r w:rsidR="00BA079A">
        <w:t xml:space="preserve">, </w:t>
      </w:r>
      <w:r w:rsidR="00BA079A">
        <w:rPr>
          <w:b/>
          <w:bCs/>
        </w:rPr>
        <w:t>(B)</w:t>
      </w:r>
      <w:r w:rsidR="00BA079A">
        <w:t xml:space="preserve"> </w:t>
      </w:r>
      <w:r w:rsidR="00BA079A">
        <w:rPr>
          <w:i/>
          <w:iCs/>
        </w:rPr>
        <w:t>iltaS</w:t>
      </w:r>
      <w:r w:rsidR="009745FF">
        <w:t xml:space="preserve"> and </w:t>
      </w:r>
      <w:r>
        <w:rPr>
          <w:b/>
          <w:bCs/>
        </w:rPr>
        <w:t>(</w:t>
      </w:r>
      <w:r w:rsidR="00BA079A">
        <w:rPr>
          <w:b/>
          <w:bCs/>
        </w:rPr>
        <w:t>C</w:t>
      </w:r>
      <w:r>
        <w:rPr>
          <w:b/>
          <w:bCs/>
        </w:rPr>
        <w:t xml:space="preserve">) </w:t>
      </w:r>
      <w:r w:rsidR="009745FF">
        <w:rPr>
          <w:i/>
          <w:iCs/>
        </w:rPr>
        <w:t>ltaS gdpP::kan</w:t>
      </w:r>
      <w:r>
        <w:t xml:space="preserve">. </w:t>
      </w:r>
      <w:r>
        <w:rPr>
          <w:b/>
          <w:bCs/>
        </w:rPr>
        <w:t>(</w:t>
      </w:r>
      <w:r w:rsidR="009925F6">
        <w:rPr>
          <w:b/>
          <w:bCs/>
        </w:rPr>
        <w:t>D-E</w:t>
      </w:r>
      <w:r>
        <w:rPr>
          <w:b/>
          <w:bCs/>
        </w:rPr>
        <w:t>)</w:t>
      </w:r>
      <w:r>
        <w:t xml:space="preserve"> Schematic representations of </w:t>
      </w:r>
      <w:r w:rsidR="002113E6">
        <w:t>the bacterial envelope</w:t>
      </w:r>
      <w:r>
        <w:t>.</w:t>
      </w:r>
      <w:r w:rsidRPr="008C7FE2">
        <w:t xml:space="preserve"> </w:t>
      </w:r>
      <w:r w:rsidR="00D675CC">
        <w:t xml:space="preserve">(D) represents the envelope of (A), (B) and (C- left), while (E) represents the envelope of (C- right). </w:t>
      </w:r>
      <w:r>
        <w:t>WTA– wall teichoic acids, CW– cell wall, ES– exoplasmic space, PM– plasma membrane.</w:t>
      </w:r>
      <w:r w:rsidR="00CF0FA2">
        <w:t xml:space="preserve"> </w:t>
      </w:r>
      <w:r w:rsidR="00841A34">
        <w:t>Layers</w:t>
      </w:r>
      <w:r w:rsidR="00CF0FA2">
        <w:t xml:space="preserve"> I and II are two undefined layers.</w:t>
      </w:r>
      <w:r>
        <w:t xml:space="preserve"> Scale bars </w:t>
      </w:r>
      <w:r w:rsidR="001363AA">
        <w:t xml:space="preserve">100 nm and </w:t>
      </w:r>
      <w:r>
        <w:t>50 nm.</w:t>
      </w:r>
    </w:p>
    <w:p w14:paraId="10AFFE38" w14:textId="1191623A" w:rsidR="004B0C7E" w:rsidRDefault="008B6E4F" w:rsidP="004B0C7E">
      <w:pPr>
        <w:pStyle w:val="Heading3"/>
      </w:pPr>
      <w:bookmarkStart w:id="677" w:name="_Toc90216892"/>
      <w:r>
        <w:lastRenderedPageBreak/>
        <w:t>Analysis of the lack of WTA and LTA</w:t>
      </w:r>
      <w:r w:rsidR="00ED302D">
        <w:t>: survival and morphological effects</w:t>
      </w:r>
      <w:r w:rsidR="004B0C7E" w:rsidRPr="005B0F81">
        <w:t>.</w:t>
      </w:r>
      <w:bookmarkEnd w:id="668"/>
      <w:bookmarkEnd w:id="669"/>
      <w:bookmarkEnd w:id="670"/>
      <w:bookmarkEnd w:id="677"/>
    </w:p>
    <w:p w14:paraId="3EFDE724" w14:textId="0BB7A7BF" w:rsidR="00C8045A" w:rsidRDefault="009F137B" w:rsidP="007D7447">
      <w:r>
        <w:t>Teichoic acids are vital for bacterial growth, and although WTA</w:t>
      </w:r>
      <w:r w:rsidR="002C05DF">
        <w:t xml:space="preserve"> loss</w:t>
      </w:r>
      <w:r w:rsidR="00CE4C4A">
        <w:t xml:space="preserve"> is not lethal</w:t>
      </w:r>
      <w:r>
        <w:t xml:space="preserve">, all attempts </w:t>
      </w:r>
      <w:r w:rsidR="002339C9">
        <w:t>to produce strains lacking</w:t>
      </w:r>
      <w:r>
        <w:t xml:space="preserve"> WTA and LTA have been unsuccessful </w:t>
      </w:r>
      <w:r w:rsidR="00D64DD3" w:rsidRPr="002E50A3">
        <w:fldChar w:fldCharType="begin" w:fldLock="1"/>
      </w:r>
      <w:r w:rsidR="00DA0A83">
        <w:instrText>ADDIN CSL_CITATION {"citationItems":[{"id":"ITEM-1","itemData":{"DOI":"10.1128/JB.01221-08","ISBN":"1098-5530 (Electronic)\\r0021-9193 (Linking)","ISSN":"00219193","PMID":"18952789","abstract":"Lipoteichoic acid (LTA) is one of two anionic polymers on the surface of the gram-positive bacterium Staphylococcus aureus. LTA is critical for the bacterium-host cell interaction and has recently been shown to be required for cell growth and division. To determine additional biological roles of LTA, we found it necessary to identify permissive conditions for the growth of an LTA-deficient mutant. We found that an LTA-deficient S. aureus Delta ltaS mutant could grow at 30 degrees C but not at 37 degrees C. Even at the permissive temperature, Delta ltaS mutant cells had aberrant cell division and separation, decreased autolysis, and reduced levels of peptidoglycan hydrolases. Upshift of Delta ltaS mutant cells to a nonpermissive temperature caused an inability to exclude Sytox green dye. A high-osmolarity growth medium remarkably rescued the colony-forming ability of the Delta ltaS mutant at 37 degrees C, indicating that LTA synthesis is required for growth under low-osmolarity conditions. In addition, the Delta ltaS mutation was found to be synthetically lethal with the Delta tagO mutation, which disrupts the synthesis of the other anionic polymer, wall teichoic acid (WTA), at 30 degrees C, suggesting that LTA and WTA compensate for one another in an essential function.","author":[{"dropping-particle":"","family":"Oku","given":"Yusuke","non-dropping-particle":"","parse-names":false,"suffix":""},{"dropping-particle":"","family":"Kurokawa","given":"Kenji","non-dropping-particle":"","parse-names":false,"suffix":""},{"dropping-particle":"","family":"Matsuo","given":"Miki","non-dropping-particle":"","parse-names":false,"suffix":""},{"dropping-particle":"","family":"Yamada","given":"Sakuo","non-dropping-particle":"","parse-names":false,"suffix":""},{"dropping-particle":"","family":"Lee","given":"Bok Luel","non-dropping-particle":"","parse-names":false,"suffix":""},{"dropping-particle":"","family":"Sekimizu","given":"Kazuhisa","non-dropping-particle":"","parse-names":false,"suffix":""}],"container-title":"Journal of Bacteriology","id":"ITEM-1","issue":"1","issued":{"date-parts":[["2009"]]},"page":"141-151","title":"Pleiotropic roles of polyglycerolphosphate synthase of lipoteichoic acid in growth of Staphylococcus aureus cells","type":"article-journal","volume":"91"},"uris":["http://www.mendeley.com/documents/?uuid=53787099-ec1b-4d71-90f9-013f4e8bcab3"]}],"mendeley":{"formattedCitation":"&lt;sup&gt;[91]&lt;/sup&gt;","plainTextFormattedCitation":"[91]","previouslyFormattedCitation":"&lt;sup&gt;[91]&lt;/sup&gt;"},"properties":{"noteIndex":0},"schema":"https://github.com/citation-style-language/schema/raw/master/csl-citation.json"}</w:instrText>
      </w:r>
      <w:r w:rsidR="00D64DD3" w:rsidRPr="002E50A3">
        <w:fldChar w:fldCharType="separate"/>
      </w:r>
      <w:r w:rsidR="00DA0A83" w:rsidRPr="00DA0A83">
        <w:rPr>
          <w:noProof/>
          <w:vertAlign w:val="superscript"/>
        </w:rPr>
        <w:t>[91]</w:t>
      </w:r>
      <w:r w:rsidR="00D64DD3" w:rsidRPr="002E50A3">
        <w:fldChar w:fldCharType="end"/>
      </w:r>
      <w:r>
        <w:t>. Yet, knowing that LTA’s essentiality can by bypassed by</w:t>
      </w:r>
      <w:r w:rsidR="00905F7C">
        <w:t xml:space="preserve"> a</w:t>
      </w:r>
      <w:r>
        <w:t xml:space="preserve"> suppressor mutations in </w:t>
      </w:r>
      <w:r>
        <w:rPr>
          <w:i/>
          <w:iCs/>
        </w:rPr>
        <w:t>gdpP</w:t>
      </w:r>
      <w:r w:rsidR="00905F7C">
        <w:rPr>
          <w:i/>
          <w:iCs/>
        </w:rPr>
        <w:t xml:space="preserve"> </w:t>
      </w:r>
      <w:r w:rsidR="00905F7C">
        <w:rPr>
          <w:i/>
          <w:iCs/>
        </w:rPr>
        <w:fldChar w:fldCharType="begin" w:fldLock="1"/>
      </w:r>
      <w:r w:rsidR="00DA0A83">
        <w:rPr>
          <w:i/>
          <w:iCs/>
        </w:rPr>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mendeley":{"formattedCitation":"&lt;sup&gt;[63]&lt;/sup&gt;","plainTextFormattedCitation":"[63]","previouslyFormattedCitation":"&lt;sup&gt;[63]&lt;/sup&gt;"},"properties":{"noteIndex":0},"schema":"https://github.com/citation-style-language/schema/raw/master/csl-citation.json"}</w:instrText>
      </w:r>
      <w:r w:rsidR="00905F7C">
        <w:rPr>
          <w:i/>
          <w:iCs/>
        </w:rPr>
        <w:fldChar w:fldCharType="separate"/>
      </w:r>
      <w:r w:rsidR="00DA0A83" w:rsidRPr="00DA0A83">
        <w:rPr>
          <w:iCs/>
          <w:noProof/>
          <w:vertAlign w:val="superscript"/>
        </w:rPr>
        <w:t>[63]</w:t>
      </w:r>
      <w:r w:rsidR="00905F7C">
        <w:rPr>
          <w:i/>
          <w:iCs/>
        </w:rPr>
        <w:fldChar w:fldCharType="end"/>
      </w:r>
      <w:r>
        <w:t xml:space="preserve"> raises the question </w:t>
      </w:r>
      <w:r w:rsidR="007E4A14">
        <w:t>o</w:t>
      </w:r>
      <w:r>
        <w:t xml:space="preserve">f </w:t>
      </w:r>
      <w:r w:rsidR="0091084F">
        <w:t xml:space="preserve">whether </w:t>
      </w:r>
      <w:r>
        <w:t>a</w:t>
      </w:r>
      <w:r w:rsidR="00C8045A">
        <w:t xml:space="preserve"> potential</w:t>
      </w:r>
      <w:r>
        <w:t xml:space="preserve"> triple mutant, lacking both</w:t>
      </w:r>
      <w:r w:rsidR="000020C0">
        <w:t xml:space="preserve"> types of</w:t>
      </w:r>
      <w:r>
        <w:t xml:space="preserve"> TA and </w:t>
      </w:r>
      <w:r>
        <w:rPr>
          <w:i/>
          <w:iCs/>
        </w:rPr>
        <w:t>gdpP</w:t>
      </w:r>
      <w:r>
        <w:t xml:space="preserve">, </w:t>
      </w:r>
      <w:r w:rsidR="00905F7C">
        <w:t>could</w:t>
      </w:r>
      <w:r>
        <w:t xml:space="preserve"> be viable.</w:t>
      </w:r>
      <w:r w:rsidR="00D967BB">
        <w:t xml:space="preserve"> Unfortunately, due to time</w:t>
      </w:r>
      <w:r w:rsidR="00C21F81">
        <w:t xml:space="preserve"> and laboratory access</w:t>
      </w:r>
      <w:r w:rsidR="00D967BB">
        <w:t xml:space="preserve"> constraints</w:t>
      </w:r>
      <w:r w:rsidR="00C21F81">
        <w:t>,</w:t>
      </w:r>
      <w:r w:rsidR="00D967BB">
        <w:t xml:space="preserve"> said mutant could not be constructed</w:t>
      </w:r>
      <w:r w:rsidR="00C8045A">
        <w:t xml:space="preserve">. </w:t>
      </w:r>
    </w:p>
    <w:p w14:paraId="07D91080" w14:textId="33303DC0" w:rsidR="007D7447" w:rsidRPr="00DE241D" w:rsidRDefault="00C8045A" w:rsidP="007D7447">
      <w:pPr>
        <w:rPr>
          <w:strike/>
        </w:rPr>
      </w:pPr>
      <w:r>
        <w:t xml:space="preserve">A pharmacological </w:t>
      </w:r>
      <w:r w:rsidR="00D967BB">
        <w:t xml:space="preserve">simulation was carried out </w:t>
      </w:r>
      <w:r w:rsidR="00E629B4">
        <w:t xml:space="preserve">to determine the combined roles of WTA and LTA, </w:t>
      </w:r>
      <w:r w:rsidR="008562D9">
        <w:t>using</w:t>
      </w:r>
      <w:r w:rsidR="00D967BB">
        <w:t xml:space="preserve"> </w:t>
      </w:r>
      <w:r w:rsidR="00FC6933">
        <w:t xml:space="preserve">the following chemical compounds: </w:t>
      </w:r>
      <w:r w:rsidR="005D5107">
        <w:t>t</w:t>
      </w:r>
      <w:r w:rsidR="00FC6933">
        <w:t xml:space="preserve">arocin, </w:t>
      </w:r>
      <w:r w:rsidR="005D5107">
        <w:t>t</w:t>
      </w:r>
      <w:r w:rsidR="00FC6933">
        <w:t xml:space="preserve">unicamycin, and </w:t>
      </w:r>
      <w:r w:rsidR="001745D9">
        <w:t>C</w:t>
      </w:r>
      <w:r w:rsidR="00FC6933">
        <w:t xml:space="preserve">ongo </w:t>
      </w:r>
      <w:r w:rsidR="005D5107">
        <w:t>r</w:t>
      </w:r>
      <w:r w:rsidR="00FC6933">
        <w:t>ed.</w:t>
      </w:r>
      <w:r w:rsidR="0044754C">
        <w:t xml:space="preserve"> </w:t>
      </w:r>
      <w:r w:rsidR="00AF6804">
        <w:t>The first two inhibit the first stages of WTA biosynthesis by targeting</w:t>
      </w:r>
      <w:r w:rsidR="00B74BC3">
        <w:t xml:space="preserve"> the catalytic action of</w:t>
      </w:r>
      <w:r w:rsidR="00AF6804">
        <w:t xml:space="preserve"> TarO.</w:t>
      </w:r>
      <w:r w:rsidR="007D7447" w:rsidRPr="007D7447">
        <w:t xml:space="preserve"> </w:t>
      </w:r>
      <w:r w:rsidR="007D7447">
        <w:t xml:space="preserve">Tunicamycin is a natural product inhibitor of TarO, analogue to its substrate UDP-GlcNAc </w:t>
      </w:r>
      <w:r w:rsidR="007D7447">
        <w:fldChar w:fldCharType="begin" w:fldLock="1"/>
      </w:r>
      <w:r w:rsidR="009D34AE">
        <w:instrText>ADDIN CSL_CITATION {"citationItems":[{"id":"ITEM-1","itemData":{"DOI":"10.1021/cb100269f","ISBN":"1554-8937 (Electronic)\\r1554-8929 (Linking)","ISSN":"15548929","PMID":"20961110","abstract":"Methicillin resistance in Staphylococcus aureus depends on the production of mecA, which encodes penicillin-binding protein 2A (PBP2A), an acquired peptidoglycan transpeptidase (TP) with reduced susceptibility to I-lactam antibiotics. PBP2A cross-links nascent peptidoglycan when the native TPs are inhibited by I-lactams. Although mecA expression is essential for I-lactam resistance, it is not sufficient. Here we show that blocking the expression of wall teichoic acids (WTAs) by inhibiting the first enzyme in the pathway, TarO, sensitizes methicillin-resistant S. aureus (MRSA) strains to I-lactams even though the I-lactam-resistant transpeptidase, PBP2A, is still expressed. The dramatic synergy between TarO inhibitors and I-lactams is noteworthy not simply because strategies to overcome MRSA are desperately needed but because neither TarO nor the activities of the native TPs are essential in MRSA strains. The \"synthetic lethality\" of inhibiting TarO and the native TPs suggests a functional connection between ongoing WTA expression and peptidoglycan assembly in S. aureus. Indeed, transmission electron microscopy shows that S. aureus cells blocked in WTA synthesis have extensive defects in septation and cell separation, indicating dysregulated cell wall assembly and degradation. Our studies imply that WTAs play a fundamental role in S. aureus cell division and raise the possibility that synthetic lethal compound combinations may have therapeutic utility for overcoming antibiotic-resistant bacterial infections. © 2010 American Chemical Society.","author":[{"dropping-particle":"","family":"Campbell","given":"Jennifer","non-dropping-particle":"","parse-names":false,"suffix":""},{"dropping-particle":"","family":"Singh","given":"Atul K.","non-dropping-particle":"","parse-names":false,"suffix":""},{"dropping-particle":"","family":"Santa Maria","given":"John P.","non-dropping-particle":"","parse-names":false,"suffix":""},{"dropping-particle":"","family":"Kim","given":"Younghoon","non-dropping-particle":"","parse-names":false,"suffix":""},{"dropping-particle":"","family":"Brown","given":"Stephanie","non-dropping-particle":"","parse-names":false,"suffix":""},{"dropping-particle":"","family":"Swoboda","given":"Jonathan G.","non-dropping-particle":"","parse-names":false,"suffix":""},{"dropping-particle":"","family":"Mylonakis","given":"Eleftherios","non-dropping-particle":"","parse-names":false,"suffix":""},{"dropping-particle":"","family":"Wilkinson","given":"Brian J.","non-dropping-particle":"","parse-names":false,"suffix":""},{"dropping-particle":"","family":"Walker","given":"Suzanne","non-dropping-particle":"","parse-names":false,"suffix":""}],"container-title":"ACS Chemical Biology","id":"ITEM-1","issue":"1","issued":{"date-parts":[["2011"]]},"page":"106-116","title":"Synthetic lethal compound combinations reveal a fundamental connection between wall teichoic acid and peptidoglycan biosyntheses in staphylococcus aureus","type":"article-journal","volume":"6"},"uris":["http://www.mendeley.com/documents/?uuid=46e3ad63-97a1-352e-8fcb-fa898cb1609c"]}],"mendeley":{"formattedCitation":"&lt;sup&gt;[274]&lt;/sup&gt;","plainTextFormattedCitation":"[274]","previouslyFormattedCitation":"&lt;sup&gt;[274]&lt;/sup&gt;"},"properties":{"noteIndex":0},"schema":"https://github.com/citation-style-language/schema/raw/master/csl-citation.json"}</w:instrText>
      </w:r>
      <w:r w:rsidR="007D7447">
        <w:fldChar w:fldCharType="separate"/>
      </w:r>
      <w:r w:rsidR="002659E5" w:rsidRPr="002659E5">
        <w:rPr>
          <w:noProof/>
          <w:vertAlign w:val="superscript"/>
        </w:rPr>
        <w:t>[274]</w:t>
      </w:r>
      <w:r w:rsidR="007D7447">
        <w:fldChar w:fldCharType="end"/>
      </w:r>
      <w:r w:rsidR="007D7447">
        <w:t xml:space="preserve">, while Tarocin is an allosteric inhibitor that obstructs binding to its co-substrate, bactoprenol </w:t>
      </w:r>
      <w:r w:rsidR="007D7447">
        <w:fldChar w:fldCharType="begin" w:fldLock="1"/>
      </w:r>
      <w:r w:rsidR="0058736C">
        <w:instrText>ADDIN CSL_CITATION {"citationItems":[{"id":"ITEM-1","itemData":{"DOI":"10.1126/scitranslmed.aad7364","ISSN":"19466242","PMID":"26962156","abstract":"The widespread emergence of methicillin-resistant Staphylococcus aureus (MRSA) has dramatically eroded the efficacy of current β-lactam antibiotics and created an urgent need for new treatment options. We report an S. aureus phenotypic screening strategy involving chemical suppression of the growth inhibitory consequences of depleting late-stage wall teichoic acid biosynthesis. This enabled us to identify early-stage pathway-specific inhibitors of wall teichoic acid biosynthesis predicted to be chemically synergistic with β-lactams. We demonstrated by genetic and biochemical means that each of the new chemical series discovered, herein named tarocin A and tarocin B, inhibited the first step in wall teichoic acid biosynthesis (TarO). Tarocins do not have intrinsic bioactivity but rather demonstrated potent bactericidal synergy in combination with broad-spectrum β-lactam antibiotics against diverse clinical isolates of methicillin-resistant staphylococci as well as robust efficacy in a murine infection model of MRSA. Tarocins and other inhibitors of wall teichoic acid biosynthesis may provide a rational strategy to develop Gram-positive bactericidal β-lactam combination agents active against methicillin-resistant staphylococci.","author":[{"dropping-particle":"","family":"Lee","given":"Sang Ho","non-dropping-particle":"","parse-names":false,"suffix":""},{"dropping-particle":"","family":"Wang","given":"Hao","non-dropping-particle":"","parse-names":false,"suffix":""},{"dropping-particle":"","family":"Labroli","given":"Marc","non-dropping-particle":"","parse-names":false,"suffix":""},{"dropping-particle":"","family":"Koseoglu","given":"Sandra","non-dropping-particle":"","parse-names":false,"suffix":""},{"dropping-particle":"","family":"Zuck","given":"Paul","non-dropping-particle":"","parse-names":false,"suffix":""},{"dropping-particle":"","family":"Mayhood","given":"Todd","non-dropping-particle":"","parse-names":false,"suffix":""},{"dropping-particle":"","family":"Gill","given":"Charles","non-dropping-particle":"","parse-names":false,"suffix":""},{"dropping-particle":"","family":"Mann","given":"Paul","non-dropping-particle":"","parse-names":false,"suffix":""},{"dropping-particle":"","family":"Sher","given":"Xinwei","non-dropping-particle":"","parse-names":false,"suffix":""},{"dropping-particle":"","family":"Ha","given":"Sookhee","non-dropping-particle":"","parse-names":false,"suffix":""},{"dropping-particle":"","family":"Yang","given":"Shu Wei","non-dropping-particle":"","parse-names":false,"suffix":""},{"dropping-particle":"","family":"Mandal","given":"Mihir","non-dropping-particle":"","parse-names":false,"suffix":""},{"dropping-particle":"","family":"Yang","given":"Christine","non-dropping-particle":"","parse-names":false,"suffix":""},{"dropping-particle":"","family":"Liang","given":"Lianzhu","non-dropping-particle":"","parse-names":false,"suffix":""},{"dropping-particle":"","family":"Tan","given":"Zheng","non-dropping-particle":"","parse-names":false,"suffix":""},{"dropping-particle":"","family":"Tawa","given":"Paul","non-dropping-particle":"","parse-names":false,"suffix":""},{"dropping-particle":"","family":"Hou","given":"Yan","non-dropping-particle":"","parse-names":false,"suffix":""},{"dropping-particle":"","family":"Kuvelkar","given":"Reshma","non-dropping-particle":"","parse-names":false,"suffix":""},{"dropping-particle":"","family":"Vito","given":"Kristine","non-dropping-particle":"De","parse-names":false,"suffix":""},{"dropping-particle":"","family":"Wen","given":"Xiujuan","non-dropping-particle":"","parse-names":false,"suffix":""},{"dropping-particle":"","family":"Xiao","given":"Jing","non-dropping-particle":"","parse-names":false,"suffix":""},{"dropping-particle":"","family":"Batchlett","given":"Michelle","non-dropping-particle":"","parse-names":false,"suffix":""},{"dropping-particle":"","family":"Balibar","given":"Carl J.","non-dropping-particle":"","parse-names":false,"suffix":""},{"dropping-particle":"","family":"Liu","given":"Jenny","non-dropping-particle":"","parse-names":false,"suffix":""},{"dropping-particle":"","family":"Xiao","given":"Jianying","non-dropping-particle":"","parse-names":false,"suffix":""},{"dropping-particle":"","family":"Murgolo","given":"Nicholas","non-dropping-particle":"","parse-names":false,"suffix":""},{"dropping-particle":"","family":"Garlisi","given":"Charles G.","non-dropping-particle":"","parse-names":false,"suffix":""},{"dropping-particle":"","family":"Sheth","given":"Payal R.","non-dropping-particle":"","parse-names":false,"suffix":""},{"dropping-particle":"","family":"Flattery","given":"Amy","non-dropping-particle":"","parse-names":false,"suffix":""},{"dropping-particle":"","family":"Su","given":"Jing","non-dropping-particle":"","parse-names":false,"suffix":""},{"dropping-particle":"","family":"Tan","given":"Christopher","non-dropping-particle":"","parse-names":false,"suffix":""},{"dropping-particle":"","family":"Roemer","given":"Terry","non-dropping-particle":"","parse-names":false,"suffix":""}],"container-title":"Science Translational Medicine","id":"ITEM-1","issue":"329","issued":{"date-parts":[["2016"]]},"title":"TarO-specific inhibitors of wall teichoic acid biosynthesis restore β-lactam efficacy against methicillin-resistant staphylococci","type":"article-journal","volume":"8"},"uris":["http://www.mendeley.com/documents/?uuid=694e1778-7177-4ceb-a291-7ebafa80c213"]}],"mendeley":{"formattedCitation":"&lt;sup&gt;[276]&lt;/sup&gt;","plainTextFormattedCitation":"[276]","previouslyFormattedCitation":"&lt;sup&gt;[276]&lt;/sup&gt;"},"properties":{"noteIndex":0},"schema":"https://github.com/citation-style-language/schema/raw/master/csl-citation.json"}</w:instrText>
      </w:r>
      <w:r w:rsidR="007D7447">
        <w:fldChar w:fldCharType="separate"/>
      </w:r>
      <w:r w:rsidR="002659E5" w:rsidRPr="002659E5">
        <w:rPr>
          <w:noProof/>
          <w:vertAlign w:val="superscript"/>
        </w:rPr>
        <w:t>[276]</w:t>
      </w:r>
      <w:r w:rsidR="007D7447">
        <w:fldChar w:fldCharType="end"/>
      </w:r>
      <w:r w:rsidR="007D7447">
        <w:t>.</w:t>
      </w:r>
      <w:r w:rsidR="00124445">
        <w:t xml:space="preserve"> </w:t>
      </w:r>
      <w:r w:rsidR="001745D9">
        <w:t>C</w:t>
      </w:r>
      <w:r w:rsidR="00124445">
        <w:t>ongo red</w:t>
      </w:r>
      <w:r w:rsidR="005207AF">
        <w:t xml:space="preserve"> is a dye that</w:t>
      </w:r>
      <w:r w:rsidR="00124445">
        <w:t xml:space="preserve"> </w:t>
      </w:r>
      <w:r w:rsidR="00F10947">
        <w:t>inhibits the first stages of</w:t>
      </w:r>
      <w:r w:rsidR="00124445">
        <w:t xml:space="preserve"> LTA</w:t>
      </w:r>
      <w:r w:rsidR="00F10947">
        <w:t xml:space="preserve"> biosynthesis by interrupting LtaS activity</w:t>
      </w:r>
      <w:r w:rsidR="005207AF">
        <w:t xml:space="preserve"> </w:t>
      </w:r>
      <w:r w:rsidR="005207AF">
        <w:fldChar w:fldCharType="begin" w:fldLock="1"/>
      </w:r>
      <w:r w:rsidR="0058736C">
        <w:instrText xml:space="preserve">ADDIN CSL_CITATION {"citationItems":[{"id":"ITEM-1","itemData":{"DOI":"10.1016/j.brainresrev.2006.08.001","ISSN":"01650173","PMID":"16959325","abstract":"Congo red is a commonly used histological dye for amyloid detection. The specificity of this staining results from Congo red's affinity for binding to fibril proteins enriched in β-sheet conformation. Unexpectedly, recent investigations indicate that the dye also possesses the capacity to interfere with processes of protein misfolding and aggregation, stabilizing native protein monomers or partially folded intermediates, while reducing concentration of more toxic protein oligomers. Inhibitory effects of Congo red upon amyloid toxicity may also range from blockade of channel formation and interference with glycosaminoglycans binding or immune functions, to the modulation of gene expression. Particularly, Congo red exhibits ameliorative effect in models of neurodegenerative disorders, such as Alzheimer's, Parkinson's, Huntington's and prion diseases. Another interesting application of Congo red analogues is the development of imaging probes. Based on their small molecular size and penetrability through blood-brain barrier, Congo red congeners can be used for both antemortem and in vivo visualization and quantification of brain amyloids. Therefore, understanding mechanisms involved in dye-amyloidal fibril binding and inhibition of aggregation will provide instructive guides for the design of future compounds, potentially useful for monitoring and treating neurodegenerative diseases. © 2006 Elsevier B.V. All rights reserved.","author":[{"dropping-particle":"","family":"Frid","given":"Petrea","non-dropping-particle":"","parse-names":false,"suffix":""},{"dropping-particle":"V.","family":"Anisimov","given":"Sergey","non-dropping-particle":"","parse-names":false,"suffix":""},{"dropping-particle":"","family":"Popovic","given":"Natalija","non-dropping-particle":"","parse-names":false,"suffix":""}],"container-title":"Brain Research Reviews","id":"ITEM-1","issue":"1","issued":{"date-parts":[["2007","1","1"]]},"page":"135-160","publisher":"Elsevier","title":"Congo red and protein aggregation in neurodegenerative diseases","type":"article","volume":"53"},"uris":["http://www.mendeley.com/documents/?uuid=8952ca5c-a898-31f3-a2f7-c8e493de4c92"]},{"id":"ITEM-2","itemData":{"DOI":"10.1093/jac/dks184","ISBN":"1460-2091 (Electronic)\\r0305-7453 (Linking)","ISSN":"03057453","PMID":"22615298","abstract":"OBJECTIVES: Polyanionic polymers, including lipoteichoic acid and wall teichoic acid, are important determinants of the charged character of the staphylococcal cell wall. This study was designed to investigate the extent to which teichoic acid contributes to protection from anionic azo dyes and to identify barriers to drug penetration for development of new antibiotics for multidrug-resistant Staphylococcus aureus infection.\\n\\nMETHODS: We studied antimicrobial activity of azo dyes against S. aureus strains with or without inhibition of teichoic acid in vitro and in vivo.\\n\\nRESULTS: We observed that inhibition of wall teichoic acid expression resulted in an </w:instrText>
      </w:r>
      <w:r w:rsidR="0058736C">
        <w:rPr>
          <w:rFonts w:ascii="Cambria Math" w:hAnsi="Cambria Math" w:cs="Cambria Math"/>
        </w:rPr>
        <w:instrText>∼</w:instrText>
      </w:r>
      <w:r w:rsidR="0058736C">
        <w:instrText>1000-fold increase in susceptibility to azo dyes such as Congo red, reducing its MIC from &gt;1024 to &lt;4 mg/L. Sensitization occurred when the first step in the wall teichoic acid pathway, catalysed by TarO, was inhibited either by mutation or by chemical inhibition. In contrast, genetic blockade of lipoteichoic acid biosynthesis did not confer Congo red susceptibility. Based on this finding, combination therapy was tested using the highly synergistic combination of Congo red plus tunicamycin at sub-MIC concentrations (to inhibit wall teichoic acid biosynthesis). The combination rescued Caenorhabditis elegans from a lethal challenge of S. aureus.\\n\\nCONCLUSIONS: Our studies show that wall teichoic acid confers protection to S. aureus from anionic azo dyes and related compounds, and its inhibition raises the prospect of development of new combination therapies based on this inhibition.","author":[{"dropping-particle":"","family":"Suzuki","given":"Takashi","non-dropping-particle":"","parse-names":false,"suffix":""},{"dropping-particle":"","family":"Campbell","given":"Jennifer","non-dropping-particle":"","parse-names":false,"suffix":""},{"dropping-particle":"","family":"Kim","given":"Younghoon","non-dropping-particle":"","parse-names":false,"suffix":""},{"dropping-particle":"","family":"Swoboda","given":"Jonathan G.","non-dropping-particle":"","parse-names":false,"suffix":""},{"dropping-particle":"","family":"Mylonakis","given":"Eleftherios","non-dropping-particle":"","parse-names":false,"suffix":""},{"dropping-particle":"","family":"Walker","given":"Suzanne","non-dropping-particle":"","parse-names":false,"suffix":""},{"dropping-particle":"","family":"Gilmore","given":"Michael S.","non-dropping-particle":"","parse-names":false,"suffix":""}],"container-title":"Journal of Antimicrobial Chemotherapy","id":"ITEM-2","issue":"9","issued":{"date-parts":[["2012"]]},"page":"2143-2151","title":"Wall teichoic acid protects Staphylococcus aureus from inhibition by Congo red and other dyes","type":"article-journal","volume":"67"},"uris":["http://www.mendeley.com/documents/?uuid=ca420093-7da1-4ce7-85c7-4c9bb24ec52d"]}],"mendeley":{"formattedCitation":"&lt;sup&gt;[277,278]&lt;/sup&gt;","plainTextFormattedCitation":"[277,278]","previouslyFormattedCitation":"&lt;sup&gt;[277,278]&lt;/sup&gt;"},"properties":{"noteIndex":0},"schema":"https://github.com/citation-style-language/schema/raw/master/csl-citation.json"}</w:instrText>
      </w:r>
      <w:r w:rsidR="005207AF">
        <w:fldChar w:fldCharType="separate"/>
      </w:r>
      <w:r w:rsidR="002659E5" w:rsidRPr="002659E5">
        <w:rPr>
          <w:noProof/>
          <w:vertAlign w:val="superscript"/>
        </w:rPr>
        <w:t>[277,278]</w:t>
      </w:r>
      <w:r w:rsidR="005207AF">
        <w:fldChar w:fldCharType="end"/>
      </w:r>
      <w:r w:rsidR="00F10947">
        <w:t>.</w:t>
      </w:r>
      <w:r w:rsidR="00A92F46">
        <w:t xml:space="preserve"> Research has already been done </w:t>
      </w:r>
      <w:r w:rsidR="0080004B">
        <w:t>(</w:t>
      </w:r>
      <w:r w:rsidR="0084544D">
        <w:t>I</w:t>
      </w:r>
      <w:r w:rsidR="0080004B">
        <w:t xml:space="preserve">) on </w:t>
      </w:r>
      <w:r w:rsidR="0080004B">
        <w:rPr>
          <w:i/>
          <w:iCs/>
        </w:rPr>
        <w:t xml:space="preserve">tarO </w:t>
      </w:r>
      <w:r w:rsidR="0080004B">
        <w:t xml:space="preserve">treated with </w:t>
      </w:r>
      <w:r w:rsidR="001745D9">
        <w:t>C</w:t>
      </w:r>
      <w:r w:rsidR="0080004B">
        <w:t>ongo red and (</w:t>
      </w:r>
      <w:r w:rsidR="0084544D">
        <w:t>II</w:t>
      </w:r>
      <w:r w:rsidR="0080004B">
        <w:t xml:space="preserve">) </w:t>
      </w:r>
      <w:r w:rsidR="00A92F46" w:rsidRPr="0080004B">
        <w:t>on</w:t>
      </w:r>
      <w:r w:rsidR="00A92F46">
        <w:t xml:space="preserve"> the </w:t>
      </w:r>
      <w:r w:rsidR="00A92F46">
        <w:rPr>
          <w:i/>
          <w:iCs/>
        </w:rPr>
        <w:t>ltaS</w:t>
      </w:r>
      <w:r w:rsidR="00A92F46">
        <w:t xml:space="preserve"> mutant with the suppressor mutation in </w:t>
      </w:r>
      <w:r w:rsidR="00A92F46">
        <w:rPr>
          <w:i/>
          <w:iCs/>
        </w:rPr>
        <w:t>gdpP</w:t>
      </w:r>
      <w:r w:rsidR="00A92F46">
        <w:t xml:space="preserve"> and the effect of tunicamycin on bacterial growth</w:t>
      </w:r>
      <w:r w:rsidR="00171A5C">
        <w:t xml:space="preserve"> </w:t>
      </w:r>
      <w:r w:rsidR="00171A5C">
        <w:fldChar w:fldCharType="begin" w:fldLock="1"/>
      </w:r>
      <w:r w:rsidR="0058736C">
        <w:instrText xml:space="preserve">ADDIN CSL_CITATION {"citationItems":[{"id":"ITEM-1","itemData":{"DOI":"10.1073/pnas.1404099111","ISBN":"1091-6490 (Electronic)\\r0027-8424 (Linking)","ISSN":"0027-8424","PMID":"25104751","abstract":"Staphylococcus aureus contains two distinct teichoic acid (TA) polymers, lipoteichoic acid (LTA) and wall teichoic acid (WTA), which are proposed to play redundant roles in regulating cell division. To gain insight into the underlying biology of S. aureus TAs, we used a small molecule inhibitor to screen a highly saturated transposon library for cellular factors that become essential when WTA is depleted. We constructed an interaction network connecting WTAs with genes involved in LTA synthesis, peptidoglycan synthesis, surface protein display, and D-alanine cell envelope modifications. Although LTAs and WTAs are synthetically lethal, we report that they do not have the same synthetic interactions with other cell envelope genes. For example, D-alanylation, a tailoring modification of both WTAs and LTAs, becomes essential when the former, but not the latter, are removed. Therefore, D-alanine-tailored LTAs are required for survival when WTAs are absent. Examination of terminal phenotoypes led to the unexpected discovery that cells lacking both LTAs and WTAs lose their ability to form Z rings and can no longer divide. We have concluded that the presence of either LTAs or WTAs on the cell surface is required for initiation of S. aureus cell division, but these polymers act as part of distinct cellular networks.","author":[{"dropping-particle":"","family":"Santa Maria","given":"J. P.","non-dropping-particle":"","parse-names":false,"suffix":""},{"dropping-particle":"","family":"Sadaka","given":"A.","non-dropping-particle":"","parse-names":false,"suffix":""},{"dropping-particle":"","family":"Moussa","given":"S. H.","non-dropping-particle":"","parse-names":false,"suffix":""},{"dropping-particle":"","family":"Brown","given":"S.","non-dropping-particle":"","parse-names":false,"suffix":""},{"dropping-particle":"","family":"Zhang","given":"Y. J.","non-dropping-particle":"","parse-names":false,"suffix":""},{"dropping-particle":"","family":"Rubin","given":"E. J.","non-dropping-particle":"","parse-names":false,"suffix":""},{"dropping-particle":"","family":"Gilmore","given":"M. S.","non-dropping-particle":"","parse-names":false,"suffix":""},{"dropping-particle":"","family":"Walker","given":"S.","non-dropping-particle":"","parse-names":false,"suffix":""}],"container-title":"Proceedings of the National Academy of Sciences","id":"ITEM-1","issued":{"date-parts":[["2014"]]},"title":"Compound-gene interaction mapping reveals distinct roles for Staphylococcus aureus teichoic acids","type":"article-journal"},"uris":["http://www.mendeley.com/documents/?uuid=7aa650a3-a98e-399c-b695-e460b47ccc68"]},{"id":"ITEM-2","itemData":{"DOI":"10.1093/jac/dks184","ISBN":"1460-2091 (Electronic)\\r0305-7453 (Linking)","ISSN":"03057453","PMID":"22615298","abstract":"OBJECTIVES: Polyanionic polymers, including lipoteichoic acid and wall teichoic acid, are important determinants of the charged character of the staphylococcal cell wall. This study was designed to investigate the extent to which teichoic acid contributes to protection from anionic azo dyes and to identify barriers to drug penetration for development of new antibiotics for multidrug-resistant Staphylococcus aureus infection.\\n\\nMETHODS: We studied antimicrobial activity of azo dyes against S. aureus strains with or without inhibition of teichoic acid in vitro and in vivo.\\n\\nRESULTS: We observed that inhibition of wall teichoic acid expression resulted in an </w:instrText>
      </w:r>
      <w:r w:rsidR="0058736C">
        <w:rPr>
          <w:rFonts w:ascii="Cambria Math" w:hAnsi="Cambria Math" w:cs="Cambria Math"/>
        </w:rPr>
        <w:instrText>∼</w:instrText>
      </w:r>
      <w:r w:rsidR="0058736C">
        <w:instrText>1000-fold increase in susceptibility to azo dyes such as Congo red, reducing its MIC from &gt;1024 to &lt;4 mg/L. Sensitization occurred when the first step in the wall teichoic acid pathway, catalysed by TarO, was inhibited either by mutation or by chemical inhibition. In contrast, genetic blockade of lipoteichoic acid biosynthesis did not confer Congo red susceptibility. Based on this finding, combination therapy was tested using the highly synergistic combination of Congo red plus tunicamycin at sub-MIC concentrations (to inhibit wall teichoic acid biosynthesis). The combination rescued Caenorhabditis elegans from a lethal challenge of S. aureus.\\n\\nCONCLUSIONS: Our studies show that wall teichoic acid confers protection to S. aureus from anionic azo dyes and related compounds, and its inhibition raises the prospect of development of new combination therapies based on this inhibition.","author":[{"dropping-particle":"","family":"Suzuki","given":"Takashi","non-dropping-particle":"","parse-names":false,"suffix":""},{"dropping-particle":"","family":"Campbell","given":"Jennifer","non-dropping-particle":"","parse-names":false,"suffix":""},{"dropping-particle":"","family":"Kim","given":"Younghoon","non-dropping-particle":"","parse-names":false,"suffix":""},{"dropping-particle":"","family":"Swoboda","given":"Jonathan G.","non-dropping-particle":"","parse-names":false,"suffix":""},{"dropping-particle":"","family":"Mylonakis","given":"Eleftherios","non-dropping-particle":"","parse-names":false,"suffix":""},{"dropping-particle":"","family":"Walker","given":"Suzanne","non-dropping-particle":"","parse-names":false,"suffix":""},{"dropping-particle":"","family":"Gilmore","given":"Michael S.","non-dropping-particle":"","parse-names":false,"suffix":""}],"container-title":"Journal of Antimicrobial Chemotherapy","id":"ITEM-2","issue":"9","issued":{"date-parts":[["2012"]]},"page":"2143-2151","title":"Wall teichoic acid protects Staphylococcus aureus from inhibition by Congo red and other dyes","type":"article-journal","volume":"67"},"uris":["http://www.mendeley.com/documents/?uuid=ca420093-7da1-4ce7-85c7-4c9bb24ec52d"]}],"mendeley":{"formattedCitation":"&lt;sup&gt;[278,279]&lt;/sup&gt;","plainTextFormattedCitation":"[278,279]","previouslyFormattedCitation":"&lt;sup&gt;[278,279]&lt;/sup&gt;"},"properties":{"noteIndex":0},"schema":"https://github.com/citation-style-language/schema/raw/master/csl-citation.json"}</w:instrText>
      </w:r>
      <w:r w:rsidR="00171A5C">
        <w:fldChar w:fldCharType="separate"/>
      </w:r>
      <w:r w:rsidR="002659E5" w:rsidRPr="002659E5">
        <w:rPr>
          <w:noProof/>
          <w:vertAlign w:val="superscript"/>
        </w:rPr>
        <w:t>[278,279]</w:t>
      </w:r>
      <w:r w:rsidR="00171A5C">
        <w:fldChar w:fldCharType="end"/>
      </w:r>
      <w:r w:rsidR="00A92F46">
        <w:t xml:space="preserve">. However, </w:t>
      </w:r>
      <w:r w:rsidR="00171A5C">
        <w:t>th</w:t>
      </w:r>
      <w:r w:rsidR="0080004B">
        <w:t>ese</w:t>
      </w:r>
      <w:r w:rsidR="00171A5C">
        <w:t xml:space="preserve"> </w:t>
      </w:r>
      <w:r w:rsidR="0080004B">
        <w:t>were</w:t>
      </w:r>
      <w:r w:rsidR="00171A5C">
        <w:t xml:space="preserve"> done </w:t>
      </w:r>
      <w:r w:rsidR="00C85FE5">
        <w:t>in</w:t>
      </w:r>
      <w:r w:rsidR="00171A5C">
        <w:t xml:space="preserve"> different </w:t>
      </w:r>
      <w:r w:rsidR="00A92F46">
        <w:rPr>
          <w:i/>
          <w:iCs/>
        </w:rPr>
        <w:t xml:space="preserve">S. aureus </w:t>
      </w:r>
      <w:r w:rsidR="00A92F46">
        <w:t>background</w:t>
      </w:r>
      <w:r w:rsidR="00A50CA4">
        <w:t>s</w:t>
      </w:r>
      <w:r>
        <w:t xml:space="preserve"> (</w:t>
      </w:r>
      <w:r w:rsidR="0084544D">
        <w:t>I</w:t>
      </w:r>
      <w:r w:rsidR="0080004B">
        <w:t xml:space="preserve">– Newman, RN4220, RN6390, </w:t>
      </w:r>
      <w:r w:rsidR="0084544D">
        <w:t>II</w:t>
      </w:r>
      <w:r w:rsidR="0080004B">
        <w:t xml:space="preserve">– </w:t>
      </w:r>
      <w:r>
        <w:t>LAC*)</w:t>
      </w:r>
      <w:r w:rsidR="00A92F46">
        <w:t xml:space="preserve"> and </w:t>
      </w:r>
      <w:r w:rsidR="00C85FE5">
        <w:t xml:space="preserve">using </w:t>
      </w:r>
      <w:r w:rsidR="001745D9">
        <w:t>C</w:t>
      </w:r>
      <w:r w:rsidR="00C85FE5">
        <w:t>ongo red and</w:t>
      </w:r>
      <w:r>
        <w:t xml:space="preserve"> </w:t>
      </w:r>
      <w:r w:rsidR="00755E06">
        <w:t>t</w:t>
      </w:r>
      <w:r>
        <w:t>unicamycin</w:t>
      </w:r>
      <w:r w:rsidR="00C85FE5">
        <w:t xml:space="preserve"> only</w:t>
      </w:r>
      <w:r w:rsidR="00171A5C">
        <w:t xml:space="preserve">. </w:t>
      </w:r>
      <w:r w:rsidR="00A92F46">
        <w:t xml:space="preserve">Hence, </w:t>
      </w:r>
      <w:r w:rsidR="000B6EB3">
        <w:t>it was</w:t>
      </w:r>
      <w:r w:rsidR="00A92F46">
        <w:t xml:space="preserve"> decided to </w:t>
      </w:r>
      <w:r w:rsidR="00A713D5">
        <w:t>test</w:t>
      </w:r>
      <w:r w:rsidR="00A92F46">
        <w:t xml:space="preserve"> </w:t>
      </w:r>
      <w:r w:rsidR="00C75E9E">
        <w:t>this</w:t>
      </w:r>
      <w:r w:rsidR="00171A5C">
        <w:t xml:space="preserve"> in </w:t>
      </w:r>
      <w:r w:rsidR="00A713D5">
        <w:t xml:space="preserve">the </w:t>
      </w:r>
      <w:r w:rsidR="00171A5C">
        <w:t>SH1000 background</w:t>
      </w:r>
      <w:r>
        <w:t xml:space="preserve"> for consistency with </w:t>
      </w:r>
      <w:r w:rsidR="00CB01C6">
        <w:t>this</w:t>
      </w:r>
      <w:r>
        <w:t xml:space="preserve"> investigation,</w:t>
      </w:r>
      <w:r w:rsidR="00171A5C">
        <w:t xml:space="preserve"> </w:t>
      </w:r>
      <w:r w:rsidR="002B0584">
        <w:t xml:space="preserve">and </w:t>
      </w:r>
      <w:r w:rsidR="00E74DDB">
        <w:t xml:space="preserve">also test the use of </w:t>
      </w:r>
      <w:r w:rsidR="00171A5C">
        <w:t>tarocin</w:t>
      </w:r>
      <w:r>
        <w:t xml:space="preserve"> </w:t>
      </w:r>
      <w:r w:rsidR="001A2A6B">
        <w:t>for reducing WTA synthesis–</w:t>
      </w:r>
      <w:r>
        <w:t xml:space="preserve"> as it is a more specific inhibitor than</w:t>
      </w:r>
      <w:r w:rsidR="002B0584">
        <w:t xml:space="preserve"> t</w:t>
      </w:r>
      <w:r>
        <w:t xml:space="preserve">unicamycin </w:t>
      </w:r>
      <w:r>
        <w:fldChar w:fldCharType="begin" w:fldLock="1"/>
      </w:r>
      <w:r w:rsidR="0058736C">
        <w:instrText>ADDIN CSL_CITATION {"citationItems":[{"id":"ITEM-1","itemData":{"DOI":"10.1126/scitranslmed.aad7364","ISSN":"19466242","PMID":"26962156","abstract":"The widespread emergence of methicillin-resistant Staphylococcus aureus (MRSA) has dramatically eroded the efficacy of current β-lactam antibiotics and created an urgent need for new treatment options. We report an S. aureus phenotypic screening strategy involving chemical suppression of the growth inhibitory consequences of depleting late-stage wall teichoic acid biosynthesis. This enabled us to identify early-stage pathway-specific inhibitors of wall teichoic acid biosynthesis predicted to be chemically synergistic with β-lactams. We demonstrated by genetic and biochemical means that each of the new chemical series discovered, herein named tarocin A and tarocin B, inhibited the first step in wall teichoic acid biosynthesis (TarO). Tarocins do not have intrinsic bioactivity but rather demonstrated potent bactericidal synergy in combination with broad-spectrum β-lactam antibiotics against diverse clinical isolates of methicillin-resistant staphylococci as well as robust efficacy in a murine infection model of MRSA. Tarocins and other inhibitors of wall teichoic acid biosynthesis may provide a rational strategy to develop Gram-positive bactericidal β-lactam combination agents active against methicillin-resistant staphylococci.","author":[{"dropping-particle":"","family":"Lee","given":"Sang Ho","non-dropping-particle":"","parse-names":false,"suffix":""},{"dropping-particle":"","family":"Wang","given":"Hao","non-dropping-particle":"","parse-names":false,"suffix":""},{"dropping-particle":"","family":"Labroli","given":"Marc","non-dropping-particle":"","parse-names":false,"suffix":""},{"dropping-particle":"","family":"Koseoglu","given":"Sandra","non-dropping-particle":"","parse-names":false,"suffix":""},{"dropping-particle":"","family":"Zuck","given":"Paul","non-dropping-particle":"","parse-names":false,"suffix":""},{"dropping-particle":"","family":"Mayhood","given":"Todd","non-dropping-particle":"","parse-names":false,"suffix":""},{"dropping-particle":"","family":"Gill","given":"Charles","non-dropping-particle":"","parse-names":false,"suffix":""},{"dropping-particle":"","family":"Mann","given":"Paul","non-dropping-particle":"","parse-names":false,"suffix":""},{"dropping-particle":"","family":"Sher","given":"Xinwei","non-dropping-particle":"","parse-names":false,"suffix":""},{"dropping-particle":"","family":"Ha","given":"Sookhee","non-dropping-particle":"","parse-names":false,"suffix":""},{"dropping-particle":"","family":"Yang","given":"Shu Wei","non-dropping-particle":"","parse-names":false,"suffix":""},{"dropping-particle":"","family":"Mandal","given":"Mihir","non-dropping-particle":"","parse-names":false,"suffix":""},{"dropping-particle":"","family":"Yang","given":"Christine","non-dropping-particle":"","parse-names":false,"suffix":""},{"dropping-particle":"","family":"Liang","given":"Lianzhu","non-dropping-particle":"","parse-names":false,"suffix":""},{"dropping-particle":"","family":"Tan","given":"Zheng","non-dropping-particle":"","parse-names":false,"suffix":""},{"dropping-particle":"","family":"Tawa","given":"Paul","non-dropping-particle":"","parse-names":false,"suffix":""},{"dropping-particle":"","family":"Hou","given":"Yan","non-dropping-particle":"","parse-names":false,"suffix":""},{"dropping-particle":"","family":"Kuvelkar","given":"Reshma","non-dropping-particle":"","parse-names":false,"suffix":""},{"dropping-particle":"","family":"Vito","given":"Kristine","non-dropping-particle":"De","parse-names":false,"suffix":""},{"dropping-particle":"","family":"Wen","given":"Xiujuan","non-dropping-particle":"","parse-names":false,"suffix":""},{"dropping-particle":"","family":"Xiao","given":"Jing","non-dropping-particle":"","parse-names":false,"suffix":""},{"dropping-particle":"","family":"Batchlett","given":"Michelle","non-dropping-particle":"","parse-names":false,"suffix":""},{"dropping-particle":"","family":"Balibar","given":"Carl J.","non-dropping-particle":"","parse-names":false,"suffix":""},{"dropping-particle":"","family":"Liu","given":"Jenny","non-dropping-particle":"","parse-names":false,"suffix":""},{"dropping-particle":"","family":"Xiao","given":"Jianying","non-dropping-particle":"","parse-names":false,"suffix":""},{"dropping-particle":"","family":"Murgolo","given":"Nicholas","non-dropping-particle":"","parse-names":false,"suffix":""},{"dropping-particle":"","family":"Garlisi","given":"Charles G.","non-dropping-particle":"","parse-names":false,"suffix":""},{"dropping-particle":"","family":"Sheth","given":"Payal R.","non-dropping-particle":"","parse-names":false,"suffix":""},{"dropping-particle":"","family":"Flattery","given":"Amy","non-dropping-particle":"","parse-names":false,"suffix":""},{"dropping-particle":"","family":"Su","given":"Jing","non-dropping-particle":"","parse-names":false,"suffix":""},{"dropping-particle":"","family":"Tan","given":"Christopher","non-dropping-particle":"","parse-names":false,"suffix":""},{"dropping-particle":"","family":"Roemer","given":"Terry","non-dropping-particle":"","parse-names":false,"suffix":""}],"container-title":"Science Translational Medicine","id":"ITEM-1","issue":"329","issued":{"date-parts":[["2016"]]},"title":"TarO-specific inhibitors of wall teichoic acid biosynthesis restore β-lactam efficacy against methicillin-resistant staphylococci","type":"article-journal","volume":"8"},"uris":["http://www.mendeley.com/documents/?uuid=694e1778-7177-4ceb-a291-7ebafa80c213"]}],"mendeley":{"formattedCitation":"&lt;sup&gt;[276]&lt;/sup&gt;","plainTextFormattedCitation":"[276]","previouslyFormattedCitation":"&lt;sup&gt;[276]&lt;/sup&gt;"},"properties":{"noteIndex":0},"schema":"https://github.com/citation-style-language/schema/raw/master/csl-citation.json"}</w:instrText>
      </w:r>
      <w:r>
        <w:fldChar w:fldCharType="separate"/>
      </w:r>
      <w:r w:rsidR="002659E5" w:rsidRPr="002659E5">
        <w:rPr>
          <w:noProof/>
          <w:vertAlign w:val="superscript"/>
        </w:rPr>
        <w:t>[276]</w:t>
      </w:r>
      <w:r>
        <w:fldChar w:fldCharType="end"/>
      </w:r>
      <w:r>
        <w:t>.</w:t>
      </w:r>
      <w:r w:rsidR="001D0CD0">
        <w:t xml:space="preserve"> </w:t>
      </w:r>
    </w:p>
    <w:p w14:paraId="6FBC0CA2" w14:textId="403BFB9D" w:rsidR="005407B9" w:rsidRDefault="00047055" w:rsidP="007D7447">
      <w:r>
        <w:t>SH1000 treated with</w:t>
      </w:r>
      <w:r w:rsidR="00F847DF">
        <w:t xml:space="preserve"> tarocin had a similar </w:t>
      </w:r>
      <w:r w:rsidR="00957137">
        <w:t>growth</w:t>
      </w:r>
      <w:r w:rsidR="00F847DF">
        <w:t xml:space="preserve"> to that o</w:t>
      </w:r>
      <w:r w:rsidR="00C004F6">
        <w:t>f</w:t>
      </w:r>
      <w:r w:rsidR="00F847DF">
        <w:t xml:space="preserve"> </w:t>
      </w:r>
      <w:r w:rsidR="00F847DF">
        <w:rPr>
          <w:i/>
          <w:iCs/>
        </w:rPr>
        <w:t>tarO</w:t>
      </w:r>
      <w:r w:rsidR="006D1859">
        <w:rPr>
          <w:i/>
          <w:iCs/>
        </w:rPr>
        <w:t xml:space="preserve"> </w:t>
      </w:r>
      <w:r w:rsidR="006D1859">
        <w:t>(</w:t>
      </w:r>
      <w:r w:rsidR="006D1859">
        <w:fldChar w:fldCharType="begin"/>
      </w:r>
      <w:r w:rsidR="006D1859">
        <w:instrText xml:space="preserve"> REF _Ref75180110 \h </w:instrText>
      </w:r>
      <w:r w:rsidR="006D1859">
        <w:fldChar w:fldCharType="separate"/>
      </w:r>
      <w:r w:rsidR="00183CC8" w:rsidRPr="00620C59">
        <w:t xml:space="preserve">Figure </w:t>
      </w:r>
      <w:r w:rsidR="00183CC8">
        <w:rPr>
          <w:noProof/>
        </w:rPr>
        <w:t>4</w:t>
      </w:r>
      <w:r w:rsidR="00183CC8">
        <w:t>.</w:t>
      </w:r>
      <w:r w:rsidR="00183CC8">
        <w:rPr>
          <w:noProof/>
        </w:rPr>
        <w:t>24</w:t>
      </w:r>
      <w:r w:rsidR="006D1859">
        <w:fldChar w:fldCharType="end"/>
      </w:r>
      <w:r w:rsidR="006D1859">
        <w:t>a)</w:t>
      </w:r>
      <w:r w:rsidR="008B7E12">
        <w:t xml:space="preserve">. </w:t>
      </w:r>
      <w:r w:rsidR="007B6375">
        <w:t>A</w:t>
      </w:r>
      <w:r w:rsidR="006F6606">
        <w:t xml:space="preserve">ddition of </w:t>
      </w:r>
      <w:r w:rsidR="001745D9">
        <w:t>C</w:t>
      </w:r>
      <w:r w:rsidR="006F6606">
        <w:t>ongo red to</w:t>
      </w:r>
      <w:r w:rsidR="00094B5B">
        <w:t xml:space="preserve"> SH1000 </w:t>
      </w:r>
      <w:r w:rsidR="008D3B0E">
        <w:t xml:space="preserve">did not present a difference in </w:t>
      </w:r>
      <w:r w:rsidR="00A50CA4">
        <w:t>optical density</w:t>
      </w:r>
      <w:r w:rsidR="00302D52">
        <w:t xml:space="preserve"> to untreated SH1000</w:t>
      </w:r>
      <w:r w:rsidR="008D3B0E">
        <w:t xml:space="preserve">, but </w:t>
      </w:r>
      <w:r w:rsidR="00094B5B">
        <w:t xml:space="preserve">had a similar </w:t>
      </w:r>
      <w:r w:rsidR="0089091F">
        <w:t>growth</w:t>
      </w:r>
      <w:r w:rsidR="00094B5B">
        <w:t xml:space="preserve"> to </w:t>
      </w:r>
      <w:r w:rsidR="00AF3FD1">
        <w:t>the</w:t>
      </w:r>
      <w:r w:rsidR="00094B5B">
        <w:t xml:space="preserve"> </w:t>
      </w:r>
      <w:r w:rsidR="006F6606">
        <w:t>LTA mutant</w:t>
      </w:r>
      <w:r w:rsidR="00AF3FD1">
        <w:t xml:space="preserve">s </w:t>
      </w:r>
      <w:r w:rsidR="00094B5B">
        <w:t>when analysing CFU/ml</w:t>
      </w:r>
      <w:r w:rsidR="008B7E12">
        <w:t xml:space="preserve"> (</w:t>
      </w:r>
      <w:r w:rsidR="008B7E12">
        <w:fldChar w:fldCharType="begin"/>
      </w:r>
      <w:r w:rsidR="008B7E12">
        <w:instrText xml:space="preserve"> REF _Ref75180110 \h </w:instrText>
      </w:r>
      <w:r w:rsidR="008B7E12">
        <w:fldChar w:fldCharType="separate"/>
      </w:r>
      <w:r w:rsidR="00183CC8" w:rsidRPr="00620C59">
        <w:t xml:space="preserve">Figure </w:t>
      </w:r>
      <w:r w:rsidR="00183CC8">
        <w:rPr>
          <w:noProof/>
        </w:rPr>
        <w:t>4</w:t>
      </w:r>
      <w:r w:rsidR="00183CC8">
        <w:t>.</w:t>
      </w:r>
      <w:r w:rsidR="00183CC8">
        <w:rPr>
          <w:noProof/>
        </w:rPr>
        <w:t>24</w:t>
      </w:r>
      <w:r w:rsidR="008B7E12">
        <w:fldChar w:fldCharType="end"/>
      </w:r>
      <w:r w:rsidR="008B7E12">
        <w:t>b</w:t>
      </w:r>
      <w:r w:rsidR="00680898">
        <w:t xml:space="preserve">, </w:t>
      </w:r>
      <w:r w:rsidR="00680898">
        <w:fldChar w:fldCharType="begin"/>
      </w:r>
      <w:r w:rsidR="00680898">
        <w:instrText xml:space="preserve"> REF _Ref78912936 \h </w:instrText>
      </w:r>
      <w:r w:rsidR="00680898">
        <w:fldChar w:fldCharType="separate"/>
      </w:r>
      <w:r w:rsidR="00183CC8">
        <w:t xml:space="preserve">Supplementary Figure </w:t>
      </w:r>
      <w:r w:rsidR="00183CC8">
        <w:rPr>
          <w:noProof/>
        </w:rPr>
        <w:t>3</w:t>
      </w:r>
      <w:r w:rsidR="00680898">
        <w:fldChar w:fldCharType="end"/>
      </w:r>
      <w:r w:rsidR="008B7E12">
        <w:t>).</w:t>
      </w:r>
    </w:p>
    <w:p w14:paraId="7319500D" w14:textId="1FC65C8C" w:rsidR="00FB2BC4" w:rsidRDefault="00C21576" w:rsidP="00030756">
      <w:pPr>
        <w:pStyle w:val="BodyThesis"/>
      </w:pPr>
      <w:r>
        <w:t>T</w:t>
      </w:r>
      <w:r w:rsidR="000F1F05">
        <w:t xml:space="preserve">he </w:t>
      </w:r>
      <w:r w:rsidR="0054390C">
        <w:t>pharmacological inhibition of both WTA and LTA</w:t>
      </w:r>
      <w:r w:rsidR="00787676">
        <w:t xml:space="preserve"> in SH1000,</w:t>
      </w:r>
      <w:r w:rsidR="0054390C">
        <w:t xml:space="preserve"> with tunicamycin and </w:t>
      </w:r>
      <w:r w:rsidR="001745D9">
        <w:t>C</w:t>
      </w:r>
      <w:r w:rsidR="0054390C">
        <w:t>ongo red respectively</w:t>
      </w:r>
      <w:r w:rsidR="009E4DA9">
        <w:t>,</w:t>
      </w:r>
      <w:r w:rsidR="0054390C">
        <w:t xml:space="preserve"> </w:t>
      </w:r>
      <w:r w:rsidR="00B62058">
        <w:t>showed that there is growth arrest after ~ 2 h</w:t>
      </w:r>
      <w:r w:rsidR="008E6621">
        <w:t xml:space="preserve"> of treatment</w:t>
      </w:r>
      <w:r w:rsidR="00B62058">
        <w:t xml:space="preserve"> (</w:t>
      </w:r>
      <w:r w:rsidR="009732A9">
        <w:fldChar w:fldCharType="begin"/>
      </w:r>
      <w:r w:rsidR="009732A9">
        <w:instrText xml:space="preserve"> REF _Ref75184668 \h </w:instrText>
      </w:r>
      <w:r w:rsidR="009732A9">
        <w:fldChar w:fldCharType="separate"/>
      </w:r>
      <w:r w:rsidR="00183CC8" w:rsidRPr="00620C59">
        <w:t xml:space="preserve">Figure </w:t>
      </w:r>
      <w:r w:rsidR="00183CC8">
        <w:rPr>
          <w:noProof/>
        </w:rPr>
        <w:t>4</w:t>
      </w:r>
      <w:r w:rsidR="00183CC8">
        <w:t>.</w:t>
      </w:r>
      <w:r w:rsidR="00183CC8">
        <w:rPr>
          <w:noProof/>
        </w:rPr>
        <w:t>25</w:t>
      </w:r>
      <w:r w:rsidR="009732A9">
        <w:fldChar w:fldCharType="end"/>
      </w:r>
      <w:r w:rsidR="00DB59F4">
        <w:t>a</w:t>
      </w:r>
      <w:r w:rsidR="00B62058">
        <w:t>).</w:t>
      </w:r>
      <w:r w:rsidR="00C97AB9">
        <w:t xml:space="preserve"> </w:t>
      </w:r>
      <w:r w:rsidR="00003567">
        <w:t>The a</w:t>
      </w:r>
      <w:r w:rsidR="00813540">
        <w:t xml:space="preserve">ddition of tarocin to </w:t>
      </w:r>
      <w:r w:rsidR="00813540">
        <w:rPr>
          <w:i/>
          <w:iCs/>
        </w:rPr>
        <w:t>iltaS</w:t>
      </w:r>
      <w:r w:rsidR="00813540">
        <w:t xml:space="preserve"> or </w:t>
      </w:r>
      <w:r w:rsidR="00813540">
        <w:rPr>
          <w:i/>
          <w:iCs/>
        </w:rPr>
        <w:t>ltaS gdpP::kan</w:t>
      </w:r>
      <w:r w:rsidR="00C97AB9">
        <w:t xml:space="preserve"> </w:t>
      </w:r>
      <w:r w:rsidR="008114AD">
        <w:t xml:space="preserve">and </w:t>
      </w:r>
      <w:r w:rsidR="00003567">
        <w:t xml:space="preserve">the addition </w:t>
      </w:r>
      <w:r w:rsidR="008114AD">
        <w:t xml:space="preserve">of </w:t>
      </w:r>
      <w:r w:rsidR="001745D9">
        <w:t>C</w:t>
      </w:r>
      <w:r w:rsidR="008114AD">
        <w:t xml:space="preserve">ongo red to </w:t>
      </w:r>
      <w:r w:rsidR="008114AD">
        <w:rPr>
          <w:i/>
          <w:iCs/>
        </w:rPr>
        <w:t xml:space="preserve">tarO </w:t>
      </w:r>
      <w:r w:rsidR="00813540">
        <w:t>showed</w:t>
      </w:r>
      <w:r w:rsidR="00C97AB9">
        <w:t xml:space="preserve"> </w:t>
      </w:r>
      <w:r w:rsidR="00D577AF" w:rsidRPr="0057483B">
        <w:t xml:space="preserve">a more severe outcome </w:t>
      </w:r>
      <w:r w:rsidR="0057483B" w:rsidRPr="0057483B">
        <w:t>with</w:t>
      </w:r>
      <w:r w:rsidR="00D577AF" w:rsidRPr="0057483B">
        <w:t xml:space="preserve"> </w:t>
      </w:r>
      <w:r w:rsidR="00A84D9E">
        <w:t>100 </w:t>
      </w:r>
      <w:r w:rsidR="002040F0">
        <w:t xml:space="preserve">% </w:t>
      </w:r>
      <w:r w:rsidR="00C95F83" w:rsidRPr="0057483B">
        <w:t>death after</w:t>
      </w:r>
      <w:r w:rsidR="00C95F83">
        <w:t xml:space="preserve"> 4 and </w:t>
      </w:r>
      <w:r w:rsidR="00A84D9E">
        <w:t>99.99 </w:t>
      </w:r>
      <w:r w:rsidR="002040F0">
        <w:t xml:space="preserve">% after </w:t>
      </w:r>
      <w:r w:rsidR="00C95F83">
        <w:t xml:space="preserve">3 h, respectively </w:t>
      </w:r>
      <w:r w:rsidR="00C97AB9">
        <w:t>(</w:t>
      </w:r>
      <w:r w:rsidR="00C97AB9">
        <w:fldChar w:fldCharType="begin"/>
      </w:r>
      <w:r w:rsidR="00C97AB9">
        <w:instrText xml:space="preserve"> REF _Ref75184668 \h </w:instrText>
      </w:r>
      <w:r w:rsidR="00C97AB9">
        <w:fldChar w:fldCharType="separate"/>
      </w:r>
      <w:r w:rsidR="00183CC8" w:rsidRPr="00620C59">
        <w:t xml:space="preserve">Figure </w:t>
      </w:r>
      <w:r w:rsidR="00183CC8">
        <w:rPr>
          <w:noProof/>
        </w:rPr>
        <w:t>4</w:t>
      </w:r>
      <w:r w:rsidR="00183CC8">
        <w:t>.</w:t>
      </w:r>
      <w:r w:rsidR="00183CC8">
        <w:rPr>
          <w:noProof/>
        </w:rPr>
        <w:t>25</w:t>
      </w:r>
      <w:r w:rsidR="00C97AB9">
        <w:fldChar w:fldCharType="end"/>
      </w:r>
      <w:r w:rsidR="00C97AB9">
        <w:t>b-</w:t>
      </w:r>
      <w:r w:rsidR="00FE3C21">
        <w:t>c</w:t>
      </w:r>
      <w:r w:rsidR="00601ED8">
        <w:t>,</w:t>
      </w:r>
      <w:r w:rsidR="000C273B">
        <w:t xml:space="preserve"> </w:t>
      </w:r>
      <w:r w:rsidR="000C273B">
        <w:fldChar w:fldCharType="begin"/>
      </w:r>
      <w:r w:rsidR="000C273B">
        <w:instrText xml:space="preserve"> REF _Ref80045567 \h </w:instrText>
      </w:r>
      <w:r w:rsidR="000C273B">
        <w:fldChar w:fldCharType="separate"/>
      </w:r>
      <w:r w:rsidR="00183CC8" w:rsidRPr="00620C59">
        <w:t xml:space="preserve">Figure </w:t>
      </w:r>
      <w:r w:rsidR="00183CC8">
        <w:rPr>
          <w:noProof/>
        </w:rPr>
        <w:t>4</w:t>
      </w:r>
      <w:r w:rsidR="00183CC8">
        <w:t>.</w:t>
      </w:r>
      <w:r w:rsidR="00183CC8">
        <w:rPr>
          <w:noProof/>
        </w:rPr>
        <w:t>26</w:t>
      </w:r>
      <w:r w:rsidR="000C273B">
        <w:fldChar w:fldCharType="end"/>
      </w:r>
      <w:r w:rsidR="000C273B">
        <w:t>,</w:t>
      </w:r>
      <w:r w:rsidR="00601ED8">
        <w:t xml:space="preserve"> </w:t>
      </w:r>
      <w:r w:rsidR="00601ED8">
        <w:fldChar w:fldCharType="begin"/>
      </w:r>
      <w:r w:rsidR="00601ED8">
        <w:instrText xml:space="preserve"> REF _Ref78914126 \h </w:instrText>
      </w:r>
      <w:r w:rsidR="00601ED8">
        <w:fldChar w:fldCharType="separate"/>
      </w:r>
      <w:r w:rsidR="00183CC8">
        <w:t xml:space="preserve">Supplementary Figure </w:t>
      </w:r>
      <w:r w:rsidR="00183CC8">
        <w:rPr>
          <w:noProof/>
        </w:rPr>
        <w:t>4</w:t>
      </w:r>
      <w:r w:rsidR="00601ED8">
        <w:fldChar w:fldCharType="end"/>
      </w:r>
      <w:r w:rsidR="00C97AB9">
        <w:t>).</w:t>
      </w:r>
      <w:r w:rsidR="00E012DA">
        <w:t xml:space="preserve"> </w:t>
      </w:r>
      <w:r w:rsidR="00337CDC">
        <w:t>The lethal results confirm the essentiality of both WTA and LTA in SH1000.</w:t>
      </w:r>
    </w:p>
    <w:p w14:paraId="2817E163" w14:textId="77777777" w:rsidR="00591738" w:rsidRDefault="00591738" w:rsidP="00030756">
      <w:pPr>
        <w:pStyle w:val="BodyThesis"/>
      </w:pPr>
    </w:p>
    <w:p w14:paraId="56FA5DEE" w14:textId="009D8CFC" w:rsidR="00A724A8" w:rsidRDefault="00033BB2" w:rsidP="00A724A8">
      <w:pPr>
        <w:pStyle w:val="BodyThesis"/>
      </w:pPr>
      <w:r>
        <w:t xml:space="preserve">TEM </w:t>
      </w:r>
      <w:r w:rsidR="000F0505">
        <w:t xml:space="preserve">morphological </w:t>
      </w:r>
      <w:r w:rsidR="0040207E">
        <w:t xml:space="preserve">analyses </w:t>
      </w:r>
      <w:r>
        <w:t>showed that</w:t>
      </w:r>
      <w:r w:rsidR="00FB2BC4" w:rsidRPr="008A7D5C">
        <w:t xml:space="preserve"> SH1000 </w:t>
      </w:r>
      <w:r w:rsidR="00FB2BC4">
        <w:t xml:space="preserve">treated </w:t>
      </w:r>
      <w:r w:rsidR="00FB2BC4" w:rsidRPr="008A7D5C">
        <w:t xml:space="preserve">with tarocin resembles the phenotype observed in the WTA-depleted mutant, </w:t>
      </w:r>
      <w:r w:rsidR="00FB2BC4" w:rsidRPr="008A7D5C">
        <w:rPr>
          <w:i/>
          <w:iCs/>
        </w:rPr>
        <w:t>tarO</w:t>
      </w:r>
      <w:r w:rsidR="00EA4FF0">
        <w:t xml:space="preserve"> </w:t>
      </w:r>
      <w:r w:rsidR="00FB2BC4" w:rsidRPr="00253C26">
        <w:t>(</w:t>
      </w:r>
      <w:r w:rsidR="00FB2BC4">
        <w:fldChar w:fldCharType="begin"/>
      </w:r>
      <w:r w:rsidR="00FB2BC4">
        <w:instrText xml:space="preserve"> REF _Ref78911681 \h </w:instrText>
      </w:r>
      <w:r w:rsidR="00FB2BC4">
        <w:fldChar w:fldCharType="separate"/>
      </w:r>
      <w:r w:rsidR="00183CC8">
        <w:t xml:space="preserve">Supplementary Figure </w:t>
      </w:r>
      <w:r w:rsidR="00183CC8">
        <w:rPr>
          <w:noProof/>
        </w:rPr>
        <w:t>5</w:t>
      </w:r>
      <w:r w:rsidR="00FB2BC4">
        <w:fldChar w:fldCharType="end"/>
      </w:r>
      <w:r w:rsidR="00251E4D">
        <w:t xml:space="preserve"> and</w:t>
      </w:r>
      <w:r w:rsidR="00101BCD">
        <w:t xml:space="preserve"> </w:t>
      </w:r>
      <w:r w:rsidR="00FB2BC4">
        <w:fldChar w:fldCharType="begin"/>
      </w:r>
      <w:r w:rsidR="00FB2BC4">
        <w:instrText xml:space="preserve"> REF _Ref78911798 \h </w:instrText>
      </w:r>
      <w:r w:rsidR="00FB2BC4">
        <w:fldChar w:fldCharType="separate"/>
      </w:r>
      <w:r w:rsidR="00183CC8">
        <w:t xml:space="preserve">Supplementary Figure </w:t>
      </w:r>
      <w:r w:rsidR="00183CC8">
        <w:rPr>
          <w:noProof/>
        </w:rPr>
        <w:t>6</w:t>
      </w:r>
      <w:r w:rsidR="00FB2BC4">
        <w:fldChar w:fldCharType="end"/>
      </w:r>
      <w:r w:rsidR="00FB2BC4" w:rsidRPr="00253C26">
        <w:t>)</w:t>
      </w:r>
      <w:r w:rsidR="00FB2BC4">
        <w:t>.</w:t>
      </w:r>
      <w:r w:rsidR="00880D8F">
        <w:t xml:space="preserve"> </w:t>
      </w:r>
      <w:r w:rsidR="00FB2BC4" w:rsidRPr="00033BB2">
        <w:rPr>
          <w:i/>
          <w:iCs/>
        </w:rPr>
        <w:t>ltaS gdpP::kan</w:t>
      </w:r>
      <w:r w:rsidR="00FB2BC4" w:rsidRPr="008A7D5C">
        <w:rPr>
          <w:i/>
          <w:iCs/>
        </w:rPr>
        <w:t xml:space="preserve"> </w:t>
      </w:r>
      <w:r w:rsidR="00FB2BC4" w:rsidRPr="008A7D5C">
        <w:t>treated with tarocin show</w:t>
      </w:r>
      <w:r>
        <w:t>ed</w:t>
      </w:r>
      <w:r w:rsidR="00FB2BC4" w:rsidRPr="008A7D5C">
        <w:t xml:space="preserve"> </w:t>
      </w:r>
      <w:r w:rsidR="0040207E">
        <w:t>similar results to those</w:t>
      </w:r>
      <w:r w:rsidR="00FB2BC4" w:rsidRPr="008A7D5C">
        <w:t xml:space="preserve"> previously described </w:t>
      </w:r>
      <w:r w:rsidR="00FB2BC4" w:rsidRPr="00817CB0">
        <w:fldChar w:fldCharType="begin" w:fldLock="1"/>
      </w:r>
      <w:r w:rsidR="0058736C">
        <w:instrText>ADDIN CSL_CITATION {"citationItems":[{"id":"ITEM-1","itemData":{"DOI":"10.1073/pnas.1404099111","ISBN":"1091-6490 (Electronic)\\r0027-8424 (Linking)","ISSN":"0027-8424","PMID":"25104751","abstract":"Staphylococcus aureus contains two distinct teichoic acid (TA) polymers, lipoteichoic acid (LTA) and wall teichoic acid (WTA), which are proposed to play redundant roles in regulating cell division. To gain insight into the underlying biology of S. aureus TAs, we used a small molecule inhibitor to screen a highly saturated transposon library for cellular factors that become essential when WTA is depleted. We constructed an interaction network connecting WTAs with genes involved in LTA synthesis, peptidoglycan synthesis, surface protein display, and D-alanine cell envelope modifications. Although LTAs and WTAs are synthetically lethal, we report that they do not have the same synthetic interactions with other cell envelope genes. For example, D-alanylation, a tailoring modification of both WTAs and LTAs, becomes essential when the former, but not the latter, are removed. Therefore, D-alanine-tailored LTAs are required for survival when WTAs are absent. Examination of terminal phenotoypes led to the unexpected discovery that cells lacking both LTAs and WTAs lose their ability to form Z rings and can no longer divide. We have concluded that the presence of either LTAs or WTAs on the cell surface is required for initiation of S. aureus cell division, but these polymers act as part of distinct cellular networks.","author":[{"dropping-particle":"","family":"Santa Maria","given":"J. P.","non-dropping-particle":"","parse-names":false,"suffix":""},{"dropping-particle":"","family":"Sadaka","given":"A.","non-dropping-particle":"","parse-names":false,"suffix":""},{"dropping-particle":"","family":"Moussa","given":"S. H.","non-dropping-particle":"","parse-names":false,"suffix":""},{"dropping-particle":"","family":"Brown","given":"S.","non-dropping-particle":"","parse-names":false,"suffix":""},{"dropping-particle":"","family":"Zhang","given":"Y. J.","non-dropping-particle":"","parse-names":false,"suffix":""},{"dropping-particle":"","family":"Rubin","given":"E. J.","non-dropping-particle":"","parse-names":false,"suffix":""},{"dropping-particle":"","family":"Gilmore","given":"M. S.","non-dropping-particle":"","parse-names":false,"suffix":""},{"dropping-particle":"","family":"Walker","given":"S.","non-dropping-particle":"","parse-names":false,"suffix":""}],"container-title":"Proceedings of the National Academy of Sciences","id":"ITEM-1","issued":{"date-parts":[["2014"]]},"title":"Compound-gene interaction mapping reveals distinct roles for Staphylococcus aureus teichoic acids","type":"article-journal"},"uris":["http://www.mendeley.com/documents/?uuid=7aa650a3-a98e-399c-b695-e460b47ccc68"]}],"mendeley":{"formattedCitation":"&lt;sup&gt;[279]&lt;/sup&gt;","plainTextFormattedCitation":"[279]","previouslyFormattedCitation":"&lt;sup&gt;[279]&lt;/sup&gt;"},"properties":{"noteIndex":0},"schema":"https://github.com/citation-style-language/schema/raw/master/csl-citation.json"}</w:instrText>
      </w:r>
      <w:r w:rsidR="00FB2BC4" w:rsidRPr="00817CB0">
        <w:fldChar w:fldCharType="separate"/>
      </w:r>
      <w:r w:rsidR="002659E5" w:rsidRPr="002659E5">
        <w:rPr>
          <w:noProof/>
          <w:vertAlign w:val="superscript"/>
        </w:rPr>
        <w:t>[279]</w:t>
      </w:r>
      <w:r w:rsidR="00FB2BC4" w:rsidRPr="00817CB0">
        <w:fldChar w:fldCharType="end"/>
      </w:r>
      <w:r w:rsidR="00FB2BC4">
        <w:t xml:space="preserve"> </w:t>
      </w:r>
      <w:r w:rsidR="00FB2BC4" w:rsidRPr="00DD78DE">
        <w:t>(</w:t>
      </w:r>
      <w:r w:rsidR="00FB2BC4">
        <w:fldChar w:fldCharType="begin"/>
      </w:r>
      <w:r w:rsidR="00FB2BC4">
        <w:instrText xml:space="preserve"> REF _Ref78912396 \h </w:instrText>
      </w:r>
      <w:r w:rsidR="00FB2BC4">
        <w:fldChar w:fldCharType="separate"/>
      </w:r>
      <w:r w:rsidR="00183CC8">
        <w:t xml:space="preserve">Supplementary Figure </w:t>
      </w:r>
      <w:r w:rsidR="00183CC8">
        <w:rPr>
          <w:noProof/>
        </w:rPr>
        <w:t>7</w:t>
      </w:r>
      <w:r w:rsidR="00FB2BC4">
        <w:fldChar w:fldCharType="end"/>
      </w:r>
      <w:r w:rsidR="00FB2BC4">
        <w:t>,</w:t>
      </w:r>
      <w:r w:rsidR="00D42E02">
        <w:t xml:space="preserve"> </w:t>
      </w:r>
      <w:r w:rsidR="00FB2BC4">
        <w:fldChar w:fldCharType="begin"/>
      </w:r>
      <w:r w:rsidR="00FB2BC4">
        <w:instrText xml:space="preserve"> REF _Ref78912742 \h </w:instrText>
      </w:r>
      <w:r w:rsidR="00FB2BC4">
        <w:fldChar w:fldCharType="separate"/>
      </w:r>
      <w:r w:rsidR="00183CC8">
        <w:t xml:space="preserve">Supplementary Figure </w:t>
      </w:r>
      <w:r w:rsidR="00183CC8">
        <w:rPr>
          <w:noProof/>
        </w:rPr>
        <w:t>8</w:t>
      </w:r>
      <w:r w:rsidR="00FB2BC4">
        <w:fldChar w:fldCharType="end"/>
      </w:r>
      <w:r w:rsidR="00FB2BC4">
        <w:t>,</w:t>
      </w:r>
      <w:r w:rsidR="00BD7E20">
        <w:t xml:space="preserve"> and</w:t>
      </w:r>
      <w:r w:rsidR="00B556F0">
        <w:t xml:space="preserve"> </w:t>
      </w:r>
      <w:r w:rsidR="00FB2BC4">
        <w:fldChar w:fldCharType="begin"/>
      </w:r>
      <w:r w:rsidR="00FB2BC4">
        <w:instrText xml:space="preserve"> REF _Ref78912470 \h </w:instrText>
      </w:r>
      <w:r w:rsidR="00FB2BC4">
        <w:fldChar w:fldCharType="separate"/>
      </w:r>
      <w:r w:rsidR="00183CC8">
        <w:t xml:space="preserve">Supplementary Figure </w:t>
      </w:r>
      <w:r w:rsidR="00183CC8">
        <w:rPr>
          <w:noProof/>
        </w:rPr>
        <w:t>9</w:t>
      </w:r>
      <w:r w:rsidR="00FB2BC4">
        <w:fldChar w:fldCharType="end"/>
      </w:r>
      <w:r w:rsidR="00FB2BC4" w:rsidRPr="00F2768D">
        <w:t>).</w:t>
      </w:r>
      <w:r>
        <w:t xml:space="preserve"> </w:t>
      </w:r>
      <w:r w:rsidR="00620C59">
        <w:rPr>
          <w:i/>
          <w:iCs/>
        </w:rPr>
        <w:t>tarO</w:t>
      </w:r>
      <w:r w:rsidR="00620C59">
        <w:t xml:space="preserve"> with Congo red </w:t>
      </w:r>
      <w:r w:rsidR="00A2502F">
        <w:t xml:space="preserve">presented a phenotype similar to that of </w:t>
      </w:r>
      <w:r w:rsidR="00A2502F">
        <w:rPr>
          <w:i/>
          <w:iCs/>
        </w:rPr>
        <w:t>iltaS</w:t>
      </w:r>
      <w:r w:rsidR="00A2502F">
        <w:t xml:space="preserve"> and </w:t>
      </w:r>
      <w:r w:rsidR="00A2502F">
        <w:rPr>
          <w:i/>
          <w:iCs/>
        </w:rPr>
        <w:t>ltaS gdpP::kan</w:t>
      </w:r>
      <w:r w:rsidR="00620C59" w:rsidRPr="00022480">
        <w:t xml:space="preserve"> (</w:t>
      </w:r>
      <w:r w:rsidR="00B05149">
        <w:fldChar w:fldCharType="begin"/>
      </w:r>
      <w:r w:rsidR="00B05149">
        <w:instrText xml:space="preserve"> REF _Ref78912789 \h </w:instrText>
      </w:r>
      <w:r w:rsidR="00B05149">
        <w:fldChar w:fldCharType="separate"/>
      </w:r>
      <w:r w:rsidR="00183CC8">
        <w:t xml:space="preserve">Supplementary Figure </w:t>
      </w:r>
      <w:r w:rsidR="00183CC8">
        <w:rPr>
          <w:noProof/>
        </w:rPr>
        <w:t>10</w:t>
      </w:r>
      <w:r w:rsidR="00B05149">
        <w:fldChar w:fldCharType="end"/>
      </w:r>
      <w:r w:rsidR="006E12BF">
        <w:t xml:space="preserve"> </w:t>
      </w:r>
      <w:r w:rsidR="00F66681">
        <w:t>and</w:t>
      </w:r>
      <w:r w:rsidR="00D42E02">
        <w:t xml:space="preserve"> </w:t>
      </w:r>
      <w:r w:rsidR="00D42E02">
        <w:fldChar w:fldCharType="begin"/>
      </w:r>
      <w:r w:rsidR="00D42E02">
        <w:instrText xml:space="preserve"> REF _Ref78912875 \h </w:instrText>
      </w:r>
      <w:r w:rsidR="00D42E02">
        <w:fldChar w:fldCharType="separate"/>
      </w:r>
      <w:r w:rsidR="00183CC8">
        <w:t xml:space="preserve">Supplementary Figure </w:t>
      </w:r>
      <w:r w:rsidR="00183CC8">
        <w:rPr>
          <w:noProof/>
        </w:rPr>
        <w:t>11</w:t>
      </w:r>
      <w:r w:rsidR="00D42E02">
        <w:fldChar w:fldCharType="end"/>
      </w:r>
      <w:r w:rsidR="00620C59" w:rsidRPr="00022480">
        <w:t>).</w:t>
      </w:r>
    </w:p>
    <w:p w14:paraId="32A2C2E1" w14:textId="77777777" w:rsidR="00620C59" w:rsidRPr="005D4495" w:rsidRDefault="00620C59" w:rsidP="00620C59">
      <w:pPr>
        <w:pStyle w:val="BodyThesis"/>
      </w:pPr>
    </w:p>
    <w:p w14:paraId="291AFA7F" w14:textId="3D2A293F" w:rsidR="00620C59" w:rsidRPr="00D82FF2" w:rsidRDefault="00620C59" w:rsidP="00620C59">
      <w:pPr>
        <w:pStyle w:val="BodyThesis"/>
        <w:sectPr w:rsidR="00620C59" w:rsidRPr="00D82FF2" w:rsidSect="004D0E05">
          <w:pgSz w:w="11906" w:h="16838"/>
          <w:pgMar w:top="1191" w:right="1247" w:bottom="1191" w:left="1247" w:header="709" w:footer="709" w:gutter="0"/>
          <w:cols w:space="708"/>
          <w:titlePg/>
          <w:docGrid w:linePitch="360"/>
        </w:sectPr>
      </w:pPr>
    </w:p>
    <w:p w14:paraId="609B900A" w14:textId="77777777" w:rsidR="005407B9" w:rsidRPr="00620C59" w:rsidRDefault="005407B9" w:rsidP="00FF32D9">
      <w:pPr>
        <w:keepNext/>
        <w:jc w:val="center"/>
      </w:pPr>
      <w:r>
        <w:rPr>
          <w:noProof/>
        </w:rPr>
        <w:lastRenderedPageBreak/>
        <w:drawing>
          <wp:inline distT="0" distB="0" distL="0" distR="0" wp14:anchorId="0B684B24" wp14:editId="01F91676">
            <wp:extent cx="5837863" cy="5375563"/>
            <wp:effectExtent l="0" t="0" r="444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857654" cy="5393787"/>
                    </a:xfrm>
                    <a:prstGeom prst="rect">
                      <a:avLst/>
                    </a:prstGeom>
                  </pic:spPr>
                </pic:pic>
              </a:graphicData>
            </a:graphic>
          </wp:inline>
        </w:drawing>
      </w:r>
    </w:p>
    <w:p w14:paraId="5DA39962" w14:textId="7726754F" w:rsidR="009F137B" w:rsidRPr="00620C59" w:rsidRDefault="005407B9" w:rsidP="008A2B86">
      <w:pPr>
        <w:pStyle w:val="Caption"/>
      </w:pPr>
      <w:bookmarkStart w:id="678" w:name="_Ref75180110"/>
      <w:bookmarkStart w:id="679" w:name="_Toc90216983"/>
      <w:r w:rsidRPr="00620C59">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24</w:t>
      </w:r>
      <w:r w:rsidR="003373BF">
        <w:rPr>
          <w:noProof/>
        </w:rPr>
        <w:fldChar w:fldCharType="end"/>
      </w:r>
      <w:bookmarkEnd w:id="678"/>
      <w:r w:rsidR="00771063" w:rsidRPr="00620C59">
        <w:t xml:space="preserve"> </w:t>
      </w:r>
      <w:r w:rsidR="00CB5B0C" w:rsidRPr="00620C59">
        <w:t>Effects</w:t>
      </w:r>
      <w:r w:rsidR="00771063" w:rsidRPr="00620C59">
        <w:t xml:space="preserve"> of tarocin and </w:t>
      </w:r>
      <w:r w:rsidR="001745D9" w:rsidRPr="00620C59">
        <w:t>C</w:t>
      </w:r>
      <w:r w:rsidR="00771063" w:rsidRPr="00620C59">
        <w:t>ongo red</w:t>
      </w:r>
      <w:r w:rsidR="00F915DA" w:rsidRPr="00620C59">
        <w:t xml:space="preserve"> on bacterial growth</w:t>
      </w:r>
      <w:r w:rsidR="00771063" w:rsidRPr="00620C59">
        <w:t xml:space="preserve"> </w:t>
      </w:r>
      <w:r w:rsidR="00CB5B0C" w:rsidRPr="00620C59">
        <w:t xml:space="preserve">and its comparison to </w:t>
      </w:r>
      <w:r w:rsidR="00F81D65">
        <w:t>W</w:t>
      </w:r>
      <w:r w:rsidR="002032F0" w:rsidRPr="00620C59">
        <w:t>TA</w:t>
      </w:r>
      <w:r w:rsidR="00F81D65">
        <w:t xml:space="preserve"> and LTA</w:t>
      </w:r>
      <w:r w:rsidR="00771063" w:rsidRPr="00620C59">
        <w:t xml:space="preserve"> mutants.</w:t>
      </w:r>
      <w:bookmarkEnd w:id="679"/>
    </w:p>
    <w:p w14:paraId="42CEC21D" w14:textId="12C05B33" w:rsidR="005407B9" w:rsidRPr="00620C59" w:rsidRDefault="006F7E49" w:rsidP="005407B9">
      <w:pPr>
        <w:pStyle w:val="NoSpacing"/>
        <w:sectPr w:rsidR="005407B9" w:rsidRPr="00620C59" w:rsidSect="004D0E05">
          <w:pgSz w:w="11906" w:h="16838"/>
          <w:pgMar w:top="1191" w:right="1247" w:bottom="1191" w:left="1247" w:header="709" w:footer="709" w:gutter="0"/>
          <w:cols w:space="708"/>
          <w:titlePg/>
          <w:docGrid w:linePitch="360"/>
        </w:sectPr>
      </w:pPr>
      <w:r w:rsidRPr="00620C59">
        <w:t>Normalised a</w:t>
      </w:r>
      <w:r w:rsidR="00E34021" w:rsidRPr="00620C59">
        <w:t xml:space="preserve">bsorbance and CFU/ml measurements for of </w:t>
      </w:r>
      <w:r w:rsidR="00E34021" w:rsidRPr="00620C59">
        <w:rPr>
          <w:i/>
          <w:iCs/>
        </w:rPr>
        <w:t>S. aureus</w:t>
      </w:r>
      <w:r w:rsidR="00E34021" w:rsidRPr="00620C59">
        <w:t xml:space="preserve"> SH1000 (blue</w:t>
      </w:r>
      <w:r w:rsidR="00240B32" w:rsidRPr="00620C59">
        <w:t xml:space="preserve"> circle</w:t>
      </w:r>
      <w:r w:rsidR="00A616CB">
        <w:t>s</w:t>
      </w:r>
      <w:r w:rsidR="00E34021" w:rsidRPr="00620C59">
        <w:t>)</w:t>
      </w:r>
      <w:r w:rsidR="00A616CB">
        <w:t>,</w:t>
      </w:r>
      <w:r w:rsidR="00E34021" w:rsidRPr="00620C59">
        <w:t xml:space="preserve"> </w:t>
      </w:r>
      <w:r w:rsidR="00E34021" w:rsidRPr="00620C59">
        <w:rPr>
          <w:i/>
          <w:iCs/>
        </w:rPr>
        <w:t>tarO</w:t>
      </w:r>
      <w:r w:rsidR="00E34021" w:rsidRPr="00620C59">
        <w:t xml:space="preserve"> (green</w:t>
      </w:r>
      <w:r w:rsidR="00240B32" w:rsidRPr="00620C59">
        <w:t xml:space="preserve"> rhombus</w:t>
      </w:r>
      <w:r w:rsidR="00E34021" w:rsidRPr="00620C59">
        <w:t>)</w:t>
      </w:r>
      <w:r w:rsidR="004A3944" w:rsidRPr="00620C59">
        <w:t xml:space="preserve">, </w:t>
      </w:r>
      <w:r w:rsidR="002C3472" w:rsidRPr="00620C59">
        <w:t>and</w:t>
      </w:r>
      <w:r w:rsidR="004A3944" w:rsidRPr="00620C59">
        <w:t xml:space="preserve"> </w:t>
      </w:r>
      <w:r w:rsidR="00E34021" w:rsidRPr="00620C59">
        <w:rPr>
          <w:i/>
          <w:iCs/>
        </w:rPr>
        <w:t>ltaS gdpP</w:t>
      </w:r>
      <w:r w:rsidR="00E34021" w:rsidRPr="00620C59">
        <w:t>::kan (purple</w:t>
      </w:r>
      <w:r w:rsidR="00240B32" w:rsidRPr="00620C59">
        <w:t xml:space="preserve"> triangle</w:t>
      </w:r>
      <w:r w:rsidR="00E34021" w:rsidRPr="00620C59">
        <w:t>).</w:t>
      </w:r>
      <w:r w:rsidR="00057ED3" w:rsidRPr="00620C59">
        <w:t xml:space="preserve"> </w:t>
      </w:r>
      <w:r w:rsidR="00057ED3" w:rsidRPr="00620C59">
        <w:rPr>
          <w:b/>
          <w:bCs/>
        </w:rPr>
        <w:t>(A)</w:t>
      </w:r>
      <w:r w:rsidR="00057ED3" w:rsidRPr="00620C59">
        <w:t xml:space="preserve"> Comparison of SH1000 </w:t>
      </w:r>
      <w:r w:rsidR="00A616CB">
        <w:t>treated with</w:t>
      </w:r>
      <w:r w:rsidR="00240B32" w:rsidRPr="00620C59">
        <w:t xml:space="preserve"> 2.5 µg/ml of tarocin (blue half vertical circle) to </w:t>
      </w:r>
      <w:r w:rsidR="00240B32" w:rsidRPr="00620C59">
        <w:rPr>
          <w:i/>
          <w:iCs/>
        </w:rPr>
        <w:t>tarO</w:t>
      </w:r>
      <w:r w:rsidR="00A616CB">
        <w:rPr>
          <w:i/>
          <w:iCs/>
        </w:rPr>
        <w:t xml:space="preserve"> </w:t>
      </w:r>
      <w:r w:rsidR="00A616CB" w:rsidRPr="00620C59">
        <w:t>(green rhombus)</w:t>
      </w:r>
      <w:r w:rsidR="00240B32" w:rsidRPr="00620C59">
        <w:t xml:space="preserve">. </w:t>
      </w:r>
      <w:r w:rsidR="00240B32" w:rsidRPr="00620C59">
        <w:rPr>
          <w:b/>
          <w:bCs/>
        </w:rPr>
        <w:t>(B)</w:t>
      </w:r>
      <w:r w:rsidR="00E34021" w:rsidRPr="00620C59">
        <w:t xml:space="preserve"> </w:t>
      </w:r>
      <w:r w:rsidR="00240B32" w:rsidRPr="00620C59">
        <w:t xml:space="preserve">Comparison of SH1000 </w:t>
      </w:r>
      <w:r w:rsidR="00752940">
        <w:t>treated</w:t>
      </w:r>
      <w:r w:rsidR="004F0135">
        <w:t xml:space="preserve"> with</w:t>
      </w:r>
      <w:r w:rsidR="00240B32" w:rsidRPr="00620C59">
        <w:t xml:space="preserve"> </w:t>
      </w:r>
      <w:r w:rsidR="000709D3" w:rsidRPr="00620C59">
        <w:t xml:space="preserve">10 µg/ml of </w:t>
      </w:r>
      <w:r w:rsidR="001745D9" w:rsidRPr="00620C59">
        <w:t>C</w:t>
      </w:r>
      <w:r w:rsidR="000709D3" w:rsidRPr="00620C59">
        <w:t>ongo red (blue half horizontal circle)</w:t>
      </w:r>
      <w:r w:rsidR="00AF37A9" w:rsidRPr="00620C59">
        <w:t xml:space="preserve"> to </w:t>
      </w:r>
      <w:r w:rsidR="00AF37A9" w:rsidRPr="00620C59">
        <w:rPr>
          <w:i/>
          <w:iCs/>
        </w:rPr>
        <w:t>ltaS gdpP::kan</w:t>
      </w:r>
      <w:r w:rsidR="005407B9" w:rsidRPr="00620C59">
        <w:t>.</w:t>
      </w:r>
      <w:r w:rsidR="00E34021" w:rsidRPr="00620C59">
        <w:t xml:space="preserve"> Average of &gt; 3 biological repeats.</w:t>
      </w:r>
      <w:r w:rsidR="00BC7E00" w:rsidRPr="00620C59">
        <w:t xml:space="preserve"> SH1000 + </w:t>
      </w:r>
      <w:r w:rsidR="001745D9" w:rsidRPr="00620C59">
        <w:t>C</w:t>
      </w:r>
      <w:r w:rsidR="00BC7E00" w:rsidRPr="00620C59">
        <w:t>ongo red was carried out by Dr. Oliver Carnell.</w:t>
      </w:r>
    </w:p>
    <w:p w14:paraId="623BD5A8" w14:textId="0B851928" w:rsidR="005407B9" w:rsidRPr="00620C59" w:rsidRDefault="005407B9" w:rsidP="00FF32D9">
      <w:pPr>
        <w:pStyle w:val="NoSpacing"/>
        <w:keepNext/>
        <w:jc w:val="center"/>
      </w:pPr>
      <w:r>
        <w:rPr>
          <w:noProof/>
        </w:rPr>
        <w:lastRenderedPageBreak/>
        <w:drawing>
          <wp:inline distT="0" distB="0" distL="0" distR="0" wp14:anchorId="48DD3E7A" wp14:editId="5591264A">
            <wp:extent cx="5531183" cy="7245350"/>
            <wp:effectExtent l="0" t="0" r="635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544629" cy="7262963"/>
                    </a:xfrm>
                    <a:prstGeom prst="rect">
                      <a:avLst/>
                    </a:prstGeom>
                  </pic:spPr>
                </pic:pic>
              </a:graphicData>
            </a:graphic>
          </wp:inline>
        </w:drawing>
      </w:r>
    </w:p>
    <w:p w14:paraId="5D62658E" w14:textId="54958445" w:rsidR="005407B9" w:rsidRDefault="005407B9" w:rsidP="008A2B86">
      <w:pPr>
        <w:pStyle w:val="Caption"/>
      </w:pPr>
      <w:bookmarkStart w:id="680" w:name="_Ref75184668"/>
      <w:bookmarkStart w:id="681" w:name="_Toc90216984"/>
      <w:r w:rsidRPr="00620C59">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25</w:t>
      </w:r>
      <w:r w:rsidR="003373BF">
        <w:rPr>
          <w:noProof/>
        </w:rPr>
        <w:fldChar w:fldCharType="end"/>
      </w:r>
      <w:bookmarkEnd w:id="680"/>
      <w:r w:rsidR="001C08CF" w:rsidRPr="00D01BCD">
        <w:t xml:space="preserve"> </w:t>
      </w:r>
      <w:r w:rsidR="00674CE5" w:rsidRPr="00D01BCD">
        <w:t>Effect of the c</w:t>
      </w:r>
      <w:r w:rsidR="001C08CF" w:rsidRPr="00D01BCD">
        <w:t xml:space="preserve">hemical interruption of </w:t>
      </w:r>
      <w:r w:rsidR="00674CE5" w:rsidRPr="00D01BCD">
        <w:t>WTA and LTA</w:t>
      </w:r>
      <w:r w:rsidR="001C08CF" w:rsidRPr="00D01BCD">
        <w:t xml:space="preserve"> bi</w:t>
      </w:r>
      <w:r w:rsidR="001C08CF">
        <w:t xml:space="preserve">osynthesis </w:t>
      </w:r>
      <w:r w:rsidR="002B27A1">
        <w:t xml:space="preserve">on </w:t>
      </w:r>
      <w:r w:rsidR="007A49CE">
        <w:t>SH1000</w:t>
      </w:r>
      <w:r w:rsidR="002B27A1">
        <w:t xml:space="preserve"> </w:t>
      </w:r>
      <w:r w:rsidR="001C08CF">
        <w:t>growth.</w:t>
      </w:r>
      <w:bookmarkEnd w:id="681"/>
    </w:p>
    <w:p w14:paraId="200B60B2" w14:textId="3560ED8F" w:rsidR="0092471E" w:rsidRDefault="00534E75" w:rsidP="005407B9">
      <w:pPr>
        <w:pStyle w:val="NoSpacing"/>
        <w:sectPr w:rsidR="0092471E" w:rsidSect="004D0E05">
          <w:pgSz w:w="11906" w:h="16838"/>
          <w:pgMar w:top="1191" w:right="1247" w:bottom="1191" w:left="1247" w:header="709" w:footer="709" w:gutter="0"/>
          <w:cols w:space="708"/>
          <w:titlePg/>
          <w:docGrid w:linePitch="360"/>
        </w:sectPr>
      </w:pPr>
      <w:r>
        <w:t xml:space="preserve">Normalised absorbance and CFU/ml measurements for </w:t>
      </w:r>
      <w:r>
        <w:rPr>
          <w:i/>
          <w:iCs/>
        </w:rPr>
        <w:t xml:space="preserve">S. </w:t>
      </w:r>
      <w:r w:rsidRPr="00E97E72">
        <w:rPr>
          <w:i/>
          <w:iCs/>
        </w:rPr>
        <w:t>aureus</w:t>
      </w:r>
      <w:r>
        <w:t xml:space="preserve"> SH1000 (blue circle), </w:t>
      </w:r>
      <w:r>
        <w:rPr>
          <w:i/>
          <w:iCs/>
        </w:rPr>
        <w:t>tarO</w:t>
      </w:r>
      <w:r>
        <w:t xml:space="preserve"> (green rhombus) and </w:t>
      </w:r>
      <w:r>
        <w:rPr>
          <w:i/>
          <w:iCs/>
        </w:rPr>
        <w:t>ltaS gdpP</w:t>
      </w:r>
      <w:r>
        <w:t xml:space="preserve">::kan (purple triangle). </w:t>
      </w:r>
      <w:r>
        <w:rPr>
          <w:b/>
          <w:bCs/>
        </w:rPr>
        <w:t>(A)</w:t>
      </w:r>
      <w:r>
        <w:t xml:space="preserve"> Comparison of SH1000 treated with tarocin (blue half vertical circle) to its treatment with Congo red (blue half horizontal circle) and treatment with both tunicamycin and Congo red together (blue circle with a cross). </w:t>
      </w:r>
      <w:r>
        <w:rPr>
          <w:b/>
          <w:bCs/>
        </w:rPr>
        <w:t>(B)</w:t>
      </w:r>
      <w:r>
        <w:t xml:space="preserve"> Comparison of SH1000 + tunicamycin + Congo red to </w:t>
      </w:r>
      <w:r>
        <w:rPr>
          <w:i/>
          <w:iCs/>
        </w:rPr>
        <w:t xml:space="preserve">ltaS gdpP::kan </w:t>
      </w:r>
      <w:r>
        <w:t>treated</w:t>
      </w:r>
      <w:r>
        <w:rPr>
          <w:i/>
          <w:iCs/>
        </w:rPr>
        <w:t xml:space="preserve"> </w:t>
      </w:r>
      <w:r>
        <w:t xml:space="preserve">with tarocin (purple half triangle). </w:t>
      </w:r>
      <w:r>
        <w:rPr>
          <w:b/>
          <w:bCs/>
        </w:rPr>
        <w:t>(C)</w:t>
      </w:r>
      <w:r>
        <w:t xml:space="preserve"> Comparison of SH1000 + tunicamycin + Congo red to </w:t>
      </w:r>
      <w:r>
        <w:rPr>
          <w:i/>
          <w:iCs/>
        </w:rPr>
        <w:t>tarO</w:t>
      </w:r>
      <w:r>
        <w:t xml:space="preserve"> treated with Congo red (green half rhombus). Tarocin and tunicamycin– 2.5 µg/ml. Congo red– 10 µg/ml. All values are the average of &gt; 3 biological repeats. Congo red experiment was carried out by Dr. Oliver Carn</w:t>
      </w:r>
      <w:r w:rsidR="002E5303">
        <w:t>ell</w:t>
      </w:r>
      <w:r w:rsidR="002418D1">
        <w:t>.</w:t>
      </w:r>
    </w:p>
    <w:p w14:paraId="6F8951D2" w14:textId="77777777" w:rsidR="0092471E" w:rsidRPr="00620C59" w:rsidRDefault="0092471E" w:rsidP="0092471E">
      <w:pPr>
        <w:pStyle w:val="NoSpacing"/>
        <w:keepNext/>
        <w:jc w:val="center"/>
      </w:pPr>
      <w:r>
        <w:rPr>
          <w:noProof/>
        </w:rPr>
        <w:lastRenderedPageBreak/>
        <w:drawing>
          <wp:inline distT="0" distB="0" distL="0" distR="0" wp14:anchorId="56034BE6" wp14:editId="55F51804">
            <wp:extent cx="3854059" cy="4411721"/>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854059" cy="4411721"/>
                    </a:xfrm>
                    <a:prstGeom prst="rect">
                      <a:avLst/>
                    </a:prstGeom>
                  </pic:spPr>
                </pic:pic>
              </a:graphicData>
            </a:graphic>
          </wp:inline>
        </w:drawing>
      </w:r>
    </w:p>
    <w:p w14:paraId="0214D83C" w14:textId="6B5F0B87" w:rsidR="0092471E" w:rsidRDefault="0092471E" w:rsidP="0092471E">
      <w:pPr>
        <w:pStyle w:val="Caption"/>
      </w:pPr>
      <w:bookmarkStart w:id="682" w:name="_Ref80045567"/>
      <w:bookmarkStart w:id="683" w:name="_Toc90216985"/>
      <w:r w:rsidRPr="00620C59">
        <w:t xml:space="preserve">Figure </w:t>
      </w:r>
      <w:r w:rsidR="003373BF">
        <w:fldChar w:fldCharType="begin"/>
      </w:r>
      <w:r w:rsidR="003373BF">
        <w:instrText xml:space="preserve"> STYLEREF 1 \s </w:instrText>
      </w:r>
      <w:r w:rsidR="003373BF">
        <w:fldChar w:fldCharType="separate"/>
      </w:r>
      <w:r w:rsidR="00183CC8">
        <w:rPr>
          <w:noProof/>
        </w:rPr>
        <w:t>4</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26</w:t>
      </w:r>
      <w:r w:rsidR="003373BF">
        <w:rPr>
          <w:noProof/>
        </w:rPr>
        <w:fldChar w:fldCharType="end"/>
      </w:r>
      <w:bookmarkEnd w:id="682"/>
      <w:r w:rsidRPr="00D01BCD">
        <w:t xml:space="preserve"> </w:t>
      </w:r>
      <w:r w:rsidR="00EE168C">
        <w:t>Survival analysis</w:t>
      </w:r>
      <w:r w:rsidR="002A1995">
        <w:t xml:space="preserve"> </w:t>
      </w:r>
      <w:r w:rsidR="00EE168C">
        <w:t>of SH1000 lacking WTA and LTA</w:t>
      </w:r>
      <w:r>
        <w:t>.</w:t>
      </w:r>
      <w:bookmarkEnd w:id="683"/>
    </w:p>
    <w:p w14:paraId="00172DD2" w14:textId="113B3097" w:rsidR="00FB640E" w:rsidRDefault="0092471E" w:rsidP="006F5899">
      <w:pPr>
        <w:pStyle w:val="NoSpacing"/>
        <w:jc w:val="both"/>
        <w:sectPr w:rsidR="00FB640E" w:rsidSect="004D0E05">
          <w:pgSz w:w="11906" w:h="16838"/>
          <w:pgMar w:top="1191" w:right="1247" w:bottom="1191" w:left="1247" w:header="709" w:footer="709" w:gutter="0"/>
          <w:cols w:space="708"/>
          <w:titlePg/>
          <w:docGrid w:linePitch="360"/>
        </w:sectPr>
      </w:pPr>
      <w:r>
        <w:t>Normalised</w:t>
      </w:r>
      <w:r w:rsidR="005742FF">
        <w:t xml:space="preserve"> </w:t>
      </w:r>
      <w:r w:rsidR="005742FF">
        <w:rPr>
          <w:b/>
          <w:bCs/>
        </w:rPr>
        <w:t xml:space="preserve">(A) </w:t>
      </w:r>
      <w:r w:rsidR="005742FF">
        <w:t xml:space="preserve">survival percentage and </w:t>
      </w:r>
      <w:r w:rsidR="005742FF">
        <w:rPr>
          <w:b/>
          <w:bCs/>
        </w:rPr>
        <w:t>(B)</w:t>
      </w:r>
      <w:r w:rsidR="005742FF">
        <w:t xml:space="preserve"> death percentage taken from</w:t>
      </w:r>
      <w:r>
        <w:t xml:space="preserve"> CFU/ml </w:t>
      </w:r>
      <w:r w:rsidR="005742FF">
        <w:t>of</w:t>
      </w:r>
      <w:r>
        <w:t xml:space="preserve"> </w:t>
      </w:r>
      <w:r>
        <w:rPr>
          <w:i/>
          <w:iCs/>
        </w:rPr>
        <w:t xml:space="preserve">S. </w:t>
      </w:r>
      <w:r w:rsidRPr="00E97E72">
        <w:rPr>
          <w:i/>
          <w:iCs/>
        </w:rPr>
        <w:t>aureus</w:t>
      </w:r>
      <w:r>
        <w:t xml:space="preserve"> SH1000</w:t>
      </w:r>
      <w:r w:rsidR="005742FF">
        <w:t xml:space="preserve"> treated with</w:t>
      </w:r>
      <w:r>
        <w:t xml:space="preserve"> tunicamycin </w:t>
      </w:r>
      <w:r w:rsidR="005742FF">
        <w:t>and</w:t>
      </w:r>
      <w:r>
        <w:t xml:space="preserve"> Congo red</w:t>
      </w:r>
      <w:r w:rsidR="00744A1C">
        <w:t xml:space="preserve"> together (blue circle with a cross)</w:t>
      </w:r>
      <w:r w:rsidR="005742FF">
        <w:t xml:space="preserve">, </w:t>
      </w:r>
      <w:r w:rsidR="005742FF">
        <w:rPr>
          <w:i/>
          <w:iCs/>
        </w:rPr>
        <w:t>tarO</w:t>
      </w:r>
      <w:r w:rsidR="005742FF">
        <w:t xml:space="preserve"> treated with Congo red (green half rhombus), and</w:t>
      </w:r>
      <w:r>
        <w:t xml:space="preserve"> </w:t>
      </w:r>
      <w:r>
        <w:rPr>
          <w:i/>
          <w:iCs/>
        </w:rPr>
        <w:t xml:space="preserve">ltaS gdpP::kan </w:t>
      </w:r>
      <w:r>
        <w:t>treated</w:t>
      </w:r>
      <w:r>
        <w:rPr>
          <w:i/>
          <w:iCs/>
        </w:rPr>
        <w:t xml:space="preserve"> </w:t>
      </w:r>
      <w:r>
        <w:t>with tarocin (purple half triangle).</w:t>
      </w:r>
      <w:r w:rsidR="005742FF">
        <w:t xml:space="preserve"> Measurements taken at</w:t>
      </w:r>
      <w:r w:rsidR="00356DE3">
        <w:t xml:space="preserve"> 2, 3 and 4 h of treatment, as stated.</w:t>
      </w:r>
      <w:r w:rsidR="006F5899">
        <w:t xml:space="preserve"> </w:t>
      </w:r>
      <w:r w:rsidR="006F5899" w:rsidRPr="006456D2">
        <w:t>Statistical analysis: t-test with Wel</w:t>
      </w:r>
      <w:r w:rsidR="006F5899">
        <w:t>c</w:t>
      </w:r>
      <w:r w:rsidR="006F5899" w:rsidRPr="006456D2">
        <w:t>h</w:t>
      </w:r>
      <w:r w:rsidR="000B568B">
        <w:t>’s</w:t>
      </w:r>
      <w:r w:rsidR="006F5899" w:rsidRPr="006456D2">
        <w:t xml:space="preserve"> correction (</w:t>
      </w:r>
      <w:r w:rsidR="006F5899">
        <w:t>3 h SH1000</w:t>
      </w:r>
      <w:r w:rsidR="006F5899" w:rsidRPr="006456D2">
        <w:t xml:space="preserve"> </w:t>
      </w:r>
      <w:r w:rsidR="006F5899" w:rsidRPr="00486B0A">
        <w:rPr>
          <w:i/>
          <w:iCs/>
        </w:rPr>
        <w:t>vs</w:t>
      </w:r>
      <w:r w:rsidR="006F5899">
        <w:rPr>
          <w:i/>
          <w:iCs/>
        </w:rPr>
        <w:t>.</w:t>
      </w:r>
      <w:r w:rsidR="006F5899" w:rsidRPr="006456D2">
        <w:t xml:space="preserve"> </w:t>
      </w:r>
      <w:r w:rsidR="006F5899">
        <w:rPr>
          <w:i/>
          <w:iCs/>
        </w:rPr>
        <w:t>tarO</w:t>
      </w:r>
      <w:r w:rsidR="006F5899">
        <w:t xml:space="preserve"> </w:t>
      </w:r>
      <w:r w:rsidR="006F5899" w:rsidRPr="006456D2">
        <w:t>* p = 0.0</w:t>
      </w:r>
      <w:r w:rsidR="006F5899">
        <w:t xml:space="preserve">229; 3 h SH1000 </w:t>
      </w:r>
      <w:r w:rsidR="006F5899">
        <w:rPr>
          <w:i/>
          <w:iCs/>
        </w:rPr>
        <w:t xml:space="preserve">vs. ltaS gdpP </w:t>
      </w:r>
      <w:r w:rsidR="006F5899">
        <w:t>* p = 0.0237; 4 h SH1000</w:t>
      </w:r>
      <w:r w:rsidR="006F5899" w:rsidRPr="006456D2">
        <w:t xml:space="preserve"> </w:t>
      </w:r>
      <w:r w:rsidR="006F5899" w:rsidRPr="00486B0A">
        <w:rPr>
          <w:i/>
          <w:iCs/>
        </w:rPr>
        <w:t>vs</w:t>
      </w:r>
      <w:r w:rsidR="006F5899">
        <w:rPr>
          <w:i/>
          <w:iCs/>
        </w:rPr>
        <w:t>.</w:t>
      </w:r>
      <w:r w:rsidR="006F5899" w:rsidRPr="006456D2">
        <w:t xml:space="preserve"> </w:t>
      </w:r>
      <w:r w:rsidR="006F5899">
        <w:rPr>
          <w:i/>
          <w:iCs/>
        </w:rPr>
        <w:t>tarO</w:t>
      </w:r>
      <w:r w:rsidR="006F5899">
        <w:t xml:space="preserve"> *</w:t>
      </w:r>
      <w:r w:rsidR="006F5899" w:rsidRPr="006456D2">
        <w:t>* p = 0.0</w:t>
      </w:r>
      <w:r w:rsidR="006F5899">
        <w:t xml:space="preserve">091; 4 h SH1000 </w:t>
      </w:r>
      <w:r w:rsidR="006F5899">
        <w:rPr>
          <w:i/>
          <w:iCs/>
        </w:rPr>
        <w:t>vs. ltaS gdpP</w:t>
      </w:r>
      <w:r w:rsidR="009718C8">
        <w:rPr>
          <w:i/>
          <w:iCs/>
        </w:rPr>
        <w:t>::kan</w:t>
      </w:r>
      <w:r w:rsidR="006F5899">
        <w:rPr>
          <w:i/>
          <w:iCs/>
        </w:rPr>
        <w:t xml:space="preserve"> </w:t>
      </w:r>
      <w:r w:rsidR="00E574CA">
        <w:rPr>
          <w:i/>
          <w:iCs/>
        </w:rPr>
        <w:t>*</w:t>
      </w:r>
      <w:r w:rsidR="006F5899">
        <w:t xml:space="preserve">* p = 0.0091; 4 h </w:t>
      </w:r>
      <w:r w:rsidR="006F5899">
        <w:rPr>
          <w:i/>
          <w:iCs/>
        </w:rPr>
        <w:t xml:space="preserve">tarO vs. ltaS gdpP::kan </w:t>
      </w:r>
      <w:r w:rsidR="006F5899">
        <w:t>** p = </w:t>
      </w:r>
      <w:r w:rsidR="00E574CA">
        <w:t>0.0307</w:t>
      </w:r>
      <w:r w:rsidR="006F5899" w:rsidRPr="006456D2">
        <w:t>).</w:t>
      </w:r>
      <w:r w:rsidR="00356DE3">
        <w:t xml:space="preserve"> </w:t>
      </w:r>
      <w:r>
        <w:t>Tarocin and tunicamycin– 2.5 µg/ml. Congo red– 10 µg/ml. All values are the average of</w:t>
      </w:r>
      <w:r w:rsidR="00841A34">
        <w:t xml:space="preserve"> </w:t>
      </w:r>
      <w:r>
        <w:t>3 biological repeats. Congo red experiment was carried out by Dr. Oliver Carnell.</w:t>
      </w:r>
    </w:p>
    <w:p w14:paraId="7641AC7C" w14:textId="455F9055" w:rsidR="008A001D" w:rsidRDefault="008A001D" w:rsidP="008A001D">
      <w:pPr>
        <w:pStyle w:val="Heading2"/>
      </w:pPr>
      <w:bookmarkStart w:id="684" w:name="_Toc90216893"/>
      <w:r>
        <w:lastRenderedPageBreak/>
        <w:t>Discussion</w:t>
      </w:r>
      <w:r w:rsidR="007006CC">
        <w:t>.</w:t>
      </w:r>
      <w:bookmarkEnd w:id="684"/>
    </w:p>
    <w:p w14:paraId="06CE04F7" w14:textId="279D1CB7" w:rsidR="006D42F5" w:rsidRDefault="00677C67" w:rsidP="006D42F5">
      <w:r>
        <w:t xml:space="preserve">The exoplasmic space is </w:t>
      </w:r>
      <w:r w:rsidR="006D42F5">
        <w:t xml:space="preserve">a </w:t>
      </w:r>
      <w:r>
        <w:t>malleable compartment that, as such, is</w:t>
      </w:r>
      <w:r w:rsidR="00BD5977">
        <w:t xml:space="preserve"> difficult to examine when</w:t>
      </w:r>
      <w:r>
        <w:t xml:space="preserve"> dehydrated </w:t>
      </w:r>
      <w:r w:rsidR="00BD5977">
        <w:t>by</w:t>
      </w:r>
      <w:r>
        <w:t xml:space="preserve"> conventional microscopy techniques</w:t>
      </w:r>
      <w:r w:rsidR="005D49F6">
        <w:t xml:space="preserve"> </w:t>
      </w:r>
      <w:r w:rsidR="000D1A37">
        <w:t>such as</w:t>
      </w:r>
      <w:r w:rsidR="005D49F6">
        <w:t xml:space="preserve"> chemical fixation and freeze-substitution</w:t>
      </w:r>
      <w:r w:rsidR="006D42F5">
        <w:t>. Cryo-electron microscopy of vitreous sections (</w:t>
      </w:r>
      <w:r w:rsidR="006D42F5" w:rsidRPr="005F4D53">
        <w:t>CEMOVIS</w:t>
      </w:r>
      <w:r w:rsidR="006D42F5">
        <w:t>) offers the opportunity to study the exoplasm in its frozen hydrated state.</w:t>
      </w:r>
      <w:r w:rsidR="006D42F5" w:rsidRPr="006D42F5">
        <w:t xml:space="preserve"> </w:t>
      </w:r>
      <w:r w:rsidR="006D42F5">
        <w:t xml:space="preserve">This first attempt at </w:t>
      </w:r>
      <w:r w:rsidR="006D42F5" w:rsidRPr="002D5F64">
        <w:t>CEMOVIS</w:t>
      </w:r>
      <w:r w:rsidR="006D42F5">
        <w:t xml:space="preserve"> has proven that this technique </w:t>
      </w:r>
      <w:r w:rsidR="00AD224F">
        <w:t>can provide</w:t>
      </w:r>
      <w:r w:rsidR="006D42F5">
        <w:t xml:space="preserve"> the necessary data to study the bacterial envelope, with particular focus on the exoplasm.</w:t>
      </w:r>
      <w:r w:rsidR="002D5F64">
        <w:t xml:space="preserve"> However, due to time constraints, </w:t>
      </w:r>
      <w:r w:rsidR="006E2969">
        <w:t>the</w:t>
      </w:r>
      <w:r w:rsidR="00946264">
        <w:t xml:space="preserve"> aims of studying the exoplasm with this cryo-EM technique could not be achieved. Thus, </w:t>
      </w:r>
      <w:r w:rsidR="006E2969">
        <w:t>this</w:t>
      </w:r>
      <w:r w:rsidR="006B655C">
        <w:t xml:space="preserve"> discussion</w:t>
      </w:r>
      <w:r w:rsidR="006E2969">
        <w:t xml:space="preserve"> is focused</w:t>
      </w:r>
      <w:r w:rsidR="006B655C">
        <w:t xml:space="preserve"> on</w:t>
      </w:r>
      <w:r w:rsidR="002D5F64">
        <w:t xml:space="preserve"> the preliminary data obtained from conventional TEM techniques.</w:t>
      </w:r>
    </w:p>
    <w:p w14:paraId="637AC620" w14:textId="7E30F34D" w:rsidR="00A84766" w:rsidRPr="009438F4" w:rsidRDefault="00F60694" w:rsidP="009438F4">
      <w:pPr>
        <w:pStyle w:val="Heading3"/>
      </w:pPr>
      <w:bookmarkStart w:id="685" w:name="_Toc90216894"/>
      <w:r w:rsidRPr="009438F4">
        <w:t>Analysis of the</w:t>
      </w:r>
      <w:r w:rsidR="00A84766" w:rsidRPr="009438F4">
        <w:t xml:space="preserve"> </w:t>
      </w:r>
      <w:r w:rsidR="00BB1914" w:rsidRPr="009438F4">
        <w:t xml:space="preserve">bacterial envelope </w:t>
      </w:r>
      <w:r w:rsidR="00BB1914" w:rsidRPr="009438F4">
        <w:rPr>
          <w:rStyle w:val="Strong"/>
          <w:b/>
          <w:bCs w:val="0"/>
        </w:rPr>
        <w:t>and</w:t>
      </w:r>
      <w:r w:rsidR="00BB1914" w:rsidRPr="009438F4">
        <w:t xml:space="preserve"> the exoplasm</w:t>
      </w:r>
      <w:r w:rsidRPr="009438F4">
        <w:t xml:space="preserve"> by freeze substitution</w:t>
      </w:r>
      <w:r w:rsidR="007006CC">
        <w:t>.</w:t>
      </w:r>
      <w:bookmarkEnd w:id="685"/>
    </w:p>
    <w:p w14:paraId="12ABA6B6" w14:textId="4E654311" w:rsidR="009B0132" w:rsidRDefault="00AF6F3B" w:rsidP="00683460">
      <w:r>
        <w:t xml:space="preserve">As explained in chapter 3, </w:t>
      </w:r>
      <w:r w:rsidR="00B4145C" w:rsidRPr="005F4D53">
        <w:t>freeze-substitution</w:t>
      </w:r>
      <w:r w:rsidR="00935E7E" w:rsidRPr="005F4D53">
        <w:t xml:space="preserve"> (FS)</w:t>
      </w:r>
      <w:r>
        <w:t xml:space="preserve"> </w:t>
      </w:r>
      <w:r w:rsidRPr="00935E7E">
        <w:t xml:space="preserve">provides better structural preservation </w:t>
      </w:r>
      <w:r w:rsidRPr="003D13DB">
        <w:t>than conventional chemical fixation</w:t>
      </w:r>
      <w:r>
        <w:t xml:space="preserve"> at room temperature. Here </w:t>
      </w:r>
      <w:r w:rsidR="00CF142E">
        <w:t>I</w:t>
      </w:r>
      <w:r>
        <w:t xml:space="preserve"> have shown </w:t>
      </w:r>
      <w:r w:rsidRPr="005F4D53">
        <w:t xml:space="preserve">two differential sample populations </w:t>
      </w:r>
      <w:r w:rsidRPr="003D13DB">
        <w:t xml:space="preserve">of freeze-substituted </w:t>
      </w:r>
      <w:r w:rsidR="00A84766">
        <w:t xml:space="preserve">SH1000 </w:t>
      </w:r>
      <w:r w:rsidRPr="003D13DB">
        <w:t>cells</w:t>
      </w:r>
      <w:r>
        <w:t xml:space="preserve">, one more heavily stained than the other. The former resembles images of freeze-substituted cells obtained by Matias &amp; Beveridge (2006) </w:t>
      </w:r>
      <w:r>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7cdcd25c-b08e-42c1-b6ed-533d180bef3b"]}],"mendeley":{"formattedCitation":"&lt;sup&gt;[16]&lt;/sup&gt;","plainTextFormattedCitation":"[16]","previouslyFormattedCitation":"&lt;sup&gt;[16]&lt;/sup&gt;"},"properties":{"noteIndex":0},"schema":"https://github.com/citation-style-language/schema/raw/master/csl-citation.json"}</w:instrText>
      </w:r>
      <w:r>
        <w:fldChar w:fldCharType="separate"/>
      </w:r>
      <w:r w:rsidR="00DA0A83" w:rsidRPr="00DA0A83">
        <w:rPr>
          <w:noProof/>
          <w:vertAlign w:val="superscript"/>
        </w:rPr>
        <w:t>[16]</w:t>
      </w:r>
      <w:r>
        <w:fldChar w:fldCharType="end"/>
      </w:r>
      <w:r>
        <w:t>,</w:t>
      </w:r>
      <w:r w:rsidR="00587F81">
        <w:t xml:space="preserve"> while the latter appears to present more structural detail</w:t>
      </w:r>
      <w:r w:rsidR="00A84766">
        <w:t xml:space="preserve"> (</w:t>
      </w:r>
      <w:r w:rsidR="00A84766">
        <w:fldChar w:fldCharType="begin"/>
      </w:r>
      <w:r w:rsidR="00A84766">
        <w:instrText xml:space="preserve"> REF _Ref73978189 \h </w:instrText>
      </w:r>
      <w:r w:rsidR="00A84766">
        <w:fldChar w:fldCharType="separate"/>
      </w:r>
      <w:r w:rsidR="00183CC8">
        <w:t xml:space="preserve">Figure </w:t>
      </w:r>
      <w:r w:rsidR="00183CC8">
        <w:rPr>
          <w:noProof/>
        </w:rPr>
        <w:t>4</w:t>
      </w:r>
      <w:r w:rsidR="00183CC8">
        <w:t>.</w:t>
      </w:r>
      <w:r w:rsidR="00183CC8">
        <w:rPr>
          <w:noProof/>
        </w:rPr>
        <w:t>4</w:t>
      </w:r>
      <w:r w:rsidR="00A84766">
        <w:fldChar w:fldCharType="end"/>
      </w:r>
      <w:r w:rsidR="00A84766">
        <w:t>)</w:t>
      </w:r>
      <w:r w:rsidR="00587F81">
        <w:t>.</w:t>
      </w:r>
      <w:r w:rsidR="00C40BE3">
        <w:t xml:space="preserve"> </w:t>
      </w:r>
      <w:r w:rsidR="00472ADD">
        <w:t xml:space="preserve">The reason behind these two </w:t>
      </w:r>
      <w:r w:rsidR="007F4851">
        <w:t xml:space="preserve">sample </w:t>
      </w:r>
      <w:r w:rsidR="00472ADD">
        <w:t>populations is yet unknown.</w:t>
      </w:r>
      <w:r w:rsidR="007F4851">
        <w:t xml:space="preserve"> </w:t>
      </w:r>
      <w:r w:rsidR="003804BB">
        <w:t>Usually</w:t>
      </w:r>
      <w:r w:rsidR="009651AA">
        <w:t>, differential</w:t>
      </w:r>
      <w:r w:rsidR="009B0132">
        <w:t xml:space="preserve"> contrast and staining depends on </w:t>
      </w:r>
      <w:r w:rsidR="00C76A86">
        <w:t xml:space="preserve">the </w:t>
      </w:r>
      <w:r w:rsidR="009B0132">
        <w:t>reactivity of the cell components to OsO</w:t>
      </w:r>
      <w:r w:rsidR="009B0132">
        <w:rPr>
          <w:vertAlign w:val="subscript"/>
        </w:rPr>
        <w:t>4</w:t>
      </w:r>
      <w:r w:rsidR="009B0132">
        <w:t xml:space="preserve"> and heavy-metal stains (UA and LC)</w:t>
      </w:r>
      <w:r w:rsidR="00C76A86">
        <w:t>, and the mas</w:t>
      </w:r>
      <w:r w:rsidR="00C862B2">
        <w:t>s</w:t>
      </w:r>
      <w:r w:rsidR="00C76A86">
        <w:t xml:space="preserve"> available for staining. The latter explains why thicker sections are more heavily stained than thin sections, and why thinner sections provide </w:t>
      </w:r>
      <w:r w:rsidR="00917E10">
        <w:t>TEM micrographs that are</w:t>
      </w:r>
      <w:r w:rsidR="00C76A86">
        <w:t xml:space="preserve"> easier to analyse.</w:t>
      </w:r>
      <w:r w:rsidR="009B0132">
        <w:t xml:space="preserve"> </w:t>
      </w:r>
      <w:r w:rsidR="00595CB7">
        <w:t xml:space="preserve">Similarly, burst </w:t>
      </w:r>
      <w:r w:rsidR="009B0132">
        <w:t>or damaged cells have a reduced contrast as a result of leaked cytoplasmic material.</w:t>
      </w:r>
      <w:r w:rsidR="00D606D1">
        <w:t xml:space="preserve"> With this in mind, the sample population observed here with less staining and more structur</w:t>
      </w:r>
      <w:r w:rsidR="00840758">
        <w:t>al</w:t>
      </w:r>
      <w:r w:rsidR="00D606D1">
        <w:t xml:space="preserve"> </w:t>
      </w:r>
      <w:r w:rsidR="00E67259">
        <w:t>detail</w:t>
      </w:r>
      <w:r w:rsidR="00794FE1">
        <w:t xml:space="preserve"> </w:t>
      </w:r>
      <w:r w:rsidR="00340F31">
        <w:t>could result from either</w:t>
      </w:r>
      <w:r w:rsidR="00D7292D">
        <w:t>:</w:t>
      </w:r>
      <w:r w:rsidR="00340F31">
        <w:t xml:space="preserve"> (1) damaged cells during HPF that have less cellular material</w:t>
      </w:r>
      <w:r w:rsidR="00E67259">
        <w:t xml:space="preserve"> for staining</w:t>
      </w:r>
      <w:r w:rsidR="00340F31">
        <w:t xml:space="preserve">, or (2) </w:t>
      </w:r>
      <w:r w:rsidR="004D7C05">
        <w:t>highly</w:t>
      </w:r>
      <w:r w:rsidR="00E67259">
        <w:t xml:space="preserve"> preserved </w:t>
      </w:r>
      <w:r w:rsidR="00340F31">
        <w:t>cells due to a better HPF.</w:t>
      </w:r>
      <w:r w:rsidR="00106DA5">
        <w:t xml:space="preserve"> </w:t>
      </w:r>
      <w:r w:rsidR="0052485F">
        <w:t xml:space="preserve">I believe the latter is more likely, as the loss of cytoplasmic content from a broken cell should not affect the visibility of </w:t>
      </w:r>
      <w:r w:rsidR="008B1A61">
        <w:t>any</w:t>
      </w:r>
      <w:r w:rsidR="0052485F">
        <w:t xml:space="preserve"> CW-bound components.</w:t>
      </w:r>
      <w:r w:rsidR="00975BD6">
        <w:t xml:space="preserve"> </w:t>
      </w:r>
      <w:r w:rsidR="00106DA5">
        <w:t xml:space="preserve">Although more </w:t>
      </w:r>
      <w:r w:rsidR="0052405D">
        <w:t>experiments are required to reach a robust conclusion</w:t>
      </w:r>
      <w:r w:rsidR="00106DA5">
        <w:t>, one thing is certain: the detailed structures of the bacterial envelope from these less</w:t>
      </w:r>
      <w:r w:rsidR="0058592C">
        <w:t>er</w:t>
      </w:r>
      <w:r w:rsidR="00106DA5">
        <w:t xml:space="preserve"> stained population</w:t>
      </w:r>
      <w:r w:rsidR="00840758">
        <w:t xml:space="preserve"> should not be ignored, as</w:t>
      </w:r>
      <w:r w:rsidR="00723378">
        <w:t xml:space="preserve"> </w:t>
      </w:r>
      <w:r w:rsidR="00840758">
        <w:t>they are</w:t>
      </w:r>
      <w:r w:rsidR="00723378">
        <w:t xml:space="preserve"> </w:t>
      </w:r>
      <w:r w:rsidR="00840758">
        <w:t>very</w:t>
      </w:r>
      <w:r w:rsidR="00723378">
        <w:t xml:space="preserve"> frequent</w:t>
      </w:r>
      <w:r w:rsidR="00893C9A">
        <w:t xml:space="preserve"> </w:t>
      </w:r>
      <w:r w:rsidR="00840758">
        <w:t>(</w:t>
      </w:r>
      <w:r w:rsidR="00840758">
        <w:fldChar w:fldCharType="begin"/>
      </w:r>
      <w:r w:rsidR="00840758">
        <w:instrText xml:space="preserve"> REF _Ref73978159 \h </w:instrText>
      </w:r>
      <w:r w:rsidR="00840758">
        <w:fldChar w:fldCharType="separate"/>
      </w:r>
      <w:r w:rsidR="00183CC8">
        <w:t xml:space="preserve">Figure </w:t>
      </w:r>
      <w:r w:rsidR="00183CC8">
        <w:rPr>
          <w:noProof/>
        </w:rPr>
        <w:t>4</w:t>
      </w:r>
      <w:r w:rsidR="00183CC8">
        <w:t>.</w:t>
      </w:r>
      <w:r w:rsidR="00183CC8">
        <w:rPr>
          <w:noProof/>
        </w:rPr>
        <w:t>3</w:t>
      </w:r>
      <w:r w:rsidR="00840758">
        <w:fldChar w:fldCharType="end"/>
      </w:r>
      <w:r w:rsidR="00840758">
        <w:t>a)</w:t>
      </w:r>
      <w:r w:rsidR="00723378">
        <w:t xml:space="preserve"> and consistent throughout </w:t>
      </w:r>
      <w:r w:rsidR="00712B1E">
        <w:t>the</w:t>
      </w:r>
      <w:r w:rsidR="00723378">
        <w:t xml:space="preserve"> cell</w:t>
      </w:r>
      <w:r w:rsidR="00712B1E">
        <w:t xml:space="preserve"> </w:t>
      </w:r>
      <w:r w:rsidR="00E2301A">
        <w:t>envelope</w:t>
      </w:r>
      <w:r w:rsidR="0041695B">
        <w:t xml:space="preserve"> of that subpopulation</w:t>
      </w:r>
      <w:r w:rsidR="00E2301A">
        <w:t xml:space="preserve"> </w:t>
      </w:r>
      <w:r w:rsidR="00723378">
        <w:t>(</w:t>
      </w:r>
      <w:r w:rsidR="00723378">
        <w:fldChar w:fldCharType="begin"/>
      </w:r>
      <w:r w:rsidR="00723378">
        <w:instrText xml:space="preserve"> REF _Ref74087904 \h </w:instrText>
      </w:r>
      <w:r w:rsidR="00723378">
        <w:fldChar w:fldCharType="separate"/>
      </w:r>
      <w:r w:rsidR="00183CC8">
        <w:t xml:space="preserve">Figure </w:t>
      </w:r>
      <w:r w:rsidR="00183CC8">
        <w:rPr>
          <w:noProof/>
        </w:rPr>
        <w:t>4</w:t>
      </w:r>
      <w:r w:rsidR="00183CC8">
        <w:t>.</w:t>
      </w:r>
      <w:r w:rsidR="00183CC8">
        <w:rPr>
          <w:noProof/>
        </w:rPr>
        <w:t>5</w:t>
      </w:r>
      <w:r w:rsidR="00723378">
        <w:fldChar w:fldCharType="end"/>
      </w:r>
      <w:r w:rsidR="00723378">
        <w:t>).</w:t>
      </w:r>
    </w:p>
    <w:p w14:paraId="0A914E23" w14:textId="77777777" w:rsidR="00786710" w:rsidRDefault="00786710" w:rsidP="00683460"/>
    <w:p w14:paraId="3B922492" w14:textId="097B72EC" w:rsidR="005D49F6" w:rsidRDefault="00403F7A" w:rsidP="00683460">
      <w:r>
        <w:lastRenderedPageBreak/>
        <w:t xml:space="preserve">Overall, FS did not show any additional information on the </w:t>
      </w:r>
      <w:r w:rsidR="008C109E">
        <w:t>exoplasm but</w:t>
      </w:r>
      <w:r>
        <w:t xml:space="preserve"> did however provide more detail on the bacterial cell wall. </w:t>
      </w:r>
      <w:r w:rsidR="00C40BE3">
        <w:t>These highly preserved cells show</w:t>
      </w:r>
      <w:r w:rsidR="00BB1914">
        <w:t>ed</w:t>
      </w:r>
      <w:r w:rsidR="00C40BE3">
        <w:t xml:space="preserve"> </w:t>
      </w:r>
      <w:r w:rsidR="00C40BE3" w:rsidRPr="00BB1914">
        <w:t xml:space="preserve">two </w:t>
      </w:r>
      <w:r w:rsidR="00E85C07" w:rsidRPr="00BB1914">
        <w:t xml:space="preserve">additional and </w:t>
      </w:r>
      <w:r w:rsidR="00AA624C">
        <w:t xml:space="preserve">previously </w:t>
      </w:r>
      <w:r w:rsidR="00C40BE3" w:rsidRPr="00BB1914">
        <w:t>unidentified layers, I and II</w:t>
      </w:r>
      <w:r w:rsidR="0058592C" w:rsidRPr="00BB1914">
        <w:t xml:space="preserve"> </w:t>
      </w:r>
      <w:r w:rsidR="0058592C">
        <w:t>(</w:t>
      </w:r>
      <w:r w:rsidR="0058592C">
        <w:fldChar w:fldCharType="begin"/>
      </w:r>
      <w:r w:rsidR="0058592C">
        <w:instrText xml:space="preserve"> REF _Ref73978189 \h </w:instrText>
      </w:r>
      <w:r w:rsidR="0058592C">
        <w:fldChar w:fldCharType="separate"/>
      </w:r>
      <w:r w:rsidR="00183CC8">
        <w:t xml:space="preserve">Figure </w:t>
      </w:r>
      <w:r w:rsidR="00183CC8">
        <w:rPr>
          <w:noProof/>
        </w:rPr>
        <w:t>4</w:t>
      </w:r>
      <w:r w:rsidR="00183CC8">
        <w:t>.</w:t>
      </w:r>
      <w:r w:rsidR="00183CC8">
        <w:rPr>
          <w:noProof/>
        </w:rPr>
        <w:t>4</w:t>
      </w:r>
      <w:r w:rsidR="0058592C">
        <w:fldChar w:fldCharType="end"/>
      </w:r>
      <w:r w:rsidR="0058592C">
        <w:t>c,f)</w:t>
      </w:r>
      <w:r w:rsidR="00C40BE3" w:rsidRPr="0058592C">
        <w:t>.</w:t>
      </w:r>
      <w:r w:rsidR="00C40BE3" w:rsidRPr="00FA7A00">
        <w:rPr>
          <w:b/>
          <w:bCs/>
        </w:rPr>
        <w:t xml:space="preserve"> </w:t>
      </w:r>
      <w:r w:rsidR="00C40BE3" w:rsidRPr="00C57902">
        <w:t>Layer II</w:t>
      </w:r>
      <w:r w:rsidR="00C40BE3">
        <w:t xml:space="preserve"> </w:t>
      </w:r>
      <w:r w:rsidR="004E0952">
        <w:t>is</w:t>
      </w:r>
      <w:r w:rsidR="00C40BE3">
        <w:t xml:space="preserve"> heavily stained which </w:t>
      </w:r>
      <w:r w:rsidR="004E0952">
        <w:t xml:space="preserve">could </w:t>
      </w:r>
      <w:r w:rsidR="00C40BE3">
        <w:t>indicate i</w:t>
      </w:r>
      <w:r w:rsidR="004E0952">
        <w:t xml:space="preserve">ts correspondence </w:t>
      </w:r>
      <w:r w:rsidR="00C40BE3">
        <w:t xml:space="preserve">to </w:t>
      </w:r>
      <w:r w:rsidR="00AD1E71">
        <w:t>teichoic acids (TA)</w:t>
      </w:r>
      <w:r w:rsidR="005D49F6">
        <w:t xml:space="preserve"> (for further discussion on these layers, refer to section </w:t>
      </w:r>
      <w:r w:rsidR="005D49F6">
        <w:fldChar w:fldCharType="begin"/>
      </w:r>
      <w:r w:rsidR="005D49F6">
        <w:instrText xml:space="preserve"> REF _Ref79163686 \r \h </w:instrText>
      </w:r>
      <w:r w:rsidR="005D49F6">
        <w:fldChar w:fldCharType="separate"/>
      </w:r>
      <w:r w:rsidR="00183CC8">
        <w:t>6.1.2</w:t>
      </w:r>
      <w:r w:rsidR="005D49F6">
        <w:fldChar w:fldCharType="end"/>
      </w:r>
      <w:r w:rsidR="005D49F6">
        <w:t>).</w:t>
      </w:r>
    </w:p>
    <w:p w14:paraId="0E8B2092" w14:textId="36F2DCCA" w:rsidR="0062236C" w:rsidRPr="00B36053" w:rsidRDefault="00BF4CA3" w:rsidP="009438F4">
      <w:pPr>
        <w:pStyle w:val="Heading3"/>
      </w:pPr>
      <w:bookmarkStart w:id="686" w:name="_Toc90216895"/>
      <w:r>
        <w:t>Effects of the lack of WTA</w:t>
      </w:r>
      <w:r w:rsidR="00F70F4F">
        <w:t xml:space="preserve"> on the bacterial envelope and exoplasm</w:t>
      </w:r>
      <w:r w:rsidR="007006CC">
        <w:t>.</w:t>
      </w:r>
      <w:bookmarkEnd w:id="686"/>
    </w:p>
    <w:p w14:paraId="132E57AE" w14:textId="0483116A" w:rsidR="0047462A" w:rsidRPr="00F9118C" w:rsidRDefault="0062236C" w:rsidP="0047462A">
      <w:r>
        <w:t xml:space="preserve">Analysis of the </w:t>
      </w:r>
      <w:r w:rsidRPr="005F4D53">
        <w:rPr>
          <w:i/>
          <w:iCs/>
        </w:rPr>
        <w:t>tarO</w:t>
      </w:r>
      <w:r w:rsidRPr="005F4D53">
        <w:t xml:space="preserve"> mutant lacking WTA</w:t>
      </w:r>
      <w:r>
        <w:t xml:space="preserve"> confirmed that these polymers are not essential for cell growth</w:t>
      </w:r>
      <w:r w:rsidR="00AE32B5">
        <w:t xml:space="preserve">. However, unlike previous reports </w:t>
      </w:r>
      <w:r w:rsidR="00AE32B5">
        <w:fldChar w:fldCharType="begin" w:fldLock="1"/>
      </w:r>
      <w:r w:rsidR="009D34AE">
        <w:instrText>ADDIN CSL_CITATION {"citationItems":[{"id":"ITEM-1","itemData":{"DOI":"10.1111/j.1749-6632.1974.tb41481.x","ISSN":"17496632","PMID":"4278863","author":[{"dropping-particle":"","family":"Park","given":"James T.","non-dropping-particle":"","parse-names":false,"suffix":""},{"dropping-particle":"","family":"Shaw","given":"Douglas R.D.","non-dropping-particle":"","parse-names":false,"suffix":""},{"dropping-particle":"","family":"Chatterjee","given":"Anadi N.","non-dropping-particle":"","parse-names":false,"suffix":""},{"dropping-particle":"","family":"Mirelman","given":"David","non-dropping-particle":"","parse-names":false,"suffix":""},{"dropping-particle":"","family":"Wu","given":"Teresa","non-dropping-particle":"","parse-names":false,"suffix":""}],"container-title":"Annals of the New York Academy of Sciences","id":"ITEM-1","issue":"1","issued":{"date-parts":[["1974"]]},"page":"54-62","title":"Mutants of Staphylococci With Altered Cell Walls","type":"article-journal","volume":"236"},"uris":["http://www.mendeley.com/documents/?uuid=f7921d01-4aa1-4724-ad1b-237f71b981d9"]},{"id":"ITEM-2","itemData":{"DOI":"10.1021/cb100269f","ISBN":"1554-8937 (Electronic)\\r1554-8929 (Linking)","ISSN":"15548929","PMID":"20961110","abstract":"Methicillin resistance in Staphylococcus aureus depends on the production of mecA, which encodes penicillin-binding protein 2A (PBP2A), an acquired peptidoglycan transpeptidase (TP) with reduced susceptibility to I-lactam antibiotics. PBP2A cross-links nascent peptidoglycan when the native TPs are inhibited by I-lactams. Although mecA expression is essential for I-lactam resistance, it is not sufficient. Here we show that blocking the expression of wall teichoic acids (WTAs) by inhibiting the first enzyme in the pathway, TarO, sensitizes methicillin-resistant S. aureus (MRSA) strains to I-lactams even though the I-lactam-resistant transpeptidase, PBP2A, is still expressed. The dramatic synergy between TarO inhibitors and I-lactams is noteworthy not simply because strategies to overcome MRSA are desperately needed but because neither TarO nor the activities of the native TPs are essential in MRSA strains. The \"synthetic lethality\" of inhibiting TarO and the native TPs suggests a functional connection between ongoing WTA expression and peptidoglycan assembly in S. aureus. Indeed, transmission electron microscopy shows that S. aureus cells blocked in WTA synthesis have extensive defects in septation and cell separation, indicating dysregulated cell wall assembly and degradation. Our studies imply that WTAs play a fundamental role in S. aureus cell division and raise the possibility that synthetic lethal compound combinations may have therapeutic utility for overcoming antibiotic-resistant bacterial infections. © 2010 American Chemical Society.","author":[{"dropping-particle":"","family":"Campbell","given":"Jennifer","non-dropping-particle":"","parse-names":false,"suffix":""},{"dropping-particle":"","family":"Singh","given":"Atul K.","non-dropping-particle":"","parse-names":false,"suffix":""},{"dropping-particle":"","family":"Santa Maria","given":"John P.","non-dropping-particle":"","parse-names":false,"suffix":""},{"dropping-particle":"","family":"Kim","given":"Younghoon","non-dropping-particle":"","parse-names":false,"suffix":""},{"dropping-particle":"","family":"Brown","given":"Stephanie","non-dropping-particle":"","parse-names":false,"suffix":""},{"dropping-particle":"","family":"Swoboda","given":"Jonathan G.","non-dropping-particle":"","parse-names":false,"suffix":""},{"dropping-particle":"","family":"Mylonakis","given":"Eleftherios","non-dropping-particle":"","parse-names":false,"suffix":""},{"dropping-particle":"","family":"Wilkinson","given":"Brian J.","non-dropping-particle":"","parse-names":false,"suffix":""},{"dropping-particle":"","family":"Walker","given":"Suzanne","non-dropping-particle":"","parse-names":false,"suffix":""}],"container-title":"ACS Chemical Biology","id":"ITEM-2","issue":"1","issued":{"date-parts":[["2011"]]},"page":"106-116","title":"Synthetic lethal compound combinations reveal a fundamental connection between wall teichoic acid and peptidoglycan biosyntheses in staphylococcus aureus","type":"article-journal","volume":"6"},"uris":["http://www.mendeley.com/documents/?uuid=46e3ad63-97a1-352e-8fcb-fa898cb1609c"]}],"mendeley":{"formattedCitation":"&lt;sup&gt;[129,274]&lt;/sup&gt;","plainTextFormattedCitation":"[129,274]","previouslyFormattedCitation":"&lt;sup&gt;[129,274]&lt;/sup&gt;"},"properties":{"noteIndex":0},"schema":"https://github.com/citation-style-language/schema/raw/master/csl-citation.json"}</w:instrText>
      </w:r>
      <w:r w:rsidR="00AE32B5">
        <w:fldChar w:fldCharType="separate"/>
      </w:r>
      <w:r w:rsidR="00C825F9" w:rsidRPr="00C825F9">
        <w:rPr>
          <w:noProof/>
          <w:vertAlign w:val="superscript"/>
        </w:rPr>
        <w:t>[129,274]</w:t>
      </w:r>
      <w:r w:rsidR="00AE32B5">
        <w:fldChar w:fldCharType="end"/>
      </w:r>
      <w:r w:rsidR="00AE32B5">
        <w:t xml:space="preserve">, </w:t>
      </w:r>
      <w:r w:rsidR="00111B9F">
        <w:rPr>
          <w:i/>
          <w:iCs/>
        </w:rPr>
        <w:t>tarO</w:t>
      </w:r>
      <w:r w:rsidR="00111B9F">
        <w:t xml:space="preserve"> in the SH1000 </w:t>
      </w:r>
      <w:r w:rsidR="00AE32B5">
        <w:t xml:space="preserve">background </w:t>
      </w:r>
      <w:r w:rsidR="00111B9F">
        <w:t>did not have a slower growth than the wildtype</w:t>
      </w:r>
      <w:r w:rsidR="00BE6B5B">
        <w:t xml:space="preserve"> and the incidence of division aberrations was considerably low (&lt; 1 %)</w:t>
      </w:r>
      <w:r w:rsidR="00C41A7B">
        <w:t xml:space="preserve"> (</w:t>
      </w:r>
      <w:r w:rsidR="00323B1B">
        <w:fldChar w:fldCharType="begin"/>
      </w:r>
      <w:r w:rsidR="00323B1B">
        <w:instrText xml:space="preserve"> REF _Ref74725931 \h </w:instrText>
      </w:r>
      <w:r w:rsidR="00323B1B">
        <w:fldChar w:fldCharType="separate"/>
      </w:r>
      <w:r w:rsidR="00183CC8">
        <w:t xml:space="preserve">Figure </w:t>
      </w:r>
      <w:r w:rsidR="00183CC8">
        <w:rPr>
          <w:noProof/>
        </w:rPr>
        <w:t>4</w:t>
      </w:r>
      <w:r w:rsidR="00183CC8">
        <w:t>.</w:t>
      </w:r>
      <w:r w:rsidR="00183CC8">
        <w:rPr>
          <w:noProof/>
        </w:rPr>
        <w:t>9</w:t>
      </w:r>
      <w:r w:rsidR="00323B1B">
        <w:fldChar w:fldCharType="end"/>
      </w:r>
      <w:r w:rsidR="007104C5">
        <w:t xml:space="preserve">, </w:t>
      </w:r>
      <w:r w:rsidR="007104C5">
        <w:fldChar w:fldCharType="begin"/>
      </w:r>
      <w:r w:rsidR="007104C5">
        <w:instrText xml:space="preserve"> REF _Ref80100214 \h </w:instrText>
      </w:r>
      <w:r w:rsidR="007104C5">
        <w:fldChar w:fldCharType="separate"/>
      </w:r>
      <w:r w:rsidR="00183CC8">
        <w:t xml:space="preserve">Figure </w:t>
      </w:r>
      <w:r w:rsidR="00183CC8">
        <w:rPr>
          <w:noProof/>
        </w:rPr>
        <w:t>4</w:t>
      </w:r>
      <w:r w:rsidR="00183CC8">
        <w:t>.</w:t>
      </w:r>
      <w:r w:rsidR="00183CC8">
        <w:rPr>
          <w:noProof/>
        </w:rPr>
        <w:t>10</w:t>
      </w:r>
      <w:r w:rsidR="007104C5">
        <w:fldChar w:fldCharType="end"/>
      </w:r>
      <w:r w:rsidR="00C41A7B">
        <w:t>)</w:t>
      </w:r>
      <w:r>
        <w:t>.</w:t>
      </w:r>
      <w:r w:rsidR="00247E2D">
        <w:t xml:space="preserve"> </w:t>
      </w:r>
      <w:r w:rsidR="007E7B37">
        <w:t>Th</w:t>
      </w:r>
      <w:r w:rsidR="00E809DE">
        <w:t>e obtained</w:t>
      </w:r>
      <w:r w:rsidR="0073745B">
        <w:t xml:space="preserve"> data did coincide with other studies, showing </w:t>
      </w:r>
      <w:r w:rsidR="003358A2">
        <w:t>that</w:t>
      </w:r>
      <w:r w:rsidR="0073745B">
        <w:t xml:space="preserve"> WTA-depleted </w:t>
      </w:r>
      <w:r w:rsidR="003358A2">
        <w:t>cells have a</w:t>
      </w:r>
      <w:r w:rsidR="0073745B">
        <w:t xml:space="preserve"> </w:t>
      </w:r>
      <w:r w:rsidR="003358A2">
        <w:t>larger</w:t>
      </w:r>
      <w:r w:rsidR="0073745B">
        <w:t xml:space="preserve"> cell size,</w:t>
      </w:r>
      <w:r w:rsidR="003358A2">
        <w:t xml:space="preserve"> </w:t>
      </w:r>
      <w:r w:rsidR="0073745B">
        <w:t xml:space="preserve">an uneven CW thickness and fuzzy-appearance of </w:t>
      </w:r>
      <w:r w:rsidR="003358A2">
        <w:t>its</w:t>
      </w:r>
      <w:r w:rsidR="0073745B">
        <w:t xml:space="preserve"> surface, and a</w:t>
      </w:r>
      <w:r w:rsidR="00CA4F5C">
        <w:t>n aberrantly</w:t>
      </w:r>
      <w:r w:rsidR="0073745B">
        <w:t>-shaped sept</w:t>
      </w:r>
      <w:r w:rsidR="001863D8">
        <w:t>um</w:t>
      </w:r>
      <w:r w:rsidR="0073745B">
        <w:t xml:space="preserve"> lacking </w:t>
      </w:r>
      <w:r w:rsidR="0047462A">
        <w:t>a</w:t>
      </w:r>
      <w:r w:rsidR="0073745B">
        <w:t xml:space="preserve"> mid-line</w:t>
      </w:r>
      <w:r w:rsidR="00E560EA">
        <w:t xml:space="preserve"> </w:t>
      </w:r>
      <w:r w:rsidR="00704DD9">
        <w:t>(</w:t>
      </w:r>
      <w:r w:rsidR="00704DD9">
        <w:fldChar w:fldCharType="begin"/>
      </w:r>
      <w:r w:rsidR="00704DD9">
        <w:instrText xml:space="preserve"> REF _Ref74746227 \h </w:instrText>
      </w:r>
      <w:r w:rsidR="00704DD9">
        <w:fldChar w:fldCharType="separate"/>
      </w:r>
      <w:r w:rsidR="00183CC8">
        <w:t xml:space="preserve">Figure </w:t>
      </w:r>
      <w:r w:rsidR="00183CC8">
        <w:rPr>
          <w:noProof/>
        </w:rPr>
        <w:t>4</w:t>
      </w:r>
      <w:r w:rsidR="00183CC8">
        <w:t>.</w:t>
      </w:r>
      <w:r w:rsidR="00183CC8">
        <w:rPr>
          <w:noProof/>
        </w:rPr>
        <w:t>11</w:t>
      </w:r>
      <w:r w:rsidR="00704DD9">
        <w:fldChar w:fldCharType="end"/>
      </w:r>
      <w:r w:rsidR="009A6BB0">
        <w:t xml:space="preserve"> and </w:t>
      </w:r>
      <w:r w:rsidR="00704DD9">
        <w:fldChar w:fldCharType="begin"/>
      </w:r>
      <w:r w:rsidR="00704DD9">
        <w:instrText xml:space="preserve"> REF _Ref74751915 \h </w:instrText>
      </w:r>
      <w:r w:rsidR="00704DD9">
        <w:fldChar w:fldCharType="separate"/>
      </w:r>
      <w:r w:rsidR="00183CC8">
        <w:t xml:space="preserve">Figure </w:t>
      </w:r>
      <w:r w:rsidR="00183CC8">
        <w:rPr>
          <w:noProof/>
        </w:rPr>
        <w:t>4</w:t>
      </w:r>
      <w:r w:rsidR="00183CC8">
        <w:t>.</w:t>
      </w:r>
      <w:r w:rsidR="00183CC8">
        <w:rPr>
          <w:noProof/>
        </w:rPr>
        <w:t>12</w:t>
      </w:r>
      <w:r w:rsidR="00704DD9">
        <w:fldChar w:fldCharType="end"/>
      </w:r>
      <w:r w:rsidR="00704DD9">
        <w:t>)</w:t>
      </w:r>
      <w:r w:rsidR="00EA7C8F">
        <w:t xml:space="preserve"> </w:t>
      </w:r>
      <w:r w:rsidR="00EA7C8F">
        <w:fldChar w:fldCharType="begin" w:fldLock="1"/>
      </w:r>
      <w:r w:rsidR="009D34AE">
        <w:instrText>ADDIN CSL_CITATION {"citationItems":[{"id":"ITEM-1","itemData":{"DOI":"10.1111/j.1749-6632.1974.tb41481.x","ISSN":"17496632","PMID":"4278863","author":[{"dropping-particle":"","family":"Park","given":"James T.","non-dropping-particle":"","parse-names":false,"suffix":""},{"dropping-particle":"","family":"Shaw","given":"Douglas R.D.","non-dropping-particle":"","parse-names":false,"suffix":""},{"dropping-particle":"","family":"Chatterjee","given":"Anadi N.","non-dropping-particle":"","parse-names":false,"suffix":""},{"dropping-particle":"","family":"Mirelman","given":"David","non-dropping-particle":"","parse-names":false,"suffix":""},{"dropping-particle":"","family":"Wu","given":"Teresa","non-dropping-particle":"","parse-names":false,"suffix":""}],"container-title":"Annals of the New York Academy of Sciences","id":"ITEM-1","issue":"1","issued":{"date-parts":[["1974"]]},"page":"54-62","title":"Mutants of Staphylococci With Altered Cell Walls","type":"article-journal","volume":"236"},"uris":["http://www.mendeley.com/documents/?uuid=f7921d01-4aa1-4724-ad1b-237f71b981d9"]},{"id":"ITEM-2","itemData":{"DOI":"10.1146/annurev-micro-092412-155620","ISBN":"0066-4227\\r978-0-8243-1167-4","ISSN":"0066-4227","PMID":"24024634","abstract":"The peptidoglycan layers of many gram-positive bacteria are densely functionalized with anionic glycopolymers known as wall teichoic acids (WTAs). These polymers play crucial roles in cell shape determination, regulation of cell division, and other fundamental aspects of gram-positive bacterial physiology. Additionally, WTAs are important in pathogenesis and play key roles in antibiotic resistance. We provide an overview of WTA structure and biosynthesis, review recent studies on the biological roles of these polymers, and highlight remaining questions. We also discuss prospects for exploiting WTA biosynthesis as a target for new therapies to overcome resistant infections.","author":[{"dropping-particle":"","family":"Brown","given":"Stephanie","non-dropping-particle":"","parse-names":false,"suffix":""},{"dropping-particle":"","family":"Santa Maria","given":"John P.","non-dropping-particle":"","parse-names":false,"suffix":""},{"dropping-particle":"","family":"Walker","given":"Suzanne","non-dropping-particle":"","parse-names":false,"suffix":""}],"container-title":"Annual Review of Microbiology","id":"ITEM-2","issue":"1","issued":{"date-parts":[["2013"]]},"page":"313-336","title":"Wall Teichoic Acids of Gram-Positive Bacteria","type":"article-journal","volume":"67"},"uris":["http://www.mendeley.com/documents/?uuid=60ae5b80-e4e7-4362-93a2-52855b0754e7"]},{"id":"ITEM-3","itemData":{"DOI":"10.1021/cb100269f","ISBN":"1554-8937 (Electronic)\\r1554-8929 (Linking)","ISSN":"15548929","PMID":"20961110","abstract":"Methicillin resistance in Staphylococcus aureus depends on the production of mecA, which encodes penicillin-binding protein 2A (PBP2A), an acquired peptidoglycan transpeptidase (TP) with reduced susceptibility to I-lactam antibiotics. PBP2A cross-links nascent peptidoglycan when the native TPs are inhibited by I-lactams. Although mecA expression is essential for I-lactam resistance, it is not sufficient. Here we show that blocking the expression of wall teichoic acids (WTAs) by inhibiting the first enzyme in the pathway, TarO, sensitizes methicillin-resistant S. aureus (MRSA) strains to I-lactams even though the I-lactam-resistant transpeptidase, PBP2A, is still expressed. The dramatic synergy between TarO inhibitors and I-lactams is noteworthy not simply because strategies to overcome MRSA are desperately needed but because neither TarO nor the activities of the native TPs are essential in MRSA strains. The \"synthetic lethality\" of inhibiting TarO and the native TPs suggests a functional connection between ongoing WTA expression and peptidoglycan assembly in S. aureus. Indeed, transmission electron microscopy shows that S. aureus cells blocked in WTA synthesis have extensive defects in septation and cell separation, indicating dysregulated cell wall assembly and degradation. Our studies imply that WTAs play a fundamental role in S. aureus cell division and raise the possibility that synthetic lethal compound combinations may have therapeutic utility for overcoming antibiotic-resistant bacterial infections. © 2010 American Chemical Society.","author":[{"dropping-particle":"","family":"Campbell","given":"Jennifer","non-dropping-particle":"","parse-names":false,"suffix":""},{"dropping-particle":"","family":"Singh","given":"Atul K.","non-dropping-particle":"","parse-names":false,"suffix":""},{"dropping-particle":"","family":"Santa Maria","given":"John P.","non-dropping-particle":"","parse-names":false,"suffix":""},{"dropping-particle":"","family":"Kim","given":"Younghoon","non-dropping-particle":"","parse-names":false,"suffix":""},{"dropping-particle":"","family":"Brown","given":"Stephanie","non-dropping-particle":"","parse-names":false,"suffix":""},{"dropping-particle":"","family":"Swoboda","given":"Jonathan G.","non-dropping-particle":"","parse-names":false,"suffix":""},{"dropping-particle":"","family":"Mylonakis","given":"Eleftherios","non-dropping-particle":"","parse-names":false,"suffix":""},{"dropping-particle":"","family":"Wilkinson","given":"Brian J.","non-dropping-particle":"","parse-names":false,"suffix":""},{"dropping-particle":"","family":"Walker","given":"Suzanne","non-dropping-particle":"","parse-names":false,"suffix":""}],"container-title":"ACS Chemical Biology","id":"ITEM-3","issue":"1","issued":{"date-parts":[["2011"]]},"page":"106-116","title":"Synthetic lethal compound combinations reveal a fundamental connection between wall teichoic acid and peptidoglycan biosyntheses in staphylococcus aureus","type":"article-journal","volume":"6"},"uris":["http://www.mendeley.com/documents/?uuid=46e3ad63-97a1-352e-8fcb-fa898cb1609c"]},{"id":"ITEM-4","itemData":{"DOI":"10.1038/nm991","ISBN":"1078-8956 (Print)","ISSN":"10788956","PMID":"14758355","abstract":"Colonization of the anterior nares in approximately 37% of the population is a major risk factor for severe Staphylococcus aureus infections. Here we show that wall teichoic acid (WTA), a surface-exposed staphylococcal polymer, is essential for nasal colonization and mediates interaction with human nasal epithelial cells. WTA-deficient mutants were impaired in their adherence to nasal cells, and were completely unable to colonize cotton rat nares. This study describes the first essential factor for S. aureus nasal colonization.","author":[{"dropping-particle":"","family":"Weidenmaier","given":"Christopher","non-dropping-particle":"","parse-names":false,"suffix":""},{"dropping-particle":"","family":"Kokai-Kun","given":"John F.","non-dropping-particle":"","parse-names":false,"suffix":""},{"dropping-particle":"","family":"Kristian","given":"Sascha A.","non-dropping-particle":"","parse-names":false,"suffix":""},{"dropping-particle":"","family":"Chanturiya","given":"Tanya","non-dropping-particle":"","parse-names":false,"suffix":""},{"dropping-particle":"","family":"Kalbacher","given":"Hubert","non-dropping-particle":"","parse-names":false,"suffix":""},{"dropping-particle":"","family":"Gross","given":"Matthias","non-dropping-particle":"","parse-names":false,"suffix":""},{"dropping-particle":"","family":"Nicholson","given":"Graeme","non-dropping-particle":"","parse-names":false,"suffix":""},{"dropping-particle":"","family":"Neumeister","given":"Birgid","non-dropping-particle":"","parse-names":false,"suffix":""},{"dropping-particle":"","family":"Mond","given":"James J.","non-dropping-particle":"","parse-names":false,"suffix":""},{"dropping-particle":"","family":"Peschel","given":"Andreas","non-dropping-particle":"","parse-names":false,"suffix":""}],"container-title":"Nature Medicine","id":"ITEM-4","issue":"3","issued":{"date-parts":[["2004"]]},"page":"243-245","title":"Role of teichoic acids in Staphylococcus aureus nasal colonization, a major risk factor in nosocomial infections","type":"article-journal","volume":"10"},"uris":["http://www.mendeley.com/documents/?uuid=a633cd3f-c2d1-4070-9cd7-ef0d961d9684"]},{"id":"ITEM-5","itemData":{"DOI":"10.1111/j.1365-2958.2009.07007.x","ISSN":"0950382X","PMID":"20105277","abstract":"Staphylococcal cell separation depends largely on the bifunctional autolysin Atl that is processed to amidase-R1,2 and R 3-glucosaminidase. These murein hydrolases are targeted via repeat domains (R) to the septal region of the cell surface, thereby allowing localized peptidoglycan hydrolysis and separation of the dividing cells. Here we show that targeting of the amidase repeats is based on an exclusion strategy mediated by wall teichoic acid (WTA). In Staphylococcus aureus wild-type, externally applied repeats (R1,2) or endogenously expressed amidase were localized exclusively at the cross-wall region, while in δtagO mutant that lacks WTA binding was evenly distributed on the cell surface, which explains the increased fragility and autolysis susceptibility of the mutant. WTA prevented binding of Atl to the old cell wall but not to the cross-wall region suggesting a lower WTA content. In binding studies with ConcanavalinA- fluorescein (ConA-FITC) conjugate that binds preferentially to teichoic acids, ConA-FITC was bound throughout the cell surface with the exception of the cross wall. ConA binding suggest that either content or polymerization of WTA gradually increases with distance from the cross-wall. By preventing binding of Atl, WTA directs Atl to the cross-wall to perform the last step of cell division, namely separation of the daughter cells. © 2010 Blackwell Publishing Ltd.","author":[{"dropping-particle":"","family":"Schlag","given":"Martin","non-dropping-particle":"","parse-names":false,"suffix":""},{"dropping-particle":"","family":"Biswas","given":"Raja","non-dropping-particle":"","parse-names":false,"suffix":""},{"dropping-particle":"","family":"Krismer","given":"Bernhard","non-dropping-particle":"","parse-names":false,"suffix":""},{"dropping-particle":"","family":"Kohler","given":"Thomas","non-dropping-particle":"","parse-names":false,"suffix":""},{"dropping-particle":"","family":"Zoll","given":"Sebastian","non-dropping-particle":"","parse-names":false,"suffix":""},{"dropping-particle":"","family":"Yu","given":"Wenqi","non-dropping-particle":"","parse-names":false,"suffix":""},{"dropping-particle":"","family":"Schwarz","given":"Heinz","non-dropping-particle":"","parse-names":false,"suffix":""},{"dropping-particle":"","family":"Peschel","given":"Andreas","non-dropping-particle":"","parse-names":false,"suffix":""},{"dropping-particle":"","family":"Götz","given":"Friedrich","non-dropping-particle":"","parse-names":false,"suffix":""}],"container-title":"Molecular Microbiology","id":"ITEM-5","issue":"4","issued":{"date-parts":[["2010"]]},"page":"864-873","title":"Role of staphylococcal wall teichoic acid in targeting the major autolysin Atl","type":"article-journal","volume":"75"},"uris":["http://www.mendeley.com/documents/?uuid=e8df656f-cf4a-48d7-8351-878706af9c66"]}],"mendeley":{"formattedCitation":"&lt;sup&gt;[59,86,112,129,274]&lt;/sup&gt;","plainTextFormattedCitation":"[59,86,112,129,274]","previouslyFormattedCitation":"&lt;sup&gt;[59,86,112,129,274]&lt;/sup&gt;"},"properties":{"noteIndex":0},"schema":"https://github.com/citation-style-language/schema/raw/master/csl-citation.json"}</w:instrText>
      </w:r>
      <w:r w:rsidR="00EA7C8F">
        <w:fldChar w:fldCharType="separate"/>
      </w:r>
      <w:r w:rsidR="00C825F9" w:rsidRPr="00C825F9">
        <w:rPr>
          <w:noProof/>
          <w:vertAlign w:val="superscript"/>
        </w:rPr>
        <w:t>[59,86,112,129,274]</w:t>
      </w:r>
      <w:r w:rsidR="00EA7C8F">
        <w:fldChar w:fldCharType="end"/>
      </w:r>
      <w:r w:rsidR="003F5AF8">
        <w:t>.</w:t>
      </w:r>
      <w:r w:rsidR="00DD2921">
        <w:t xml:space="preserve"> </w:t>
      </w:r>
      <w:r w:rsidR="0047462A">
        <w:t xml:space="preserve">This mid-line is a heavily stained line in the midzone of the septal wall that has been said to correspond to WTA </w:t>
      </w:r>
      <w:r w:rsidR="0047462A">
        <w:fldChar w:fldCharType="begin" w:fldLock="1"/>
      </w:r>
      <w:r w:rsidR="009D34AE">
        <w:instrText>ADDIN CSL_CITATION {"citationItems":[{"id":"ITEM-1","itemData":{"DOI":"10.1021/cb100269f","ISBN":"1554-8937 (Electronic)\\r1554-8929 (Linking)","ISSN":"15548929","PMID":"20961110","abstract":"Methicillin resistance in Staphylococcus aureus depends on the production of mecA, which encodes penicillin-binding protein 2A (PBP2A), an acquired peptidoglycan transpeptidase (TP) with reduced susceptibility to I-lactam antibiotics. PBP2A cross-links nascent peptidoglycan when the native TPs are inhibited by I-lactams. Although mecA expression is essential for I-lactam resistance, it is not sufficient. Here we show that blocking the expression of wall teichoic acids (WTAs) by inhibiting the first enzyme in the pathway, TarO, sensitizes methicillin-resistant S. aureus (MRSA) strains to I-lactams even though the I-lactam-resistant transpeptidase, PBP2A, is still expressed. The dramatic synergy between TarO inhibitors and I-lactams is noteworthy not simply because strategies to overcome MRSA are desperately needed but because neither TarO nor the activities of the native TPs are essential in MRSA strains. The \"synthetic lethality\" of inhibiting TarO and the native TPs suggests a functional connection between ongoing WTA expression and peptidoglycan assembly in S. aureus. Indeed, transmission electron microscopy shows that S. aureus cells blocked in WTA synthesis have extensive defects in septation and cell separation, indicating dysregulated cell wall assembly and degradation. Our studies imply that WTAs play a fundamental role in S. aureus cell division and raise the possibility that synthetic lethal compound combinations may have therapeutic utility for overcoming antibiotic-resistant bacterial infections. © 2010 American Chemical Society.","author":[{"dropping-particle":"","family":"Campbell","given":"Jennifer","non-dropping-particle":"","parse-names":false,"suffix":""},{"dropping-particle":"","family":"Singh","given":"Atul K.","non-dropping-particle":"","parse-names":false,"suffix":""},{"dropping-particle":"","family":"Santa Maria","given":"John P.","non-dropping-particle":"","parse-names":false,"suffix":""},{"dropping-particle":"","family":"Kim","given":"Younghoon","non-dropping-particle":"","parse-names":false,"suffix":""},{"dropping-particle":"","family":"Brown","given":"Stephanie","non-dropping-particle":"","parse-names":false,"suffix":""},{"dropping-particle":"","family":"Swoboda","given":"Jonathan G.","non-dropping-particle":"","parse-names":false,"suffix":""},{"dropping-particle":"","family":"Mylonakis","given":"Eleftherios","non-dropping-particle":"","parse-names":false,"suffix":""},{"dropping-particle":"","family":"Wilkinson","given":"Brian J.","non-dropping-particle":"","parse-names":false,"suffix":""},{"dropping-particle":"","family":"Walker","given":"Suzanne","non-dropping-particle":"","parse-names":false,"suffix":""}],"container-title":"ACS Chemical Biology","id":"ITEM-1","issue":"1","issued":{"date-parts":[["2011"]]},"page":"106-116","title":"Synthetic lethal compound combinations reveal a fundamental connection between wall teichoic acid and peptidoglycan biosyntheses in staphylococcus aureus","type":"article-journal","volume":"6"},"uris":["http://www.mendeley.com/documents/?uuid=46e3ad63-97a1-352e-8fcb-fa898cb1609c"]},{"id":"ITEM-2","itemData":{"DOI":"10.1111/j.1365-2958.2007.05634.x","ISBN":"0950-382X (Print)\\r0950-382X (Linking)","ISSN":"0950382X","PMID":"17376082","abstract":"Cryo-electron microscopy of frozen-hydrated thin sections permits the observation of the real distribution of mass in biological specimens allowing the native structure of bacteria to be seen, including the natural orientation of their surface layers. Here, we use this approach to study the fine ultrastructure of the division site, or septum, of Staphylococcus aureus D(2)C. Frozen-hydrated sections revealed a differentiated cell wall at the septum, showing two high-density regions sandwiched between three low-density zones. The two zones adjacent to the membrane appeared as an extension of the periplasmic space seen in this organism's cell envelope and showed no distinguishing structures within them. Immediately next to these were higher-density zones that corresponded to nascent cross walls of the septum. Unexpectedly, a rather broad low-density zone was seen separating cross walls in the septum. This mid-zone of low density appeared inflated and without visible structures in isolated cell walls, which showed only the high-density zones of the septum. Here, we suggest that frozen-hydrated thin sections have captured a highly fragile septal region, the mid-zone, which results from the dynamic action of autolysis and actively separates daughter cells during division. The two zones next to the membranes are periplasmic spaces. Immediately next to these are the growing cross walls composed of peptidoglycan, teichoic acid and protein.","author":[{"dropping-particle":"","family":"Matias","given":"V. R F","non-dropping-particle":"","parse-names":false,"suffix":""},{"dropping-particle":"","family":"Beveridge","given":"Terry J.","non-dropping-particle":"","parse-names":false,"suffix":""}],"container-title":"Molecular Microbiology","id":"ITEM-2","issue":"1","issued":{"date-parts":[["2007"]]},"page":"195-206","title":"Cryo-electron microscopy of cell division in Staphylococcus aureus reveals a mid-zone between nascent cross walls","type":"article-journal","volume":"64"},"uris":["http://www.mendeley.com/documents/?uuid=8a1e9224-efda-4be3-9ed3-3b4b51692d38"]}],"mendeley":{"formattedCitation":"&lt;sup&gt;[274,275]&lt;/sup&gt;","plainTextFormattedCitation":"[274,275]","previouslyFormattedCitation":"&lt;sup&gt;[274,275]&lt;/sup&gt;"},"properties":{"noteIndex":0},"schema":"https://github.com/citation-style-language/schema/raw/master/csl-citation.json"}</w:instrText>
      </w:r>
      <w:r w:rsidR="0047462A">
        <w:fldChar w:fldCharType="separate"/>
      </w:r>
      <w:r w:rsidR="002659E5" w:rsidRPr="002659E5">
        <w:rPr>
          <w:noProof/>
          <w:vertAlign w:val="superscript"/>
        </w:rPr>
        <w:t>[274,275]</w:t>
      </w:r>
      <w:r w:rsidR="0047462A">
        <w:fldChar w:fldCharType="end"/>
      </w:r>
      <w:r w:rsidR="0047462A">
        <w:t>.</w:t>
      </w:r>
      <w:r w:rsidR="006F7E96">
        <w:t xml:space="preserve"> </w:t>
      </w:r>
      <w:r w:rsidR="0047462A">
        <w:t>WTA chains extend outwards of the surface of the CW and at the nascent CW at the septum</w:t>
      </w:r>
      <w:r w:rsidR="00D62E7D">
        <w:t xml:space="preserve"> </w:t>
      </w:r>
      <w:r w:rsidR="00D62E7D">
        <w:fldChar w:fldCharType="begin" w:fldLock="1"/>
      </w:r>
      <w:r w:rsidR="0058736C">
        <w:instrText xml:space="preserve">ADDIN CSL_CITATION {"citationItems":[{"id":"ITEM-1","itemData":{"DOI":"10.3389/fmicb.2021.664704","ISSN":"1664302X","abstract":"The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8736C">
        <w:rPr>
          <w:rFonts w:ascii="Cambria Math" w:hAnsi="Cambria Math" w:cs="Cambria Math"/>
        </w:rPr>
        <w:instrText>∼</w:instrText>
      </w:r>
      <w:r w:rsidR="0058736C">
        <w:instrText xml:space="preserve">0.5 M, which would bring in </w:instrText>
      </w:r>
      <w:r w:rsidR="0058736C">
        <w:rPr>
          <w:rFonts w:ascii="Cambria Math" w:hAnsi="Cambria Math" w:cs="Cambria Math"/>
        </w:rPr>
        <w:instrText>∼</w:instrText>
      </w:r>
      <w:r w:rsidR="0058736C">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Microbiology","id":"ITEM-1","issue":"May","issued":{"date-parts":[["2021"]]},"page":"1-11","title":"How Teichoic Acids Could Support a Periplasm in Gram-Positive Bacteria, and Let Cell Division Cheat Turgor Pressure","type":"article-journal","volume":"12"},"uris":["http://www.mendeley.com/documents/?uuid=8e106983-147c-42ae-88fd-3e44783b571f"]},{"id":"ITEM-2","itemData":{"DOI":"10.1128/JB.188.3.1011-1021.2006","ISBN":"0021-9193","ISSN":"00219193","PMID":"16428405","abstract":"The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Bacteriology","id":"ITEM-2","issue":"3","issued":{"date-parts":[["2006"]]},"page":"1011-1021","title":"Native cell wall organization shown by cryo-electron microscopy confirms the existence of a periplasmic space in Staphylococcus aureus","type":"article-journal","volume":"188"},"uris":["http://www.mendeley.com/documents/?uuid=89409496-4fa0-474e-8069-be86a795f53c"]},{"id":"ITEM-3","itemData":{"DOI":"10.1111/j.1365-2958.2007.05634.x","ISBN":"0950-382X (Print)\\r0950-382X (Linking)","ISSN":"0950382X","PMID":"17376082","abstract":"Cryo-electron microscopy of frozen-hydrated thin sections permits the observation of the real distribution of mass in biological specimens allowing the native structure of bacteria to be seen, including the natural orientation of their surface layers. Here, we use this approach to study the fine ultrastructure of the division site, or septum, of Staphylococcus aureus D(2)C. Frozen-hydrated sections revealed a differentiated cell wall at the septum, showing two high-density regions sandwiched between three low-density zones. The two zones adjacent to the membrane appeared as an extension of the periplasmic space seen in this organism's cell envelope and showed no distinguishing structures within them. Immediately next to these were higher-density zones that corresponded to nascent cross walls of the septum. Unexpectedly, a rather broad low-density zone was seen separating cross walls in the septum. This mid-zone of low density appeared inflated and without visible structures in isolated cell walls, which showed only the high-density zones of the septum. Here, we suggest that frozen-hydrated thin sections have captured a highly fragile septal region, the mid-zone, which results from the dynamic action of autolysis and actively separates daughter cells during division. The two zones next to the membranes are periplasmic spaces. Immediately next to these are the growing cross walls composed of peptidoglycan, teichoic acid and protein.","author":[{"dropping-particle":"","family":"Matias","given":"V. R F","non-dropping-particle":"","parse-names":false,"suffix":""},{"dropping-particle":"","family":"Beveridge","given":"Terry J.","non-dropping-particle":"","parse-names":false,"suffix":""}],"container-title":"Molecular Microbiology","id":"ITEM-3","issue":"1","issued":{"date-parts":[["2007"]]},"page":"195-206","title":"Cryo-electron microscopy of cell division in Staphylococcus aureus reveals a mid-zone between nascent cross walls","type":"article-journal","volume":"64"},"uris":["http://www.mendeley.com/documents/?uuid=8a1e9224-efda-4be3-9ed3-3b4b51692d38"]}],"mendeley":{"formattedCitation":"&lt;sup&gt;[16,166,275]&lt;/sup&gt;","plainTextFormattedCitation":"[16,166,275]","previouslyFormattedCitation":"&lt;sup&gt;[16,166,275]&lt;/sup&gt;"},"properties":{"noteIndex":0},"schema":"https://github.com/citation-style-language/schema/raw/master/csl-citation.json"}</w:instrText>
      </w:r>
      <w:r w:rsidR="00D62E7D">
        <w:fldChar w:fldCharType="separate"/>
      </w:r>
      <w:r w:rsidR="002659E5" w:rsidRPr="002659E5">
        <w:rPr>
          <w:noProof/>
          <w:vertAlign w:val="superscript"/>
        </w:rPr>
        <w:t>[16,166,275]</w:t>
      </w:r>
      <w:r w:rsidR="00D62E7D">
        <w:fldChar w:fldCharType="end"/>
      </w:r>
      <w:r w:rsidR="0047462A">
        <w:t xml:space="preserve">. When dehydrated, the protruding WTA polymers </w:t>
      </w:r>
      <w:r w:rsidR="004F5EF0">
        <w:t>could</w:t>
      </w:r>
      <w:r w:rsidR="00D62E7D">
        <w:t xml:space="preserve"> </w:t>
      </w:r>
      <w:r w:rsidR="0047462A">
        <w:t xml:space="preserve">collapse and fold back, producing a concentrated WTA mass from both sides of the septum that provides enough contrast when stained with conventional TEM. </w:t>
      </w:r>
      <w:r w:rsidR="00D62E7D">
        <w:t>Thus</w:t>
      </w:r>
      <w:r w:rsidR="0047462A">
        <w:t>,</w:t>
      </w:r>
      <w:r w:rsidR="00D62E7D">
        <w:t xml:space="preserve"> the disappearance of the mid-line in both </w:t>
      </w:r>
      <w:r w:rsidR="00D62E7D">
        <w:rPr>
          <w:i/>
          <w:iCs/>
        </w:rPr>
        <w:t>tarO</w:t>
      </w:r>
      <w:r w:rsidR="00D62E7D">
        <w:t xml:space="preserve"> cells (</w:t>
      </w:r>
      <w:r w:rsidR="00D62E7D">
        <w:fldChar w:fldCharType="begin"/>
      </w:r>
      <w:r w:rsidR="00D62E7D">
        <w:instrText xml:space="preserve"> REF _Ref74751915 \h </w:instrText>
      </w:r>
      <w:r w:rsidR="00D62E7D">
        <w:fldChar w:fldCharType="separate"/>
      </w:r>
      <w:r w:rsidR="00183CC8">
        <w:t xml:space="preserve">Figure </w:t>
      </w:r>
      <w:r w:rsidR="00183CC8">
        <w:rPr>
          <w:noProof/>
        </w:rPr>
        <w:t>4</w:t>
      </w:r>
      <w:r w:rsidR="00183CC8">
        <w:t>.</w:t>
      </w:r>
      <w:r w:rsidR="00183CC8">
        <w:rPr>
          <w:noProof/>
        </w:rPr>
        <w:t>12</w:t>
      </w:r>
      <w:r w:rsidR="00D62E7D">
        <w:fldChar w:fldCharType="end"/>
      </w:r>
      <w:r w:rsidR="00D62E7D">
        <w:t>) and in SH1000 treated with tarocin (</w:t>
      </w:r>
      <w:r w:rsidR="00D62E7D">
        <w:fldChar w:fldCharType="begin"/>
      </w:r>
      <w:r w:rsidR="00D62E7D">
        <w:instrText xml:space="preserve"> REF _Ref78911681 \h </w:instrText>
      </w:r>
      <w:r w:rsidR="00D62E7D">
        <w:fldChar w:fldCharType="separate"/>
      </w:r>
      <w:r w:rsidR="00183CC8">
        <w:t xml:space="preserve">Supplementary Figure </w:t>
      </w:r>
      <w:r w:rsidR="00183CC8">
        <w:rPr>
          <w:noProof/>
        </w:rPr>
        <w:t>5</w:t>
      </w:r>
      <w:r w:rsidR="00D62E7D">
        <w:fldChar w:fldCharType="end"/>
      </w:r>
      <w:r w:rsidR="00D62E7D">
        <w:t xml:space="preserve">) </w:t>
      </w:r>
      <w:r w:rsidR="00DF7FD7">
        <w:t>supports</w:t>
      </w:r>
      <w:r w:rsidR="00D62E7D">
        <w:t xml:space="preserve"> the evidence </w:t>
      </w:r>
      <w:r w:rsidR="00DF7FD7">
        <w:t>that</w:t>
      </w:r>
      <w:r w:rsidR="0047462A">
        <w:t xml:space="preserve"> the mid-line observed at the crosswall and sept</w:t>
      </w:r>
      <w:r w:rsidR="00496E3C">
        <w:t>um</w:t>
      </w:r>
      <w:r w:rsidR="0047462A">
        <w:t xml:space="preserve"> is made-up of WT</w:t>
      </w:r>
      <w:r w:rsidR="00317A29">
        <w:t>A</w:t>
      </w:r>
      <w:r w:rsidR="0047462A">
        <w:t>.</w:t>
      </w:r>
    </w:p>
    <w:p w14:paraId="08136580" w14:textId="00F33E52" w:rsidR="004C14B6" w:rsidRDefault="00E43FFA" w:rsidP="00683460">
      <w:r>
        <w:t xml:space="preserve">This investigation showed that chemically fixed CW measurements of </w:t>
      </w:r>
      <w:r w:rsidRPr="000B7342">
        <w:rPr>
          <w:i/>
          <w:iCs/>
        </w:rPr>
        <w:t>tarO</w:t>
      </w:r>
      <w:r>
        <w:t xml:space="preserve"> resulted in a statistically thinner CW (</w:t>
      </w:r>
      <w:r>
        <w:fldChar w:fldCharType="begin"/>
      </w:r>
      <w:r>
        <w:instrText xml:space="preserve"> REF _Ref74746227 \h </w:instrText>
      </w:r>
      <w:r>
        <w:fldChar w:fldCharType="separate"/>
      </w:r>
      <w:r w:rsidR="00183CC8">
        <w:t xml:space="preserve">Figure </w:t>
      </w:r>
      <w:r w:rsidR="00183CC8">
        <w:rPr>
          <w:noProof/>
        </w:rPr>
        <w:t>4</w:t>
      </w:r>
      <w:r w:rsidR="00183CC8">
        <w:t>.</w:t>
      </w:r>
      <w:r w:rsidR="00183CC8">
        <w:rPr>
          <w:noProof/>
        </w:rPr>
        <w:t>11</w:t>
      </w:r>
      <w:r>
        <w:fldChar w:fldCharType="end"/>
      </w:r>
      <w:r>
        <w:t>c-f)</w:t>
      </w:r>
      <w:r w:rsidR="00BC08DB">
        <w:t xml:space="preserve">, </w:t>
      </w:r>
      <w:r w:rsidR="00EA1C93">
        <w:t>suggest</w:t>
      </w:r>
      <w:r w:rsidR="00BC08DB">
        <w:t>ing</w:t>
      </w:r>
      <w:r w:rsidR="00EA1C93">
        <w:t xml:space="preserve"> that without</w:t>
      </w:r>
      <w:r w:rsidR="00DC4B02">
        <w:t xml:space="preserve"> these polymers,</w:t>
      </w:r>
      <w:r w:rsidR="00EA1C93">
        <w:t xml:space="preserve"> the CW is either </w:t>
      </w:r>
      <w:r w:rsidR="00DC4B02">
        <w:t xml:space="preserve">naturally </w:t>
      </w:r>
      <w:r w:rsidR="00EA1C93">
        <w:t>thinner or</w:t>
      </w:r>
      <w:r w:rsidR="002F711D">
        <w:t xml:space="preserve"> </w:t>
      </w:r>
      <w:r w:rsidR="00EA1C93">
        <w:t>narrower due to a more extended dehydration.</w:t>
      </w:r>
      <w:r w:rsidR="002F711D">
        <w:t xml:space="preserve"> </w:t>
      </w:r>
      <w:r w:rsidR="00CF142E">
        <w:t>The</w:t>
      </w:r>
      <w:r w:rsidR="002F711D">
        <w:t xml:space="preserve"> latter </w:t>
      </w:r>
      <w:r w:rsidR="00CF142E">
        <w:t>seems</w:t>
      </w:r>
      <w:r w:rsidR="002F711D">
        <w:t xml:space="preserve"> a more likely scenario, as a dehydrated CW without WTA would have a reduced mass and would therefore be narrower.</w:t>
      </w:r>
      <w:r w:rsidR="00B82DF7">
        <w:t xml:space="preserve"> </w:t>
      </w:r>
      <w:r w:rsidR="00BC08DB">
        <w:t>Yet, measurements from frozen-hydrated samples are needed to support this theory.</w:t>
      </w:r>
    </w:p>
    <w:p w14:paraId="2E886559" w14:textId="2CE6552B" w:rsidR="00BE5A93" w:rsidRDefault="00BE5A93" w:rsidP="00683460">
      <w:r>
        <w:t xml:space="preserve">The fuzzy-appearance of the surface of the CW </w:t>
      </w:r>
      <w:r w:rsidRPr="00BE5A93">
        <w:t>could result from a more hydrolysed CW</w:t>
      </w:r>
      <w:r>
        <w:t>.</w:t>
      </w:r>
      <w:r w:rsidR="00CC519F">
        <w:t xml:space="preserve"> </w:t>
      </w:r>
      <w:r w:rsidR="00CC519F" w:rsidRPr="00BE5A93">
        <w:t xml:space="preserve">After all, Schlag </w:t>
      </w:r>
      <w:r w:rsidR="00CC519F" w:rsidRPr="00BE5A93">
        <w:rPr>
          <w:i/>
          <w:iCs/>
        </w:rPr>
        <w:t>et al</w:t>
      </w:r>
      <w:r w:rsidR="00CC519F" w:rsidRPr="00BE5A93">
        <w:t>.</w:t>
      </w:r>
      <w:r w:rsidR="0030513F">
        <w:t>,</w:t>
      </w:r>
      <w:r w:rsidR="00CC519F" w:rsidRPr="00BE5A93">
        <w:t xml:space="preserve"> (2010) showed that </w:t>
      </w:r>
      <w:r w:rsidR="00CC519F" w:rsidRPr="00BE5A93">
        <w:rPr>
          <w:i/>
          <w:iCs/>
        </w:rPr>
        <w:t>tarO</w:t>
      </w:r>
      <w:r w:rsidR="00CC519F" w:rsidRPr="00BE5A93">
        <w:t xml:space="preserve"> mutants have higher binding and susceptibility to autolysins </w:t>
      </w:r>
      <w:r w:rsidR="00CC519F" w:rsidRPr="00BE5A93">
        <w:fldChar w:fldCharType="begin" w:fldLock="1"/>
      </w:r>
      <w:r w:rsidR="00DA0A83">
        <w:instrText>ADDIN CSL_CITATION {"citationItems":[{"id":"ITEM-1","itemData":{"DOI":"10.1111/j.1365-2958.2009.07007.x","ISSN":"0950382X","PMID":"20105277","abstract":"Staphylococcal cell separation depends largely on the bifunctional autolysin Atl that is processed to amidase-R1,2 and R 3-glucosaminidase. These murein hydrolases are targeted via repeat domains (R) to the septal region of the cell surface, thereby allowing localized peptidoglycan hydrolysis and separation of the dividing cells. Here we show that targeting of the amidase repeats is based on an exclusion strategy mediated by wall teichoic acid (WTA). In Staphylococcus aureus wild-type, externally applied repeats (R1,2) or endogenously expressed amidase were localized exclusively at the cross-wall region, while in δtagO mutant that lacks WTA binding was evenly distributed on the cell surface, which explains the increased fragility and autolysis susceptibility of the mutant. WTA prevented binding of Atl to the old cell wall but not to the cross-wall region suggesting a lower WTA content. In binding studies with ConcanavalinA- fluorescein (ConA-FITC) conjugate that binds preferentially to teichoic acids, ConA-FITC was bound throughout the cell surface with the exception of the cross wall. ConA binding suggest that either content or polymerization of WTA gradually increases with distance from the cross-wall. By preventing binding of Atl, WTA directs Atl to the cross-wall to perform the last step of cell division, namely separation of the daughter cells. © 2010 Blackwell Publishing Ltd.","author":[{"dropping-particle":"","family":"Schlag","given":"Martin","non-dropping-particle":"","parse-names":false,"suffix":""},{"dropping-particle":"","family":"Biswas","given":"Raja","non-dropping-particle":"","parse-names":false,"suffix":""},{"dropping-particle":"","family":"Krismer","given":"Bernhard","non-dropping-particle":"","parse-names":false,"suffix":""},{"dropping-particle":"","family":"Kohler","given":"Thomas","non-dropping-particle":"","parse-names":false,"suffix":""},{"dropping-particle":"","family":"Zoll","given":"Sebastian","non-dropping-particle":"","parse-names":false,"suffix":""},{"dropping-particle":"","family":"Yu","given":"Wenqi","non-dropping-particle":"","parse-names":false,"suffix":""},{"dropping-particle":"","family":"Schwarz","given":"Heinz","non-dropping-particle":"","parse-names":false,"suffix":""},{"dropping-particle":"","family":"Peschel","given":"Andreas","non-dropping-particle":"","parse-names":false,"suffix":""},{"dropping-particle":"","family":"Götz","given":"Friedrich","non-dropping-particle":"","parse-names":false,"suffix":""}],"container-title":"Molecular Microbiology","id":"ITEM-1","issue":"4","issued":{"date-parts":[["2010"]]},"page":"864-873","title":"Role of staphylococcal wall teichoic acid in targeting the major autolysin Atl","type":"article-journal","volume":"75"},"uris":["http://www.mendeley.com/documents/?uuid=e8df656f-cf4a-48d7-8351-878706af9c66"]}],"mendeley":{"formattedCitation":"&lt;sup&gt;[59]&lt;/sup&gt;","plainTextFormattedCitation":"[59]","previouslyFormattedCitation":"&lt;sup&gt;[59]&lt;/sup&gt;"},"properties":{"noteIndex":0},"schema":"https://github.com/citation-style-language/schema/raw/master/csl-citation.json"}</w:instrText>
      </w:r>
      <w:r w:rsidR="00CC519F" w:rsidRPr="00BE5A93">
        <w:fldChar w:fldCharType="separate"/>
      </w:r>
      <w:r w:rsidR="00DA0A83" w:rsidRPr="00DA0A83">
        <w:rPr>
          <w:noProof/>
          <w:vertAlign w:val="superscript"/>
        </w:rPr>
        <w:t>[59]</w:t>
      </w:r>
      <w:r w:rsidR="00CC519F" w:rsidRPr="00BE5A93">
        <w:fldChar w:fldCharType="end"/>
      </w:r>
      <w:r w:rsidR="009B24E3">
        <w:t xml:space="preserve">. </w:t>
      </w:r>
      <w:r w:rsidR="009B24E3" w:rsidRPr="00BE5A93">
        <w:t>WTA binds to the PG MurNAc unit, and its presence interferes with the major autolysin Atl involved in cell separation. The three repeat</w:t>
      </w:r>
      <w:r w:rsidR="00841CD8">
        <w:t xml:space="preserve"> motifs</w:t>
      </w:r>
      <w:r w:rsidR="009B24E3" w:rsidRPr="00BE5A93">
        <w:t xml:space="preserve"> that separate the amidase and </w:t>
      </w:r>
      <w:r w:rsidR="009B24E3" w:rsidRPr="00BE5A93">
        <w:lastRenderedPageBreak/>
        <w:t xml:space="preserve">glucosaminidase domains of Atl, are repelled by </w:t>
      </w:r>
      <w:r w:rsidR="009B24E3">
        <w:t>this CW polymer</w:t>
      </w:r>
      <w:r w:rsidR="009B24E3" w:rsidRPr="00BE5A93">
        <w:t xml:space="preserve"> </w:t>
      </w:r>
      <w:r w:rsidR="009B24E3" w:rsidRPr="00BE5A93">
        <w:fldChar w:fldCharType="begin" w:fldLock="1"/>
      </w:r>
      <w:r w:rsidR="00DA0A83">
        <w:instrText>ADDIN CSL_CITATION {"citationItems":[{"id":"ITEM-1","itemData":{"DOI":"10.1111/j.1365-2958.2009.07007.x","ISSN":"0950382X","PMID":"20105277","abstract":"Staphylococcal cell separation depends largely on the bifunctional autolysin Atl that is processed to amidase-R1,2 and R 3-glucosaminidase. These murein hydrolases are targeted via repeat domains (R) to the septal region of the cell surface, thereby allowing localized peptidoglycan hydrolysis and separation of the dividing cells. Here we show that targeting of the amidase repeats is based on an exclusion strategy mediated by wall teichoic acid (WTA). In Staphylococcus aureus wild-type, externally applied repeats (R1,2) or endogenously expressed amidase were localized exclusively at the cross-wall region, while in δtagO mutant that lacks WTA binding was evenly distributed on the cell surface, which explains the increased fragility and autolysis susceptibility of the mutant. WTA prevented binding of Atl to the old cell wall but not to the cross-wall region suggesting a lower WTA content. In binding studies with ConcanavalinA- fluorescein (ConA-FITC) conjugate that binds preferentially to teichoic acids, ConA-FITC was bound throughout the cell surface with the exception of the cross wall. ConA binding suggest that either content or polymerization of WTA gradually increases with distance from the cross-wall. By preventing binding of Atl, WTA directs Atl to the cross-wall to perform the last step of cell division, namely separation of the daughter cells. © 2010 Blackwell Publishing Ltd.","author":[{"dropping-particle":"","family":"Schlag","given":"Martin","non-dropping-particle":"","parse-names":false,"suffix":""},{"dropping-particle":"","family":"Biswas","given":"Raja","non-dropping-particle":"","parse-names":false,"suffix":""},{"dropping-particle":"","family":"Krismer","given":"Bernhard","non-dropping-particle":"","parse-names":false,"suffix":""},{"dropping-particle":"","family":"Kohler","given":"Thomas","non-dropping-particle":"","parse-names":false,"suffix":""},{"dropping-particle":"","family":"Zoll","given":"Sebastian","non-dropping-particle":"","parse-names":false,"suffix":""},{"dropping-particle":"","family":"Yu","given":"Wenqi","non-dropping-particle":"","parse-names":false,"suffix":""},{"dropping-particle":"","family":"Schwarz","given":"Heinz","non-dropping-particle":"","parse-names":false,"suffix":""},{"dropping-particle":"","family":"Peschel","given":"Andreas","non-dropping-particle":"","parse-names":false,"suffix":""},{"dropping-particle":"","family":"Götz","given":"Friedrich","non-dropping-particle":"","parse-names":false,"suffix":""}],"container-title":"Molecular Microbiology","id":"ITEM-1","issue":"4","issued":{"date-parts":[["2010"]]},"page":"864-873","title":"Role of staphylococcal wall teichoic acid in targeting the major autolysin Atl","type":"article-journal","volume":"75"},"uris":["http://www.mendeley.com/documents/?uuid=e8df656f-cf4a-48d7-8351-878706af9c66"]}],"mendeley":{"formattedCitation":"&lt;sup&gt;[59]&lt;/sup&gt;","plainTextFormattedCitation":"[59]","previouslyFormattedCitation":"&lt;sup&gt;[59]&lt;/sup&gt;"},"properties":{"noteIndex":0},"schema":"https://github.com/citation-style-language/schema/raw/master/csl-citation.json"}</w:instrText>
      </w:r>
      <w:r w:rsidR="009B24E3" w:rsidRPr="00BE5A93">
        <w:fldChar w:fldCharType="separate"/>
      </w:r>
      <w:r w:rsidR="00DA0A83" w:rsidRPr="00DA0A83">
        <w:rPr>
          <w:noProof/>
          <w:vertAlign w:val="superscript"/>
        </w:rPr>
        <w:t>[59]</w:t>
      </w:r>
      <w:r w:rsidR="009B24E3" w:rsidRPr="00BE5A93">
        <w:fldChar w:fldCharType="end"/>
      </w:r>
      <w:r w:rsidR="009B24E3">
        <w:t>,</w:t>
      </w:r>
      <w:r w:rsidR="009B24E3" w:rsidRPr="00BE5A93">
        <w:t xml:space="preserve"> </w:t>
      </w:r>
      <w:r w:rsidR="009B24E3">
        <w:t>t</w:t>
      </w:r>
      <w:r w:rsidR="009B24E3" w:rsidRPr="00BE5A93">
        <w:t xml:space="preserve">hus, a CW-depleted of WTA presents more available binding sites for hydrolases </w:t>
      </w:r>
      <w:r w:rsidR="00892F4A">
        <w:t>such as</w:t>
      </w:r>
      <w:r w:rsidR="009B24E3" w:rsidRPr="00BE5A93">
        <w:t xml:space="preserve"> Atl. This in turn could result in a more rapid hydrolysis of newly synthesised CW</w:t>
      </w:r>
      <w:r w:rsidR="009B24E3">
        <w:t>.</w:t>
      </w:r>
      <w:r w:rsidR="006518C1">
        <w:t xml:space="preserve"> </w:t>
      </w:r>
      <w:r w:rsidR="006518C1" w:rsidRPr="00AF7F47">
        <w:t xml:space="preserve">This suggestion is supported by preliminary atomic force microscopy (AFM) results carried out by Dr. Pasquina Lemonche, whereby images of live </w:t>
      </w:r>
      <w:r w:rsidR="006518C1" w:rsidRPr="00AF7F47">
        <w:rPr>
          <w:i/>
          <w:iCs/>
        </w:rPr>
        <w:t>tarO</w:t>
      </w:r>
      <w:r w:rsidR="006518C1" w:rsidRPr="00AF7F47">
        <w:t xml:space="preserve"> cells showed a CW made mostly of a matured PG composition </w:t>
      </w:r>
      <w:r w:rsidR="003622C8" w:rsidRPr="00AF7F47">
        <w:t>that could indicate a higher hydrolysis rate</w:t>
      </w:r>
      <w:r w:rsidR="006518C1" w:rsidRPr="00AF7F47">
        <w:t>.</w:t>
      </w:r>
      <w:r w:rsidR="00DE5293">
        <w:t xml:space="preserve"> </w:t>
      </w:r>
      <w:r w:rsidR="00DE5293" w:rsidRPr="00BE5A93">
        <w:t xml:space="preserve">Future work is necessary to test this hypothesis. AFM of </w:t>
      </w:r>
      <w:r w:rsidR="00DE5293" w:rsidRPr="00BE5A93">
        <w:rPr>
          <w:i/>
          <w:iCs/>
        </w:rPr>
        <w:t>tarO</w:t>
      </w:r>
      <w:r w:rsidR="00DE5293" w:rsidRPr="00BE5A93">
        <w:t xml:space="preserve"> purified PG (sacculi) could provide in-depth analysis of the length of perforating CW holes and quantitively confirm if there is a significant difference to the wildtype, while cryo-TEM of vitrified sections of </w:t>
      </w:r>
      <w:r w:rsidR="00DE5293" w:rsidRPr="00BE5A93">
        <w:rPr>
          <w:i/>
          <w:iCs/>
        </w:rPr>
        <w:t>tarO</w:t>
      </w:r>
      <w:r w:rsidR="00DE5293" w:rsidRPr="00BE5A93">
        <w:t xml:space="preserve"> would give a better look and CW measurement closer to the cell native state.</w:t>
      </w:r>
    </w:p>
    <w:p w14:paraId="66CC2008" w14:textId="1E0D0920" w:rsidR="007D21EE" w:rsidRPr="00B36053" w:rsidRDefault="007D21EE" w:rsidP="007D21EE">
      <w:pPr>
        <w:pStyle w:val="Heading3"/>
      </w:pPr>
      <w:bookmarkStart w:id="687" w:name="_Toc90216896"/>
      <w:r>
        <w:t>Effects of the lack of LTA on the bacterial envelope and exoplasm</w:t>
      </w:r>
      <w:r w:rsidR="007006CC">
        <w:t>.</w:t>
      </w:r>
      <w:bookmarkEnd w:id="687"/>
    </w:p>
    <w:p w14:paraId="48F37C34" w14:textId="69C06340" w:rsidR="00182281" w:rsidRDefault="00080230" w:rsidP="00856DBB">
      <w:r>
        <w:t>S</w:t>
      </w:r>
      <w:r w:rsidR="00856DBB">
        <w:t xml:space="preserve">tudy of the </w:t>
      </w:r>
      <w:r w:rsidR="00856DBB" w:rsidRPr="005F4D53">
        <w:rPr>
          <w:i/>
          <w:iCs/>
        </w:rPr>
        <w:t xml:space="preserve">iltaS </w:t>
      </w:r>
      <w:r w:rsidR="00856DBB" w:rsidRPr="005F4D53">
        <w:t>IPTG-inducible mutant</w:t>
      </w:r>
      <w:r w:rsidR="00856DBB">
        <w:t xml:space="preserve"> has provided confirmation that the previously described phenotype resulting from </w:t>
      </w:r>
      <w:r w:rsidR="00C74700">
        <w:t>LTA-</w:t>
      </w:r>
      <w:r w:rsidR="00544FA1">
        <w:t>depletion</w:t>
      </w:r>
      <w:r w:rsidR="00856DBB">
        <w:t xml:space="preserve"> in RN4200</w:t>
      </w:r>
      <w:r w:rsidR="00B83D57">
        <w:t xml:space="preserve"> </w:t>
      </w:r>
      <w:r w:rsidR="00B83D57">
        <w:fldChar w:fldCharType="begin" w:fldLock="1"/>
      </w:r>
      <w:r w:rsidR="00260ACA">
        <w:instrText>ADDIN CSL_CITATION {"citationItems":[{"id":"ITEM-1","itemData":{"DOI":"10.1073/pnas.0701821104","ISBN":"0027-8424 (Print)\\r0027-8424 (Linking)","ISSN":"0027-8424","PMID":"17483484","abstract":"Lipoteichoic acid (LTA), a glycerol phosphate surface polymer, is a component of the envelope of Gram-positive bacteria. However, the molecular basis for its synthesis or function is not known. Here we report that Staphylococcus aureus LtaS synthesizes glycerol phosphate LTA. Construction of a mutant S. aureus strain with inducible ltaS expression revealed that LTA synthesis is required for bacterial growth and cell division. An ltaS homologue of Bacillus subtilis restored LTA synthesis and the growth of ltaS mutant staphylococci. Thus, LtaS inhibition can be used as a target to treat human infections caused by antibiotic-resistant S. aureus or other bacterial pathogens.","author":[{"dropping-particle":"","family":"Grundling","given":"A.","non-dropping-particle":"","parse-names":false,"suffix":""},{"dropping-particle":"","family":"Schneewind","given":"O.","non-dropping-particle":"","parse-names":false,"suffix":""}],"container-title":"Proceedings of the National Academy of Sciences","id":"ITEM-1","issue":"20","issued":{"date-parts":[["2007"]]},"page":"8478-8483","title":"Synthesis of glycerol phosphate lipoteichoic acid in Staphylococcus aureus","type":"article-journal","volume":"104"},"uris":["http://www.mendeley.com/documents/?uuid=33b7fcb3-ffde-4606-8a67-126926b4d10a"]}],"mendeley":{"formattedCitation":"&lt;sup&gt;[99]&lt;/sup&gt;","plainTextFormattedCitation":"[99]","previouslyFormattedCitation":"&lt;sup&gt;[99]&lt;/sup&gt;"},"properties":{"noteIndex":0},"schema":"https://github.com/citation-style-language/schema/raw/master/csl-citation.json"}</w:instrText>
      </w:r>
      <w:r w:rsidR="00B83D57">
        <w:fldChar w:fldCharType="separate"/>
      </w:r>
      <w:r w:rsidR="00C825F9" w:rsidRPr="00C825F9">
        <w:rPr>
          <w:noProof/>
          <w:vertAlign w:val="superscript"/>
        </w:rPr>
        <w:t>[99]</w:t>
      </w:r>
      <w:r w:rsidR="00B83D57">
        <w:fldChar w:fldCharType="end"/>
      </w:r>
      <w:r w:rsidR="00856DBB">
        <w:t xml:space="preserve"> is</w:t>
      </w:r>
      <w:r w:rsidR="00100E6D">
        <w:t xml:space="preserve"> also found </w:t>
      </w:r>
      <w:r w:rsidR="00856DBB">
        <w:t>in the SH1000 background.</w:t>
      </w:r>
      <w:r w:rsidR="0082350F">
        <w:t xml:space="preserve"> Comprehensive studies showed growth arrest and increased morphological defects after 3-4 h of growth</w:t>
      </w:r>
      <w:r w:rsidR="00883B17">
        <w:t xml:space="preserve">. </w:t>
      </w:r>
      <w:r w:rsidR="00C16FC9">
        <w:t xml:space="preserve">Additionally, </w:t>
      </w:r>
      <w:r w:rsidR="00883B17">
        <w:t>a 2</w:t>
      </w:r>
      <w:r w:rsidR="00842B55">
        <w:t>.3</w:t>
      </w:r>
      <w:r w:rsidR="00883B17">
        <w:t>x increase in cell volume and &gt; 65 % of cells with morphological defects</w:t>
      </w:r>
      <w:r w:rsidR="00C16FC9">
        <w:t xml:space="preserve"> were observed, including </w:t>
      </w:r>
      <w:r w:rsidR="00883B17">
        <w:t xml:space="preserve">multiple </w:t>
      </w:r>
      <w:r w:rsidR="008143CE">
        <w:t>and</w:t>
      </w:r>
      <w:r w:rsidR="00883B17">
        <w:t xml:space="preserve"> misplace</w:t>
      </w:r>
      <w:r w:rsidR="00655CAB">
        <w:t>d</w:t>
      </w:r>
      <w:r w:rsidR="00883B17">
        <w:t xml:space="preserve"> of septa (</w:t>
      </w:r>
      <w:r w:rsidR="004E4B68">
        <w:t>mostly on</w:t>
      </w:r>
      <w:r w:rsidR="00883B17">
        <w:t xml:space="preserve"> the same division plane)</w:t>
      </w:r>
      <w:r w:rsidR="008143CE">
        <w:t>, clumped cells</w:t>
      </w:r>
      <w:r w:rsidR="00883B17">
        <w:t xml:space="preserve"> and thickened cell walls</w:t>
      </w:r>
      <w:r w:rsidR="00851E5A">
        <w:t xml:space="preserve"> (</w:t>
      </w:r>
      <w:r w:rsidR="00851E5A">
        <w:fldChar w:fldCharType="begin"/>
      </w:r>
      <w:r w:rsidR="00851E5A">
        <w:instrText xml:space="preserve"> REF _Ref74829870 \h </w:instrText>
      </w:r>
      <w:r w:rsidR="00851E5A">
        <w:fldChar w:fldCharType="separate"/>
      </w:r>
      <w:r w:rsidR="00183CC8">
        <w:t xml:space="preserve">Figure </w:t>
      </w:r>
      <w:r w:rsidR="00183CC8">
        <w:rPr>
          <w:noProof/>
        </w:rPr>
        <w:t>4</w:t>
      </w:r>
      <w:r w:rsidR="00183CC8">
        <w:t>.</w:t>
      </w:r>
      <w:r w:rsidR="00183CC8">
        <w:rPr>
          <w:noProof/>
        </w:rPr>
        <w:t>14</w:t>
      </w:r>
      <w:r w:rsidR="00851E5A">
        <w:fldChar w:fldCharType="end"/>
      </w:r>
      <w:r w:rsidR="00851E5A">
        <w:t xml:space="preserve">and </w:t>
      </w:r>
      <w:r w:rsidR="00851E5A">
        <w:fldChar w:fldCharType="begin"/>
      </w:r>
      <w:r w:rsidR="00851E5A">
        <w:instrText xml:space="preserve"> REF _Ref74924348 \h </w:instrText>
      </w:r>
      <w:r w:rsidR="00851E5A">
        <w:fldChar w:fldCharType="separate"/>
      </w:r>
      <w:r w:rsidR="00183CC8">
        <w:t xml:space="preserve">Figure </w:t>
      </w:r>
      <w:r w:rsidR="00183CC8">
        <w:rPr>
          <w:noProof/>
        </w:rPr>
        <w:t>4</w:t>
      </w:r>
      <w:r w:rsidR="00183CC8">
        <w:t>.</w:t>
      </w:r>
      <w:r w:rsidR="00183CC8">
        <w:rPr>
          <w:noProof/>
        </w:rPr>
        <w:t>15</w:t>
      </w:r>
      <w:r w:rsidR="00851E5A">
        <w:fldChar w:fldCharType="end"/>
      </w:r>
      <w:r w:rsidR="00851E5A">
        <w:t>)</w:t>
      </w:r>
      <w:r w:rsidR="00883B17">
        <w:t>.</w:t>
      </w:r>
      <w:r w:rsidR="001772A5">
        <w:t xml:space="preserve"> Given the difficulty of working with a strain that suffers growth arrest and a high percentage of aberrant cells, </w:t>
      </w:r>
      <w:r w:rsidR="00761DEE">
        <w:t>this</w:t>
      </w:r>
      <w:r w:rsidR="001772A5">
        <w:t xml:space="preserve"> stud</w:t>
      </w:r>
      <w:r w:rsidR="00761DEE">
        <w:t>y was continued</w:t>
      </w:r>
      <w:r w:rsidR="001772A5">
        <w:t xml:space="preserve"> with a</w:t>
      </w:r>
      <w:r w:rsidR="00C9610D">
        <w:t>n</w:t>
      </w:r>
      <w:r w:rsidR="001772A5">
        <w:t xml:space="preserve"> LTA mutant with a suppressor mutation</w:t>
      </w:r>
      <w:r w:rsidR="00D32BBF">
        <w:t xml:space="preserve"> in </w:t>
      </w:r>
      <w:r w:rsidR="00D32BBF">
        <w:rPr>
          <w:i/>
          <w:iCs/>
        </w:rPr>
        <w:t>gdpP</w:t>
      </w:r>
      <w:r w:rsidR="001772A5">
        <w:t xml:space="preserve"> that restores growth</w:t>
      </w:r>
      <w:r w:rsidR="00464AE3">
        <w:t xml:space="preserve"> </w:t>
      </w:r>
      <w:r w:rsidR="00464AE3">
        <w:fldChar w:fldCharType="begin" w:fldLock="1"/>
      </w:r>
      <w:r w:rsidR="00DA0A83">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mendeley":{"formattedCitation":"&lt;sup&gt;[63]&lt;/sup&gt;","plainTextFormattedCitation":"[63]","previouslyFormattedCitation":"&lt;sup&gt;[63]&lt;/sup&gt;"},"properties":{"noteIndex":0},"schema":"https://github.com/citation-style-language/schema/raw/master/csl-citation.json"}</w:instrText>
      </w:r>
      <w:r w:rsidR="00464AE3">
        <w:fldChar w:fldCharType="separate"/>
      </w:r>
      <w:r w:rsidR="00DA0A83" w:rsidRPr="00DA0A83">
        <w:rPr>
          <w:noProof/>
          <w:vertAlign w:val="superscript"/>
        </w:rPr>
        <w:t>[63]</w:t>
      </w:r>
      <w:r w:rsidR="00464AE3">
        <w:fldChar w:fldCharType="end"/>
      </w:r>
      <w:r w:rsidR="00464AE3">
        <w:t>.</w:t>
      </w:r>
    </w:p>
    <w:p w14:paraId="0588253E" w14:textId="11690BCD" w:rsidR="0085687A" w:rsidRDefault="0092201F" w:rsidP="0085687A">
      <w:r w:rsidRPr="005F4D53">
        <w:rPr>
          <w:i/>
          <w:iCs/>
        </w:rPr>
        <w:t>ltaS gdpP::kan</w:t>
      </w:r>
      <w:r>
        <w:rPr>
          <w:i/>
          <w:iCs/>
        </w:rPr>
        <w:t xml:space="preserve"> </w:t>
      </w:r>
      <w:r>
        <w:t xml:space="preserve">was able to grow and a large number of cells had a reduction in size, as expected with the </w:t>
      </w:r>
      <w:r w:rsidR="00ED0CCF">
        <w:t>compensatory</w:t>
      </w:r>
      <w:r>
        <w:t xml:space="preserve"> mutation in </w:t>
      </w:r>
      <w:r w:rsidRPr="00DD7FAA">
        <w:rPr>
          <w:i/>
          <w:iCs/>
        </w:rPr>
        <w:t>gdpP</w:t>
      </w:r>
      <w:r>
        <w:t xml:space="preserve"> (</w:t>
      </w:r>
      <w:r>
        <w:fldChar w:fldCharType="begin"/>
      </w:r>
      <w:r>
        <w:instrText xml:space="preserve"> REF _Ref74945643 \h </w:instrText>
      </w:r>
      <w:r>
        <w:fldChar w:fldCharType="separate"/>
      </w:r>
      <w:r w:rsidR="00183CC8">
        <w:t xml:space="preserve">Figure </w:t>
      </w:r>
      <w:r w:rsidR="00183CC8">
        <w:rPr>
          <w:noProof/>
        </w:rPr>
        <w:t>4</w:t>
      </w:r>
      <w:r w:rsidR="00183CC8">
        <w:t>.</w:t>
      </w:r>
      <w:r w:rsidR="00183CC8">
        <w:rPr>
          <w:noProof/>
        </w:rPr>
        <w:t>17</w:t>
      </w:r>
      <w:r>
        <w:fldChar w:fldCharType="end"/>
      </w:r>
      <w:r>
        <w:t xml:space="preserve">). However, </w:t>
      </w:r>
      <w:r w:rsidR="00AC683B">
        <w:t xml:space="preserve">various microscopy techniques (SEM, TEM, SIM) </w:t>
      </w:r>
      <w:r>
        <w:t xml:space="preserve">and morphological quantification confirmed that </w:t>
      </w:r>
      <w:r w:rsidR="00D61DBC">
        <w:t>the majority of</w:t>
      </w:r>
      <w:r>
        <w:t xml:space="preserve"> cells (~ 53 % of the population) </w:t>
      </w:r>
      <w:r w:rsidR="00D61DBC">
        <w:t>maintained the</w:t>
      </w:r>
      <w:r>
        <w:t xml:space="preserve"> increased cell size</w:t>
      </w:r>
      <w:r w:rsidR="00D61DBC">
        <w:t xml:space="preserve"> typical of LTA</w:t>
      </w:r>
      <w:r w:rsidR="00F332C4">
        <w:t xml:space="preserve"> </w:t>
      </w:r>
      <w:r w:rsidR="0085687A">
        <w:t>depletion (</w:t>
      </w:r>
      <w:r w:rsidR="0085687A">
        <w:fldChar w:fldCharType="begin"/>
      </w:r>
      <w:r w:rsidR="0085687A">
        <w:instrText xml:space="preserve"> REF _Ref75798843 \h </w:instrText>
      </w:r>
      <w:r w:rsidR="0085687A">
        <w:fldChar w:fldCharType="separate"/>
      </w:r>
      <w:r w:rsidR="00183CC8">
        <w:t xml:space="preserve">Figure </w:t>
      </w:r>
      <w:r w:rsidR="00183CC8">
        <w:rPr>
          <w:noProof/>
        </w:rPr>
        <w:t>4</w:t>
      </w:r>
      <w:r w:rsidR="00183CC8">
        <w:t>.</w:t>
      </w:r>
      <w:r w:rsidR="00183CC8">
        <w:rPr>
          <w:noProof/>
        </w:rPr>
        <w:t>18</w:t>
      </w:r>
      <w:r w:rsidR="0085687A">
        <w:fldChar w:fldCharType="end"/>
      </w:r>
      <w:r w:rsidR="0085687A">
        <w:t xml:space="preserve">, </w:t>
      </w:r>
      <w:r w:rsidR="0085687A">
        <w:fldChar w:fldCharType="begin"/>
      </w:r>
      <w:r w:rsidR="0085687A">
        <w:instrText xml:space="preserve"> REF _Ref77883118 \h </w:instrText>
      </w:r>
      <w:r w:rsidR="0085687A">
        <w:fldChar w:fldCharType="separate"/>
      </w:r>
      <w:r w:rsidR="00183CC8">
        <w:t xml:space="preserve">Supplementary Figure </w:t>
      </w:r>
      <w:r w:rsidR="00183CC8">
        <w:rPr>
          <w:noProof/>
        </w:rPr>
        <w:t>2</w:t>
      </w:r>
      <w:r w:rsidR="0085687A">
        <w:fldChar w:fldCharType="end"/>
      </w:r>
      <w:r w:rsidR="0085687A">
        <w:t xml:space="preserve">). </w:t>
      </w:r>
      <w:r w:rsidR="008E43B2">
        <w:t>The suppressor mutation reduced the number of aberrant cells</w:t>
      </w:r>
      <w:r w:rsidR="00F51514">
        <w:t xml:space="preserve"> in comparison to </w:t>
      </w:r>
      <w:r w:rsidR="00F51514">
        <w:rPr>
          <w:i/>
          <w:iCs/>
        </w:rPr>
        <w:t>iltaS</w:t>
      </w:r>
      <w:r w:rsidR="008E43B2">
        <w:t xml:space="preserve">, although many were still present and were mostly associated to </w:t>
      </w:r>
      <w:r w:rsidR="00F51514">
        <w:t>those with an</w:t>
      </w:r>
      <w:r w:rsidR="008E43B2">
        <w:t xml:space="preserve"> increased cell size</w:t>
      </w:r>
      <w:r w:rsidR="00F51514">
        <w:t xml:space="preserve"> (</w:t>
      </w:r>
      <w:r w:rsidR="00F51514">
        <w:fldChar w:fldCharType="begin"/>
      </w:r>
      <w:r w:rsidR="00F51514">
        <w:instrText xml:space="preserve"> REF _Ref75013998 \h </w:instrText>
      </w:r>
      <w:r w:rsidR="00F51514">
        <w:fldChar w:fldCharType="separate"/>
      </w:r>
      <w:r w:rsidR="00183CC8">
        <w:t xml:space="preserve">Figure </w:t>
      </w:r>
      <w:r w:rsidR="00183CC8">
        <w:rPr>
          <w:noProof/>
        </w:rPr>
        <w:t>4</w:t>
      </w:r>
      <w:r w:rsidR="00183CC8">
        <w:t>.</w:t>
      </w:r>
      <w:r w:rsidR="00183CC8">
        <w:rPr>
          <w:noProof/>
        </w:rPr>
        <w:t>19</w:t>
      </w:r>
      <w:r w:rsidR="00F51514">
        <w:fldChar w:fldCharType="end"/>
      </w:r>
      <w:r w:rsidR="00F51514">
        <w:t xml:space="preserve"> and </w:t>
      </w:r>
      <w:r w:rsidR="00F51514">
        <w:fldChar w:fldCharType="begin"/>
      </w:r>
      <w:r w:rsidR="00F51514">
        <w:instrText xml:space="preserve"> REF _Ref75024127 \h </w:instrText>
      </w:r>
      <w:r w:rsidR="00F51514">
        <w:fldChar w:fldCharType="separate"/>
      </w:r>
      <w:r w:rsidR="00183CC8">
        <w:t xml:space="preserve">Figure </w:t>
      </w:r>
      <w:r w:rsidR="00183CC8">
        <w:rPr>
          <w:noProof/>
        </w:rPr>
        <w:t>4</w:t>
      </w:r>
      <w:r w:rsidR="00183CC8">
        <w:t>.</w:t>
      </w:r>
      <w:r w:rsidR="00183CC8">
        <w:rPr>
          <w:noProof/>
        </w:rPr>
        <w:t>20</w:t>
      </w:r>
      <w:r w:rsidR="00F51514">
        <w:fldChar w:fldCharType="end"/>
      </w:r>
      <w:r w:rsidR="00F51514">
        <w:t xml:space="preserve">, and </w:t>
      </w:r>
      <w:r w:rsidR="00F51514">
        <w:fldChar w:fldCharType="begin"/>
      </w:r>
      <w:r w:rsidR="00F51514">
        <w:instrText xml:space="preserve"> REF _Ref77883118 \h </w:instrText>
      </w:r>
      <w:r w:rsidR="00F51514">
        <w:fldChar w:fldCharType="separate"/>
      </w:r>
      <w:r w:rsidR="00183CC8">
        <w:t xml:space="preserve">Supplementary Figure </w:t>
      </w:r>
      <w:r w:rsidR="00183CC8">
        <w:rPr>
          <w:noProof/>
        </w:rPr>
        <w:t>2</w:t>
      </w:r>
      <w:r w:rsidR="00F51514">
        <w:fldChar w:fldCharType="end"/>
      </w:r>
      <w:r w:rsidR="00F51514">
        <w:t>).</w:t>
      </w:r>
      <w:r w:rsidR="00CF0946">
        <w:t xml:space="preserve"> </w:t>
      </w:r>
      <w:r w:rsidR="0085687A">
        <w:t xml:space="preserve">It is unclear why such a big </w:t>
      </w:r>
      <w:r w:rsidR="009A77F9">
        <w:t>portion</w:t>
      </w:r>
      <w:r w:rsidR="0085687A">
        <w:t xml:space="preserve"> of cells still </w:t>
      </w:r>
      <w:r w:rsidR="009B21DB">
        <w:t>retain the LTA-depleted phenotype</w:t>
      </w:r>
      <w:r w:rsidR="009A77F9">
        <w:t xml:space="preserve"> in this </w:t>
      </w:r>
      <w:r w:rsidR="00C73042">
        <w:t>background</w:t>
      </w:r>
      <w:r w:rsidR="009B21DB">
        <w:t xml:space="preserve">. </w:t>
      </w:r>
      <w:r w:rsidR="0085687A">
        <w:t xml:space="preserve">Nonetheless, the reinstatement of cell growth makes this mutant the best candidate for studying the role of LTA in the maintenance of the exoplasm in </w:t>
      </w:r>
      <w:r w:rsidR="0085687A">
        <w:rPr>
          <w:i/>
          <w:iCs/>
        </w:rPr>
        <w:t>S. aureus</w:t>
      </w:r>
      <w:r w:rsidR="0085687A">
        <w:t xml:space="preserve"> SH1000.</w:t>
      </w:r>
    </w:p>
    <w:p w14:paraId="0EB78A94" w14:textId="7523DEFF" w:rsidR="00D371F5" w:rsidRDefault="00D371F5" w:rsidP="009438F4">
      <w:pPr>
        <w:pStyle w:val="Heading3"/>
      </w:pPr>
      <w:bookmarkStart w:id="688" w:name="_Toc90216897"/>
      <w:r>
        <w:lastRenderedPageBreak/>
        <w:t>Effects of a simultaneous reduction in WTA and LTA biosynthesis</w:t>
      </w:r>
      <w:r w:rsidR="007006CC">
        <w:t>.</w:t>
      </w:r>
      <w:bookmarkEnd w:id="688"/>
    </w:p>
    <w:p w14:paraId="08B27E9B" w14:textId="316EE959" w:rsidR="00A404F2" w:rsidRPr="007859AB" w:rsidRDefault="00736B31" w:rsidP="00906D21">
      <w:r>
        <w:t>A pharmacological approach was used to analyse</w:t>
      </w:r>
      <w:r w:rsidR="001E6BD4">
        <w:t xml:space="preserve"> the role of both WTA and LTA in growth and morphology, and </w:t>
      </w:r>
      <w:r w:rsidR="00A10A7E">
        <w:t>evaluate</w:t>
      </w:r>
      <w:r w:rsidR="001E6BD4">
        <w:t xml:space="preserve"> the </w:t>
      </w:r>
      <w:r w:rsidR="00A10A7E">
        <w:t xml:space="preserve">viability </w:t>
      </w:r>
      <w:r w:rsidR="001E6BD4">
        <w:t xml:space="preserve">of a triple mutant with a suppressor mutation in </w:t>
      </w:r>
      <w:r w:rsidR="001E6BD4">
        <w:rPr>
          <w:i/>
          <w:iCs/>
        </w:rPr>
        <w:t>gdpP</w:t>
      </w:r>
      <w:r w:rsidR="00851893">
        <w:rPr>
          <w:i/>
          <w:iCs/>
        </w:rPr>
        <w:t xml:space="preserve"> </w:t>
      </w:r>
      <w:r w:rsidR="00851893">
        <w:t>for future studies o</w:t>
      </w:r>
      <w:r w:rsidR="00466C28">
        <w:t>f</w:t>
      </w:r>
      <w:r w:rsidR="00851893">
        <w:t xml:space="preserve"> the exoplasm</w:t>
      </w:r>
      <w:r w:rsidR="00A10A7E">
        <w:rPr>
          <w:i/>
          <w:iCs/>
        </w:rPr>
        <w:t xml:space="preserve"> </w:t>
      </w:r>
      <w:r w:rsidR="00A10A7E">
        <w:rPr>
          <w:i/>
          <w:iCs/>
        </w:rPr>
        <w:fldChar w:fldCharType="begin" w:fldLock="1"/>
      </w:r>
      <w:r w:rsidR="00DA0A83">
        <w:rPr>
          <w:i/>
          <w:iCs/>
        </w:rPr>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mendeley":{"formattedCitation":"&lt;sup&gt;[63]&lt;/sup&gt;","plainTextFormattedCitation":"[63]","previouslyFormattedCitation":"&lt;sup&gt;[63]&lt;/sup&gt;"},"properties":{"noteIndex":0},"schema":"https://github.com/citation-style-language/schema/raw/master/csl-citation.json"}</w:instrText>
      </w:r>
      <w:r w:rsidR="00A10A7E">
        <w:rPr>
          <w:i/>
          <w:iCs/>
        </w:rPr>
        <w:fldChar w:fldCharType="separate"/>
      </w:r>
      <w:r w:rsidR="00DA0A83" w:rsidRPr="00DA0A83">
        <w:rPr>
          <w:iCs/>
          <w:noProof/>
          <w:vertAlign w:val="superscript"/>
        </w:rPr>
        <w:t>[63]</w:t>
      </w:r>
      <w:r w:rsidR="00A10A7E">
        <w:rPr>
          <w:i/>
          <w:iCs/>
        </w:rPr>
        <w:fldChar w:fldCharType="end"/>
      </w:r>
      <w:r w:rsidR="001E6BD4">
        <w:rPr>
          <w:i/>
          <w:iCs/>
        </w:rPr>
        <w:t>.</w:t>
      </w:r>
      <w:r w:rsidR="00A10A7E">
        <w:rPr>
          <w:i/>
          <w:iCs/>
        </w:rPr>
        <w:t xml:space="preserve"> </w:t>
      </w:r>
      <w:r>
        <w:t xml:space="preserve"> </w:t>
      </w:r>
      <w:r w:rsidR="00BB6A86">
        <w:t>This</w:t>
      </w:r>
      <w:r w:rsidR="00D371F5">
        <w:t xml:space="preserve"> preliminary data adds to that already published </w:t>
      </w:r>
      <w:r w:rsidR="00D371F5">
        <w:fldChar w:fldCharType="begin" w:fldLock="1"/>
      </w:r>
      <w:r w:rsidR="0058736C">
        <w:instrText xml:space="preserve">ADDIN CSL_CITATION {"citationItems":[{"id":"ITEM-1","itemData":{"DOI":"10.1073/pnas.1404099111","ISBN":"1091-6490 (Electronic)\\r0027-8424 (Linking)","ISSN":"0027-8424","PMID":"25104751","abstract":"Staphylococcus aureus contains two distinct teichoic acid (TA) polymers, lipoteichoic acid (LTA) and wall teichoic acid (WTA), which are proposed to play redundant roles in regulating cell division. To gain insight into the underlying biology of S. aureus TAs, we used a small molecule inhibitor to screen a highly saturated transposon library for cellular factors that become essential when WTA is depleted. We constructed an interaction network connecting WTAs with genes involved in LTA synthesis, peptidoglycan synthesis, surface protein display, and D-alanine cell envelope modifications. Although LTAs and WTAs are synthetically lethal, we report that they do not have the same synthetic interactions with other cell envelope genes. For example, D-alanylation, a tailoring modification of both WTAs and LTAs, becomes essential when the former, but not the latter, are removed. Therefore, D-alanine-tailored LTAs are required for survival when WTAs are absent. Examination of terminal phenotoypes led to the unexpected discovery that cells lacking both LTAs and WTAs lose their ability to form Z rings and can no longer divide. We have concluded that the presence of either LTAs or WTAs on the cell surface is required for initiation of S. aureus cell division, but these polymers act as part of distinct cellular networks.","author":[{"dropping-particle":"","family":"Santa Maria","given":"J. P.","non-dropping-particle":"","parse-names":false,"suffix":""},{"dropping-particle":"","family":"Sadaka","given":"A.","non-dropping-particle":"","parse-names":false,"suffix":""},{"dropping-particle":"","family":"Moussa","given":"S. H.","non-dropping-particle":"","parse-names":false,"suffix":""},{"dropping-particle":"","family":"Brown","given":"S.","non-dropping-particle":"","parse-names":false,"suffix":""},{"dropping-particle":"","family":"Zhang","given":"Y. J.","non-dropping-particle":"","parse-names":false,"suffix":""},{"dropping-particle":"","family":"Rubin","given":"E. J.","non-dropping-particle":"","parse-names":false,"suffix":""},{"dropping-particle":"","family":"Gilmore","given":"M. S.","non-dropping-particle":"","parse-names":false,"suffix":""},{"dropping-particle":"","family":"Walker","given":"S.","non-dropping-particle":"","parse-names":false,"suffix":""}],"container-title":"Proceedings of the National Academy of Sciences","id":"ITEM-1","issued":{"date-parts":[["2014"]]},"title":"Compound-gene interaction mapping reveals distinct roles for Staphylococcus aureus teichoic acids","type":"article-journal"},"uris":["http://www.mendeley.com/documents/?uuid=7aa650a3-a98e-399c-b695-e460b47ccc68"]},{"id":"ITEM-2","itemData":{"DOI":"10.1093/jac/dks184","ISBN":"1460-2091 (Electronic)\\r0305-7453 (Linking)","ISSN":"03057453","PMID":"22615298","abstract":"OBJECTIVES: Polyanionic polymers, including lipoteichoic acid and wall teichoic acid, are important determinants of the charged character of the staphylococcal cell wall. This study was designed to investigate the extent to which teichoic acid contributes to protection from anionic azo dyes and to identify barriers to drug penetration for development of new antibiotics for multidrug-resistant Staphylococcus aureus infection.\\n\\nMETHODS: We studied antimicrobial activity of azo dyes against S. aureus strains with or without inhibition of teichoic acid in vitro and in vivo.\\n\\nRESULTS: We observed that inhibition of wall teichoic acid expression resulted in an </w:instrText>
      </w:r>
      <w:r w:rsidR="0058736C">
        <w:rPr>
          <w:rFonts w:ascii="Cambria Math" w:hAnsi="Cambria Math" w:cs="Cambria Math"/>
        </w:rPr>
        <w:instrText>∼</w:instrText>
      </w:r>
      <w:r w:rsidR="0058736C">
        <w:instrText>1000-fold increase in susceptibility to azo dyes such as Congo red, reducing its MIC from &gt;1024 to &lt;4 mg/L. Sensitization occurred when the first step in the wall teichoic acid pathway, catalysed by TarO, was inhibited either by mutation or by chemical inhibition. In contrast, genetic blockade of lipoteichoic acid biosynthesis did not confer Congo red susceptibility. Based on this finding, combination therapy was tested using the highly synergistic combination of Congo red plus tunicamycin at sub-MIC concentrations (to inhibit wall teichoic acid biosynthesis). The combination rescued Caenorhabditis elegans from a lethal challenge of S. aureus.\\n\\nCONCLUSIONS: Our studies show that wall teichoic acid confers protection to S. aureus from anionic azo dyes and related compounds, and its inhibition raises the prospect of development of new combination therapies based on this inhibition.","author":[{"dropping-particle":"","family":"Suzuki","given":"Takashi","non-dropping-particle":"","parse-names":false,"suffix":""},{"dropping-particle":"","family":"Campbell","given":"Jennifer","non-dropping-particle":"","parse-names":false,"suffix":""},{"dropping-particle":"","family":"Kim","given":"Younghoon","non-dropping-particle":"","parse-names":false,"suffix":""},{"dropping-particle":"","family":"Swoboda","given":"Jonathan G.","non-dropping-particle":"","parse-names":false,"suffix":""},{"dropping-particle":"","family":"Mylonakis","given":"Eleftherios","non-dropping-particle":"","parse-names":false,"suffix":""},{"dropping-particle":"","family":"Walker","given":"Suzanne","non-dropping-particle":"","parse-names":false,"suffix":""},{"dropping-particle":"","family":"Gilmore","given":"Michael S.","non-dropping-particle":"","parse-names":false,"suffix":""}],"container-title":"Journal of Antimicrobial Chemotherapy","id":"ITEM-2","issue":"9","issued":{"date-parts":[["2012"]]},"page":"2143-2151","title":"Wall teichoic acid protects Staphylococcus aureus from inhibition by Congo red and other dyes","type":"article-journal","volume":"67"},"uris":["http://www.mendeley.com/documents/?uuid=ca420093-7da1-4ce7-85c7-4c9bb24ec52d"]}],"mendeley":{"formattedCitation":"&lt;sup&gt;[278,279]&lt;/sup&gt;","plainTextFormattedCitation":"[278,279]","previouslyFormattedCitation":"&lt;sup&gt;[278,279]&lt;/sup&gt;"},"properties":{"noteIndex":0},"schema":"https://github.com/citation-style-language/schema/raw/master/csl-citation.json"}</w:instrText>
      </w:r>
      <w:r w:rsidR="00D371F5">
        <w:fldChar w:fldCharType="separate"/>
      </w:r>
      <w:r w:rsidR="002659E5" w:rsidRPr="002659E5">
        <w:rPr>
          <w:noProof/>
          <w:vertAlign w:val="superscript"/>
        </w:rPr>
        <w:t>[278,279]</w:t>
      </w:r>
      <w:r w:rsidR="00D371F5">
        <w:fldChar w:fldCharType="end"/>
      </w:r>
      <w:r w:rsidR="00D371F5">
        <w:t>, providing quantifiable CFU survival results</w:t>
      </w:r>
      <w:r w:rsidR="00710A8F">
        <w:t xml:space="preserve"> </w:t>
      </w:r>
      <w:r w:rsidR="00D371F5">
        <w:t xml:space="preserve">and a qualitative phenotype analysis on &gt; 300 cells </w:t>
      </w:r>
      <w:r w:rsidR="00D371F5" w:rsidRPr="00777750">
        <w:rPr>
          <w:i/>
          <w:iCs/>
        </w:rPr>
        <w:t>per</w:t>
      </w:r>
      <w:r w:rsidR="00D371F5">
        <w:t xml:space="preserve"> strain</w:t>
      </w:r>
      <w:r w:rsidR="00A10A7E">
        <w:t> / </w:t>
      </w:r>
      <w:r w:rsidR="00D371F5">
        <w:t xml:space="preserve">treatment in the </w:t>
      </w:r>
      <w:r w:rsidR="00D371F5">
        <w:rPr>
          <w:i/>
          <w:iCs/>
        </w:rPr>
        <w:t>S. aureus</w:t>
      </w:r>
      <w:r w:rsidR="00D371F5">
        <w:t xml:space="preserve"> SH1000 background. </w:t>
      </w:r>
      <w:r w:rsidR="006402EC">
        <w:t xml:space="preserve">Differences in phenotype to those already published </w:t>
      </w:r>
      <w:r w:rsidR="006402EC">
        <w:fldChar w:fldCharType="begin" w:fldLock="1"/>
      </w:r>
      <w:r w:rsidR="0058736C">
        <w:instrText xml:space="preserve">ADDIN CSL_CITATION {"citationItems":[{"id":"ITEM-1","itemData":{"DOI":"10.1073/pnas.1404099111","ISBN":"1091-6490 (Electronic)\\r0027-8424 (Linking)","ISSN":"0027-8424","PMID":"25104751","abstract":"Staphylococcus aureus contains two distinct teichoic acid (TA) polymers, lipoteichoic acid (LTA) and wall teichoic acid (WTA), which are proposed to play redundant roles in regulating cell division. To gain insight into the underlying biology of S. aureus TAs, we used a small molecule inhibitor to screen a highly saturated transposon library for cellular factors that become essential when WTA is depleted. We constructed an interaction network connecting WTAs with genes involved in LTA synthesis, peptidoglycan synthesis, surface protein display, and D-alanine cell envelope modifications. Although LTAs and WTAs are synthetically lethal, we report that they do not have the same synthetic interactions with other cell envelope genes. For example, D-alanylation, a tailoring modification of both WTAs and LTAs, becomes essential when the former, but not the latter, are removed. Therefore, D-alanine-tailored LTAs are required for survival when WTAs are absent. Examination of terminal phenotoypes led to the unexpected discovery that cells lacking both LTAs and WTAs lose their ability to form Z rings and can no longer divide. We have concluded that the presence of either LTAs or WTAs on the cell surface is required for initiation of S. aureus cell division, but these polymers act as part of distinct cellular networks.","author":[{"dropping-particle":"","family":"Santa Maria","given":"J. P.","non-dropping-particle":"","parse-names":false,"suffix":""},{"dropping-particle":"","family":"Sadaka","given":"A.","non-dropping-particle":"","parse-names":false,"suffix":""},{"dropping-particle":"","family":"Moussa","given":"S. H.","non-dropping-particle":"","parse-names":false,"suffix":""},{"dropping-particle":"","family":"Brown","given":"S.","non-dropping-particle":"","parse-names":false,"suffix":""},{"dropping-particle":"","family":"Zhang","given":"Y. J.","non-dropping-particle":"","parse-names":false,"suffix":""},{"dropping-particle":"","family":"Rubin","given":"E. J.","non-dropping-particle":"","parse-names":false,"suffix":""},{"dropping-particle":"","family":"Gilmore","given":"M. S.","non-dropping-particle":"","parse-names":false,"suffix":""},{"dropping-particle":"","family":"Walker","given":"S.","non-dropping-particle":"","parse-names":false,"suffix":""}],"container-title":"Proceedings of the National Academy of Sciences","id":"ITEM-1","issued":{"date-parts":[["2014"]]},"title":"Compound-gene interaction mapping reveals distinct roles for Staphylococcus aureus teichoic acids","type":"article-journal"},"uris":["http://www.mendeley.com/documents/?uuid=7aa650a3-a98e-399c-b695-e460b47ccc68"]},{"id":"ITEM-2","itemData":{"DOI":"10.1093/jac/dks184","ISBN":"1460-2091 (Electronic)\\r0305-7453 (Linking)","ISSN":"03057453","PMID":"22615298","abstract":"OBJECTIVES: Polyanionic polymers, including lipoteichoic acid and wall teichoic acid, are important determinants of the charged character of the staphylococcal cell wall. This study was designed to investigate the extent to which teichoic acid contributes to protection from anionic azo dyes and to identify barriers to drug penetration for development of new antibiotics for multidrug-resistant Staphylococcus aureus infection.\\n\\nMETHODS: We studied antimicrobial activity of azo dyes against S. aureus strains with or without inhibition of teichoic acid in vitro and in vivo.\\n\\nRESULTS: We observed that inhibition of wall teichoic acid expression resulted in an </w:instrText>
      </w:r>
      <w:r w:rsidR="0058736C">
        <w:rPr>
          <w:rFonts w:ascii="Cambria Math" w:hAnsi="Cambria Math" w:cs="Cambria Math"/>
        </w:rPr>
        <w:instrText>∼</w:instrText>
      </w:r>
      <w:r w:rsidR="0058736C">
        <w:instrText>1000-fold increase in susceptibility to azo dyes such as Congo red, reducing its MIC from &gt;1024 to &lt;4 mg/L. Sensitization occurred when the first step in the wall teichoic acid pathway, catalysed by TarO, was inhibited either by mutation or by chemical inhibition. In contrast, genetic blockade of lipoteichoic acid biosynthesis did not confer Congo red susceptibility. Based on this finding, combination therapy was tested using the highly synergistic combination of Congo red plus tunicamycin at sub-MIC concentrations (to inhibit wall teichoic acid biosynthesis). The combination rescued Caenorhabditis elegans from a lethal challenge of S. aureus.\\n\\nCONCLUSIONS: Our studies show that wall teichoic acid confers protection to S. aureus from anionic azo dyes and related compounds, and its inhibition raises the prospect of development of new combination therapies based on this inhibition.","author":[{"dropping-particle":"","family":"Suzuki","given":"Takashi","non-dropping-particle":"","parse-names":false,"suffix":""},{"dropping-particle":"","family":"Campbell","given":"Jennifer","non-dropping-particle":"","parse-names":false,"suffix":""},{"dropping-particle":"","family":"Kim","given":"Younghoon","non-dropping-particle":"","parse-names":false,"suffix":""},{"dropping-particle":"","family":"Swoboda","given":"Jonathan G.","non-dropping-particle":"","parse-names":false,"suffix":""},{"dropping-particle":"","family":"Mylonakis","given":"Eleftherios","non-dropping-particle":"","parse-names":false,"suffix":""},{"dropping-particle":"","family":"Walker","given":"Suzanne","non-dropping-particle":"","parse-names":false,"suffix":""},{"dropping-particle":"","family":"Gilmore","given":"Michael S.","non-dropping-particle":"","parse-names":false,"suffix":""}],"container-title":"Journal of Antimicrobial Chemotherapy","id":"ITEM-2","issue":"9","issued":{"date-parts":[["2012"]]},"page":"2143-2151","title":"Wall teichoic acid protects Staphylococcus aureus from inhibition by Congo red and other dyes","type":"article-journal","volume":"67"},"uris":["http://www.mendeley.com/documents/?uuid=ca420093-7da1-4ce7-85c7-4c9bb24ec52d"]}],"mendeley":{"formattedCitation":"&lt;sup&gt;[278,279]&lt;/sup&gt;","plainTextFormattedCitation":"[278,279]","previouslyFormattedCitation":"&lt;sup&gt;[278,279]&lt;/sup&gt;"},"properties":{"noteIndex":0},"schema":"https://github.com/citation-style-language/schema/raw/master/csl-citation.json"}</w:instrText>
      </w:r>
      <w:r w:rsidR="006402EC">
        <w:fldChar w:fldCharType="separate"/>
      </w:r>
      <w:r w:rsidR="002659E5" w:rsidRPr="002659E5">
        <w:rPr>
          <w:noProof/>
          <w:vertAlign w:val="superscript"/>
        </w:rPr>
        <w:t>[278,279]</w:t>
      </w:r>
      <w:r w:rsidR="006402EC">
        <w:fldChar w:fldCharType="end"/>
      </w:r>
      <w:r w:rsidR="006402EC">
        <w:t xml:space="preserve"> could be due to the difference in </w:t>
      </w:r>
      <w:r w:rsidR="006402EC">
        <w:rPr>
          <w:i/>
          <w:iCs/>
        </w:rPr>
        <w:t>S. aureus</w:t>
      </w:r>
      <w:r w:rsidR="006402EC">
        <w:t xml:space="preserve"> background or the use of a more specific WTA inhibitor, tarocin</w:t>
      </w:r>
      <w:r w:rsidR="006402EC">
        <w:fldChar w:fldCharType="begin" w:fldLock="1"/>
      </w:r>
      <w:r w:rsidR="0058736C">
        <w:instrText>ADDIN CSL_CITATION {"citationItems":[{"id":"ITEM-1","itemData":{"DOI":"10.1126/scitranslmed.aad7364","ISSN":"19466242","PMID":"26962156","abstract":"The widespread emergence of methicillin-resistant Staphylococcus aureus (MRSA) has dramatically eroded the efficacy of current β-lactam antibiotics and created an urgent need for new treatment options. We report an S. aureus phenotypic screening strategy involving chemical suppression of the growth inhibitory consequences of depleting late-stage wall teichoic acid biosynthesis. This enabled us to identify early-stage pathway-specific inhibitors of wall teichoic acid biosynthesis predicted to be chemically synergistic with β-lactams. We demonstrated by genetic and biochemical means that each of the new chemical series discovered, herein named tarocin A and tarocin B, inhibited the first step in wall teichoic acid biosynthesis (TarO). Tarocins do not have intrinsic bioactivity but rather demonstrated potent bactericidal synergy in combination with broad-spectrum β-lactam antibiotics against diverse clinical isolates of methicillin-resistant staphylococci as well as robust efficacy in a murine infection model of MRSA. Tarocins and other inhibitors of wall teichoic acid biosynthesis may provide a rational strategy to develop Gram-positive bactericidal β-lactam combination agents active against methicillin-resistant staphylococci.","author":[{"dropping-particle":"","family":"Lee","given":"Sang Ho","non-dropping-particle":"","parse-names":false,"suffix":""},{"dropping-particle":"","family":"Wang","given":"Hao","non-dropping-particle":"","parse-names":false,"suffix":""},{"dropping-particle":"","family":"Labroli","given":"Marc","non-dropping-particle":"","parse-names":false,"suffix":""},{"dropping-particle":"","family":"Koseoglu","given":"Sandra","non-dropping-particle":"","parse-names":false,"suffix":""},{"dropping-particle":"","family":"Zuck","given":"Paul","non-dropping-particle":"","parse-names":false,"suffix":""},{"dropping-particle":"","family":"Mayhood","given":"Todd","non-dropping-particle":"","parse-names":false,"suffix":""},{"dropping-particle":"","family":"Gill","given":"Charles","non-dropping-particle":"","parse-names":false,"suffix":""},{"dropping-particle":"","family":"Mann","given":"Paul","non-dropping-particle":"","parse-names":false,"suffix":""},{"dropping-particle":"","family":"Sher","given":"Xinwei","non-dropping-particle":"","parse-names":false,"suffix":""},{"dropping-particle":"","family":"Ha","given":"Sookhee","non-dropping-particle":"","parse-names":false,"suffix":""},{"dropping-particle":"","family":"Yang","given":"Shu Wei","non-dropping-particle":"","parse-names":false,"suffix":""},{"dropping-particle":"","family":"Mandal","given":"Mihir","non-dropping-particle":"","parse-names":false,"suffix":""},{"dropping-particle":"","family":"Yang","given":"Christine","non-dropping-particle":"","parse-names":false,"suffix":""},{"dropping-particle":"","family":"Liang","given":"Lianzhu","non-dropping-particle":"","parse-names":false,"suffix":""},{"dropping-particle":"","family":"Tan","given":"Zheng","non-dropping-particle":"","parse-names":false,"suffix":""},{"dropping-particle":"","family":"Tawa","given":"Paul","non-dropping-particle":"","parse-names":false,"suffix":""},{"dropping-particle":"","family":"Hou","given":"Yan","non-dropping-particle":"","parse-names":false,"suffix":""},{"dropping-particle":"","family":"Kuvelkar","given":"Reshma","non-dropping-particle":"","parse-names":false,"suffix":""},{"dropping-particle":"","family":"Vito","given":"Kristine","non-dropping-particle":"De","parse-names":false,"suffix":""},{"dropping-particle":"","family":"Wen","given":"Xiujuan","non-dropping-particle":"","parse-names":false,"suffix":""},{"dropping-particle":"","family":"Xiao","given":"Jing","non-dropping-particle":"","parse-names":false,"suffix":""},{"dropping-particle":"","family":"Batchlett","given":"Michelle","non-dropping-particle":"","parse-names":false,"suffix":""},{"dropping-particle":"","family":"Balibar","given":"Carl J.","non-dropping-particle":"","parse-names":false,"suffix":""},{"dropping-particle":"","family":"Liu","given":"Jenny","non-dropping-particle":"","parse-names":false,"suffix":""},{"dropping-particle":"","family":"Xiao","given":"Jianying","non-dropping-particle":"","parse-names":false,"suffix":""},{"dropping-particle":"","family":"Murgolo","given":"Nicholas","non-dropping-particle":"","parse-names":false,"suffix":""},{"dropping-particle":"","family":"Garlisi","given":"Charles G.","non-dropping-particle":"","parse-names":false,"suffix":""},{"dropping-particle":"","family":"Sheth","given":"Payal R.","non-dropping-particle":"","parse-names":false,"suffix":""},{"dropping-particle":"","family":"Flattery","given":"Amy","non-dropping-particle":"","parse-names":false,"suffix":""},{"dropping-particle":"","family":"Su","given":"Jing","non-dropping-particle":"","parse-names":false,"suffix":""},{"dropping-particle":"","family":"Tan","given":"Christopher","non-dropping-particle":"","parse-names":false,"suffix":""},{"dropping-particle":"","family":"Roemer","given":"Terry","non-dropping-particle":"","parse-names":false,"suffix":""}],"container-title":"Science Translational Medicine","id":"ITEM-1","issue":"329","issued":{"date-parts":[["2016"]]},"title":"TarO-specific inhibitors of wall teichoic acid biosynthesis restore β-lactam efficacy against methicillin-resistant staphylococci","type":"article-journal","volume":"8"},"uris":["http://www.mendeley.com/documents/?uuid=694e1778-7177-4ceb-a291-7ebafa80c213"]}],"mendeley":{"formattedCitation":"&lt;sup&gt;[276]&lt;/sup&gt;","plainTextFormattedCitation":"[276]","previouslyFormattedCitation":"&lt;sup&gt;[276]&lt;/sup&gt;"},"properties":{"noteIndex":0},"schema":"https://github.com/citation-style-language/schema/raw/master/csl-citation.json"}</w:instrText>
      </w:r>
      <w:r w:rsidR="006402EC">
        <w:fldChar w:fldCharType="separate"/>
      </w:r>
      <w:r w:rsidR="002659E5" w:rsidRPr="002659E5">
        <w:rPr>
          <w:noProof/>
          <w:vertAlign w:val="superscript"/>
        </w:rPr>
        <w:t>[276]</w:t>
      </w:r>
      <w:r w:rsidR="006402EC">
        <w:fldChar w:fldCharType="end"/>
      </w:r>
      <w:r w:rsidR="006402EC">
        <w:t>.</w:t>
      </w:r>
      <w:r w:rsidR="006402EC" w:rsidRPr="006402EC">
        <w:t xml:space="preserve"> </w:t>
      </w:r>
      <w:r w:rsidR="00D371F5">
        <w:t xml:space="preserve">The lethality observed in </w:t>
      </w:r>
      <w:r w:rsidR="00D371F5">
        <w:rPr>
          <w:i/>
          <w:iCs/>
        </w:rPr>
        <w:t xml:space="preserve">ltaS gdpP::kan </w:t>
      </w:r>
      <w:r w:rsidR="00D371F5">
        <w:t xml:space="preserve">treated with 2.5 µg/ml of tarocin after 4 h, and in </w:t>
      </w:r>
      <w:r w:rsidR="00D371F5">
        <w:rPr>
          <w:i/>
          <w:iCs/>
        </w:rPr>
        <w:t xml:space="preserve">tarO </w:t>
      </w:r>
      <w:r w:rsidR="00D371F5">
        <w:t>treated with</w:t>
      </w:r>
      <w:r w:rsidR="00D371F5">
        <w:rPr>
          <w:i/>
          <w:iCs/>
        </w:rPr>
        <w:t xml:space="preserve"> </w:t>
      </w:r>
      <w:r w:rsidR="00D371F5" w:rsidRPr="00CD12E7">
        <w:t>10 µg/ml of</w:t>
      </w:r>
      <w:r w:rsidR="00D371F5">
        <w:t xml:space="preserve"> </w:t>
      </w:r>
      <w:r w:rsidR="001745D9">
        <w:t>C</w:t>
      </w:r>
      <w:r w:rsidR="00D371F5">
        <w:t>ongo red after 3 h, confirms the essentiality of both types of TAs in SH1000</w:t>
      </w:r>
      <w:r w:rsidR="00891BBD">
        <w:t xml:space="preserve"> (</w:t>
      </w:r>
      <w:r w:rsidR="00891BBD">
        <w:fldChar w:fldCharType="begin"/>
      </w:r>
      <w:r w:rsidR="00891BBD">
        <w:instrText xml:space="preserve"> REF _Ref75184668 \h </w:instrText>
      </w:r>
      <w:r w:rsidR="00891BBD">
        <w:fldChar w:fldCharType="separate"/>
      </w:r>
      <w:r w:rsidR="00183CC8" w:rsidRPr="00620C59">
        <w:t xml:space="preserve">Figure </w:t>
      </w:r>
      <w:r w:rsidR="00183CC8">
        <w:rPr>
          <w:noProof/>
        </w:rPr>
        <w:t>4</w:t>
      </w:r>
      <w:r w:rsidR="00183CC8">
        <w:t>.</w:t>
      </w:r>
      <w:r w:rsidR="00183CC8">
        <w:rPr>
          <w:noProof/>
        </w:rPr>
        <w:t>25</w:t>
      </w:r>
      <w:r w:rsidR="00891BBD">
        <w:fldChar w:fldCharType="end"/>
      </w:r>
      <w:r w:rsidR="003E1FC5">
        <w:t xml:space="preserve">, </w:t>
      </w:r>
      <w:r w:rsidR="003E1FC5">
        <w:fldChar w:fldCharType="begin"/>
      </w:r>
      <w:r w:rsidR="003E1FC5">
        <w:instrText xml:space="preserve"> REF _Ref80045567 \h </w:instrText>
      </w:r>
      <w:r w:rsidR="003E1FC5">
        <w:fldChar w:fldCharType="separate"/>
      </w:r>
      <w:r w:rsidR="00183CC8" w:rsidRPr="00620C59">
        <w:t xml:space="preserve">Figure </w:t>
      </w:r>
      <w:r w:rsidR="00183CC8">
        <w:rPr>
          <w:noProof/>
        </w:rPr>
        <w:t>4</w:t>
      </w:r>
      <w:r w:rsidR="00183CC8">
        <w:t>.</w:t>
      </w:r>
      <w:r w:rsidR="00183CC8">
        <w:rPr>
          <w:noProof/>
        </w:rPr>
        <w:t>26</w:t>
      </w:r>
      <w:r w:rsidR="003E1FC5">
        <w:fldChar w:fldCharType="end"/>
      </w:r>
      <w:r w:rsidR="00891BBD">
        <w:t>)</w:t>
      </w:r>
      <w:r w:rsidR="00D371F5">
        <w:t>.</w:t>
      </w:r>
      <w:r w:rsidR="005A3FCC">
        <w:t xml:space="preserve"> </w:t>
      </w:r>
      <w:r w:rsidR="00D371F5">
        <w:t>Th</w:t>
      </w:r>
      <w:r w:rsidR="00D779F6">
        <w:t>ese results,</w:t>
      </w:r>
      <w:r w:rsidR="00D371F5">
        <w:t xml:space="preserve"> </w:t>
      </w:r>
      <w:r w:rsidR="005A3FCC">
        <w:t>together with the preliminary</w:t>
      </w:r>
      <w:r w:rsidR="00D371F5">
        <w:t xml:space="preserve"> morphological changes</w:t>
      </w:r>
      <w:r w:rsidR="00D779F6">
        <w:t xml:space="preserve"> observed</w:t>
      </w:r>
      <w:r w:rsidR="00C8421C">
        <w:t xml:space="preserve"> with </w:t>
      </w:r>
      <w:r w:rsidR="00C8421C">
        <w:rPr>
          <w:i/>
          <w:iCs/>
        </w:rPr>
        <w:t xml:space="preserve">ltaS gdpP::kan </w:t>
      </w:r>
      <w:r w:rsidR="00C8421C">
        <w:t>with tarocin (</w:t>
      </w:r>
      <w:r w:rsidR="00C8421C">
        <w:fldChar w:fldCharType="begin"/>
      </w:r>
      <w:r w:rsidR="00C8421C">
        <w:instrText xml:space="preserve"> REF _Ref78912742 \h </w:instrText>
      </w:r>
      <w:r w:rsidR="00C8421C">
        <w:fldChar w:fldCharType="separate"/>
      </w:r>
      <w:r w:rsidR="00183CC8">
        <w:t xml:space="preserve">Supplementary Figure </w:t>
      </w:r>
      <w:r w:rsidR="00183CC8">
        <w:rPr>
          <w:noProof/>
        </w:rPr>
        <w:t>8</w:t>
      </w:r>
      <w:r w:rsidR="00C8421C">
        <w:fldChar w:fldCharType="end"/>
      </w:r>
      <w:r w:rsidR="00C8421C">
        <w:t xml:space="preserve"> and</w:t>
      </w:r>
      <w:r w:rsidR="00786710">
        <w:t xml:space="preserve"> </w:t>
      </w:r>
      <w:r w:rsidR="00C8421C">
        <w:fldChar w:fldCharType="begin"/>
      </w:r>
      <w:r w:rsidR="00C8421C">
        <w:instrText xml:space="preserve"> REF _Ref78912470 \h </w:instrText>
      </w:r>
      <w:r w:rsidR="00C8421C">
        <w:fldChar w:fldCharType="separate"/>
      </w:r>
      <w:r w:rsidR="00183CC8">
        <w:t xml:space="preserve">Supplementary Figure </w:t>
      </w:r>
      <w:r w:rsidR="00183CC8">
        <w:rPr>
          <w:noProof/>
        </w:rPr>
        <w:t>9</w:t>
      </w:r>
      <w:r w:rsidR="00C8421C">
        <w:fldChar w:fldCharType="end"/>
      </w:r>
      <w:r w:rsidR="00C8421C">
        <w:t xml:space="preserve">), </w:t>
      </w:r>
      <w:r w:rsidR="004A6EC0">
        <w:t>suggest</w:t>
      </w:r>
      <w:r w:rsidR="00A404F2">
        <w:t xml:space="preserve"> that a triple mutant lacking LTA and WTA, accompanied by the suppressor mutation in </w:t>
      </w:r>
      <w:r w:rsidR="00A404F2">
        <w:rPr>
          <w:i/>
          <w:iCs/>
        </w:rPr>
        <w:t>gdpP</w:t>
      </w:r>
      <w:r w:rsidR="00A404F2">
        <w:t xml:space="preserve">, </w:t>
      </w:r>
      <w:r w:rsidR="00E77A90">
        <w:t>might not</w:t>
      </w:r>
      <w:r w:rsidR="00A404F2">
        <w:t xml:space="preserve"> be viable.</w:t>
      </w:r>
      <w:r w:rsidR="007859AB">
        <w:t xml:space="preserve"> Future experiment testing other compensatory mutations such as </w:t>
      </w:r>
      <w:r w:rsidR="007859AB">
        <w:rPr>
          <w:i/>
          <w:iCs/>
        </w:rPr>
        <w:t>clpX</w:t>
      </w:r>
      <w:r w:rsidR="007859AB">
        <w:t xml:space="preserve">, </w:t>
      </w:r>
      <w:r w:rsidR="007859AB">
        <w:rPr>
          <w:i/>
          <w:iCs/>
        </w:rPr>
        <w:t>sgtB</w:t>
      </w:r>
      <w:r w:rsidR="007859AB">
        <w:t xml:space="preserve"> and </w:t>
      </w:r>
      <w:r w:rsidR="007859AB">
        <w:rPr>
          <w:i/>
          <w:iCs/>
        </w:rPr>
        <w:t>maz</w:t>
      </w:r>
      <w:r w:rsidR="007603CA">
        <w:rPr>
          <w:i/>
          <w:iCs/>
        </w:rPr>
        <w:t>E</w:t>
      </w:r>
      <w:r w:rsidR="007859AB">
        <w:t xml:space="preserve"> </w:t>
      </w:r>
      <w:r w:rsidR="007603CA">
        <w:t>can</w:t>
      </w:r>
      <w:r w:rsidR="007859AB">
        <w:t xml:space="preserve"> be explored </w:t>
      </w:r>
      <w:r w:rsidR="007859AB">
        <w:fldChar w:fldCharType="begin" w:fldLock="1"/>
      </w:r>
      <w:r w:rsidR="005F2DD4">
        <w:instrText>ADDIN CSL_CITATION {"citationItems":[{"id":"ITEM-1","itemData":{"DOI":"10.1128/JB.00574-18","ISSN":"10985530","PMID":"30322854","abstract":"The cell wall of Staphylococcus aureus is composed of peptidoglycan and the anionic polymers lipoteichoic acid (LTA) and wall teichoic acid. LTA is required for growth and normal cell morphology in S. aureus. Strains lacking LTA are usually viable only when grown under osmotically stabilizing conditions or after the acquisition of compensatory mutations. LTA-negative suppressor strains with inactivating mutations in gdpP, which resulted in increased intracellular c-di-AMP levels, were described previously. Here, we sought to identify factors other than c-di-AMP that allow S. aureus to survive without LTA. LTA-negative strains able to grow in unsupplemented medium were obtained and found to contain mutations in sgtB, mazE, clpX, or vraT. The growth improvement through mutations in mazE and sgtB was confirmed by complementation analysis. We also showed that an S. aureus sgtB transposon mutant, with the monofunctional peptidoglycan glycosyltransferase SgtB inactivated, displayed a 4-fold increase in the MIC of oxacillin, suggesting that alterations in the peptidoglycan structure could help bacteria compensate for the lack of LTA. Muropeptide analysis of peptidoglycans isolated from a wild-type strain and sgtB mutant strain did not reveal any sizable alterations in the peptidoglycan structure. In contrast, the peptidoglycan isolated from an LTA-negative ltaS mutant strain showed a significant reduction in the fraction of highly cross-linked peptidoglycan, which was partially rescued in the sgtB ltaS double mutant suppressor strain. Taken together, these data point toward an important function of LTA in cell wall integrity through its necessity for proper peptidoglycan assembly. IMPORTANCE The bacterial cell wall acts as a primary defense against environmental insults such as changes in osmolarity. It is also a vulnerable structure, as defects in its synthesis can lead to growth arrest or cell death. The important human pathogen Staphylococcus aureus has a typical Gram-positive cell wall, which consists of peptidoglycan and the anionic polymers LTA and wall teichoic acid. Several clinically relevant antibiotics inhibit the synthesis of peptidoglycan; therefore, it and teichoic acids are considered attractive targets for the development of new antimicrobials. We show that LTA is required for efficient peptidoglycan cross-linking in S. aureus and inactivation of a peptidoglycan glycosyltransferase can partially rescue this defect, together revealing an intimat…","author":[{"dropping-particle":"","family":"Karinou","given":"Eleni","non-dropping-particle":"","parse-names":false,"suffix":""},{"dropping-particle":"","family":"Schuster","given":"Christopher F","non-dropping-particle":"","parse-names":false,"suffix":""},{"dropping-particle":"","family":"Pazos","given":"Manuel","non-dropping-particle":"","parse-names":false,"suffix":""},{"dropping-particle":"","family":"Vollmer","given":"Waldemar","non-dropping-particle":"","parse-names":false,"suffix":""},{"dropping-particle":"","family":"Gründling","given":"Angelika","non-dropping-particle":"","parse-names":false,"suffix":""}],"container-title":"Journal of Bacteriology","id":"ITEM-1","issue":"1","issued":{"date-parts":[["2019"]]},"page":"e00574-18","title":"Inactivation of the monofunctional peptidoglycan glycosyltransferase sgtb allows staphylococcus aureus to survive in the absence of lipoteichoic acid","type":"article-journal","volume":"201"},"uris":["http://www.mendeley.com/documents/?uuid=275993e3-df46-3806-86a8-3d77f43c6096"]},{"id":"ITEM-2","itemData":{"DOI":"10.1128/mBio.01228-16.Invited","ISSN":"2150-7511","PMID":"27507828","abstract":"Lipoteichoic acid (LTA) is an important cell wall component of Gram-positive bacteria and a promising target for the development of vaccines and antimicrobial compounds against Staphylococcus aureus . Here we demonstrate that mutations in the conditionally essential ltaS (LTA synthase) gene arise spontaneously in an S. aureus mutant lacking the ClpX chaperone. A wide variety of ltaS mutations were selected, and among these, a substantial portion resulted in premature stop codons and other changes predicted to abolish LtaS synthesis. Consistent with this assumption, the clpX ltaS double mutants did not produce LTA, and genetic analyses confirmed that LTA becomes nonessential in the absence of the ClpX chaperone. In fact, inactivation of ltaS alleviated the severe growth defect conferred by the clpX deletion. Microscopic analyses showed that the absence of ClpX partly alleviates the septum placement defects of an LTA-depleted strain, while other phenotypes typical of LTA-negative S. aureus mutants, including increased cell size and decreased autolytic activity, are retained. In conclusion, our results indicate that LTA has an essential role in septum placement that can be bypassed by inactivating the ClpX chaperone.","author":[{"dropping-particle":"","family":"Bæk","given":"Kristoffer T.","non-dropping-particle":"","parse-names":false,"suffix":""},{"dropping-particle":"","family":"Bowman","given":"Lisa","non-dropping-particle":"","parse-names":false,"suffix":""},{"dropping-particle":"","family":"Millership","given":"Charlotte","non-dropping-particle":"","parse-names":false,"suffix":""},{"dropping-particle":"","family":"Søgaard","given":"Dupont","non-dropping-particle":"","parse-names":false,"suffix":""},{"dropping-particle":"","family":"Kaever","given":"Volkhard","non-dropping-particle":"","parse-names":false,"suffix":""},{"dropping-particle":"","family":"Siljamäki","given":"Pia","non-dropping-particle":"","parse-names":false,"suffix":""},{"dropping-particle":"","family":"Savijoki","given":"Kirsi","non-dropping-particle":"","parse-names":false,"suffix":""},{"dropping-particle":"","family":"Dupont Søgaard","given":"Mia","non-dropping-particle":"","parse-names":false,"suffix":""},{"dropping-particle":"","family":"Kaever","given":"Volkhard","non-dropping-particle":"","parse-names":false,"suffix":""},{"dropping-particle":"","family":"Siljamäki","given":"Pia","non-dropping-particle":"","parse-names":false,"suffix":""},{"dropping-particle":"","family":"Savijoki","given":"Kirsi","non-dropping-particle":"","parse-names":false,"suffix":""},{"dropping-particle":"","family":"Varmanen","given":"Pekka","non-dropping-particle":"","parse-names":false,"suffix":""},{"dropping-particle":"","family":"Nyman","given":"Tuula A.","non-dropping-particle":"","parse-names":false,"suffix":""},{"dropping-particle":"","family":"Gründling","given":"Angelika","non-dropping-particle":"","parse-names":false,"suffix":""},{"dropping-particle":"","family":"Frees","given":"Dorte","non-dropping-particle":"","parse-names":false,"suffix":""}],"container-title":"mBio","id":"ITEM-2","issue":"4","issued":{"date-parts":[["2016"]]},"page":"1-11","title":"The Cell Wall Polymer Lipoteichoic Acid Becomes Nonessential in Staphylococcus aureus Cells Lacking the ClpX Chaperone Kristoffer","type":"article-journal","volume":"7"},"uris":["http://www.mendeley.com/documents/?uuid=c2036bfc-7c03-4079-9670-e60a12a25742"]}],"mendeley":{"formattedCitation":"&lt;sup&gt;[154,159]&lt;/sup&gt;","plainTextFormattedCitation":"[154,159]","previouslyFormattedCitation":"&lt;sup&gt;[154,159]&lt;/sup&gt;"},"properties":{"noteIndex":0},"schema":"https://github.com/citation-style-language/schema/raw/master/csl-citation.json"}</w:instrText>
      </w:r>
      <w:r w:rsidR="007859AB">
        <w:fldChar w:fldCharType="separate"/>
      </w:r>
      <w:r w:rsidR="0054658D" w:rsidRPr="0054658D">
        <w:rPr>
          <w:noProof/>
          <w:vertAlign w:val="superscript"/>
        </w:rPr>
        <w:t>[154,159]</w:t>
      </w:r>
      <w:r w:rsidR="007859AB">
        <w:fldChar w:fldCharType="end"/>
      </w:r>
      <w:r w:rsidR="007859AB">
        <w:t>.</w:t>
      </w:r>
    </w:p>
    <w:p w14:paraId="5D00DE95" w14:textId="202BA7FA" w:rsidR="00C0505E" w:rsidRPr="00241826" w:rsidRDefault="00C0505E" w:rsidP="00F55D6A">
      <w:pPr>
        <w:pStyle w:val="BodyThesis"/>
        <w:rPr>
          <w:strike/>
        </w:rPr>
      </w:pPr>
    </w:p>
    <w:p w14:paraId="153C6513" w14:textId="61E0BB11" w:rsidR="00B76DD0" w:rsidRPr="00B56E6B" w:rsidRDefault="00B76DD0" w:rsidP="00856DBB">
      <w:pPr>
        <w:sectPr w:rsidR="00B76DD0" w:rsidRPr="00B56E6B" w:rsidSect="004D0E05">
          <w:pgSz w:w="11906" w:h="16838"/>
          <w:pgMar w:top="1191" w:right="1247" w:bottom="1191" w:left="1247" w:header="709" w:footer="709" w:gutter="0"/>
          <w:cols w:space="708"/>
          <w:titlePg/>
          <w:docGrid w:linePitch="360"/>
        </w:sectPr>
      </w:pPr>
    </w:p>
    <w:p w14:paraId="7993EF98" w14:textId="4B26AFC4" w:rsidR="00E40F77" w:rsidRPr="005B0F81" w:rsidRDefault="00E40F77" w:rsidP="00E40F77">
      <w:pPr>
        <w:pStyle w:val="Heading1"/>
      </w:pPr>
      <w:bookmarkStart w:id="689" w:name="_Toc64276381"/>
      <w:bookmarkStart w:id="690" w:name="_Toc64276685"/>
      <w:bookmarkStart w:id="691" w:name="_Toc64276897"/>
      <w:bookmarkStart w:id="692" w:name="_Ref71894125"/>
      <w:bookmarkStart w:id="693" w:name="_Ref72063215"/>
      <w:bookmarkStart w:id="694" w:name="_Ref88064267"/>
      <w:bookmarkStart w:id="695" w:name="_Toc90216898"/>
      <w:r w:rsidRPr="005B0F81">
        <w:lastRenderedPageBreak/>
        <w:t>Chapter 5</w:t>
      </w:r>
      <w:bookmarkEnd w:id="689"/>
      <w:bookmarkEnd w:id="690"/>
      <w:bookmarkEnd w:id="691"/>
      <w:bookmarkEnd w:id="692"/>
      <w:bookmarkEnd w:id="693"/>
      <w:bookmarkEnd w:id="694"/>
      <w:bookmarkEnd w:id="695"/>
    </w:p>
    <w:p w14:paraId="30D60FAC" w14:textId="799E9818" w:rsidR="004B0C7E" w:rsidRPr="005B0F81" w:rsidRDefault="00A028D4" w:rsidP="00FA48D6">
      <w:pPr>
        <w:pStyle w:val="ChaptertitleThesis"/>
      </w:pPr>
      <w:bookmarkStart w:id="696" w:name="_Toc90216899"/>
      <w:r>
        <w:t xml:space="preserve">Use of </w:t>
      </w:r>
      <w:r w:rsidR="00D428CA">
        <w:t>E</w:t>
      </w:r>
      <w:r>
        <w:t xml:space="preserve">lectron </w:t>
      </w:r>
      <w:r w:rsidR="00D428CA">
        <w:t>M</w:t>
      </w:r>
      <w:r>
        <w:t xml:space="preserve">icroscopy to </w:t>
      </w:r>
      <w:r w:rsidR="00D428CA">
        <w:t>I</w:t>
      </w:r>
      <w:r>
        <w:t xml:space="preserve">nvestigate </w:t>
      </w:r>
      <w:r w:rsidR="00D428CA">
        <w:t>M</w:t>
      </w:r>
      <w:r w:rsidR="00F87D71">
        <w:t xml:space="preserve">orphological </w:t>
      </w:r>
      <w:r w:rsidR="00D428CA">
        <w:t>D</w:t>
      </w:r>
      <w:r w:rsidR="00F87D71">
        <w:t xml:space="preserve">ynamics </w:t>
      </w:r>
      <w:r w:rsidR="00D428CA">
        <w:t>D</w:t>
      </w:r>
      <w:r w:rsidR="00F87D71">
        <w:t>uring the</w:t>
      </w:r>
      <w:r w:rsidR="0069413E">
        <w:t xml:space="preserve"> Bactericidal</w:t>
      </w:r>
      <w:r w:rsidR="00F87D71">
        <w:t xml:space="preserve"> </w:t>
      </w:r>
      <w:r w:rsidR="00D428CA">
        <w:t>A</w:t>
      </w:r>
      <w:r w:rsidR="00F87D71">
        <w:t xml:space="preserve">ction of </w:t>
      </w:r>
      <w:r w:rsidR="00D428CA">
        <w:t>C</w:t>
      </w:r>
      <w:r w:rsidR="00EE095D">
        <w:t xml:space="preserve">ell </w:t>
      </w:r>
      <w:r w:rsidR="00D428CA">
        <w:t>W</w:t>
      </w:r>
      <w:r w:rsidR="00EE095D">
        <w:t xml:space="preserve">all </w:t>
      </w:r>
      <w:r w:rsidR="00D428CA">
        <w:t>A</w:t>
      </w:r>
      <w:r w:rsidR="00F87D71">
        <w:t>ntibiotics</w:t>
      </w:r>
      <w:r w:rsidR="005D1DE4">
        <w:t>.</w:t>
      </w:r>
      <w:bookmarkEnd w:id="696"/>
    </w:p>
    <w:p w14:paraId="45B0DB13" w14:textId="7C2EDCB0" w:rsidR="00E40F77" w:rsidRDefault="004B0C7E" w:rsidP="004B0C7E">
      <w:pPr>
        <w:pStyle w:val="Heading2"/>
      </w:pPr>
      <w:bookmarkStart w:id="697" w:name="_Toc64276383"/>
      <w:bookmarkStart w:id="698" w:name="_Toc64276687"/>
      <w:bookmarkStart w:id="699" w:name="_Toc64276899"/>
      <w:bookmarkStart w:id="700" w:name="_Toc90216900"/>
      <w:r w:rsidRPr="005B0F81">
        <w:t>Introduction</w:t>
      </w:r>
      <w:bookmarkEnd w:id="697"/>
      <w:bookmarkEnd w:id="698"/>
      <w:bookmarkEnd w:id="699"/>
      <w:r w:rsidR="007006CC">
        <w:t>.</w:t>
      </w:r>
      <w:bookmarkEnd w:id="700"/>
    </w:p>
    <w:p w14:paraId="45795ACD" w14:textId="129902D1" w:rsidR="00D83716" w:rsidRPr="00E34D6F" w:rsidRDefault="0035106F" w:rsidP="003370C6">
      <w:r>
        <w:t>C</w:t>
      </w:r>
      <w:r w:rsidR="001D2DD8">
        <w:t xml:space="preserve">ell wall (CW) homeostasis </w:t>
      </w:r>
      <w:r>
        <w:t>is</w:t>
      </w:r>
      <w:r w:rsidR="001D2DD8">
        <w:t xml:space="preserve"> of </w:t>
      </w:r>
      <w:r w:rsidR="00464894">
        <w:t xml:space="preserve">the </w:t>
      </w:r>
      <w:r w:rsidR="001D2DD8">
        <w:t xml:space="preserve">upmost importance </w:t>
      </w:r>
      <w:r w:rsidR="00464894">
        <w:t>for</w:t>
      </w:r>
      <w:r w:rsidR="001D2DD8">
        <w:t xml:space="preserve"> bacterial growth, division</w:t>
      </w:r>
      <w:r w:rsidR="004B160D">
        <w:t xml:space="preserve"> </w:t>
      </w:r>
      <w:r w:rsidR="001D2DD8">
        <w:t xml:space="preserve">and CW turnover </w:t>
      </w:r>
      <w:r w:rsidR="001D2DD8">
        <w:fldChar w:fldCharType="begin" w:fldLock="1"/>
      </w:r>
      <w:r w:rsidR="00DA0A83">
        <w:instrText>ADDIN CSL_CITATION {"citationItems":[{"id":"ITEM-1","itemData":{"DOI":"10.3389/fmicb.2019.00331","ISSN":"1664302X","abstract":"The cell wall (CW) of bacteria is an intricate arrangement of macromolecules, at least constituted of peptidoglycan (PG) but also of (lipo)teichoic acids, various polysaccharides, polyglutamate and/or proteins. During bacterial growth and division, there is a constant balance between CW degradation and biosynthesis. The CW is remodeled by bacterial hydrolases, whose activities are carefully regulated to maintain cell integrity or lead to bacterial death. Each cell wall hydrolase (CWH) has a specific role regarding the PG: (i) cell wall amidase (CWA) cleaves the amide bond between N-acetylmuramic acid and L-alanine residue at the N-terminal of the stem peptide, (ii) cell wall glycosidase (CWG) catalyses the hydrolysis of the glycosidic linkages, whereas (iii) cell wall peptidase (CWP) cleaves amide bonds between amino acids within the PG chain. After an exhaustive overview of all known conserved catalytic domains responsible for CWA, CWG, and CWP activities, this review stresses that the CWHs frequently display a modular architecture combining multiple and/or different catalytic domains, including some lytic transglycosylases as well as CW binding domains. From there, direct physiological and collateral roles of CWHs in bacterial cells are further discussed.","author":[{"dropping-particle":"","family":"Vermassen","given":"Aurore","non-dropping-particle":"","parse-names":false,"suffix":""},{"dropping-particle":"","family":"Leroy","given":"Sabine","non-dropping-particle":"","parse-names":false,"suffix":""},{"dropping-particle":"","family":"Talon","given":"Régine","non-dropping-particle":"","parse-names":false,"suffix":""},{"dropping-particle":"","family":"Provot","given":"Christian","non-dropping-particle":"","parse-names":false,"suffix":""},{"dropping-particle":"","family":"Popowska","given":"Magdalena","non-dropping-particle":"","parse-names":false,"suffix":""},{"dropping-particle":"","family":"Desvaux","given":"Mickaël","non-dropping-particle":"","parse-names":false,"suffix":""}],"container-title":"Frontiers in Microbiology","id":"ITEM-1","issue":"FEB","issued":{"date-parts":[["2019"]]},"title":"Cell wall hydrolases in bacteria: Insight on the diversity of cell wall amidases, glycosidases and peptidases toward peptidoglycan","type":"article-journal","volume":"10"},"uris":["http://www.mendeley.com/documents/?uuid=1a96685d-bc08-4d83-8c50-d9a126623ce6"]},{"id":"ITEM-2","itemData":{"DOI":"10.1111/j.1574-6976.2007.00094.x","ISSN":"01686445","PMID":"18194336","abstract":"The peptidoglycan (murein) sacculus is a unique and essential structural element in the cell wall of most bacteria. Made of glycan strands cross-linked by short peptides, the sacculus forms a closed, bag-shaped structure surrounding the cytoplasmic membrane. There is a high diversity in the composition and sequence of the peptides in the peptidoglycan from different species. Furthermore, in several species examined, the fine structure of the peptidoglycan significantly varies with the growth conditions. Limited number of biophysical data on the thickness, elasticity and porosity of peptidoglycan are available. The different models for the architecture of peptidoglycan are discussed with respect to structural and physical parameters. © 2008 Federation of European Microbiological Societies.","author":[{"dropping-particle":"","family":"Vollmer","given":"Waldemar","non-dropping-particle":"","parse-names":false,"suffix":""},{"dropping-particle":"","family":"Blanot","given":"Didier","non-dropping-particle":"","parse-names":false,"suffix":""},{"dropping-particle":"","family":"Pedro","given":"Miguel A.","non-dropping-particle":"De","parse-names":false,"suffix":""}],"container-title":"FEMS Microbiology Reviews","id":"ITEM-2","issue":"2","issued":{"date-parts":[["2008"]]},"page":"149-167","title":"Peptidoglycan structure and architecture","type":"article-journal","volume":"32"},"uris":["http://www.mendeley.com/documents/?uuid=110d6ad8-28ec-4a1d-b35f-220827b9decf"]}],"mendeley":{"formattedCitation":"&lt;sup&gt;[17,22]&lt;/sup&gt;","plainTextFormattedCitation":"[17,22]","previouslyFormattedCitation":"&lt;sup&gt;[17,22]&lt;/sup&gt;"},"properties":{"noteIndex":0},"schema":"https://github.com/citation-style-language/schema/raw/master/csl-citation.json"}</w:instrText>
      </w:r>
      <w:r w:rsidR="001D2DD8">
        <w:fldChar w:fldCharType="separate"/>
      </w:r>
      <w:r w:rsidR="00DA0A83" w:rsidRPr="00DA0A83">
        <w:rPr>
          <w:noProof/>
          <w:vertAlign w:val="superscript"/>
        </w:rPr>
        <w:t>[17,22]</w:t>
      </w:r>
      <w:r w:rsidR="001D2DD8">
        <w:fldChar w:fldCharType="end"/>
      </w:r>
      <w:r w:rsidR="001D2DD8">
        <w:t>.</w:t>
      </w:r>
      <w:r w:rsidR="0017487F" w:rsidRPr="0017487F">
        <w:t xml:space="preserve"> </w:t>
      </w:r>
      <w:r w:rsidR="0017487F">
        <w:t xml:space="preserve">Thus, the balance between </w:t>
      </w:r>
      <w:r w:rsidR="002521FF">
        <w:t>peptidoglycan (</w:t>
      </w:r>
      <w:r w:rsidR="0017487F">
        <w:t>PG</w:t>
      </w:r>
      <w:r w:rsidR="002521FF">
        <w:t>)</w:t>
      </w:r>
      <w:r w:rsidR="0017487F">
        <w:t xml:space="preserve"> synthesis and degradation is highly regulated, and any </w:t>
      </w:r>
      <w:r w:rsidR="00873621">
        <w:t>disruption</w:t>
      </w:r>
      <w:r w:rsidR="0017487F">
        <w:t xml:space="preserve"> can lead to cell lysis </w:t>
      </w:r>
      <w:r w:rsidR="0017487F" w:rsidRPr="00B21121">
        <w:fldChar w:fldCharType="begin" w:fldLock="1"/>
      </w:r>
      <w:r w:rsidR="00DA0A83">
        <w:instrText>ADDIN CSL_CITATION {"citationItems":[{"id":"ITEM-1","itemData":{"DOI":"10.3389/fmicb.2019.00331","ISSN":"1664302X","abstract":"The cell wall (CW) of bacteria is an intricate arrangement of macromolecules, at least constituted of peptidoglycan (PG) but also of (lipo)teichoic acids, various polysaccharides, polyglutamate and/or proteins. During bacterial growth and division, there is a constant balance between CW degradation and biosynthesis. The CW is remodeled by bacterial hydrolases, whose activities are carefully regulated to maintain cell integrity or lead to bacterial death. Each cell wall hydrolase (CWH) has a specific role regarding the PG: (i) cell wall amidase (CWA) cleaves the amide bond between N-acetylmuramic acid and L-alanine residue at the N-terminal of the stem peptide, (ii) cell wall glycosidase (CWG) catalyses the hydrolysis of the glycosidic linkages, whereas (iii) cell wall peptidase (CWP) cleaves amide bonds between amino acids within the PG chain. After an exhaustive overview of all known conserved catalytic domains responsible for CWA, CWG, and CWP activities, this review stresses that the CWHs frequently display a modular architecture combining multiple and/or different catalytic domains, including some lytic transglycosylases as well as CW binding domains. From there, direct physiological and collateral roles of CWHs in bacterial cells are further discussed.","author":[{"dropping-particle":"","family":"Vermassen","given":"Aurore","non-dropping-particle":"","parse-names":false,"suffix":""},{"dropping-particle":"","family":"Leroy","given":"Sabine","non-dropping-particle":"","parse-names":false,"suffix":""},{"dropping-particle":"","family":"Talon","given":"Régine","non-dropping-particle":"","parse-names":false,"suffix":""},{"dropping-particle":"","family":"Provot","given":"Christian","non-dropping-particle":"","parse-names":false,"suffix":""},{"dropping-particle":"","family":"Popowska","given":"Magdalena","non-dropping-particle":"","parse-names":false,"suffix":""},{"dropping-particle":"","family":"Desvaux","given":"Mickaël","non-dropping-particle":"","parse-names":false,"suffix":""}],"container-title":"Frontiers in Microbiology","id":"ITEM-1","issue":"FEB","issued":{"date-parts":[["2019"]]},"title":"Cell wall hydrolases in bacteria: Insight on the diversity of cell wall amidases, glycosidases and peptidases toward peptidoglycan","type":"article-journal","volume":"10"},"uris":["http://www.mendeley.com/documents/?uuid=1a96685d-bc08-4d83-8c50-d9a126623ce6"]}],"mendeley":{"formattedCitation":"&lt;sup&gt;[22]&lt;/sup&gt;","plainTextFormattedCitation":"[22]","previouslyFormattedCitation":"&lt;sup&gt;[22]&lt;/sup&gt;"},"properties":{"noteIndex":0},"schema":"https://github.com/citation-style-language/schema/raw/master/csl-citation.json"}</w:instrText>
      </w:r>
      <w:r w:rsidR="0017487F" w:rsidRPr="00B21121">
        <w:fldChar w:fldCharType="separate"/>
      </w:r>
      <w:r w:rsidR="00DA0A83" w:rsidRPr="00DA0A83">
        <w:rPr>
          <w:noProof/>
          <w:vertAlign w:val="superscript"/>
        </w:rPr>
        <w:t>[22]</w:t>
      </w:r>
      <w:r w:rsidR="0017487F" w:rsidRPr="00B21121">
        <w:fldChar w:fldCharType="end"/>
      </w:r>
      <w:r w:rsidR="0017487F">
        <w:t>.</w:t>
      </w:r>
      <w:r w:rsidR="00E34D6F">
        <w:t xml:space="preserve"> </w:t>
      </w:r>
      <w:r w:rsidR="00167D95">
        <w:t>Antibiotics</w:t>
      </w:r>
      <w:r w:rsidR="006E6CA1">
        <w:t xml:space="preserve"> </w:t>
      </w:r>
      <w:r w:rsidR="00167D95">
        <w:t xml:space="preserve">interfere with these </w:t>
      </w:r>
      <w:r w:rsidR="003803FA">
        <w:t>integrated</w:t>
      </w:r>
      <w:r w:rsidR="00167D95">
        <w:t xml:space="preserve"> cellular processes</w:t>
      </w:r>
      <w:r w:rsidR="003803FA">
        <w:t xml:space="preserve"> leading to cell death</w:t>
      </w:r>
      <w:r w:rsidR="00167D95">
        <w:t xml:space="preserve">, </w:t>
      </w:r>
      <w:r w:rsidR="006E6CA1">
        <w:t xml:space="preserve">and </w:t>
      </w:r>
      <w:r w:rsidR="00167D95">
        <w:t>have been a</w:t>
      </w:r>
      <w:r w:rsidR="009918E4">
        <w:t xml:space="preserve"> reliable</w:t>
      </w:r>
      <w:r w:rsidR="00167D95">
        <w:t xml:space="preserve"> ma</w:t>
      </w:r>
      <w:r w:rsidR="001C16B2">
        <w:t>in</w:t>
      </w:r>
      <w:r w:rsidR="00167D95">
        <w:t>stay in human healthcare</w:t>
      </w:r>
      <w:r w:rsidR="00D83716">
        <w:t xml:space="preserve">. </w:t>
      </w:r>
    </w:p>
    <w:p w14:paraId="51A5D6A0" w14:textId="38DCC8D7" w:rsidR="003B2F9C" w:rsidRDefault="00AF335D" w:rsidP="003370C6">
      <w:pPr>
        <w:sectPr w:rsidR="003B2F9C" w:rsidSect="004D0E05">
          <w:pgSz w:w="11906" w:h="16838"/>
          <w:pgMar w:top="1191" w:right="1247" w:bottom="1191" w:left="1247" w:header="709" w:footer="709" w:gutter="0"/>
          <w:cols w:space="708"/>
          <w:titlePg/>
          <w:docGrid w:linePitch="360"/>
        </w:sectPr>
      </w:pPr>
      <w:r>
        <w:t>Bacteriostatic antibiotics</w:t>
      </w:r>
      <w:r w:rsidR="00F766AD">
        <w:t xml:space="preserve">, </w:t>
      </w:r>
      <w:r w:rsidR="00C06F84">
        <w:t>such as</w:t>
      </w:r>
      <w:r w:rsidR="00F766AD">
        <w:t xml:space="preserve"> chloramphenicol and </w:t>
      </w:r>
      <w:r w:rsidR="008C109E">
        <w:t>tetracycline, slow</w:t>
      </w:r>
      <w:r w:rsidR="00E1497B">
        <w:t xml:space="preserve"> down or inhibit bacterial growth</w:t>
      </w:r>
      <w:r w:rsidR="007D7FEE">
        <w:t>, usually</w:t>
      </w:r>
      <w:r>
        <w:t xml:space="preserve"> by targeting major molecular processes </w:t>
      </w:r>
      <w:r w:rsidR="00723DC1">
        <w:t>including</w:t>
      </w:r>
      <w:r>
        <w:t xml:space="preserve"> DNA replication, RNA synthesis, and translation</w:t>
      </w:r>
      <w:r w:rsidR="00C825F9">
        <w:t xml:space="preserve"> </w:t>
      </w:r>
      <w:r w:rsidR="00C825F9">
        <w:fldChar w:fldCharType="begin" w:fldLock="1"/>
      </w:r>
      <w:r w:rsidR="00260ACA">
        <w:instrText>ADDIN CSL_CITATION {"citationItems":[{"id":"ITEM-1","itemData":{"ISBN":"1-292-23510-1","author":[{"dropping-particle":"","family":"Madigan","given":"Michael T","non-dropping-particle":"","parse-names":false,"suffix":""},{"dropping-particle":"","family":"Bender","given":"Kelly S.","non-dropping-particle":"","parse-names":false,"suffix":""},{"dropping-particle":"","family":"Buckley","given":"Daniel H.","non-dropping-particle":"","parse-names":false,"suffix":""},{"dropping-particle":"","family":"Stahl","given":"David A.","non-dropping-particle":"","parse-names":false,"suffix":""}],"edition":"15","id":"ITEM-1","issued":{"date-parts":[["2019"]]},"publisher":"Pearson Education","publisher-place":"New York","title":"Brock Biology of Microorganisms","type":"book"},"uris":["http://www.mendeley.com/documents/?uuid=6ca63403-2ce5-47fd-bca0-5d6d3f6c22d0"]}],"mendeley":{"formattedCitation":"&lt;sup&gt;[15]&lt;/sup&gt;","plainTextFormattedCitation":"[15]","previouslyFormattedCitation":"&lt;sup&gt;[15]&lt;/sup&gt;"},"properties":{"noteIndex":0},"schema":"https://github.com/citation-style-language/schema/raw/master/csl-citation.json"}</w:instrText>
      </w:r>
      <w:r w:rsidR="00C825F9">
        <w:fldChar w:fldCharType="separate"/>
      </w:r>
      <w:r w:rsidR="00C825F9" w:rsidRPr="00C825F9">
        <w:rPr>
          <w:noProof/>
          <w:vertAlign w:val="superscript"/>
        </w:rPr>
        <w:t>[15]</w:t>
      </w:r>
      <w:r w:rsidR="00C825F9">
        <w:fldChar w:fldCharType="end"/>
      </w:r>
      <w:r>
        <w:t xml:space="preserve">. </w:t>
      </w:r>
      <w:r w:rsidR="00A337F0">
        <w:t>Conversely</w:t>
      </w:r>
      <w:r>
        <w:t>, bactericidal antibiotics</w:t>
      </w:r>
      <w:r w:rsidR="00F766AD">
        <w:t xml:space="preserve">, </w:t>
      </w:r>
      <w:r w:rsidR="003E0CB8">
        <w:t>such as</w:t>
      </w:r>
      <w:r w:rsidR="00F766AD">
        <w:t xml:space="preserve"> vancomycin and β-lactams,</w:t>
      </w:r>
      <w:r>
        <w:t xml:space="preserve"> </w:t>
      </w:r>
      <w:r w:rsidR="005B6945">
        <w:t xml:space="preserve">generally </w:t>
      </w:r>
      <w:r w:rsidR="00E1497B">
        <w:t xml:space="preserve">kill bacteria </w:t>
      </w:r>
      <w:r>
        <w:t>by targeting the</w:t>
      </w:r>
      <w:r w:rsidR="00F766AD">
        <w:t xml:space="preserve"> bacterial</w:t>
      </w:r>
      <w:r>
        <w:t xml:space="preserve"> CW and </w:t>
      </w:r>
      <w:r w:rsidR="00FC08D3">
        <w:t xml:space="preserve">the </w:t>
      </w:r>
      <w:r>
        <w:t>plasma membrane (PM)</w:t>
      </w:r>
      <w:r w:rsidR="004270EF">
        <w:t> </w:t>
      </w:r>
      <w:r w:rsidR="00C825F9">
        <w:fldChar w:fldCharType="begin" w:fldLock="1"/>
      </w:r>
      <w:r w:rsidR="00260ACA">
        <w:instrText>ADDIN CSL_CITATION {"citationItems":[{"id":"ITEM-1","itemData":{"ISBN":"1-292-23510-1","author":[{"dropping-particle":"","family":"Madigan","given":"Michael T","non-dropping-particle":"","parse-names":false,"suffix":""},{"dropping-particle":"","family":"Bender","given":"Kelly S.","non-dropping-particle":"","parse-names":false,"suffix":""},{"dropping-particle":"","family":"Buckley","given":"Daniel H.","non-dropping-particle":"","parse-names":false,"suffix":""},{"dropping-particle":"","family":"Stahl","given":"David A.","non-dropping-particle":"","parse-names":false,"suffix":""}],"edition":"15","id":"ITEM-1","issued":{"date-parts":[["2019"]]},"publisher":"Pearson Education","publisher-place":"New York","title":"Brock Biology of Microorganisms","type":"book"},"uris":["http://www.mendeley.com/documents/?uuid=6ca63403-2ce5-47fd-bca0-5d6d3f6c22d0"]}],"mendeley":{"formattedCitation":"&lt;sup&gt;[15]&lt;/sup&gt;","plainTextFormattedCitation":"[15]","previouslyFormattedCitation":"&lt;sup&gt;[15]&lt;/sup&gt;"},"properties":{"noteIndex":0},"schema":"https://github.com/citation-style-language/schema/raw/master/csl-citation.json"}</w:instrText>
      </w:r>
      <w:r w:rsidR="00C825F9">
        <w:fldChar w:fldCharType="separate"/>
      </w:r>
      <w:r w:rsidR="00C825F9" w:rsidRPr="00C825F9">
        <w:rPr>
          <w:noProof/>
          <w:vertAlign w:val="superscript"/>
        </w:rPr>
        <w:t>[15]</w:t>
      </w:r>
      <w:r w:rsidR="00C825F9">
        <w:fldChar w:fldCharType="end"/>
      </w:r>
      <w:r>
        <w:t>.</w:t>
      </w:r>
      <w:r w:rsidR="008006DF">
        <w:t xml:space="preserve"> </w:t>
      </w:r>
      <w:r w:rsidR="005B0898">
        <w:t>Despite our knowledge of the chemical structure and targets of antibiotics</w:t>
      </w:r>
      <w:r w:rsidR="00A6508A">
        <w:t xml:space="preserve"> (</w:t>
      </w:r>
      <w:r w:rsidR="00BE4F22">
        <w:t>discussed in</w:t>
      </w:r>
      <w:r w:rsidR="00A6508A">
        <w:t xml:space="preserve"> </w:t>
      </w:r>
      <w:r w:rsidR="005C7561">
        <w:t>section</w:t>
      </w:r>
      <w:r w:rsidR="00A6508A">
        <w:t xml:space="preserve"> </w:t>
      </w:r>
      <w:r w:rsidR="00A6508A">
        <w:fldChar w:fldCharType="begin"/>
      </w:r>
      <w:r w:rsidR="00A6508A">
        <w:instrText xml:space="preserve"> REF _Ref76213557 \r \h </w:instrText>
      </w:r>
      <w:r w:rsidR="00A6508A">
        <w:fldChar w:fldCharType="separate"/>
      </w:r>
      <w:r w:rsidR="00183CC8">
        <w:t>1.7</w:t>
      </w:r>
      <w:r w:rsidR="00A6508A">
        <w:fldChar w:fldCharType="end"/>
      </w:r>
      <w:r w:rsidR="00A6508A">
        <w:t>)</w:t>
      </w:r>
      <w:r w:rsidR="005B0898">
        <w:t xml:space="preserve">, </w:t>
      </w:r>
      <w:r w:rsidR="00A6508A">
        <w:t xml:space="preserve">it is not fully </w:t>
      </w:r>
      <w:r w:rsidR="00B47DB7">
        <w:t>understood</w:t>
      </w:r>
      <w:r w:rsidR="00A6508A">
        <w:t xml:space="preserve"> how bactericidal antibiotics lead to cell death.</w:t>
      </w:r>
      <w:r w:rsidR="005B0898">
        <w:t xml:space="preserve"> </w:t>
      </w:r>
      <w:r w:rsidR="00EE40F6">
        <w:t>To address this from the most fundamental perspective</w:t>
      </w:r>
      <w:r w:rsidR="0036619F">
        <w:t xml:space="preserve">, we have created </w:t>
      </w:r>
      <w:r w:rsidR="00E02574">
        <w:t xml:space="preserve">a </w:t>
      </w:r>
      <w:r w:rsidR="00E02574" w:rsidRPr="005F4D53">
        <w:t>predictive model of bacterial life and death b</w:t>
      </w:r>
      <w:r w:rsidR="00E02574">
        <w:t>ased on CW PG homeostasis</w:t>
      </w:r>
      <w:r w:rsidR="00233F86" w:rsidRPr="00233F86">
        <w:t xml:space="preserve"> </w:t>
      </w:r>
      <w:r w:rsidR="0036619F">
        <w:t>(</w:t>
      </w:r>
      <w:r w:rsidR="0036619F">
        <w:fldChar w:fldCharType="begin"/>
      </w:r>
      <w:r w:rsidR="0036619F">
        <w:instrText xml:space="preserve"> REF _Ref71110058 \h </w:instrText>
      </w:r>
      <w:r w:rsidR="0036619F">
        <w:fldChar w:fldCharType="separate"/>
      </w:r>
      <w:r w:rsidR="00183CC8">
        <w:t xml:space="preserve">Figure </w:t>
      </w:r>
      <w:r w:rsidR="00183CC8">
        <w:rPr>
          <w:noProof/>
        </w:rPr>
        <w:t>5</w:t>
      </w:r>
      <w:r w:rsidR="00183CC8">
        <w:t>.</w:t>
      </w:r>
      <w:r w:rsidR="00183CC8">
        <w:rPr>
          <w:noProof/>
        </w:rPr>
        <w:t>1</w:t>
      </w:r>
      <w:r w:rsidR="0036619F">
        <w:fldChar w:fldCharType="end"/>
      </w:r>
      <w:r w:rsidR="0036619F">
        <w:t>)</w:t>
      </w:r>
      <w:r w:rsidR="00E65B65">
        <w:t xml:space="preserve"> </w:t>
      </w:r>
      <w:r w:rsidR="00E65B65">
        <w:fldChar w:fldCharType="begin" w:fldLock="1"/>
      </w:r>
      <w:r w:rsidR="004F7E11">
        <w:instrText>ADDIN CSL_CITATION {"citationItems":[{"id":"ITEM-1","itemData":{"DOI":"10.1073/pnas.2106022118","ISSN":"1091-6490","PMID":"34716264","abstract":"Bacterial cell wall peptidoglycan is essential, maintaining both cellular integrity and morphology, in the face of internal turgor pressure. Peptidoglycan synthesis is important, as it is targeted by cell wall antibiotics, including methicillin and vancomycin. Here, we have used the major human pathogen Staphylococcus aureus to elucidate both the cell wall dynamic processes essential for growth (life) and the bactericidal effects of cell wall antibiotics (death) based on the principle of coordinated peptidoglycan synthesis and hydrolysis. The death of S. aureus due to depletion of the essential, two-component and positive regulatory system for peptidoglycan hydrolase activity (WalKR) is prevented by addition of otherwise bactericidal cell wall antibiotics, resulting in stasis. In contrast, cell wall antibiotics kill via the activity of peptidoglycan hydrolases in the absence of concomitant synthesis. Both methicillin and vancomycin treatment lead to the appearance of perforating holes throughout the cell wall due to peptidoglycan hydrolases. Methicillin alone also results in plasmolysis and misshapen septa with the involvement of the major peptidoglycan hydrolase Atl, a process that is inhibited by vancomycin. The bactericidal effect of vancomycin involves the peptidoglycan hydrolase SagB. In the presence of cell wall antibiotics, the inhibition of peptidoglycan hydrolase activity using the inhibitor complestatin results in reduced killing, while, conversely, the deregulation of hydrolase activity via loss of wall teichoic acids increases the death rate. For S. aureus, the independent regulation of cell wall synthesis and hydrolysis can lead to cell growth, death, or stasis, with implications for the development of new control regimes for this important pathogen.","author":[{"dropping-particle":"","family":"Salamaga","given":"Bartłomiej","non-dropping-particle":"","parse-names":false,"suffix":""},{"dropping-particle":"","family":"Kong","given":"Lingyuan","non-dropping-particle":"","parse-names":false,"suffix":""},{"dropping-particle":"","family":"Pasquina-Lemonche","given":"Laia","non-dropping-particle":"","parse-names":false,"suffix":""},{"dropping-particle":"","family":"Lafage","given":"Lucia","non-dropping-particle":"","parse-names":false,"suffix":""},{"dropping-particle":"","family":"Und Zur Muhlen","given":"Milena","non-dropping-particle":"von","parse-names":false,"suffix":""},{"dropping-particle":"","family":"Gibson","given":"Josie F","non-dropping-particle":"","parse-names":false,"suffix":""},{"dropping-particle":"","family":"Grybchuk","given":"Danyil","non-dropping-particle":"","parse-names":false,"suffix":""},{"dropping-particle":"","family":"Tooke","given":"Amy K","non-dropping-particle":"","parse-names":false,"suffix":""},{"dropping-particle":"","family":"Panchal","given":"Viralkumar","non-dropping-particle":"","parse-names":false,"suffix":""},{"dropping-particle":"","family":"Culp","given":"Elizabeth J","non-dropping-particle":"","parse-names":false,"suffix":""},{"dropping-particle":"","family":"Tatham","given":"Elizabeth","non-dropping-particle":"","parse-names":false,"suffix":""},{"dropping-particle":"","family":"O'Kane","given":"Mary E","non-dropping-particle":"","parse-names":false,"suffix":""},{"dropping-particle":"","family":"Catley","given":"Thomas E","non-dropping-particle":"","parse-names":false,"suffix":""},{"dropping-particle":"","family":"Renshaw","given":"Stephen A","non-dropping-particle":"","parse-names":false,"suffix":""},{"dropping-particle":"","family":"Wright","given":"Gerard D","non-dropping-particle":"","parse-names":false,"suffix":""},{"dropping-particle":"","family":"Plevka","given":"Pavel","non-dropping-particle":"","parse-names":false,"suffix":""},{"dropping-particle":"","family":"Bullough","given":"Per A","non-dropping-particle":"","parse-names":false,"suffix":""},{"dropping-particle":"","family":"Han","given":"Aidong","non-dropping-particle":"","parse-names":false,"suffix":""},{"dropping-particle":"","family":"Hobbs","given":"Jamie K","non-dropping-particle":"","parse-names":false,"suffix":""},{"dropping-particle":"","family":"Foster","given":"Simon J","non-dropping-particle":"","parse-names":false,"suffix":""}],"container-title":"Proceedings of the National Academy of Sciences of the United States of America","id":"ITEM-1","issue":"44","issued":{"date-parts":[["2021","11","2"]]},"page":"1-8","publisher":"National Academy of Sciences","title":"Demonstration of the role of cell wall homeostasis in Staphylococcus aureus growth and the action of bactericidal antibiotics.","type":"article-journal","volume":"118"},"uris":["http://www.mendeley.com/documents/?uuid=9f3bf1ae-65de-4943-a7a8-62e0e140e346"]}],"mendeley":{"formattedCitation":"&lt;sup&gt;[247]&lt;/sup&gt;","plainTextFormattedCitation":"[247]","previouslyFormattedCitation":"&lt;sup&gt;[247]&lt;/sup&gt;"},"properties":{"noteIndex":0},"schema":"https://github.com/citation-style-language/schema/raw/master/csl-citation.json"}</w:instrText>
      </w:r>
      <w:r w:rsidR="00E65B65">
        <w:fldChar w:fldCharType="separate"/>
      </w:r>
      <w:r w:rsidR="009D34AE" w:rsidRPr="009D34AE">
        <w:rPr>
          <w:noProof/>
          <w:vertAlign w:val="superscript"/>
        </w:rPr>
        <w:t>[247]</w:t>
      </w:r>
      <w:r w:rsidR="00E65B65">
        <w:fldChar w:fldCharType="end"/>
      </w:r>
      <w:r w:rsidR="00233F86">
        <w:t xml:space="preserve">. </w:t>
      </w:r>
      <w:r w:rsidR="00ED18EF">
        <w:t>Th</w:t>
      </w:r>
      <w:r w:rsidR="00233F86">
        <w:t>is</w:t>
      </w:r>
      <w:r w:rsidR="00E3162A">
        <w:t xml:space="preserve"> simplified model </w:t>
      </w:r>
      <w:r w:rsidR="001129D1">
        <w:t>stresses</w:t>
      </w:r>
      <w:r w:rsidR="00C000FF">
        <w:t xml:space="preserve"> the importance of </w:t>
      </w:r>
      <w:r w:rsidR="001129D1">
        <w:t xml:space="preserve">both </w:t>
      </w:r>
      <w:r w:rsidR="000A61F5">
        <w:t>PG</w:t>
      </w:r>
      <w:r w:rsidR="00C000FF">
        <w:t xml:space="preserve"> synthesis and hydrolysis for bacterial growth and division</w:t>
      </w:r>
      <w:r w:rsidR="00C36B69">
        <w:t xml:space="preserve">, and predicts </w:t>
      </w:r>
      <w:r w:rsidR="002811BF">
        <w:t xml:space="preserve">that bactericidal antibiotics kill bacteria by inhibiting PG synthesis </w:t>
      </w:r>
      <w:r w:rsidR="002811BF" w:rsidRPr="00636E8C">
        <w:rPr>
          <w:i/>
          <w:iCs/>
        </w:rPr>
        <w:t>only</w:t>
      </w:r>
      <w:r w:rsidR="002811BF">
        <w:t xml:space="preserve"> when the activity of growth-associated PG hydrolases</w:t>
      </w:r>
      <w:r w:rsidR="005A49D4">
        <w:t xml:space="preserve"> (PGH)</w:t>
      </w:r>
      <w:r w:rsidR="002811BF">
        <w:t xml:space="preserve"> remains present</w:t>
      </w:r>
      <w:r w:rsidR="003370C6">
        <w:t xml:space="preserve"> (</w:t>
      </w:r>
      <w:r w:rsidR="003370C6">
        <w:fldChar w:fldCharType="begin"/>
      </w:r>
      <w:r w:rsidR="003370C6">
        <w:instrText xml:space="preserve"> REF _Ref71110058 \h </w:instrText>
      </w:r>
      <w:r w:rsidR="003370C6">
        <w:fldChar w:fldCharType="separate"/>
      </w:r>
      <w:r w:rsidR="00183CC8">
        <w:t xml:space="preserve">Figure </w:t>
      </w:r>
      <w:r w:rsidR="00183CC8">
        <w:rPr>
          <w:noProof/>
        </w:rPr>
        <w:t>5</w:t>
      </w:r>
      <w:r w:rsidR="00183CC8">
        <w:t>.</w:t>
      </w:r>
      <w:r w:rsidR="00183CC8">
        <w:rPr>
          <w:noProof/>
        </w:rPr>
        <w:t>1</w:t>
      </w:r>
      <w:r w:rsidR="003370C6">
        <w:fldChar w:fldCharType="end"/>
      </w:r>
      <w:r w:rsidR="003370C6">
        <w:t>)</w:t>
      </w:r>
      <w:r w:rsidR="002811BF">
        <w:t>.</w:t>
      </w:r>
      <w:r w:rsidR="00914DCF">
        <w:t xml:space="preserve"> </w:t>
      </w:r>
      <w:r w:rsidR="0053085C">
        <w:t xml:space="preserve">On the other hand, the second prediction suggests that loss of PGH activity would also lead to cell death </w:t>
      </w:r>
      <w:r w:rsidR="0053085C" w:rsidRPr="00636E8C">
        <w:rPr>
          <w:i/>
          <w:iCs/>
        </w:rPr>
        <w:t>only</w:t>
      </w:r>
      <w:r w:rsidR="0053085C">
        <w:t xml:space="preserve"> when PG synthesis remains un-interrupted. </w:t>
      </w:r>
      <w:r w:rsidR="00636E8C">
        <w:t xml:space="preserve">Lastly, loss or interruption of both PG synthesis and hydrolysis leads to cell stasis. </w:t>
      </w:r>
      <w:r w:rsidR="00914DCF">
        <w:t xml:space="preserve">To test </w:t>
      </w:r>
      <w:r w:rsidR="00A14361">
        <w:t>these</w:t>
      </w:r>
      <w:r w:rsidR="00914DCF">
        <w:t xml:space="preserve"> prediction</w:t>
      </w:r>
      <w:r w:rsidR="00A14361">
        <w:t>s</w:t>
      </w:r>
      <w:r w:rsidR="00914DCF">
        <w:t xml:space="preserve">, the impact of CW antibiotics </w:t>
      </w:r>
      <w:r w:rsidR="00EE40F6">
        <w:t>could</w:t>
      </w:r>
      <w:r w:rsidR="00914DCF">
        <w:t xml:space="preserve"> be </w:t>
      </w:r>
      <w:r w:rsidR="00EE40F6">
        <w:t>studied</w:t>
      </w:r>
      <w:r w:rsidR="003370C6">
        <w:t xml:space="preserve"> in detail</w:t>
      </w:r>
      <w:r w:rsidR="001E5490">
        <w:t xml:space="preserve"> together with the analysis of PGH-lacking strains.</w:t>
      </w:r>
    </w:p>
    <w:p w14:paraId="6227AC0A" w14:textId="77777777" w:rsidR="003B2F9C" w:rsidRDefault="003B2F9C" w:rsidP="003B2F9C">
      <w:pPr>
        <w:keepNext/>
        <w:jc w:val="center"/>
      </w:pPr>
      <w:r>
        <w:rPr>
          <w:noProof/>
        </w:rPr>
        <w:lastRenderedPageBreak/>
        <w:drawing>
          <wp:inline distT="0" distB="0" distL="0" distR="0" wp14:anchorId="094E13FE" wp14:editId="37E83E94">
            <wp:extent cx="1773073" cy="1952625"/>
            <wp:effectExtent l="0" t="0" r="5080" b="3175"/>
            <wp:docPr id="38" name="Picture 3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able&#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781196" cy="1961570"/>
                    </a:xfrm>
                    <a:prstGeom prst="rect">
                      <a:avLst/>
                    </a:prstGeom>
                  </pic:spPr>
                </pic:pic>
              </a:graphicData>
            </a:graphic>
          </wp:inline>
        </w:drawing>
      </w:r>
    </w:p>
    <w:p w14:paraId="26FFD566" w14:textId="6C0D7117" w:rsidR="003B2F9C" w:rsidRDefault="003B2F9C" w:rsidP="008A2B86">
      <w:pPr>
        <w:pStyle w:val="Caption"/>
      </w:pPr>
      <w:bookmarkStart w:id="701" w:name="_Ref71110058"/>
      <w:bookmarkStart w:id="702" w:name="_Toc90216986"/>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w:t>
      </w:r>
      <w:r w:rsidR="003373BF">
        <w:rPr>
          <w:noProof/>
        </w:rPr>
        <w:fldChar w:fldCharType="end"/>
      </w:r>
      <w:bookmarkEnd w:id="701"/>
      <w:r>
        <w:t xml:space="preserve"> Predictive model of bacterial life and death based on cell wall peptidoglycan homeostasis.</w:t>
      </w:r>
      <w:bookmarkEnd w:id="702"/>
    </w:p>
    <w:p w14:paraId="3FAA74C2" w14:textId="77777777" w:rsidR="003B2F9C" w:rsidRDefault="003B2F9C" w:rsidP="003B2F9C">
      <w:pPr>
        <w:pStyle w:val="NoSpacing"/>
        <w:sectPr w:rsidR="003B2F9C" w:rsidSect="004D0E05">
          <w:pgSz w:w="11906" w:h="16838"/>
          <w:pgMar w:top="1191" w:right="1247" w:bottom="1191" w:left="1247" w:header="709" w:footer="709" w:gutter="0"/>
          <w:cols w:space="708"/>
          <w:titlePg/>
          <w:docGrid w:linePitch="360"/>
        </w:sectPr>
      </w:pPr>
      <w:r>
        <w:t xml:space="preserve">Simple predictive model of bacterial life and death stating the importance of PG homeostasis for growth and division. Both synthesis and hydrolysis of cell wall peptidoglycan (CW PG) are required for cell growth. Inhibition or loss of either leads to cell death, while the interruption of both results in stasis. </w:t>
      </w:r>
    </w:p>
    <w:p w14:paraId="0E18C0F8" w14:textId="094DBC9F" w:rsidR="00D62ED3" w:rsidRDefault="00A92B31" w:rsidP="00DE3893">
      <w:r>
        <w:lastRenderedPageBreak/>
        <w:t>Vancomycin</w:t>
      </w:r>
      <w:r w:rsidR="00FE775F">
        <w:t xml:space="preserve"> and </w:t>
      </w:r>
      <w:r>
        <w:t>Methicillin</w:t>
      </w:r>
      <w:r w:rsidR="00FE775F">
        <w:t xml:space="preserve"> were chosen to test the physiological and morphological </w:t>
      </w:r>
      <w:r>
        <w:t>impact</w:t>
      </w:r>
      <w:r w:rsidR="00D116D6">
        <w:t xml:space="preserve"> of </w:t>
      </w:r>
      <w:r w:rsidR="00206152">
        <w:t>bactericidal</w:t>
      </w:r>
      <w:r w:rsidR="00D116D6">
        <w:t xml:space="preserve"> antibiotics.</w:t>
      </w:r>
      <w:r w:rsidR="00AB004D">
        <w:t xml:space="preserve"> </w:t>
      </w:r>
      <w:r w:rsidR="00952A96" w:rsidRPr="005F4D53">
        <w:t>Vancomycin</w:t>
      </w:r>
      <w:r w:rsidR="00952A96">
        <w:t xml:space="preserve">, a glycopeptide CW antibiotic, binds to the D-Ala-D-Ala terminus of the PG </w:t>
      </w:r>
      <w:r w:rsidR="00E73A68">
        <w:t>penta</w:t>
      </w:r>
      <w:r w:rsidR="00952A96">
        <w:t xml:space="preserve">peptide </w:t>
      </w:r>
      <w:r w:rsidR="00543442">
        <w:t>disrupting the transpeptidase action of PBPs</w:t>
      </w:r>
      <w:r w:rsidR="00FD697E">
        <w:t xml:space="preserve"> </w:t>
      </w:r>
      <w:r w:rsidR="00A77216">
        <w:fldChar w:fldCharType="begin" w:fldLock="1"/>
      </w:r>
      <w:r w:rsidR="0058736C">
        <w:instrText>ADDIN CSL_CITATION {"citationItems":[{"id":"ITEM-1","itemData":{"DOI":"10.1042/bj1110195","ISSN":"02646021","PMID":"5763787","abstract":"Vancomycin and ristocetin formed complexes on being mixed with mucopeptide precursors from various bacteria, as shown by chromatography, electrophoresis and differential ultraviolet spectra. Equimolar proportions of antibiotic and peptide were present. The specificity of the reaction was studied and the smallest molecule found to react was acetyl-D-alanyl-D-alanine. This C-terminal dipeptide sequence must be present for complex-formation; change of configuration or esterification prevented it. Modified vancomycins that retained antibiotic activity also combined with appropriate peptides. The dissociation constants of the more stable complexes were estimated from the differential-absorption results. The relationship of complex-formation to antibiotic action is discussed. Penicillin, supposed to be an analogue of acyl-D-alanyl-D-alanine, also modified the spectrum of vancomycin; so, too, did sodium benzylpenicilloate.","author":[{"dropping-particle":"","family":"Perkins","given":"H. R.","non-dropping-particle":"","parse-names":false,"suffix":""}],"container-title":"The Biochemical journal","id":"ITEM-1","issue":"2","issued":{"date-parts":[["1969","1","1"]]},"page":"195-205","publisher":"Portland Press","title":"Specificity of combination between mucopeptide precursors and vancomycin or ristocetin.","type":"article-journal","volume":"111"},"uris":["http://www.mendeley.com/documents/?uuid=7a771946-7759-3b5f-ba32-ae7f63c6cbbd"]},{"id":"ITEM-2","itemData":{"DOI":"10.1093/jac/14.suppl_d.7","ISSN":"03057453","PMID":"6440886","abstract":"Vancomycin is a unique glycopeptide structurally unrelated to any currently available antibiotic. It also has a unique mode of action inhibiting the second stage of cell wall synthesis of susceptible bacteria. There is also evidence that vancomycin alters the permeability of the cell membrane and selectively inhibits ribonucleic acid synthesis. Induction of bacterial L-phase variants from susceptible organisms with vancomycin is extremely difficult, and such variants are unstable. Stable L-phase variants induced by other agents are susceptible to vancomycin. Vancomycin is active against a large number of species of Gram-positive bacteria, such as Staphylococcus aureus (including methicillin-resistant strains), Staph. epidermidis (including multiple-resistant strains), Streptococcus pneumoniae (including multiple-resistant strains), Str. pyogenes, Str. agalactiae, Str. bovis, Str. mutans, viridans streptococci, enterococci, Clostridium species, diphtheroids, Listeria monocytogenes, Actinomyces species and Lactobacillus species. There has been no increase in resistance to vancomycin during the past three decades. Enhancement of antimicrobial activity has been demonstrated with the combination of vancomycin and an aminoglycoside against Staph. aureus, Str. bovis, enterococci and viridans streptococci. The combination of vancomycin and rifampicin are antagonistic to most strains of Staph. aureus, though indifference and occasionally synergism have been shown, but is synergistic against strains of Staph. epidermidis. It shows indifference against enterococci. Vancomycin and fusidic acid are indifferent against Staph. aureus.","author":[{"dropping-particle":"","family":"Watanakunakorn","given":"C.","non-dropping-particle":"","parse-names":false,"suffix":""}],"container-title":"Journal of Antimicrobial Chemotherapy","id":"ITEM-2","issue":"SUPPL. D","issued":{"date-parts":[["1984","1","1"]]},"page":"7-18","publisher":"Oxford Academic","title":"Mode of action and in-vitro activity of vancomycin","type":"article","volume":"14"},"uris":["http://www.mendeley.com/documents/?uuid=d1e0d431-9774-3bae-ba43-bf4e87388bae"]},{"id":"ITEM-3","itemData":{"DOI":"10.1016/j.ijmm.2009.10.005","ISSN":"14384221","PMID":"20005776","abstract":"Bacterial cell wall biosynthesis represents the target pathway for penicillin, the first antibiotic that was clinically applied on a large scale. Penicillin, by means of its beta-lactam ring, inhibits a number of enzymes which participate in inserting monomeric cell wall building blocks into the cell wall polymer and which have been termed penicillin-binding proteins (PBPs). Ever since the introduction of penicillin, hundreds of beta-lactam antibiotics have been developed and details of their molecular activities elaborated. Meanwhile, various additional classes of antibiotics have been described, which inhibit the same pathway, yet use target molecules others than the PBPs. Such classes include the glycopeptide antibiotics, lipopeptide and lipodepsipeptide antibiotics, the lantibiotics and various other natural product antibiotics with comparatively complex structures. They usually target the membrane-bound steps of the biosynthesis pathway and the highly conserved lipid-bound intermediates of the building block such as lipid II, which represents a particular \"Achilles' heel\" for antibiotic attack. With in-depth analysis of the activity of more recently identified inhibitors and with the availability of novel techniques for studying prokaryotic cell biology, new insights were obtained into the molecular organisation of the cell wall biosynthesis machinery and its interconnections with other vital cellular processes such as cell division. This, in turn, provides hints for new targets to be exploited and for the development of novel cell wall biosynthesis inhibitors. © 2009 Elsevier GmbH. All rights reserved.","author":[{"dropping-particle":"","family":"Schneider","given":"Tanja","non-dropping-particle":"","parse-names":false,"suffix":""},{"dropping-particle":"","family":"Sahl","given":"Hans Georg","non-dropping-particle":"","parse-names":false,"suffix":""}],"container-title":"International Journal of Medical Microbiology","id":"ITEM-3","issue":"2-3","issued":{"date-parts":[["2010"]]},"page":"161-169","publisher":"Elsevier","title":"An oldie but a goodie - cell wall biosynthesis as antibiotic target pathway","type":"article-journal","volume":"300"},"uris":["http://www.mendeley.com/documents/?uuid=a01acd86-0b25-4882-bf39-919c1fc39a7f"]},{"id":"ITEM-4","itemData":{"DOI":"10.1073/pnas.53.4.881","ISSN":"00278424","PMID":"14324547","abstract":"BIOCHEMISTRY: ANDERSON ET AL. 881 13 5-HydroxymethyldUMP could be a hydrolytic side product of the hypothetical intermediate having a methylene bridge between the 5 position of dUMP and the no. 5 atom of tetrahydro-folate.7 In all solvents examined by R. E. Cline, R. M. Fink, and K. Fink [J. Am. Chem. Soc., 81, 2521 (1959)], 5-hydroxymethyldeoxyuridine migrated to the same position as 5-hydroxy-methyluracil or was slightly slower, and thymidine and thymine always migrated far ahead of both. We could not detect radioactivity on our chromatograms in the region between the starting line and the position of thymidine and thymine (RF, 0.64). 5-Hydroxymethyluracil showed an RF of 0.49. From the background level radioactivity on the chromatogram, 5-hydroxy-methyldUMP could not account for more than 5% of the synthesis. 5-HydroxymethyldUMP does not appear to be an intermediate in the E. coli dTMP synthetase reaction. The uridine nucleotides, uridine diphospho-acetylmuramyl I-ala-D-glu I.lys. D-ala D-ala (UDP-M~urNAc-pentapeptide) and uridine diphospho-acetylglucos-amine (UDP-GlcNAc), are substrates for a reaction catalyzed by a particulate enzyme prepared from Staphylococcus aureus in which a linear glycopeptide com","author":[{"dropping-particle":"","family":"Anderson","given":"J. S.","non-dropping-particle":"","parse-names":false,"suffix":""},{"dropping-particle":"","family":"Matsuhashi","given":"M.","non-dropping-particle":"","parse-names":false,"suffix":""},{"dropping-particle":"","family":"Haskin","given":"M. A.","non-dropping-particle":"","parse-names":false,"suffix":""},{"dropping-particle":"","family":"Strominger","given":"J. L.","non-dropping-particle":"","parse-names":false,"suffix":""}],"container-title":"Proceedings of the National Academy of Sciences of the United States of","id":"ITEM-4","issue":"4","issued":{"date-parts":[["1965"]]},"page":"881-889","publisher":"Academic Press","title":"Lipid-Phosphoacetylmuramyl- Pentapeptide and Lipid-Phosphodisaccharide-Pentapeptide: Presumed Membrane Transport Intermediates in Cell Wall Synthesis.","type":"article-journal","volume":"53"},"uris":["http://www.mendeley.com/documents/?uuid=e08738e2-4437-34b7-8c7c-64092d34f684"]},{"id":"ITEM-5","itemData":{"DOI":"10.1016/0006-3002(61)90698-9","ISSN":"00063002","PMID":"14491721","author":[{"dropping-particle":"","family":"Reynolds","given":"P. E.","non-dropping-particle":"","parse-names":false,"suffix":""}],"container-title":"Biochimica et Biophysica Acta","id":"ITEM-5","issue":"2","issued":{"date-parts":[["1961","9","16"]]},"page":"403-405","publisher":"Elsevier","title":"Studies on the mode of action of vancomycin","type":"article-journal","volume":"52"},"uris":["http://www.mendeley.com/documents/?uuid=fd5cf690-70af-377c-85b1-45ec405a95cc"]}],"mendeley":{"formattedCitation":"&lt;sup&gt;[178,195–198]&lt;/sup&gt;","plainTextFormattedCitation":"[178,195–198]","previouslyFormattedCitation":"&lt;sup&gt;[178,195–198]&lt;/sup&gt;"},"properties":{"noteIndex":0},"schema":"https://github.com/citation-style-language/schema/raw/master/csl-citation.json"}</w:instrText>
      </w:r>
      <w:r w:rsidR="00A77216">
        <w:fldChar w:fldCharType="separate"/>
      </w:r>
      <w:r w:rsidR="002659E5" w:rsidRPr="002659E5">
        <w:rPr>
          <w:noProof/>
          <w:vertAlign w:val="superscript"/>
        </w:rPr>
        <w:t>[178,195–198]</w:t>
      </w:r>
      <w:r w:rsidR="00A77216">
        <w:fldChar w:fldCharType="end"/>
      </w:r>
      <w:r w:rsidR="00FE775F">
        <w:t>.</w:t>
      </w:r>
      <w:r w:rsidR="005E5D16">
        <w:rPr>
          <w:b/>
          <w:bCs/>
        </w:rPr>
        <w:t xml:space="preserve"> </w:t>
      </w:r>
      <w:r w:rsidR="00A85DDB" w:rsidRPr="005F4D53">
        <w:t>Methicillin</w:t>
      </w:r>
      <w:r w:rsidR="00BC31C5">
        <w:t xml:space="preserve">, </w:t>
      </w:r>
      <w:r w:rsidR="00A85DDB">
        <w:t xml:space="preserve">a </w:t>
      </w:r>
      <w:r w:rsidR="00DE3893">
        <w:rPr>
          <w:lang w:val="el-GR"/>
        </w:rPr>
        <w:t>β</w:t>
      </w:r>
      <w:r w:rsidR="00DE3893">
        <w:t xml:space="preserve">-lactam </w:t>
      </w:r>
      <w:r w:rsidR="00A85DDB">
        <w:t xml:space="preserve">antibiotic that </w:t>
      </w:r>
      <w:r w:rsidR="00DE3893">
        <w:t>structurally resembl</w:t>
      </w:r>
      <w:r w:rsidR="00A85DDB">
        <w:t>es</w:t>
      </w:r>
      <w:r w:rsidR="00DE3893">
        <w:t xml:space="preserve"> the D-ala-D-ala terminal group of the PG </w:t>
      </w:r>
      <w:r w:rsidR="00E73A68">
        <w:t>penta</w:t>
      </w:r>
      <w:r w:rsidR="00DE3893">
        <w:t>peptide</w:t>
      </w:r>
      <w:r w:rsidR="00A85DDB">
        <w:t xml:space="preserve">, </w:t>
      </w:r>
      <w:r w:rsidR="00B5212E">
        <w:t>bind</w:t>
      </w:r>
      <w:r>
        <w:t>s</w:t>
      </w:r>
      <w:r w:rsidR="00B5212E">
        <w:t xml:space="preserve"> to PBPs and </w:t>
      </w:r>
      <w:r w:rsidR="00DE3893">
        <w:t>inhibit</w:t>
      </w:r>
      <w:r w:rsidR="00A85DDB">
        <w:t>s</w:t>
      </w:r>
      <w:r w:rsidR="00DE3893">
        <w:t xml:space="preserve"> PG cross-linking </w:t>
      </w:r>
      <w:r w:rsidR="00DE3893">
        <w:fldChar w:fldCharType="begin" w:fldLock="1"/>
      </w:r>
      <w:r w:rsidR="0058736C">
        <w:instrText>ADDIN CSL_CITATION {"citationItems":[{"id":"ITEM-1","itemData":{"DOI":"10.1073/pnas.54.1.75","ISSN":"00278424","PMID":"5216369","author":[{"dropping-particle":"","family":"Wise","given":"E. M.","non-dropping-particle":"","parse-names":false,"suffix":""},{"dropping-particle":"","family":"Park","given":"J. T.","non-dropping-particle":"","parse-names":false,"suffix":""}],"container-title":"Proceedings of the National Academy of Sciences of the United States of America","id":"ITEM-1","issue":"1","issued":{"date-parts":[["1965"]]},"page":"75-81","title":"Penicillin: its basic site of action as an inhibitor of a peptide cross-linking reaction in cell wall mucopeptide synthesis.","type":"article-journal","volume":"54"},"uris":["http://www.mendeley.com/documents/?uuid=dccea220-d722-37b6-8659-b7af33e2e112"]},{"id":"ITEM-2","itemData":{"DOI":"10.1073/pnas.54.4.1133","ISSN":"00278424","PMID":"5219821","author":[{"dropping-particle":"","family":"Tipper","given":"D. J.","non-dropping-particle":"","parse-names":false,"suffix":""},{"dropping-particle":"","family":"Strominger","given":"J. L.","non-dropping-particle":"","parse-names":false,"suffix":""}],"container-title":"Proceedings of the National Academy of Sciences of the United States of America","id":"ITEM-2","issue":"4","issued":{"date-parts":[["1965"]]},"page":"1133-1141","title":"Mechanism of action of penicillins: a proposal based on their structural similarity to acyl-D-alanyl-D-alanine.","type":"article-journal","volume":"54"},"uris":["http://www.mendeley.com/documents/?uuid=eebdd0e8-0144-333e-b884-d4033816f4f1"]}],"mendeley":{"formattedCitation":"&lt;sup&gt;[181,182]&lt;/sup&gt;","plainTextFormattedCitation":"[181,182]","previouslyFormattedCitation":"&lt;sup&gt;[181,182]&lt;/sup&gt;"},"properties":{"noteIndex":0},"schema":"https://github.com/citation-style-language/schema/raw/master/csl-citation.json"}</w:instrText>
      </w:r>
      <w:r w:rsidR="00DE3893">
        <w:fldChar w:fldCharType="separate"/>
      </w:r>
      <w:r w:rsidR="002659E5" w:rsidRPr="002659E5">
        <w:rPr>
          <w:noProof/>
          <w:vertAlign w:val="superscript"/>
        </w:rPr>
        <w:t>[181,182]</w:t>
      </w:r>
      <w:r w:rsidR="00DE3893">
        <w:fldChar w:fldCharType="end"/>
      </w:r>
      <w:r w:rsidR="00DE3893">
        <w:t xml:space="preserve">. </w:t>
      </w:r>
      <w:r w:rsidR="00D62ED3">
        <w:t xml:space="preserve">A detailed description of the mode of action for vancomycin and </w:t>
      </w:r>
      <w:r w:rsidR="00D62ED3">
        <w:rPr>
          <w:lang w:val="el-GR"/>
        </w:rPr>
        <w:t>β</w:t>
      </w:r>
      <w:r w:rsidR="00D62ED3" w:rsidRPr="00D62ED3">
        <w:t>-</w:t>
      </w:r>
      <w:r w:rsidR="00D62ED3">
        <w:t xml:space="preserve">lactams can be found in section </w:t>
      </w:r>
      <w:r w:rsidR="00D62ED3">
        <w:fldChar w:fldCharType="begin"/>
      </w:r>
      <w:r w:rsidR="00D62ED3">
        <w:instrText xml:space="preserve"> REF _Ref76217707 \r \h </w:instrText>
      </w:r>
      <w:r w:rsidR="00D62ED3">
        <w:fldChar w:fldCharType="separate"/>
      </w:r>
      <w:r w:rsidR="00183CC8">
        <w:t>1.7</w:t>
      </w:r>
      <w:r w:rsidR="00D62ED3">
        <w:fldChar w:fldCharType="end"/>
      </w:r>
      <w:r w:rsidR="00D62ED3">
        <w:t xml:space="preserve"> of this thesis.</w:t>
      </w:r>
    </w:p>
    <w:p w14:paraId="598E0730" w14:textId="0D9EF8CF" w:rsidR="00DE3893" w:rsidRDefault="001D7838" w:rsidP="00DE3893">
      <w:r>
        <w:t xml:space="preserve">Historically, there has been an ongoing debate </w:t>
      </w:r>
      <w:r w:rsidR="0026201D">
        <w:t>as to</w:t>
      </w:r>
      <w:r>
        <w:t xml:space="preserve"> how CW antibiotics lead to cell death.</w:t>
      </w:r>
      <w:r w:rsidRPr="001D7838">
        <w:t xml:space="preserve"> </w:t>
      </w:r>
      <w:r w:rsidRPr="003759D4">
        <w:t>Th</w:t>
      </w:r>
      <w:r>
        <w:t>e</w:t>
      </w:r>
      <w:r w:rsidRPr="003759D4">
        <w:t xml:space="preserve"> original model of penicillin-induced death</w:t>
      </w:r>
      <w:r>
        <w:t xml:space="preserve"> proposed that death derived from </w:t>
      </w:r>
      <w:r w:rsidRPr="005F4D53">
        <w:t>a weakened uncrosslinked CW, which eventually rupture</w:t>
      </w:r>
      <w:r w:rsidR="006F2AFE" w:rsidRPr="005F4D53">
        <w:t>d</w:t>
      </w:r>
      <w:r w:rsidRPr="005F4D53">
        <w:t xml:space="preserve"> because of mechanical and osmotic pressure from within the cell </w:t>
      </w:r>
      <w:r w:rsidRPr="005F4D53">
        <w:fldChar w:fldCharType="begin" w:fldLock="1"/>
      </w:r>
      <w:r w:rsidR="009D34AE">
        <w:instrText>ADDIN CSL_CITATION {"citationItems":[{"id":"ITEM-1","itemData":{"DOI":"10.1146/annurev.mi.33.100179.000553","ISSN":"00664227","PMID":"40528","author":[{"dropping-particle":"","family":"Tomasz","given":"A.","non-dropping-particle":"","parse-names":false,"suffix":""}],"container-title":"Annual review of microbiology","id":"ITEM-1","issued":{"date-parts":[["1979"]]},"page":"113-137","title":"The mechanism of the irreversible antimicrobial effects of penicillins: how the beta-lactam antibiotics kill and lyse bacteria.","type":"article-journal","volume":"33"},"uris":["http://www.mendeley.com/documents/?uuid=c140ee03-0eef-4661-affd-e49869dcb744"]},{"id":"ITEM-2","itemData":{"DOI":"10.1073/pnas.54.4.1133","ISSN":"00278424","PMID":"5219821","author":[{"dropping-particle":"","family":"Tipper","given":"D. J.","non-dropping-particle":"","parse-names":false,"suffix":""},{"dropping-particle":"","family":"Strominger","given":"J. L.","non-dropping-particle":"","parse-names":false,"suffix":""}],"container-title":"Proceedings of the National Academy of Sciences of the United States of America","id":"ITEM-2","issue":"4","issued":{"date-parts":[["1965"]]},"page":"1133-1141","title":"Mechanism of action of penicillins: a proposal based on their structural similarity to acyl-D-alanyl-D-alanine.","type":"article-journal","volume":"54"},"uris":["http://www.mendeley.com/documents/?uuid=eebdd0e8-0144-333e-b884-d4033816f4f1"]},{"id":"ITEM-3","itemData":{"DOI":"10.1073/pnas.54.1.75","ISSN":"00278424","PMID":"5216369","author":[{"dropping-particle":"","family":"Wise","given":"E. M.","non-dropping-particle":"","parse-names":false,"suffix":""},{"dropping-particle":"","family":"Park","given":"J. T.","non-dropping-particle":"","parse-names":false,"suffix":""}],"container-title":"Proceedings of the National Academy of Sciences of the United States of America","id":"ITEM-3","issue":"1","issued":{"date-parts":[["1965"]]},"page":"75-81","title":"Penicillin: its basic site of action as an inhibitor of a peptide cross-linking reaction in cell wall mucopeptide synthesis.","type":"article-journal","volume":"54"},"uris":["http://www.mendeley.com/documents/?uuid=dccea220-d722-37b6-8659-b7af33e2e112"]}],"mendeley":{"formattedCitation":"&lt;sup&gt;[181,182,280]&lt;/sup&gt;","plainTextFormattedCitation":"[181,182,280]","previouslyFormattedCitation":"&lt;sup&gt;[181,182,280]&lt;/sup&gt;"},"properties":{"noteIndex":0},"schema":"https://github.com/citation-style-language/schema/raw/master/csl-citation.json"}</w:instrText>
      </w:r>
      <w:r w:rsidRPr="005F4D53">
        <w:fldChar w:fldCharType="separate"/>
      </w:r>
      <w:r w:rsidR="009D34AE" w:rsidRPr="009D34AE">
        <w:rPr>
          <w:noProof/>
          <w:vertAlign w:val="superscript"/>
        </w:rPr>
        <w:t>[181,182,280]</w:t>
      </w:r>
      <w:r w:rsidRPr="005F4D53">
        <w:fldChar w:fldCharType="end"/>
      </w:r>
      <w:r w:rsidR="003D567D" w:rsidRPr="005F4D53">
        <w:t xml:space="preserve">. </w:t>
      </w:r>
      <w:r w:rsidR="00DE3893" w:rsidRPr="005F4D53">
        <w:t>Th</w:t>
      </w:r>
      <w:r w:rsidR="003D567D" w:rsidRPr="005F4D53">
        <w:t>is</w:t>
      </w:r>
      <w:r w:rsidR="00DE3893" w:rsidRPr="005F4D53">
        <w:t xml:space="preserve"> was</w:t>
      </w:r>
      <w:r w:rsidR="00DE3893">
        <w:t xml:space="preserve"> challenged in 1970, when</w:t>
      </w:r>
      <w:r w:rsidR="007C2E5E">
        <w:t xml:space="preserve"> Tomasz </w:t>
      </w:r>
      <w:r w:rsidR="007C2E5E">
        <w:rPr>
          <w:i/>
          <w:iCs/>
        </w:rPr>
        <w:t>et al.</w:t>
      </w:r>
      <w:r w:rsidR="007C2E5E">
        <w:t xml:space="preserve"> showed that</w:t>
      </w:r>
      <w:r w:rsidR="00414ABF">
        <w:t xml:space="preserve"> an autolysin-defective pneumococc</w:t>
      </w:r>
      <w:r w:rsidR="00480686">
        <w:t>us</w:t>
      </w:r>
      <w:r w:rsidR="00DE3893">
        <w:t xml:space="preserve"> </w:t>
      </w:r>
      <w:r w:rsidR="007C2E5E">
        <w:t xml:space="preserve">did not lyse when treated with penicillin </w:t>
      </w:r>
      <w:r w:rsidR="007C2E5E">
        <w:fldChar w:fldCharType="begin" w:fldLock="1"/>
      </w:r>
      <w:r w:rsidR="009D34AE">
        <w:instrText>ADDIN CSL_CITATION {"citationItems":[{"id":"ITEM-1","itemData":{"DOI":"10.1038/227138a0","ISSN":"00280836","PMID":"4393335","abstract":"Suppression of the activity of the cellular autolytic system of pneumococci causes simultaneous resistance against penicillin, D-cycloserine and phosphonomycin. This phenomenon represents a novel type of drug resistance mechanism in bacteria. © 1970 Nature Publishing Group.","author":[{"dropping-particle":"","family":"Tomasz","given":"Alexander","non-dropping-particle":"","parse-names":false,"suffix":""},{"dropping-particle":"","family":"Albino","given":"Anthony","non-dropping-particle":"","parse-names":false,"suffix":""},{"dropping-particle":"","family":"Zanati","given":"Eve","non-dropping-particle":"","parse-names":false,"suffix":""}],"container-title":"Nature","id":"ITEM-1","issue":"5254","issued":{"date-parts":[["1970"]]},"page":"138-140","publisher":"Nature Publishing Group","title":"Multiple antibiotic resistance in a Bacterium with suppressed autolytic System","type":"article-journal","volume":"227"},"uris":["http://www.mendeley.com/documents/?uuid=781ec0a2-0efc-3584-8e5a-6a581c167005"]}],"mendeley":{"formattedCitation":"&lt;sup&gt;[281]&lt;/sup&gt;","plainTextFormattedCitation":"[281]","previouslyFormattedCitation":"&lt;sup&gt;[281]&lt;/sup&gt;"},"properties":{"noteIndex":0},"schema":"https://github.com/citation-style-language/schema/raw/master/csl-citation.json"}</w:instrText>
      </w:r>
      <w:r w:rsidR="007C2E5E">
        <w:fldChar w:fldCharType="separate"/>
      </w:r>
      <w:r w:rsidR="009D34AE" w:rsidRPr="009D34AE">
        <w:rPr>
          <w:noProof/>
          <w:vertAlign w:val="superscript"/>
        </w:rPr>
        <w:t>[281]</w:t>
      </w:r>
      <w:r w:rsidR="007C2E5E">
        <w:fldChar w:fldCharType="end"/>
      </w:r>
      <w:r w:rsidR="007C2E5E">
        <w:t>.</w:t>
      </w:r>
      <w:r w:rsidR="00FC722F">
        <w:t xml:space="preserve"> These findings were</w:t>
      </w:r>
      <w:r w:rsidR="00414ABF">
        <w:t xml:space="preserve"> later </w:t>
      </w:r>
      <w:r w:rsidR="00FC722F">
        <w:t>supported</w:t>
      </w:r>
      <w:r w:rsidR="00414ABF">
        <w:t xml:space="preserve"> </w:t>
      </w:r>
      <w:r w:rsidR="00DE3893">
        <w:t xml:space="preserve">with a lysis-defective </w:t>
      </w:r>
      <w:r w:rsidR="00DE3893" w:rsidRPr="003427D4">
        <w:rPr>
          <w:i/>
          <w:iCs/>
        </w:rPr>
        <w:t>Bacillus licheniformis</w:t>
      </w:r>
      <w:r w:rsidR="00DE3893">
        <w:rPr>
          <w:i/>
          <w:iCs/>
        </w:rPr>
        <w:t xml:space="preserve"> </w:t>
      </w:r>
      <w:r w:rsidR="00DE3893">
        <w:t xml:space="preserve">and autolysin-defective </w:t>
      </w:r>
      <w:r w:rsidR="00DE3893">
        <w:rPr>
          <w:i/>
          <w:iCs/>
        </w:rPr>
        <w:t>Bacillus subtilis</w:t>
      </w:r>
      <w:r w:rsidR="00FC722F" w:rsidRPr="00FC722F">
        <w:t>,</w:t>
      </w:r>
      <w:r w:rsidR="00DE3893" w:rsidRPr="003427D4">
        <w:t xml:space="preserve"> </w:t>
      </w:r>
      <w:r w:rsidR="00FC722F">
        <w:t>confirming</w:t>
      </w:r>
      <w:r w:rsidR="00DE3893">
        <w:t xml:space="preserve"> that penicillin-</w:t>
      </w:r>
      <w:r w:rsidR="00DE3893" w:rsidRPr="005F4D53">
        <w:t xml:space="preserve">induced lysis was not mechanical, but enzymatic </w:t>
      </w:r>
      <w:r w:rsidR="00DE3893" w:rsidRPr="005F4D53">
        <w:fldChar w:fldCharType="begin" w:fldLock="1"/>
      </w:r>
      <w:r w:rsidR="009D34AE">
        <w:instrText>ADDIN CSL_CITATION {"citationItems":[{"id":"ITEM-1","itemData":{"DOI":"10.1128/jb.108.3.1235-1243.1971","ISSN":"00219193","PMID":"5003174","abstract":"The rapid lysis of Bacillus licheniformis NCTC 6346 and B. sublilis 168 trp caused by vancomycin and D-cycloserine can be inhibited by stopping protein synthesis. Protein synthesis must be stopped for more than one doubling time of the cells before addition of wall inhibitors. Poorly lytic mutants (lyt-) of B. licheni-formis required 10 to 20 times the concentration of vancomycin or cycloserine to be added to growing cultures to cause even slow lysis. At lower concentrations growth of the mutants is stopped, but the bacteria remain fully viable. Sensitivity of mucopep-tide synthesis to vancomycin is the same in both mutants and parent. Sensitivity to the action of D-cycloserine is slightly less in the mutant than in the parent.","author":[{"dropping-particle":"","family":"Rogers","given":"H J","non-dropping-particle":"","parse-names":false,"suffix":""},{"dropping-particle":"","family":"Forsberg","given":"C W","non-dropping-particle":"","parse-names":false,"suffix":""}],"container-title":"Journal of Bacteriology","id":"ITEM-1","issue":"3","issued":{"date-parts":[["1971"]]},"page":"1235-1243","title":"Role of autolysins in the killing of bacteria by some bactericidal antibiotics.","type":"article-journal","volume":"108"},"uris":["http://www.mendeley.com/documents/?uuid=972da214-1761-39c5-8c39-c28ce4de7250"]},{"id":"ITEM-2","itemData":{"DOI":"10.1128/jb.124.1.459-469.1975","ISSN":"00219193","PMID":"809421","abstract":"A mutant of B. subtilis 6160 that had been isolated by its hyperproduction of α amylase and protease lacked flagella and motility, and its content of autolytic enzyme(s) was reduced to one third to one fourth that of the parent. These phenotypic differences were completely co transferred by the deoxyribonucleic acid (DNA) of the mutant when five DNA recipient strains of B. subtilis were transformed. The revertants, isolated by motility with a frequency of approximately 10-7, recovered a normal level of autolytic activity and showed reduced productivity of α amylase and protease. This point mutation allowed normal flagellin synthesis, spore formation, and rate of growth. The comparison of cell envelope of the mutant with that of the parent indicated that there was no significant difference except loss of flagella. Therefore the association at the cell surface of a group of extracellular proteins consisting at least of α amylase, proteases, flagellin, and autolytic enzyme(s) seem to be coordinately regulated by the gene or seem to be affected coordinately by certain undetected alterations of the cell envelope.","author":[{"dropping-particle":"","family":"Ayusawa","given":"D","non-dropping-particle":"","parse-names":false,"suffix":""},{"dropping-particle":"","family":"Yoneda","given":"Y","non-dropping-particle":"","parse-names":false,"suffix":""},{"dropping-particle":"","family":"Yamane","given":"K","non-dropping-particle":"","parse-names":false,"suffix":""},{"dropping-particle":"","family":"Maruo","given":"B","non-dropping-particle":"","parse-names":false,"suffix":""}],"container-title":"Journal of Bacteriology","id":"ITEM-2","issue":"1","issued":{"date-parts":[["1975"]]},"page":"459-469","publisher":"American Society for Microbiology (ASM)","title":"Pleiotropic phenomena in autolytic enzyme(s) content, flagellation, and simultaneous hyperproduction of extracellular α amylase and protease in a Bacillus subtilis mutant","type":"article-journal","volume":"124"},"uris":["http://www.mendeley.com/documents/?uuid=c7a89528-9e49-3cec-9340-91fe92570f4f"]}],"mendeley":{"formattedCitation":"&lt;sup&gt;[282,283]&lt;/sup&gt;","plainTextFormattedCitation":"[282,283]","previouslyFormattedCitation":"&lt;sup&gt;[282,283]&lt;/sup&gt;"},"properties":{"noteIndex":0},"schema":"https://github.com/citation-style-language/schema/raw/master/csl-citation.json"}</w:instrText>
      </w:r>
      <w:r w:rsidR="00DE3893" w:rsidRPr="005F4D53">
        <w:fldChar w:fldCharType="separate"/>
      </w:r>
      <w:r w:rsidR="009D34AE" w:rsidRPr="009D34AE">
        <w:rPr>
          <w:noProof/>
          <w:vertAlign w:val="superscript"/>
        </w:rPr>
        <w:t>[282,283]</w:t>
      </w:r>
      <w:r w:rsidR="00DE3893" w:rsidRPr="005F4D53">
        <w:fldChar w:fldCharType="end"/>
      </w:r>
      <w:r w:rsidR="00DE3893" w:rsidRPr="005F4D53">
        <w:t>. Other studies later helped reveal that penicillin was able to bind to several bacterial targets and that different enzymes</w:t>
      </w:r>
      <w:r w:rsidR="00DE3893" w:rsidRPr="005F4D53">
        <w:rPr>
          <w:b/>
          <w:bCs/>
        </w:rPr>
        <w:t xml:space="preserve"> </w:t>
      </w:r>
      <w:r w:rsidR="00DE3893" w:rsidRPr="005F4D53">
        <w:t>co</w:t>
      </w:r>
      <w:r w:rsidR="00DE3893">
        <w:t xml:space="preserve">uld have multiple molecular forms and catalytic activities, which explained differential phenotypes related to division, enlargement, morphology, etc </w:t>
      </w:r>
      <w:r w:rsidR="00DE3893">
        <w:fldChar w:fldCharType="begin" w:fldLock="1"/>
      </w:r>
      <w:r w:rsidR="009D34AE">
        <w:instrText>ADDIN CSL_CITATION {"citationItems":[{"id":"ITEM-1","itemData":{"DOI":"10.1146/annurev.mi.33.100179.000553","ISSN":"00664227","PMID":"40528","author":[{"dropping-particle":"","family":"Tomasz","given":"A.","non-dropping-particle":"","parse-names":false,"suffix":""}],"container-title":"Annual review of microbiology","id":"ITEM-1","issued":{"date-parts":[["1979"]]},"page":"113-137","title":"The mechanism of the irreversible antimicrobial effects of penicillins: how the beta-lactam antibiotics kill and lyse bacteria.","type":"article-journal","volume":"33"},"uris":["http://www.mendeley.com/documents/?uuid=c140ee03-0eef-4661-affd-e49869dcb744"]}],"mendeley":{"formattedCitation":"&lt;sup&gt;[280]&lt;/sup&gt;","plainTextFormattedCitation":"[280]","previouslyFormattedCitation":"&lt;sup&gt;[280]&lt;/sup&gt;"},"properties":{"noteIndex":0},"schema":"https://github.com/citation-style-language/schema/raw/master/csl-citation.json"}</w:instrText>
      </w:r>
      <w:r w:rsidR="00DE3893">
        <w:fldChar w:fldCharType="separate"/>
      </w:r>
      <w:r w:rsidR="009D34AE" w:rsidRPr="009D34AE">
        <w:rPr>
          <w:noProof/>
          <w:vertAlign w:val="superscript"/>
        </w:rPr>
        <w:t>[280]</w:t>
      </w:r>
      <w:r w:rsidR="00DE3893">
        <w:fldChar w:fldCharType="end"/>
      </w:r>
      <w:r w:rsidR="00DE3893">
        <w:t>. More studies challenged the weakened CW model, by explaining that the uncrosslinked PG cannot be incorporated into the pre-existent wall</w:t>
      </w:r>
      <w:r w:rsidR="00F03C83">
        <w:t xml:space="preserve"> </w:t>
      </w:r>
      <w:r w:rsidR="00F03C83">
        <w:fldChar w:fldCharType="begin" w:fldLock="1"/>
      </w:r>
      <w:r w:rsidR="009D34AE">
        <w:instrText>ADDIN CSL_CITATION {"citationItems":[{"id":"ITEM-1","itemData":{"DOI":"10.1146/annurev.mi.33.100179.000553","ISSN":"00664227","PMID":"40528","author":[{"dropping-particle":"","family":"Tomasz","given":"A.","non-dropping-particle":"","parse-names":false,"suffix":""}],"container-title":"Annual review of microbiology","id":"ITEM-1","issued":{"date-parts":[["1979"]]},"page":"113-137","title":"The mechanism of the irreversible antimicrobial effects of penicillins: how the beta-lactam antibiotics kill and lyse bacteria.","type":"article-journal","volume":"33"},"uris":["http://www.mendeley.com/documents/?uuid=c140ee03-0eef-4661-affd-e49869dcb744"]}],"mendeley":{"formattedCitation":"&lt;sup&gt;[280]&lt;/sup&gt;","plainTextFormattedCitation":"[280]","previouslyFormattedCitation":"&lt;sup&gt;[280]&lt;/sup&gt;"},"properties":{"noteIndex":0},"schema":"https://github.com/citation-style-language/schema/raw/master/csl-citation.json"}</w:instrText>
      </w:r>
      <w:r w:rsidR="00F03C83">
        <w:fldChar w:fldCharType="separate"/>
      </w:r>
      <w:r w:rsidR="009D34AE" w:rsidRPr="009D34AE">
        <w:rPr>
          <w:noProof/>
          <w:vertAlign w:val="superscript"/>
        </w:rPr>
        <w:t>[280]</w:t>
      </w:r>
      <w:r w:rsidR="00F03C83">
        <w:fldChar w:fldCharType="end"/>
      </w:r>
      <w:r w:rsidR="00DE3893">
        <w:t>. The model eventually took another turn by suggesting that penicillin only causes bacterial growth arrest, but that the subsequent lytic processes was a separated event that required hydrolase activity</w:t>
      </w:r>
      <w:r w:rsidR="00E30C33">
        <w:t xml:space="preserve"> </w:t>
      </w:r>
      <w:r w:rsidR="00DE3893">
        <w:fldChar w:fldCharType="begin" w:fldLock="1"/>
      </w:r>
      <w:r w:rsidR="009D34AE">
        <w:instrText>ADDIN CSL_CITATION {"citationItems":[{"id":"ITEM-1","itemData":{"DOI":"10.1146/annurev.mi.33.100179.000553","ISSN":"00664227","PMID":"40528","author":[{"dropping-particle":"","family":"Tomasz","given":"A.","non-dropping-particle":"","parse-names":false,"suffix":""}],"container-title":"Annual review of microbiology","id":"ITEM-1","issued":{"date-parts":[["1979"]]},"page":"113-137","title":"The mechanism of the irreversible antimicrobial effects of penicillins: how the beta-lactam antibiotics kill and lyse bacteria.","type":"article-journal","volume":"33"},"uris":["http://www.mendeley.com/documents/?uuid=c140ee03-0eef-4661-affd-e49869dcb744"]}],"mendeley":{"formattedCitation":"&lt;sup&gt;[280]&lt;/sup&gt;","plainTextFormattedCitation":"[280]","previouslyFormattedCitation":"&lt;sup&gt;[280]&lt;/sup&gt;"},"properties":{"noteIndex":0},"schema":"https://github.com/citation-style-language/schema/raw/master/csl-citation.json"}</w:instrText>
      </w:r>
      <w:r w:rsidR="00DE3893">
        <w:fldChar w:fldCharType="separate"/>
      </w:r>
      <w:r w:rsidR="009D34AE" w:rsidRPr="009D34AE">
        <w:rPr>
          <w:noProof/>
          <w:vertAlign w:val="superscript"/>
        </w:rPr>
        <w:t>[280]</w:t>
      </w:r>
      <w:r w:rsidR="00DE3893">
        <w:fldChar w:fldCharType="end"/>
      </w:r>
      <w:r w:rsidR="00DE3893">
        <w:t>.</w:t>
      </w:r>
    </w:p>
    <w:p w14:paraId="5E8A57A7" w14:textId="56A3B5BF" w:rsidR="00894DD4" w:rsidRDefault="00665F35" w:rsidP="00894DD4">
      <w:r>
        <w:t xml:space="preserve">Kohanski </w:t>
      </w:r>
      <w:r>
        <w:rPr>
          <w:i/>
          <w:iCs/>
        </w:rPr>
        <w:t>et al.</w:t>
      </w:r>
      <w:r w:rsidR="0030513F">
        <w:rPr>
          <w:i/>
          <w:iCs/>
        </w:rPr>
        <w:t>,</w:t>
      </w:r>
      <w:r w:rsidR="00752427">
        <w:t xml:space="preserve"> (200</w:t>
      </w:r>
      <w:r>
        <w:t>7</w:t>
      </w:r>
      <w:r w:rsidR="00752427">
        <w:t>)</w:t>
      </w:r>
      <w:r w:rsidR="000F4333">
        <w:t xml:space="preserve"> proposed a common mechanism</w:t>
      </w:r>
      <w:r w:rsidR="00A319BB">
        <w:t xml:space="preserve"> of death</w:t>
      </w:r>
      <w:r w:rsidR="000F4333">
        <w:t xml:space="preserve"> for </w:t>
      </w:r>
      <w:r w:rsidR="00A319BB">
        <w:t xml:space="preserve">all </w:t>
      </w:r>
      <w:r w:rsidR="000F4333">
        <w:t xml:space="preserve">bactericidal antibiotics </w:t>
      </w:r>
      <w:r w:rsidR="002D4C38">
        <w:t>focused around</w:t>
      </w:r>
      <w:r w:rsidR="000F4333">
        <w:t xml:space="preserve"> the induction of </w:t>
      </w:r>
      <w:r w:rsidR="000F4333" w:rsidRPr="005F4D53">
        <w:t>oxidative stress</w:t>
      </w:r>
      <w:r w:rsidR="000F4333">
        <w:t xml:space="preserve"> </w:t>
      </w:r>
      <w:r w:rsidR="000F4333">
        <w:fldChar w:fldCharType="begin" w:fldLock="1"/>
      </w:r>
      <w:r w:rsidR="009D34AE">
        <w:instrText>ADDIN CSL_CITATION {"citationItems":[{"id":"ITEM-1","itemData":{"DOI":"10.1016/j.cell.2007.06.049","ISSN":"00928674","PMID":"17803904","abstract":"Antibiotic mode-of-action classification is based upon drug-target interaction and whether the resultant inhibition of cellular function is lethal to bacteria. Here we show that the three major classes of bactericidal antibiotics, regardless of drug-target interaction, stimulate the production of highly deleterious hydroxyl radicals in Gram-negative and Gram-positive bacteria, which ultimately contribute to cell death. We also show, in contrast, that bacteriostatic drugs do not produce hydroxyl radicals. We demonstrate that the mechanism of hydroxyl radical formation induced by bactericidal antibiotics is the end product of an oxidative damage cellular death pathway involving the tricarboxylic acid cycle, a transient depletion of NADH, destabilization of iron-sulfur clusters, and stimulation of the Fenton reaction. Our results suggest that all three major classes of bactericidal drugs can be potentiated by targeting bacterial systems that remediate hydroxyl radical damage, including proteins involved in triggering the DNA damage response, e.g., RecA. © 2007 Elsevier Inc. All rights reserved.","author":[{"dropping-particle":"","family":"Kohanski","given":"Michael A.","non-dropping-particle":"","parse-names":false,"suffix":""},{"dropping-particle":"","family":"Dwyer","given":"Daniel J.","non-dropping-particle":"","parse-names":false,"suffix":""},{"dropping-particle":"","family":"Hayete","given":"Boris","non-dropping-particle":"","parse-names":false,"suffix":""},{"dropping-particle":"","family":"Lawrence","given":"Carolyn A.","non-dropping-particle":"","parse-names":false,"suffix":""},{"dropping-particle":"","family":"Collins","given":"James J.","non-dropping-particle":"","parse-names":false,"suffix":""}],"container-title":"Cell","id":"ITEM-1","issue":"5","issued":{"date-parts":[["2007"]]},"page":"797-810","title":"A Common Mechanism of Cellular Death Induced by Bactericidal Antibiotics","type":"article-journal","volume":"130"},"uris":["http://www.mendeley.com/documents/?uuid=7c442080-2534-4fb1-a757-a9941db30266"]}],"mendeley":{"formattedCitation":"&lt;sup&gt;[284]&lt;/sup&gt;","plainTextFormattedCitation":"[284]","previouslyFormattedCitation":"&lt;sup&gt;[284]&lt;/sup&gt;"},"properties":{"noteIndex":0},"schema":"https://github.com/citation-style-language/schema/raw/master/csl-citation.json"}</w:instrText>
      </w:r>
      <w:r w:rsidR="000F4333">
        <w:fldChar w:fldCharType="separate"/>
      </w:r>
      <w:r w:rsidR="009D34AE" w:rsidRPr="009D34AE">
        <w:rPr>
          <w:noProof/>
          <w:vertAlign w:val="superscript"/>
        </w:rPr>
        <w:t>[284]</w:t>
      </w:r>
      <w:r w:rsidR="000F4333">
        <w:fldChar w:fldCharType="end"/>
      </w:r>
      <w:r w:rsidR="000F4333">
        <w:t>.</w:t>
      </w:r>
      <w:r w:rsidR="00A319BB">
        <w:t xml:space="preserve"> It </w:t>
      </w:r>
      <w:r w:rsidR="007E1748">
        <w:t>was</w:t>
      </w:r>
      <w:r w:rsidR="00A319BB">
        <w:t xml:space="preserve"> suggested that lethal concentrations of hydroxyl radicals, the most powerful oxidant among reactive oxygen species (ROS)</w:t>
      </w:r>
      <w:r w:rsidR="00E42132">
        <w:t>,</w:t>
      </w:r>
      <w:r w:rsidR="00A0427C">
        <w:t xml:space="preserve"> arise from bactericidal drugs and</w:t>
      </w:r>
      <w:r w:rsidR="00E42132">
        <w:t xml:space="preserve"> </w:t>
      </w:r>
      <w:r w:rsidR="00A0427C">
        <w:t>induce DNA and protein damage.</w:t>
      </w:r>
      <w:r>
        <w:t xml:space="preserve"> A </w:t>
      </w:r>
      <w:r w:rsidRPr="00665F35">
        <w:t>hydroxyphenyl fluorescein (HPF)</w:t>
      </w:r>
      <w:r>
        <w:t xml:space="preserve"> dye, which </w:t>
      </w:r>
      <w:r w:rsidR="007E1748">
        <w:t xml:space="preserve">is </w:t>
      </w:r>
      <w:r>
        <w:t>oxidise</w:t>
      </w:r>
      <w:r w:rsidR="007E1748">
        <w:t>d</w:t>
      </w:r>
      <w:r>
        <w:t xml:space="preserve"> by hydroxyl radicals, was used as a reliable measure of hydroxyl radical formation.</w:t>
      </w:r>
      <w:r w:rsidR="00307939">
        <w:t xml:space="preserve"> The stud</w:t>
      </w:r>
      <w:r w:rsidR="00387DB3">
        <w:t>y</w:t>
      </w:r>
      <w:r w:rsidR="00FB534F">
        <w:t xml:space="preserve">, performed in </w:t>
      </w:r>
      <w:r w:rsidR="00FB534F">
        <w:rPr>
          <w:i/>
          <w:iCs/>
        </w:rPr>
        <w:t>E. coli</w:t>
      </w:r>
      <w:r w:rsidR="00FB534F">
        <w:t xml:space="preserve"> and </w:t>
      </w:r>
      <w:r w:rsidR="00FB534F">
        <w:rPr>
          <w:i/>
          <w:iCs/>
        </w:rPr>
        <w:t>S. aureus</w:t>
      </w:r>
      <w:r w:rsidR="00FB534F">
        <w:t>,</w:t>
      </w:r>
      <w:r w:rsidR="00387DB3">
        <w:t xml:space="preserve"> </w:t>
      </w:r>
      <w:r w:rsidR="00307939">
        <w:t>teste</w:t>
      </w:r>
      <w:r w:rsidR="00FB534F">
        <w:t>d</w:t>
      </w:r>
      <w:r w:rsidR="00307939">
        <w:t xml:space="preserve"> bactericidal antibiotics, including </w:t>
      </w:r>
      <w:r w:rsidR="00307939">
        <w:rPr>
          <w:lang w:val="el-GR"/>
        </w:rPr>
        <w:t>β</w:t>
      </w:r>
      <w:r w:rsidR="00307939">
        <w:t>-lactam</w:t>
      </w:r>
      <w:r w:rsidR="00502A0B">
        <w:t>s</w:t>
      </w:r>
      <w:r w:rsidR="00307939">
        <w:t>, against bacteriostatic antibiotics</w:t>
      </w:r>
      <w:r w:rsidR="00891BCC">
        <w:t xml:space="preserve"> </w:t>
      </w:r>
      <w:r w:rsidR="00891BCC">
        <w:fldChar w:fldCharType="begin" w:fldLock="1"/>
      </w:r>
      <w:r w:rsidR="009D34AE">
        <w:instrText>ADDIN CSL_CITATION {"citationItems":[{"id":"ITEM-1","itemData":{"DOI":"10.1016/j.cell.2007.06.049","ISSN":"00928674","PMID":"17803904","abstract":"Antibiotic mode-of-action classification is based upon drug-target interaction and whether the resultant inhibition of cellular function is lethal to bacteria. Here we show that the three major classes of bactericidal antibiotics, regardless of drug-target interaction, stimulate the production of highly deleterious hydroxyl radicals in Gram-negative and Gram-positive bacteria, which ultimately contribute to cell death. We also show, in contrast, that bacteriostatic drugs do not produce hydroxyl radicals. We demonstrate that the mechanism of hydroxyl radical formation induced by bactericidal antibiotics is the end product of an oxidative damage cellular death pathway involving the tricarboxylic acid cycle, a transient depletion of NADH, destabilization of iron-sulfur clusters, and stimulation of the Fenton reaction. Our results suggest that all three major classes of bactericidal drugs can be potentiated by targeting bacterial systems that remediate hydroxyl radical damage, including proteins involved in triggering the DNA damage response, e.g., RecA. © 2007 Elsevier Inc. All rights reserved.","author":[{"dropping-particle":"","family":"Kohanski","given":"Michael A.","non-dropping-particle":"","parse-names":false,"suffix":""},{"dropping-particle":"","family":"Dwyer","given":"Daniel J.","non-dropping-particle":"","parse-names":false,"suffix":""},{"dropping-particle":"","family":"Hayete","given":"Boris","non-dropping-particle":"","parse-names":false,"suffix":""},{"dropping-particle":"","family":"Lawrence","given":"Carolyn A.","non-dropping-particle":"","parse-names":false,"suffix":""},{"dropping-particle":"","family":"Collins","given":"James J.","non-dropping-particle":"","parse-names":false,"suffix":""}],"container-title":"Cell","id":"ITEM-1","issue":"5","issued":{"date-parts":[["2007"]]},"page":"797-810","title":"A Common Mechanism of Cellular Death Induced by Bactericidal Antibiotics","type":"article-journal","volume":"130"},"uris":["http://www.mendeley.com/documents/?uuid=7c442080-2534-4fb1-a757-a9941db30266"]}],"mendeley":{"formattedCitation":"&lt;sup&gt;[284]&lt;/sup&gt;","plainTextFormattedCitation":"[284]","previouslyFormattedCitation":"&lt;sup&gt;[284]&lt;/sup&gt;"},"properties":{"noteIndex":0},"schema":"https://github.com/citation-style-language/schema/raw/master/csl-citation.json"}</w:instrText>
      </w:r>
      <w:r w:rsidR="00891BCC">
        <w:fldChar w:fldCharType="separate"/>
      </w:r>
      <w:r w:rsidR="009D34AE" w:rsidRPr="009D34AE">
        <w:rPr>
          <w:noProof/>
          <w:vertAlign w:val="superscript"/>
        </w:rPr>
        <w:t>[284]</w:t>
      </w:r>
      <w:r w:rsidR="00891BCC">
        <w:fldChar w:fldCharType="end"/>
      </w:r>
      <w:r w:rsidR="00FB534F">
        <w:t>. The results showed that only bactericidal antibiotics</w:t>
      </w:r>
      <w:r w:rsidR="00387DB3">
        <w:t xml:space="preserve"> produced </w:t>
      </w:r>
      <w:r w:rsidR="00CB4647">
        <w:t xml:space="preserve">lethal doses of </w:t>
      </w:r>
      <w:r w:rsidR="00387DB3">
        <w:t>hydroxyl radicals</w:t>
      </w:r>
      <w:r w:rsidR="00FB534F">
        <w:t xml:space="preserve"> in both Gram-positive and Gram-negative bacteria</w:t>
      </w:r>
      <w:r w:rsidR="00914FBA">
        <w:t xml:space="preserve"> </w:t>
      </w:r>
      <w:r w:rsidR="00914FBA">
        <w:fldChar w:fldCharType="begin" w:fldLock="1"/>
      </w:r>
      <w:r w:rsidR="009D34AE">
        <w:instrText>ADDIN CSL_CITATION {"citationItems":[{"id":"ITEM-1","itemData":{"DOI":"10.1016/j.cell.2007.06.049","ISSN":"00928674","PMID":"17803904","abstract":"Antibiotic mode-of-action classification is based upon drug-target interaction and whether the resultant inhibition of cellular function is lethal to bacteria. Here we show that the three major classes of bactericidal antibiotics, regardless of drug-target interaction, stimulate the production of highly deleterious hydroxyl radicals in Gram-negative and Gram-positive bacteria, which ultimately contribute to cell death. We also show, in contrast, that bacteriostatic drugs do not produce hydroxyl radicals. We demonstrate that the mechanism of hydroxyl radical formation induced by bactericidal antibiotics is the end product of an oxidative damage cellular death pathway involving the tricarboxylic acid cycle, a transient depletion of NADH, destabilization of iron-sulfur clusters, and stimulation of the Fenton reaction. Our results suggest that all three major classes of bactericidal drugs can be potentiated by targeting bacterial systems that remediate hydroxyl radical damage, including proteins involved in triggering the DNA damage response, e.g., RecA. © 2007 Elsevier Inc. All rights reserved.","author":[{"dropping-particle":"","family":"Kohanski","given":"Michael A.","non-dropping-particle":"","parse-names":false,"suffix":""},{"dropping-particle":"","family":"Dwyer","given":"Daniel J.","non-dropping-particle":"","parse-names":false,"suffix":""},{"dropping-particle":"","family":"Hayete","given":"Boris","non-dropping-particle":"","parse-names":false,"suffix":""},{"dropping-particle":"","family":"Lawrence","given":"Carolyn A.","non-dropping-particle":"","parse-names":false,"suffix":""},{"dropping-particle":"","family":"Collins","given":"James J.","non-dropping-particle":"","parse-names":false,"suffix":""}],"container-title":"Cell","id":"ITEM-1","issue":"5","issued":{"date-parts":[["2007"]]},"page":"797-810","title":"A Common Mechanism of Cellular Death Induced by Bactericidal Antibiotics","type":"article-journal","volume":"130"},"uris":["http://www.mendeley.com/documents/?uuid=7c442080-2534-4fb1-a757-a9941db30266"]}],"mendeley":{"formattedCitation":"&lt;sup&gt;[284]&lt;/sup&gt;","plainTextFormattedCitation":"[284]","previouslyFormattedCitation":"&lt;sup&gt;[284]&lt;/sup&gt;"},"properties":{"noteIndex":0},"schema":"https://github.com/citation-style-language/schema/raw/master/csl-citation.json"}</w:instrText>
      </w:r>
      <w:r w:rsidR="00914FBA">
        <w:fldChar w:fldCharType="separate"/>
      </w:r>
      <w:r w:rsidR="009D34AE" w:rsidRPr="009D34AE">
        <w:rPr>
          <w:noProof/>
          <w:vertAlign w:val="superscript"/>
        </w:rPr>
        <w:t>[284]</w:t>
      </w:r>
      <w:r w:rsidR="00914FBA">
        <w:fldChar w:fldCharType="end"/>
      </w:r>
      <w:r w:rsidR="00FB534F">
        <w:t>.</w:t>
      </w:r>
      <w:r w:rsidR="009D1D27">
        <w:t xml:space="preserve"> Further tests with an iron chelator and hydroxyl radical quencher showed </w:t>
      </w:r>
      <w:r w:rsidR="007C0600">
        <w:t>attenuated lethality with bactericidal antibiotics</w:t>
      </w:r>
      <w:r w:rsidR="00FF2C4E">
        <w:t xml:space="preserve">, emphasizing the importance of hydroxyl radicals in the molecular mechanism of death </w:t>
      </w:r>
      <w:r w:rsidR="007C0600">
        <w:t>of these bactericidal drugs</w:t>
      </w:r>
      <w:r w:rsidR="0016006B">
        <w:t xml:space="preserve"> </w:t>
      </w:r>
      <w:r w:rsidR="0016006B">
        <w:fldChar w:fldCharType="begin" w:fldLock="1"/>
      </w:r>
      <w:r w:rsidR="009D34AE">
        <w:instrText>ADDIN CSL_CITATION {"citationItems":[{"id":"ITEM-1","itemData":{"DOI":"10.1016/j.cell.2007.06.049","ISSN":"00928674","PMID":"17803904","abstract":"Antibiotic mode-of-action classification is based upon drug-target interaction and whether the resultant inhibition of cellular function is lethal to bacteria. Here we show that the three major classes of bactericidal antibiotics, regardless of drug-target interaction, stimulate the production of highly deleterious hydroxyl radicals in Gram-negative and Gram-positive bacteria, which ultimately contribute to cell death. We also show, in contrast, that bacteriostatic drugs do not produce hydroxyl radicals. We demonstrate that the mechanism of hydroxyl radical formation induced by bactericidal antibiotics is the end product of an oxidative damage cellular death pathway involving the tricarboxylic acid cycle, a transient depletion of NADH, destabilization of iron-sulfur clusters, and stimulation of the Fenton reaction. Our results suggest that all three major classes of bactericidal drugs can be potentiated by targeting bacterial systems that remediate hydroxyl radical damage, including proteins involved in triggering the DNA damage response, e.g., RecA. © 2007 Elsevier Inc. All rights reserved.","author":[{"dropping-particle":"","family":"Kohanski","given":"Michael A.","non-dropping-particle":"","parse-names":false,"suffix":""},{"dropping-particle":"","family":"Dwyer","given":"Daniel J.","non-dropping-particle":"","parse-names":false,"suffix":""},{"dropping-particle":"","family":"Hayete","given":"Boris","non-dropping-particle":"","parse-names":false,"suffix":""},{"dropping-particle":"","family":"Lawrence","given":"Carolyn A.","non-dropping-particle":"","parse-names":false,"suffix":""},{"dropping-particle":"","family":"Collins","given":"James J.","non-dropping-particle":"","parse-names":false,"suffix":""}],"container-title":"Cell","id":"ITEM-1","issue":"5","issued":{"date-parts":[["2007"]]},"page":"797-810","title":"A Common Mechanism of Cellular Death Induced by Bactericidal Antibiotics","type":"article-journal","volume":"130"},"uris":["http://www.mendeley.com/documents/?uuid=7c442080-2534-4fb1-a757-a9941db30266"]},{"id":"ITEM-2","itemData":{"DOI":"10.1128/AAC.01087-08","ISSN":"00664804","PMID":"19223646","abstract":"A potential pathway linking hydroxyl radicals to antimicrobial lethality was examined by using muta-tional and chemical perturbations of Escherichia coli. Deficiencies of sodA or sodB had no effect on norfloxacin lethality; however, the absence of both genes together reduced lethal activity, consistent with rapid conversion of excessive superoxide to hydrogen peroxide contributing to quinolone lethality. Nor-floxacin was more lethal with a mutant déficient in katG than with its isogenic parent, suggesting that detoxification of peroxide to water normally reduces quinolone lethality. An iron chelator (bipyridyl) and a hydroxyl radical scavenger (thiourea) reduced the lethal activity of norfloxacin, indicating that nor-floxacin-stimulated accumulation of peroxide affects lethal activity via hydroxyl radicals generated through the Fenton reaction. Ampicillin and kanamycin, antibacterials unrelated to fluoroquinolones, displayed behavior similar to that of norfloxacin except that these two agents showed hyperlethality with an ahpC (alkyl hydroperoxide reductase) mutant rather than with a katG mutant. Collectively, these data are consistent with antimicrobial stress increasing the production of superoxide, which then undergoes dismutation to peroxide, from which a highly toxic hydroxyl radical is generated. Hydroxyl radicals then enhance antimicrobial lethality, as suggested by earlier work. Such findings indicate that oxidative stress networks may provide targets for antimicrobial potentiation. Copyright © 2009, American Society for Microbiology. All Rights Reserved.","author":[{"dropping-particle":"","family":"Wang","given":"Xiuhong","non-dropping-particle":"","parse-names":false,"suffix":""},{"dropping-particle":"","family":"Zhao","given":"Xilin","non-dropping-particle":"","parse-names":false,"suffix":""}],"container-title":"Antimicrobial Agents and Chemotherapy","id":"ITEM-2","issue":"4","issued":{"date-parts":[["2009"]]},"page":"1395-1402","title":"Contribution of oxidative damage to antimicrobial lethality","type":"article-journal","volume":"53"},"uris":["http://www.mendeley.com/documents/?uuid=002505ce-b984-4917-911d-48b5f441efd7"]}],"mendeley":{"formattedCitation":"&lt;sup&gt;[284,285]&lt;/sup&gt;","plainTextFormattedCitation":"[284,285]","previouslyFormattedCitation":"&lt;sup&gt;[284,285]&lt;/sup&gt;"},"properties":{"noteIndex":0},"schema":"https://github.com/citation-style-language/schema/raw/master/csl-citation.json"}</w:instrText>
      </w:r>
      <w:r w:rsidR="0016006B">
        <w:fldChar w:fldCharType="separate"/>
      </w:r>
      <w:r w:rsidR="009D34AE" w:rsidRPr="009D34AE">
        <w:rPr>
          <w:noProof/>
          <w:vertAlign w:val="superscript"/>
        </w:rPr>
        <w:t>[284,285]</w:t>
      </w:r>
      <w:r w:rsidR="0016006B">
        <w:fldChar w:fldCharType="end"/>
      </w:r>
      <w:r w:rsidR="00FF2C4E">
        <w:t>.</w:t>
      </w:r>
      <w:r w:rsidR="00AF4B9C">
        <w:t xml:space="preserve"> </w:t>
      </w:r>
      <w:r w:rsidR="00702973">
        <w:lastRenderedPageBreak/>
        <w:t>However, l</w:t>
      </w:r>
      <w:r w:rsidR="00AF4B9C">
        <w:t xml:space="preserve">ater studies contradicted the </w:t>
      </w:r>
      <w:r w:rsidR="00AF4B9C">
        <w:rPr>
          <w:lang w:val="el-GR"/>
        </w:rPr>
        <w:t>β</w:t>
      </w:r>
      <w:r w:rsidR="00AF4B9C">
        <w:t>-lactam mechanism of killing bacteria by oxidative stress</w:t>
      </w:r>
      <w:r w:rsidR="001905DD">
        <w:t xml:space="preserve"> </w:t>
      </w:r>
      <w:r w:rsidR="001905DD">
        <w:fldChar w:fldCharType="begin" w:fldLock="1"/>
      </w:r>
      <w:r w:rsidR="009D34AE">
        <w:instrText>ADDIN CSL_CITATION {"citationItems":[{"id":"ITEM-1","itemData":{"DOI":"10.1126/science.1232751","ISSN":"10959203","abstract":"Recent observations have suggested that classic antibiotics kill bacteria by stimulating the formation of reactive oxygen species (ROS). If true, this notion might guide new strategies to improve antibiotic efficacy. In this study, the model was directly tested. Contrary to the hypothesis, antibiotic treatment did not accelerate the formation of hydrogen peroxide in Escherichia coli and did not elevate intracellular free iron, an essential reactant for the production of lethal damage. Lethality persisted in the absence of oxygen, and DNA repair mutants were not hypersensitive, undermining the idea that toxicity arose from oxidative DNA lesions. We conclude that these antibiotic exposures did not produce ROS and that lethality more likely resulted from the direct inhibition of cell-wall assembly, protein synthesis, and DNA replication.","author":[{"dropping-particle":"","family":"Liu","given":"Yuanyuan","non-dropping-particle":"","parse-names":false,"suffix":""},{"dropping-particle":"","family":"Imlay","given":"James A","non-dropping-particle":"","parse-names":false,"suffix":""}],"container-title":"Science","id":"ITEM-1","issue":"6124","issued":{"date-parts":[["2013"]]},"page":"1210-1213","title":"Cell death from antibiotics without the involvement of reactive oxygen species","type":"article-journal","volume":"339"},"uris":["http://www.mendeley.com/documents/?uuid=cb48c6ae-5089-31d3-bfc3-4e25aec62495"]},{"id":"ITEM-2","itemData":{"DOI":"10.1126/science.1232688 Antibiotic","abstract":"Several recent studies have suggested that bactericidal antibiotics kill cells by a common mechanism involving reactive oxygen species (ROS). Two groups tested this hypothesis using diverse experiments, with both finding that quinolone, lactam, and aminoglycoside antibiotics had similar efficacy for killing in the presence or absence of oxygen (or nitrate). Liu et al. (p. 1210) saw no increase in hydrogen peroxide production in antibiotic-exposed cells and found no association between antibiotic exposure and the expected symptoms of oxidative damage, such as the breakdown of iron-sulfur clusters in enzymes or of hydroxyl radical injuries to DNA. Similarly, Keren et al. (p. 1213) found no correlation between the production of ROS, inferred from hydroxyphenyl fluorescein dye measurements, and bacterial survival, nor was there any significant protective effect engendered by thiourea. The results do not support a common mode of action for bactericidal antibiotics mediated by ROS.","author":[{"dropping-particle":"","family":"Keren","given":"Iris","non-dropping-particle":"","parse-names":false,"suffix":""},{"dropping-particle":"","family":"Wu","given":"Yanxia","non-dropping-particle":"","parse-names":false,"suffix":""},{"dropping-particle":"","family":"Inocencio","given":"Julio","non-dropping-particle":"","parse-names":false,"suffix":""},{"dropping-particle":"","family":"Mulcahy","given":"Lawrence R.","non-dropping-particle":"","parse-names":false,"suffix":""},{"dropping-particle":"","family":"Lewis","given":"Kin","non-dropping-particle":"","parse-names":false,"suffix":""}],"container-title":"Science","id":"ITEM-2","issue":"March","issued":{"date-parts":[["2013"]]},"page":"1213-1216","title":"Killing by bactericidal antibiotics does not depend on reactive oxigen species","type":"article-journal","volume":"339"},"uris":["http://www.mendeley.com/documents/?uuid=867625c1-e09c-42ad-b573-7d981e9f3807"]}],"mendeley":{"formattedCitation":"&lt;sup&gt;[286,287]&lt;/sup&gt;","plainTextFormattedCitation":"[286,287]","previouslyFormattedCitation":"&lt;sup&gt;[286,287]&lt;/sup&gt;"},"properties":{"noteIndex":0},"schema":"https://github.com/citation-style-language/schema/raw/master/csl-citation.json"}</w:instrText>
      </w:r>
      <w:r w:rsidR="001905DD">
        <w:fldChar w:fldCharType="separate"/>
      </w:r>
      <w:r w:rsidR="009D34AE" w:rsidRPr="009D34AE">
        <w:rPr>
          <w:noProof/>
          <w:vertAlign w:val="superscript"/>
        </w:rPr>
        <w:t>[286,287]</w:t>
      </w:r>
      <w:r w:rsidR="001905DD">
        <w:fldChar w:fldCharType="end"/>
      </w:r>
      <w:r w:rsidR="00E70D57">
        <w:t xml:space="preserve">. Liu &amp; Imlay’s (2013) studies in </w:t>
      </w:r>
      <w:r w:rsidR="00E70D57">
        <w:rPr>
          <w:i/>
          <w:iCs/>
        </w:rPr>
        <w:t>E. coli</w:t>
      </w:r>
      <w:r w:rsidR="00702973">
        <w:t xml:space="preserve"> </w:t>
      </w:r>
      <w:r w:rsidR="00E70D57">
        <w:t xml:space="preserve">showed that </w:t>
      </w:r>
      <w:r w:rsidR="008B1090">
        <w:t>bactericidal antibiotics were just as lethal in an anaerobic chamber as in aerobic conditions</w:t>
      </w:r>
      <w:r w:rsidR="008E5C92">
        <w:t>, suggesting that ROS are not required for cell death</w:t>
      </w:r>
      <w:r w:rsidR="004136EC">
        <w:t xml:space="preserve"> </w:t>
      </w:r>
      <w:r w:rsidR="004136EC">
        <w:fldChar w:fldCharType="begin" w:fldLock="1"/>
      </w:r>
      <w:r w:rsidR="009D34AE">
        <w:instrText>ADDIN CSL_CITATION {"citationItems":[{"id":"ITEM-1","itemData":{"DOI":"10.1126/science.1232751","ISSN":"10959203","abstract":"Recent observations have suggested that classic antibiotics kill bacteria by stimulating the formation of reactive oxygen species (ROS). If true, this notion might guide new strategies to improve antibiotic efficacy. In this study, the model was directly tested. Contrary to the hypothesis, antibiotic treatment did not accelerate the formation of hydrogen peroxide in Escherichia coli and did not elevate intracellular free iron, an essential reactant for the production of lethal damage. Lethality persisted in the absence of oxygen, and DNA repair mutants were not hypersensitive, undermining the idea that toxicity arose from oxidative DNA lesions. We conclude that these antibiotic exposures did not produce ROS and that lethality more likely resulted from the direct inhibition of cell-wall assembly, protein synthesis, and DNA replication.","author":[{"dropping-particle":"","family":"Liu","given":"Yuanyuan","non-dropping-particle":"","parse-names":false,"suffix":""},{"dropping-particle":"","family":"Imlay","given":"James A","non-dropping-particle":"","parse-names":false,"suffix":""}],"container-title":"Science","id":"ITEM-1","issue":"6124","issued":{"date-parts":[["2013"]]},"page":"1210-1213","title":"Cell death from antibiotics without the involvement of reactive oxygen species","type":"article-journal","volume":"339"},"uris":["http://www.mendeley.com/documents/?uuid=cb48c6ae-5089-31d3-bfc3-4e25aec62495"]}],"mendeley":{"formattedCitation":"&lt;sup&gt;[286]&lt;/sup&gt;","plainTextFormattedCitation":"[286]","previouslyFormattedCitation":"&lt;sup&gt;[286]&lt;/sup&gt;"},"properties":{"noteIndex":0},"schema":"https://github.com/citation-style-language/schema/raw/master/csl-citation.json"}</w:instrText>
      </w:r>
      <w:r w:rsidR="004136EC">
        <w:fldChar w:fldCharType="separate"/>
      </w:r>
      <w:r w:rsidR="009D34AE" w:rsidRPr="009D34AE">
        <w:rPr>
          <w:noProof/>
          <w:vertAlign w:val="superscript"/>
        </w:rPr>
        <w:t>[286]</w:t>
      </w:r>
      <w:r w:rsidR="004136EC">
        <w:fldChar w:fldCharType="end"/>
      </w:r>
      <w:r w:rsidR="008E5C92">
        <w:t>.</w:t>
      </w:r>
      <w:r w:rsidR="00894DD4">
        <w:t xml:space="preserve"> There was also no sign of increase in hydrogen peroxide production after treatment </w:t>
      </w:r>
      <w:r w:rsidR="00C71122">
        <w:t>with</w:t>
      </w:r>
      <w:r w:rsidR="00894DD4">
        <w:t xml:space="preserve"> bactericidal antibiotics, nor signs of symptoms of oxidative damage</w:t>
      </w:r>
      <w:r w:rsidR="002568AF">
        <w:t xml:space="preserve"> </w:t>
      </w:r>
      <w:r w:rsidR="002568AF">
        <w:fldChar w:fldCharType="begin" w:fldLock="1"/>
      </w:r>
      <w:r w:rsidR="009D34AE">
        <w:instrText>ADDIN CSL_CITATION {"citationItems":[{"id":"ITEM-1","itemData":{"DOI":"10.1126/science.1232751","ISSN":"10959203","abstract":"Recent observations have suggested that classic antibiotics kill bacteria by stimulating the formation of reactive oxygen species (ROS). If true, this notion might guide new strategies to improve antibiotic efficacy. In this study, the model was directly tested. Contrary to the hypothesis, antibiotic treatment did not accelerate the formation of hydrogen peroxide in Escherichia coli and did not elevate intracellular free iron, an essential reactant for the production of lethal damage. Lethality persisted in the absence of oxygen, and DNA repair mutants were not hypersensitive, undermining the idea that toxicity arose from oxidative DNA lesions. We conclude that these antibiotic exposures did not produce ROS and that lethality more likely resulted from the direct inhibition of cell-wall assembly, protein synthesis, and DNA replication.","author":[{"dropping-particle":"","family":"Liu","given":"Yuanyuan","non-dropping-particle":"","parse-names":false,"suffix":""},{"dropping-particle":"","family":"Imlay","given":"James A","non-dropping-particle":"","parse-names":false,"suffix":""}],"container-title":"Science","id":"ITEM-1","issue":"6124","issued":{"date-parts":[["2013"]]},"page":"1210-1213","title":"Cell death from antibiotics without the involvement of reactive oxygen species","type":"article-journal","volume":"339"},"uris":["http://www.mendeley.com/documents/?uuid=cb48c6ae-5089-31d3-bfc3-4e25aec62495"]}],"mendeley":{"formattedCitation":"&lt;sup&gt;[286]&lt;/sup&gt;","plainTextFormattedCitation":"[286]","previouslyFormattedCitation":"&lt;sup&gt;[286]&lt;/sup&gt;"},"properties":{"noteIndex":0},"schema":"https://github.com/citation-style-language/schema/raw/master/csl-citation.json"}</w:instrText>
      </w:r>
      <w:r w:rsidR="002568AF">
        <w:fldChar w:fldCharType="separate"/>
      </w:r>
      <w:r w:rsidR="009D34AE" w:rsidRPr="009D34AE">
        <w:rPr>
          <w:noProof/>
          <w:vertAlign w:val="superscript"/>
        </w:rPr>
        <w:t>[286]</w:t>
      </w:r>
      <w:r w:rsidR="002568AF">
        <w:fldChar w:fldCharType="end"/>
      </w:r>
      <w:r w:rsidR="002568AF">
        <w:t xml:space="preserve">. </w:t>
      </w:r>
      <w:r w:rsidR="007861CE">
        <w:t>Consistently</w:t>
      </w:r>
      <w:r w:rsidR="002568AF">
        <w:t xml:space="preserve">, Keren </w:t>
      </w:r>
      <w:r w:rsidR="002568AF">
        <w:rPr>
          <w:i/>
          <w:iCs/>
        </w:rPr>
        <w:t>at al</w:t>
      </w:r>
      <w:r w:rsidR="002568AF">
        <w:t xml:space="preserve">. (2013), </w:t>
      </w:r>
      <w:r w:rsidR="007B6C19">
        <w:t xml:space="preserve">found no correlation between bacterial survival with bactericidal antibiotics and the level of ROS production </w:t>
      </w:r>
      <w:r w:rsidR="007B6C19">
        <w:fldChar w:fldCharType="begin" w:fldLock="1"/>
      </w:r>
      <w:r w:rsidR="009D34AE">
        <w:instrText>ADDIN CSL_CITATION {"citationItems":[{"id":"ITEM-1","itemData":{"DOI":"10.1126/science.1232688 Antibiotic","abstract":"Several recent studies have suggested that bactericidal antibiotics kill cells by a common mechanism involving reactive oxygen species (ROS). Two groups tested this hypothesis using diverse experiments, with both finding that quinolone, lactam, and aminoglycoside antibiotics had similar efficacy for killing in the presence or absence of oxygen (or nitrate). Liu et al. (p. 1210) saw no increase in hydrogen peroxide production in antibiotic-exposed cells and found no association between antibiotic exposure and the expected symptoms of oxidative damage, such as the breakdown of iron-sulfur clusters in enzymes or of hydroxyl radical injuries to DNA. Similarly, Keren et al. (p. 1213) found no correlation between the production of ROS, inferred from hydroxyphenyl fluorescein dye measurements, and bacterial survival, nor was there any significant protective effect engendered by thiourea. The results do not support a common mode of action for bactericidal antibiotics mediated by ROS.","author":[{"dropping-particle":"","family":"Keren","given":"Iris","non-dropping-particle":"","parse-names":false,"suffix":""},{"dropping-particle":"","family":"Wu","given":"Yanxia","non-dropping-particle":"","parse-names":false,"suffix":""},{"dropping-particle":"","family":"Inocencio","given":"Julio","non-dropping-particle":"","parse-names":false,"suffix":""},{"dropping-particle":"","family":"Mulcahy","given":"Lawrence R.","non-dropping-particle":"","parse-names":false,"suffix":""},{"dropping-particle":"","family":"Lewis","given":"Kin","non-dropping-particle":"","parse-names":false,"suffix":""}],"container-title":"Science","id":"ITEM-1","issue":"March","issued":{"date-parts":[["2013"]]},"page":"1213-1216","title":"Killing by bactericidal antibiotics does not depend on reactive oxigen species","type":"article-journal","volume":"339"},"uris":["http://www.mendeley.com/documents/?uuid=867625c1-e09c-42ad-b573-7d981e9f3807"]}],"mendeley":{"formattedCitation":"&lt;sup&gt;[287]&lt;/sup&gt;","plainTextFormattedCitation":"[287]","previouslyFormattedCitation":"&lt;sup&gt;[287]&lt;/sup&gt;"},"properties":{"noteIndex":0},"schema":"https://github.com/citation-style-language/schema/raw/master/csl-citation.json"}</w:instrText>
      </w:r>
      <w:r w:rsidR="007B6C19">
        <w:fldChar w:fldCharType="separate"/>
      </w:r>
      <w:r w:rsidR="009D34AE" w:rsidRPr="009D34AE">
        <w:rPr>
          <w:noProof/>
          <w:vertAlign w:val="superscript"/>
        </w:rPr>
        <w:t>[287]</w:t>
      </w:r>
      <w:r w:rsidR="007B6C19">
        <w:fldChar w:fldCharType="end"/>
      </w:r>
      <w:r w:rsidR="007B6C19">
        <w:t>.</w:t>
      </w:r>
      <w:r w:rsidR="00806508">
        <w:t xml:space="preserve"> Additionally, there was no significant protective effect produced by ROS quenchers and no difference in survival under aerobic or anaerobic conditions </w:t>
      </w:r>
      <w:r w:rsidR="00806508">
        <w:fldChar w:fldCharType="begin" w:fldLock="1"/>
      </w:r>
      <w:r w:rsidR="009D34AE">
        <w:instrText>ADDIN CSL_CITATION {"citationItems":[{"id":"ITEM-1","itemData":{"DOI":"10.1126/science.1232688 Antibiotic","abstract":"Several recent studies have suggested that bactericidal antibiotics kill cells by a common mechanism involving reactive oxygen species (ROS). Two groups tested this hypothesis using diverse experiments, with both finding that quinolone, lactam, and aminoglycoside antibiotics had similar efficacy for killing in the presence or absence of oxygen (or nitrate). Liu et al. (p. 1210) saw no increase in hydrogen peroxide production in antibiotic-exposed cells and found no association between antibiotic exposure and the expected symptoms of oxidative damage, such as the breakdown of iron-sulfur clusters in enzymes or of hydroxyl radical injuries to DNA. Similarly, Keren et al. (p. 1213) found no correlation between the production of ROS, inferred from hydroxyphenyl fluorescein dye measurements, and bacterial survival, nor was there any significant protective effect engendered by thiourea. The results do not support a common mode of action for bactericidal antibiotics mediated by ROS.","author":[{"dropping-particle":"","family":"Keren","given":"Iris","non-dropping-particle":"","parse-names":false,"suffix":""},{"dropping-particle":"","family":"Wu","given":"Yanxia","non-dropping-particle":"","parse-names":false,"suffix":""},{"dropping-particle":"","family":"Inocencio","given":"Julio","non-dropping-particle":"","parse-names":false,"suffix":""},{"dropping-particle":"","family":"Mulcahy","given":"Lawrence R.","non-dropping-particle":"","parse-names":false,"suffix":""},{"dropping-particle":"","family":"Lewis","given":"Kin","non-dropping-particle":"","parse-names":false,"suffix":""}],"container-title":"Science","id":"ITEM-1","issue":"March","issued":{"date-parts":[["2013"]]},"page":"1213-1216","title":"Killing by bactericidal antibiotics does not depend on reactive oxigen species","type":"article-journal","volume":"339"},"uris":["http://www.mendeley.com/documents/?uuid=867625c1-e09c-42ad-b573-7d981e9f3807"]}],"mendeley":{"formattedCitation":"&lt;sup&gt;[287]&lt;/sup&gt;","plainTextFormattedCitation":"[287]","previouslyFormattedCitation":"&lt;sup&gt;[287]&lt;/sup&gt;"},"properties":{"noteIndex":0},"schema":"https://github.com/citation-style-language/schema/raw/master/csl-citation.json"}</w:instrText>
      </w:r>
      <w:r w:rsidR="00806508">
        <w:fldChar w:fldCharType="separate"/>
      </w:r>
      <w:r w:rsidR="009D34AE" w:rsidRPr="009D34AE">
        <w:rPr>
          <w:noProof/>
          <w:vertAlign w:val="superscript"/>
        </w:rPr>
        <w:t>[287]</w:t>
      </w:r>
      <w:r w:rsidR="00806508">
        <w:fldChar w:fldCharType="end"/>
      </w:r>
      <w:r w:rsidR="00806508">
        <w:t xml:space="preserve">. These studies together do not support a common mode of action for </w:t>
      </w:r>
      <w:r w:rsidR="00200C3F">
        <w:t>bactericidal</w:t>
      </w:r>
      <w:r w:rsidR="00806508">
        <w:t xml:space="preserve"> antibiotics based on oxidative stress.</w:t>
      </w:r>
    </w:p>
    <w:p w14:paraId="3A6B630F" w14:textId="2C12664D" w:rsidR="00F2562C" w:rsidRPr="00EE7FCC" w:rsidRDefault="00752427" w:rsidP="000456AB">
      <w:r>
        <w:t xml:space="preserve">The Bernhardt group later developed their own model for </w:t>
      </w:r>
      <w:r>
        <w:rPr>
          <w:lang w:val="el-GR"/>
        </w:rPr>
        <w:t>β</w:t>
      </w:r>
      <w:r>
        <w:t xml:space="preserve">-lactam induced death </w:t>
      </w:r>
      <w:r w:rsidR="000456AB">
        <w:t>and</w:t>
      </w:r>
      <w:r w:rsidR="00F2562C">
        <w:t xml:space="preserve"> suggested that on top of inhibiting PBPs, </w:t>
      </w:r>
      <w:r w:rsidR="00F2562C">
        <w:rPr>
          <w:lang w:val="el-GR"/>
        </w:rPr>
        <w:t>β</w:t>
      </w:r>
      <w:r w:rsidR="00F2562C">
        <w:t xml:space="preserve">-lactams lead to a </w:t>
      </w:r>
      <w:r w:rsidR="00F2562C" w:rsidRPr="005F4D53">
        <w:t xml:space="preserve">futile </w:t>
      </w:r>
      <w:r w:rsidR="000456AB" w:rsidRPr="005F4D53">
        <w:t>PG</w:t>
      </w:r>
      <w:r w:rsidR="00F2562C" w:rsidRPr="005F4D53">
        <w:t xml:space="preserve"> cycle of synthesis and hydrolysis</w:t>
      </w:r>
      <w:r w:rsidR="00F2562C">
        <w:t xml:space="preserve"> that results in </w:t>
      </w:r>
      <w:r w:rsidR="00F2562C" w:rsidRPr="002E1590">
        <w:t>depletion of cellular resources</w:t>
      </w:r>
      <w:r w:rsidR="000456AB">
        <w:t xml:space="preserve"> </w:t>
      </w:r>
      <w:r w:rsidR="000456AB">
        <w:fldChar w:fldCharType="begin" w:fldLock="1"/>
      </w:r>
      <w:r w:rsidR="009D34AE">
        <w:instrText>ADDIN CSL_CITATION {"citationItems":[{"id":"ITEM-1","itemData":{"DOI":"10.1016/j.cell.2014.11.017","ISSN":"10974172","abstract":"Penicillin and related beta-lactams comprise one of our oldest and most widely used antibiotic therapies. These drugs have long been known to target enzymes called penicillin-binding proteins (PBPs) that build the bacterial cell wall. Investigating the downstream consequences of target inhibition and how they contribute to the lethal action of these important drugs, we demonstrate that beta-lactams do more than just inhibit the PBPs as is commonly believed. Rather, they induce a toxic malfunctioning of their target biosynthetic machinery involving a futile cycle of cell wall synthesis and degradation, thereby depleting cellular resources and bolstering their killing activity. Characterization of this mode of action additionally revealed a quality control function for enzymes that cleave bonds in the cell wall matrix. The results thus provide insight into the mechanism of cell wall assembly and suggest how best to interfere with the process for future antibiotic development.","author":[{"dropping-particle":"","family":"Cho","given":"Hongbaek","non-dropping-particle":"","parse-names":false,"suffix":""},{"dropping-particle":"","family":"Uehara","given":"Tsuyoshi","non-dropping-particle":"","parse-names":false,"suffix":""},{"dropping-particle":"","family":"Bernhardt","given":"Thomas G.","non-dropping-particle":"","parse-names":false,"suffix":""}],"container-title":"Cell","id":"ITEM-1","issue":"6","issued":{"date-parts":[["2014"]]},"page":"1300-1311","publisher":"Elsevier Inc.","title":"Beta-lactam antibiotics induce a lethal malfunctioning of the bacterial cell wall synthesis machinery","type":"article-journal","volume":"159"},"uris":["http://www.mendeley.com/documents/?uuid=e04682cd-34e8-4207-b5bb-3235ae171c1c"]}],"mendeley":{"formattedCitation":"&lt;sup&gt;[288]&lt;/sup&gt;","plainTextFormattedCitation":"[288]","previouslyFormattedCitation":"&lt;sup&gt;[288]&lt;/sup&gt;"},"properties":{"noteIndex":0},"schema":"https://github.com/citation-style-language/schema/raw/master/csl-citation.json"}</w:instrText>
      </w:r>
      <w:r w:rsidR="000456AB">
        <w:fldChar w:fldCharType="separate"/>
      </w:r>
      <w:r w:rsidR="009D34AE" w:rsidRPr="009D34AE">
        <w:rPr>
          <w:noProof/>
          <w:vertAlign w:val="superscript"/>
        </w:rPr>
        <w:t>[288]</w:t>
      </w:r>
      <w:r w:rsidR="000456AB">
        <w:fldChar w:fldCharType="end"/>
      </w:r>
      <w:r w:rsidR="00F2562C">
        <w:t>.</w:t>
      </w:r>
      <w:r w:rsidR="002B3708">
        <w:t xml:space="preserve"> However, this study was carried out in </w:t>
      </w:r>
      <w:r w:rsidR="002B3708">
        <w:rPr>
          <w:i/>
          <w:iCs/>
        </w:rPr>
        <w:t>E. coli</w:t>
      </w:r>
      <w:r w:rsidR="002B3708">
        <w:t xml:space="preserve"> treated with mecillina</w:t>
      </w:r>
      <w:r w:rsidR="00627E8E">
        <w:t>m, a Gram-negative antibiotic not effective against Gram-positive bacteria.</w:t>
      </w:r>
      <w:r w:rsidR="00EE7FCC">
        <w:t xml:space="preserve"> Therefore, conclusion</w:t>
      </w:r>
      <w:r w:rsidR="00502A0B">
        <w:t>s</w:t>
      </w:r>
      <w:r w:rsidR="00EE7FCC">
        <w:t xml:space="preserve"> taken from a </w:t>
      </w:r>
      <w:r w:rsidR="008C109E">
        <w:t>rod-shaped bacterium</w:t>
      </w:r>
      <w:r w:rsidR="00EE7FCC">
        <w:t xml:space="preserve"> with a differential PG synthesis machinery cannot be extrapolated to </w:t>
      </w:r>
      <w:r w:rsidR="00EE7FCC">
        <w:rPr>
          <w:i/>
          <w:iCs/>
        </w:rPr>
        <w:t>S. aureus</w:t>
      </w:r>
      <w:r w:rsidR="00EE7FCC">
        <w:t>.</w:t>
      </w:r>
    </w:p>
    <w:p w14:paraId="38B6B42C" w14:textId="36C031E9" w:rsidR="00DE3893" w:rsidRDefault="00DE3893" w:rsidP="00DE3893">
      <w:r>
        <w:t>A specific publication of interest</w:t>
      </w:r>
      <w:r w:rsidR="000A2CB2">
        <w:t xml:space="preserve"> for this investigation</w:t>
      </w:r>
      <w:r w:rsidR="00CC738D">
        <w:t>,</w:t>
      </w:r>
      <w:r>
        <w:t xml:space="preserve"> that </w:t>
      </w:r>
      <w:r w:rsidR="00A37258">
        <w:t xml:space="preserve">also </w:t>
      </w:r>
      <w:r>
        <w:t>challenged the original mechanism of action of penicillin</w:t>
      </w:r>
      <w:r w:rsidR="00CC738D">
        <w:t>,</w:t>
      </w:r>
      <w:r>
        <w:t xml:space="preserve"> is </w:t>
      </w:r>
      <w:r w:rsidRPr="00AF209E">
        <w:t>Giesbrech</w:t>
      </w:r>
      <w:r w:rsidR="00F8552A" w:rsidRPr="00AF209E">
        <w:t>t</w:t>
      </w:r>
      <w:r>
        <w:t xml:space="preserve"> </w:t>
      </w:r>
      <w:r>
        <w:rPr>
          <w:i/>
          <w:iCs/>
        </w:rPr>
        <w:t>et al.</w:t>
      </w:r>
      <w:r w:rsidR="0030513F">
        <w:rPr>
          <w:i/>
          <w:iCs/>
        </w:rPr>
        <w:t>,</w:t>
      </w:r>
      <w:r>
        <w:t xml:space="preserve"> (1998).</w:t>
      </w:r>
      <w:r>
        <w:rPr>
          <w:i/>
          <w:iCs/>
        </w:rPr>
        <w:t xml:space="preserve"> </w:t>
      </w:r>
      <w:r>
        <w:t xml:space="preserve">Their comprehensive alternative </w:t>
      </w:r>
      <w:r>
        <w:rPr>
          <w:lang w:val="el-GR"/>
        </w:rPr>
        <w:t>β</w:t>
      </w:r>
      <w:r>
        <w:t xml:space="preserve">-lactam’s pathway to cell death focuses in </w:t>
      </w:r>
      <w:r>
        <w:rPr>
          <w:i/>
          <w:iCs/>
        </w:rPr>
        <w:t>S. aureus</w:t>
      </w:r>
      <w:r>
        <w:t xml:space="preserve"> and presents mostly electron microscopy evidence </w:t>
      </w:r>
      <w:r>
        <w:fldChar w:fldCharType="begin" w:fldLock="1"/>
      </w:r>
      <w:r w:rsidR="009D34AE">
        <w:instrText>ADDIN CSL_CITATION {"citationItems":[{"id":"ITEM-1","itemData":{"ISBN":"1092-2172 (Print)","ISSN":"1092-2172","PMID":"9841676","abstract":"The primary goal of this review is to provide a compilation of the complex architectural features of staphylococcal cell walls and of some of their unusual morphogenetic traits including the utilization of murosomes and two different mechanisms of cell separation. Knowledge of these electron microscopic findings may serve as a prerequisite for a better understanding of the sophisticated events which lead to penicillin-induced death. For more than 50 years there have been controversial disputes about the mechanisms by which penicillin kills bacteria. Many hypotheses have tried to explain this fatal event biochemically and mainly via bacteriolysis. However, indications that penicillin-induced death of staphylococci results from overall biochemical defects or from a fatal attack of bacterial cell walls by bacteriolytic murein hydrolases were not been found. Rather, penicillin, claimed to trigger the activity of murein hydrolases, impaired autolytic wall enzymes of staphylococci. Electron microscopic investigations have meanwhile shown that penicillin-mediated induction of seemingly minute cross wall mistakes is the very reason for this killing. Such \"morphogenetic death\" taking place at predictable cross wall sites and at a predictable time is based on the initiation of normal cell separations in those staphylococci in which the completion of cross walls had been prevented by local penicillin-mediated impairment of the distribution of newly synthesized peptidoglycan; this death occurs because the high internal pressure of the protoplast abruptly kills such cells via ejection of some cytoplasm during attempted cell separation. An analogous fatal onset of cell partition is considered to take place without involvement of a detectable quantity of autolytic wall enzymes (\"mechanical cell separation\"). The most prominent feature of penicillin, the disintegration of bacterial cells via bacteriolysis, is shown to represent only a postmortem process resulting from shrinkage of dead cells and perturbation of the cytoplasmic membrane. Several schematic drawings have been included in this review to facilitate an understanding of the complex morphogenetic events.","author":[{"dropping-particle":"","family":"Giesbrecht","given":"P","non-dropping-particle":"","parse-names":false,"suffix":""},{"dropping-particle":"","family":"Kersten","given":"T","non-dropping-particle":"","parse-names":false,"suffix":""},{"dropping-particle":"","family":"Maidhof","given":"H","non-dropping-particle":"","parse-names":false,"suffix":""},{"dropping-particle":"","family":"Wecke","given":"J","non-dropping-particle":"","parse-names":false,"suffix":""}],"container-title":"Microbiology and molecular biology reviews : MMBR","id":"ITEM-1","issue":"4","issued":{"date-parts":[["1998"]]},"page":"1371-414","title":"Staphylococcal cell wall: morphogenesis and fatal variations in the presence of penicillin.","type":"article-journal","volume":"62"},"uris":["http://www.mendeley.com/documents/?uuid=5bbf4be2-ff82-4e3b-8960-10e3554efaac"]}],"mendeley":{"formattedCitation":"&lt;sup&gt;[289]&lt;/sup&gt;","plainTextFormattedCitation":"[289]","previouslyFormattedCitation":"&lt;sup&gt;[289]&lt;/sup&gt;"},"properties":{"noteIndex":0},"schema":"https://github.com/citation-style-language/schema/raw/master/csl-citation.json"}</w:instrText>
      </w:r>
      <w:r>
        <w:fldChar w:fldCharType="separate"/>
      </w:r>
      <w:r w:rsidR="009D34AE" w:rsidRPr="009D34AE">
        <w:rPr>
          <w:noProof/>
          <w:vertAlign w:val="superscript"/>
        </w:rPr>
        <w:t>[289]</w:t>
      </w:r>
      <w:r>
        <w:fldChar w:fldCharType="end"/>
      </w:r>
      <w:r>
        <w:t>. The study describe</w:t>
      </w:r>
      <w:r w:rsidR="00D50055">
        <w:t>d</w:t>
      </w:r>
      <w:r>
        <w:t xml:space="preserve"> a penicillin-dependent phenotype where the inner CW, referred to as the secondary wall (scW), is converted into a fibrillar wall material that is stained more intensively than the peripher</w:t>
      </w:r>
      <w:r w:rsidR="00F32E87">
        <w:t>al</w:t>
      </w:r>
      <w:r>
        <w:t xml:space="preserve"> cell wall (</w:t>
      </w:r>
      <w:r>
        <w:fldChar w:fldCharType="begin"/>
      </w:r>
      <w:r>
        <w:instrText xml:space="preserve"> REF _Ref71565437 \h </w:instrText>
      </w:r>
      <w:r>
        <w:fldChar w:fldCharType="separate"/>
      </w:r>
      <w:r w:rsidR="00183CC8">
        <w:t xml:space="preserve">Figure </w:t>
      </w:r>
      <w:r w:rsidR="00183CC8">
        <w:rPr>
          <w:noProof/>
        </w:rPr>
        <w:t>5</w:t>
      </w:r>
      <w:r w:rsidR="00183CC8">
        <w:t>.</w:t>
      </w:r>
      <w:r w:rsidR="00183CC8">
        <w:rPr>
          <w:noProof/>
        </w:rPr>
        <w:t>2</w:t>
      </w:r>
      <w:r>
        <w:fldChar w:fldCharType="end"/>
      </w:r>
      <w:r>
        <w:t>a). This morphological defect was mostly seen in dividing cells with bulbous shaped septa</w:t>
      </w:r>
      <w:r>
        <w:rPr>
          <w:i/>
          <w:iCs/>
        </w:rPr>
        <w:t xml:space="preserve"> </w:t>
      </w:r>
      <w:r>
        <w:t>(</w:t>
      </w:r>
      <w:r>
        <w:fldChar w:fldCharType="begin"/>
      </w:r>
      <w:r>
        <w:instrText xml:space="preserve"> REF _Ref71565437 \h </w:instrText>
      </w:r>
      <w:r>
        <w:fldChar w:fldCharType="separate"/>
      </w:r>
      <w:r w:rsidR="00183CC8">
        <w:t xml:space="preserve">Figure </w:t>
      </w:r>
      <w:r w:rsidR="00183CC8">
        <w:rPr>
          <w:noProof/>
        </w:rPr>
        <w:t>5</w:t>
      </w:r>
      <w:r w:rsidR="00183CC8">
        <w:t>.</w:t>
      </w:r>
      <w:r w:rsidR="00183CC8">
        <w:rPr>
          <w:noProof/>
        </w:rPr>
        <w:t>2</w:t>
      </w:r>
      <w:r>
        <w:fldChar w:fldCharType="end"/>
      </w:r>
      <w:r>
        <w:t>b), and was attributed to newly synthesised PG that could not be cross-linked due to penicillin’s binding to PBPs. Their proposed mechanism for subsequent cell death involves “murosomes”, described as small vesicular organelles that are involved in cell separation (</w:t>
      </w:r>
      <w:r>
        <w:fldChar w:fldCharType="begin"/>
      </w:r>
      <w:r>
        <w:instrText xml:space="preserve"> REF _Ref71565437 \h </w:instrText>
      </w:r>
      <w:r>
        <w:fldChar w:fldCharType="separate"/>
      </w:r>
      <w:r w:rsidR="00183CC8">
        <w:t xml:space="preserve">Figure </w:t>
      </w:r>
      <w:r w:rsidR="00183CC8">
        <w:rPr>
          <w:noProof/>
        </w:rPr>
        <w:t>5</w:t>
      </w:r>
      <w:r w:rsidR="00183CC8">
        <w:t>.</w:t>
      </w:r>
      <w:r w:rsidR="00183CC8">
        <w:rPr>
          <w:noProof/>
        </w:rPr>
        <w:t>2</w:t>
      </w:r>
      <w:r>
        <w:fldChar w:fldCharType="end"/>
      </w:r>
      <w:r>
        <w:t>a). These are suggested to be periodically anchored above the site of the future sept</w:t>
      </w:r>
      <w:r w:rsidR="0030770C">
        <w:t>um</w:t>
      </w:r>
      <w:r>
        <w:t>, and the authors suggested that once the septum is completed, they induce the lytic cutting processes of the CW (</w:t>
      </w:r>
      <w:r w:rsidR="00F50212">
        <w:fldChar w:fldCharType="begin"/>
      </w:r>
      <w:r w:rsidR="00F50212">
        <w:instrText xml:space="preserve"> REF _Ref76284930 \h </w:instrText>
      </w:r>
      <w:r w:rsidR="00F50212">
        <w:fldChar w:fldCharType="separate"/>
      </w:r>
      <w:r w:rsidR="00183CC8">
        <w:t xml:space="preserve">Figure </w:t>
      </w:r>
      <w:r w:rsidR="00183CC8">
        <w:rPr>
          <w:noProof/>
        </w:rPr>
        <w:t>5</w:t>
      </w:r>
      <w:r w:rsidR="00183CC8">
        <w:t>.</w:t>
      </w:r>
      <w:r w:rsidR="00183CC8">
        <w:rPr>
          <w:noProof/>
        </w:rPr>
        <w:t>3</w:t>
      </w:r>
      <w:r w:rsidR="00F50212">
        <w:fldChar w:fldCharType="end"/>
      </w:r>
      <w:r>
        <w:t xml:space="preserve">). Giesbrecht </w:t>
      </w:r>
      <w:r>
        <w:rPr>
          <w:i/>
          <w:iCs/>
        </w:rPr>
        <w:t>et al</w:t>
      </w:r>
      <w:r>
        <w:t xml:space="preserve">. proposed that these perforations are the initial </w:t>
      </w:r>
      <w:r w:rsidR="00502A0B">
        <w:t>event</w:t>
      </w:r>
      <w:r>
        <w:t xml:space="preserve"> of daughter cell separation, and that when treated with penicillin, they become the defining step that triggers the pathway to bacterial death. Their model involves the murosomes located at a 90</w:t>
      </w:r>
      <w:r>
        <w:rPr>
          <w:rFonts w:ascii="Calibri" w:hAnsi="Calibri" w:cs="Calibri"/>
        </w:rPr>
        <w:t>°</w:t>
      </w:r>
      <w:r>
        <w:t xml:space="preserve"> angle </w:t>
      </w:r>
      <w:r>
        <w:lastRenderedPageBreak/>
        <w:t>from the first division plane after adding penicillin, and following the arrest of that first division due to lack of PG synthesis, the murosomes perforat</w:t>
      </w:r>
      <w:r w:rsidR="00502A0B">
        <w:t>e</w:t>
      </w:r>
      <w:r>
        <w:t xml:space="preserve"> the cell wall in the second division plane</w:t>
      </w:r>
      <w:r w:rsidR="00502A0B">
        <w:t>,</w:t>
      </w:r>
      <w:r>
        <w:t xml:space="preserve"> while the division </w:t>
      </w:r>
      <w:r w:rsidR="00502A0B">
        <w:t>machinery</w:t>
      </w:r>
      <w:r>
        <w:t xml:space="preserve"> and PG synthesis is </w:t>
      </w:r>
      <w:r w:rsidR="00502A0B">
        <w:t>absent</w:t>
      </w:r>
      <w:r>
        <w:t>. Th</w:t>
      </w:r>
      <w:r w:rsidR="00044487">
        <w:t>i</w:t>
      </w:r>
      <w:r>
        <w:t>s lead</w:t>
      </w:r>
      <w:r w:rsidR="004F5DC8">
        <w:t>s</w:t>
      </w:r>
      <w:r>
        <w:t xml:space="preserve"> to cytoplasmic leakage through murosome-created pores (</w:t>
      </w:r>
      <w:r w:rsidR="00F50212">
        <w:fldChar w:fldCharType="begin"/>
      </w:r>
      <w:r w:rsidR="00F50212">
        <w:instrText xml:space="preserve"> REF _Ref76284930 \h </w:instrText>
      </w:r>
      <w:r w:rsidR="00F50212">
        <w:fldChar w:fldCharType="separate"/>
      </w:r>
      <w:r w:rsidR="00183CC8">
        <w:t xml:space="preserve">Figure </w:t>
      </w:r>
      <w:r w:rsidR="00183CC8">
        <w:rPr>
          <w:noProof/>
        </w:rPr>
        <w:t>5</w:t>
      </w:r>
      <w:r w:rsidR="00183CC8">
        <w:t>.</w:t>
      </w:r>
      <w:r w:rsidR="00183CC8">
        <w:rPr>
          <w:noProof/>
        </w:rPr>
        <w:t>3</w:t>
      </w:r>
      <w:r w:rsidR="00F50212">
        <w:fldChar w:fldCharType="end"/>
      </w:r>
      <w:r>
        <w:t>). A second model for higher concentrations of penicillin was also suggested, where cells die from attempting to split along the incomplete septum, and leading to cytoplasm leakage through the septum.</w:t>
      </w:r>
    </w:p>
    <w:p w14:paraId="14E9C1B1" w14:textId="77777777" w:rsidR="005E5552" w:rsidRDefault="00463484" w:rsidP="00DE3893">
      <w:pPr>
        <w:sectPr w:rsidR="005E5552" w:rsidSect="004D0E05">
          <w:pgSz w:w="11906" w:h="16838"/>
          <w:pgMar w:top="1191" w:right="1247" w:bottom="1191" w:left="1247" w:header="709" w:footer="709" w:gutter="0"/>
          <w:cols w:space="708"/>
          <w:titlePg/>
          <w:docGrid w:linePitch="360"/>
        </w:sectPr>
      </w:pPr>
      <w:r>
        <w:t>As explained above, the debate on the pathway that leads to cell death is still a controversial topic that has not been agreed upon yet.</w:t>
      </w:r>
      <w:r w:rsidR="00B7714D">
        <w:t xml:space="preserve"> Therefore, this investigation analyses the basic physiological and morphological effects of bactericidal antibiotics to understand the </w:t>
      </w:r>
      <w:r w:rsidR="00C61495">
        <w:t>fundamental</w:t>
      </w:r>
      <w:r w:rsidR="00B7714D">
        <w:t xml:space="preserve"> processes that occur during the action of </w:t>
      </w:r>
      <w:r w:rsidR="004C23DD">
        <w:t>these</w:t>
      </w:r>
      <w:r w:rsidR="00B7714D">
        <w:t xml:space="preserve"> antibiotics in the context of CW PG homeostasis</w:t>
      </w:r>
      <w:r w:rsidR="00EF031F">
        <w:t>.</w:t>
      </w:r>
    </w:p>
    <w:p w14:paraId="11A13B56" w14:textId="77777777" w:rsidR="002651B3" w:rsidRDefault="002651B3" w:rsidP="005E5552">
      <w:pPr>
        <w:keepNext/>
        <w:jc w:val="center"/>
      </w:pPr>
      <w:r>
        <w:rPr>
          <w:noProof/>
        </w:rPr>
        <w:lastRenderedPageBreak/>
        <w:drawing>
          <wp:inline distT="0" distB="0" distL="0" distR="0" wp14:anchorId="789ADE73" wp14:editId="2B8B8D6B">
            <wp:extent cx="4955272" cy="2015837"/>
            <wp:effectExtent l="0" t="0" r="0" b="3810"/>
            <wp:docPr id="47" name="Picture 4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text&#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003197" cy="2035333"/>
                    </a:xfrm>
                    <a:prstGeom prst="rect">
                      <a:avLst/>
                    </a:prstGeom>
                  </pic:spPr>
                </pic:pic>
              </a:graphicData>
            </a:graphic>
          </wp:inline>
        </w:drawing>
      </w:r>
    </w:p>
    <w:p w14:paraId="207E07B1" w14:textId="76630FF3" w:rsidR="002651B3" w:rsidRDefault="002651B3" w:rsidP="008A2B86">
      <w:pPr>
        <w:pStyle w:val="Caption"/>
        <w:rPr>
          <w:i/>
        </w:rPr>
      </w:pPr>
      <w:bookmarkStart w:id="703" w:name="_Ref71565437"/>
      <w:bookmarkStart w:id="704" w:name="_Toc90216987"/>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w:t>
      </w:r>
      <w:r w:rsidR="003373BF">
        <w:rPr>
          <w:noProof/>
        </w:rPr>
        <w:fldChar w:fldCharType="end"/>
      </w:r>
      <w:bookmarkEnd w:id="703"/>
      <w:r>
        <w:t xml:space="preserve"> </w:t>
      </w:r>
      <w:r w:rsidR="00184A48">
        <w:t>Giesbrecht’s</w:t>
      </w:r>
      <w:r>
        <w:t xml:space="preserve"> penicillin</w:t>
      </w:r>
      <w:r w:rsidR="00236B28">
        <w:t>-induced</w:t>
      </w:r>
      <w:r w:rsidR="00FF6A2D">
        <w:t xml:space="preserve"> phenotype o</w:t>
      </w:r>
      <w:r w:rsidR="00236B28">
        <w:t>f</w:t>
      </w:r>
      <w:r w:rsidR="00FF6A2D">
        <w:t xml:space="preserve"> </w:t>
      </w:r>
      <w:r w:rsidR="00FF6A2D">
        <w:rPr>
          <w:i/>
        </w:rPr>
        <w:t>S. aureus.</w:t>
      </w:r>
      <w:bookmarkEnd w:id="704"/>
    </w:p>
    <w:p w14:paraId="1ECD903F" w14:textId="4E0645D7" w:rsidR="00FF6A2D" w:rsidRPr="00F21D34" w:rsidRDefault="000F4533" w:rsidP="00F21D34">
      <w:pPr>
        <w:pStyle w:val="NoSpacing"/>
        <w:sectPr w:rsidR="00FF6A2D" w:rsidRPr="00F21D34" w:rsidSect="004D0E05">
          <w:pgSz w:w="11906" w:h="16838"/>
          <w:pgMar w:top="1191" w:right="1247" w:bottom="1191" w:left="1247" w:header="709" w:footer="709" w:gutter="0"/>
          <w:cols w:space="708"/>
          <w:titlePg/>
          <w:docGrid w:linePitch="360"/>
        </w:sectPr>
      </w:pPr>
      <w:r>
        <w:t xml:space="preserve">Interpretation of Giesbrecht </w:t>
      </w:r>
      <w:r w:rsidRPr="0030513F">
        <w:rPr>
          <w:i/>
          <w:iCs/>
        </w:rPr>
        <w:t>et al</w:t>
      </w:r>
      <w:r>
        <w:t>.</w:t>
      </w:r>
      <w:r w:rsidR="0030513F">
        <w:t>,</w:t>
      </w:r>
      <w:r>
        <w:t xml:space="preserve"> (1998) of </w:t>
      </w:r>
      <w:r w:rsidR="009755A6" w:rsidRPr="000F4533">
        <w:t>TEM</w:t>
      </w:r>
      <w:r w:rsidR="009755A6">
        <w:t xml:space="preserve"> of chemically fixed thin sections treated with </w:t>
      </w:r>
      <w:r>
        <w:rPr>
          <w:b/>
          <w:bCs/>
        </w:rPr>
        <w:t xml:space="preserve">(A) </w:t>
      </w:r>
      <w:r w:rsidR="006D0DE7">
        <w:t xml:space="preserve">0.1 µg/ml </w:t>
      </w:r>
      <w:r>
        <w:t xml:space="preserve">or </w:t>
      </w:r>
      <w:r>
        <w:rPr>
          <w:b/>
          <w:bCs/>
        </w:rPr>
        <w:t>(B)</w:t>
      </w:r>
      <w:r>
        <w:t xml:space="preserve"> 0.05 </w:t>
      </w:r>
      <w:r w:rsidR="004D5F6D">
        <w:t xml:space="preserve">µg/ml </w:t>
      </w:r>
      <w:r w:rsidR="006D0DE7">
        <w:t xml:space="preserve">of penicillin on </w:t>
      </w:r>
      <w:r w:rsidR="006D0DE7">
        <w:rPr>
          <w:i/>
          <w:iCs/>
        </w:rPr>
        <w:t>S. aureus</w:t>
      </w:r>
      <w:r w:rsidR="00F21D34">
        <w:t xml:space="preserve">. </w:t>
      </w:r>
      <w:r w:rsidR="008D6BA6">
        <w:t>MuS– murosomes, prW– primary wall, sc</w:t>
      </w:r>
      <w:r w:rsidR="00184A48">
        <w:t>W</w:t>
      </w:r>
      <w:r w:rsidR="008D6BA6">
        <w:t>– secondary wall</w:t>
      </w:r>
      <w:r w:rsidR="00FF6A2D">
        <w:t>.</w:t>
      </w:r>
      <w:r w:rsidR="00F21D34">
        <w:t xml:space="preserve"> </w:t>
      </w:r>
      <w:r w:rsidR="00E33183">
        <w:t xml:space="preserve">Scale bar 200 nm. </w:t>
      </w:r>
      <w:r w:rsidR="00F21D34">
        <w:t>Figu</w:t>
      </w:r>
      <w:r w:rsidR="00E33183">
        <w:t>r</w:t>
      </w:r>
      <w:r w:rsidR="00F21D34">
        <w:t>es obtained from Giesbre</w:t>
      </w:r>
      <w:r w:rsidR="00184A48">
        <w:t>c</w:t>
      </w:r>
      <w:r w:rsidR="00F21D34">
        <w:t xml:space="preserve">ht </w:t>
      </w:r>
      <w:r w:rsidR="00F21D34">
        <w:rPr>
          <w:i/>
          <w:iCs/>
        </w:rPr>
        <w:t>et al</w:t>
      </w:r>
      <w:r w:rsidR="00F21D34">
        <w:t>.</w:t>
      </w:r>
      <w:r w:rsidR="0030513F">
        <w:t>,</w:t>
      </w:r>
      <w:r w:rsidR="00F21D34">
        <w:t xml:space="preserve"> (1998).</w:t>
      </w:r>
    </w:p>
    <w:p w14:paraId="5F9A694C" w14:textId="77777777" w:rsidR="00B43794" w:rsidRDefault="004C26DF" w:rsidP="00B43794">
      <w:pPr>
        <w:keepNext/>
        <w:jc w:val="center"/>
      </w:pPr>
      <w:r>
        <w:rPr>
          <w:noProof/>
        </w:rPr>
        <w:lastRenderedPageBreak/>
        <w:drawing>
          <wp:inline distT="0" distB="0" distL="0" distR="0" wp14:anchorId="18F5CC77" wp14:editId="2285B601">
            <wp:extent cx="8407400" cy="5002253"/>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80" cstate="print">
                      <a:extLst>
                        <a:ext uri="{28A0092B-C50C-407E-A947-70E740481C1C}">
                          <a14:useLocalDpi xmlns:a14="http://schemas.microsoft.com/office/drawing/2010/main" val="0"/>
                        </a:ext>
                      </a:extLst>
                    </a:blip>
                    <a:stretch>
                      <a:fillRect/>
                    </a:stretch>
                  </pic:blipFill>
                  <pic:spPr>
                    <a:xfrm>
                      <a:off x="0" y="0"/>
                      <a:ext cx="8494987" cy="5054366"/>
                    </a:xfrm>
                    <a:prstGeom prst="rect">
                      <a:avLst/>
                    </a:prstGeom>
                  </pic:spPr>
                </pic:pic>
              </a:graphicData>
            </a:graphic>
          </wp:inline>
        </w:drawing>
      </w:r>
    </w:p>
    <w:p w14:paraId="180301AC" w14:textId="3C5EB1E5" w:rsidR="001F0291" w:rsidRDefault="00B43794" w:rsidP="008A2B86">
      <w:pPr>
        <w:pStyle w:val="Caption"/>
      </w:pPr>
      <w:bookmarkStart w:id="705" w:name="_Ref76284930"/>
      <w:bookmarkStart w:id="706" w:name="_Toc90216988"/>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3</w:t>
      </w:r>
      <w:r w:rsidR="003373BF">
        <w:rPr>
          <w:noProof/>
        </w:rPr>
        <w:fldChar w:fldCharType="end"/>
      </w:r>
      <w:bookmarkEnd w:id="705"/>
      <w:r>
        <w:t xml:space="preserve"> Giesbrecht’s proposed model for penicillin induced death.</w:t>
      </w:r>
      <w:bookmarkEnd w:id="706"/>
    </w:p>
    <w:p w14:paraId="25844D54" w14:textId="59E2B2B1" w:rsidR="00C13736" w:rsidRPr="00C13736" w:rsidRDefault="00C13736" w:rsidP="00C13736">
      <w:pPr>
        <w:pStyle w:val="NoSpacing"/>
        <w:sectPr w:rsidR="00C13736" w:rsidRPr="00C13736" w:rsidSect="00CF146C">
          <w:pgSz w:w="16838" w:h="11906" w:orient="landscape"/>
          <w:pgMar w:top="1247" w:right="1191" w:bottom="1247" w:left="1191" w:header="709" w:footer="709" w:gutter="0"/>
          <w:cols w:space="708"/>
          <w:titlePg/>
          <w:docGrid w:linePitch="360"/>
        </w:sectPr>
      </w:pPr>
      <w:r>
        <w:t xml:space="preserve">The top schema shows a control cell cycle and the effect of low concentrations of penicillin (PEN) (0.1 µg/ml). The bottom schema represents the effect of high concentrations of penicillin (10 µg/ml). MuS– murosomes, Cb– connecting bridge, CM– cytoplasmic membrane, P1– cytoplasm, Sp– splitting system, cW– cross wall, pW– peripheral wall. Figure modified and simplified from </w:t>
      </w:r>
      <w:r>
        <w:fldChar w:fldCharType="begin" w:fldLock="1"/>
      </w:r>
      <w:r w:rsidR="009D34AE">
        <w:instrText>ADDIN CSL_CITATION {"citationItems":[{"id":"ITEM-1","itemData":{"ISBN":"1092-2172 (Print)","ISSN":"1092-2172","PMID":"9841676","abstract":"The primary goal of this review is to provide a compilation of the complex architectural features of staphylococcal cell walls and of some of their unusual morphogenetic traits including the utilization of murosomes and two different mechanisms of cell separation. Knowledge of these electron microscopic findings may serve as a prerequisite for a better understanding of the sophisticated events which lead to penicillin-induced death. For more than 50 years there have been controversial disputes about the mechanisms by which penicillin kills bacteria. Many hypotheses have tried to explain this fatal event biochemically and mainly via bacteriolysis. However, indications that penicillin-induced death of staphylococci results from overall biochemical defects or from a fatal attack of bacterial cell walls by bacteriolytic murein hydrolases were not been found. Rather, penicillin, claimed to trigger the activity of murein hydrolases, impaired autolytic wall enzymes of staphylococci. Electron microscopic investigations have meanwhile shown that penicillin-mediated induction of seemingly minute cross wall mistakes is the very reason for this killing. Such \"morphogenetic death\" taking place at predictable cross wall sites and at a predictable time is based on the initiation of normal cell separations in those staphylococci in which the completion of cross walls had been prevented by local penicillin-mediated impairment of the distribution of newly synthesized peptidoglycan; this death occurs because the high internal pressure of the protoplast abruptly kills such cells via ejection of some cytoplasm during attempted cell separation. An analogous fatal onset of cell partition is considered to take place without involvement of a detectable quantity of autolytic wall enzymes (\"mechanical cell separation\"). The most prominent feature of penicillin, the disintegration of bacterial cells via bacteriolysis, is shown to represent only a postmortem process resulting from shrinkage of dead cells and perturbation of the cytoplasmic membrane. Several schematic drawings have been included in this review to facilitate an understanding of the complex morphogenetic events.","author":[{"dropping-particle":"","family":"Giesbrecht","given":"P","non-dropping-particle":"","parse-names":false,"suffix":""},{"dropping-particle":"","family":"Kersten","given":"T","non-dropping-particle":"","parse-names":false,"suffix":""},{"dropping-particle":"","family":"Maidhof","given":"H","non-dropping-particle":"","parse-names":false,"suffix":""},{"dropping-particle":"","family":"Wecke","given":"J","non-dropping-particle":"","parse-names":false,"suffix":""}],"container-title":"Microbiology and molecular biology reviews : MMBR","id":"ITEM-1","issue":"4","issued":{"date-parts":[["1998"]]},"page":"1371-414","title":"Staphylococcal cell wall: morphogenesis and fatal variations in the presence of penicillin.","type":"article-journal","volume":"62"},"uris":["http://www.mendeley.com/documents/?uuid=5bbf4be2-ff82-4e3b-8960-10e3554efaac"]}],"mendeley":{"formattedCitation":"&lt;sup&gt;[289]&lt;/sup&gt;","manualFormatting":"Giesbrecht et al., 1998","plainTextFormattedCitation":"[289]","previouslyFormattedCitation":"&lt;sup&gt;[289]&lt;/sup&gt;"},"properties":{"noteIndex":0},"schema":"https://github.com/citation-style-language/schema/raw/master/csl-citation.json"}</w:instrText>
      </w:r>
      <w:r>
        <w:fldChar w:fldCharType="separate"/>
      </w:r>
      <w:r w:rsidRPr="00933AAA">
        <w:rPr>
          <w:noProof/>
        </w:rPr>
        <w:t xml:space="preserve">Giesbrecht </w:t>
      </w:r>
      <w:r w:rsidRPr="0030513F">
        <w:rPr>
          <w:i/>
          <w:iCs/>
          <w:noProof/>
        </w:rPr>
        <w:t>et al</w:t>
      </w:r>
      <w:r w:rsidRPr="00933AAA">
        <w:rPr>
          <w:noProof/>
        </w:rPr>
        <w:t>., 1998</w:t>
      </w:r>
      <w:r>
        <w:fldChar w:fldCharType="end"/>
      </w:r>
      <w:r>
        <w:t>.</w:t>
      </w:r>
      <w:r w:rsidRPr="00C13736">
        <w:t xml:space="preserve"> </w:t>
      </w:r>
    </w:p>
    <w:p w14:paraId="2E38A54B" w14:textId="2CD5361D" w:rsidR="002913AD" w:rsidRDefault="00096789" w:rsidP="002913AD">
      <w:pPr>
        <w:pStyle w:val="Heading3"/>
      </w:pPr>
      <w:bookmarkStart w:id="707" w:name="_Toc90216901"/>
      <w:r>
        <w:lastRenderedPageBreak/>
        <w:t>Aims of this chapter</w:t>
      </w:r>
      <w:r w:rsidR="007006CC">
        <w:t>.</w:t>
      </w:r>
      <w:bookmarkEnd w:id="707"/>
    </w:p>
    <w:p w14:paraId="296AE09E" w14:textId="1177D5C2" w:rsidR="008E4757" w:rsidRDefault="00DB7554" w:rsidP="002913AD">
      <w:r>
        <w:t xml:space="preserve">The aim of this chapter was to </w:t>
      </w:r>
      <w:r w:rsidR="00DA043A">
        <w:t xml:space="preserve">test our model of bacterial life and death based on cell wall peptidoglycan homeostasis. In particular, </w:t>
      </w:r>
      <w:r>
        <w:t xml:space="preserve">the versatility </w:t>
      </w:r>
      <w:r w:rsidR="00CB4EE9">
        <w:t>offered</w:t>
      </w:r>
      <w:r>
        <w:t xml:space="preserve"> by electron microscopy to further study the morphological changes caused by the actions of bactericidal cell wall antibiotics</w:t>
      </w:r>
      <w:r w:rsidR="00DA043A">
        <w:t xml:space="preserve"> was </w:t>
      </w:r>
      <w:r w:rsidR="00D62CB3">
        <w:t>investigated</w:t>
      </w:r>
      <w:r>
        <w:t>.</w:t>
      </w:r>
      <w:r w:rsidR="00CB4EE9">
        <w:t xml:space="preserve"> </w:t>
      </w:r>
    </w:p>
    <w:p w14:paraId="0333D2E0" w14:textId="0437C5F9" w:rsidR="008E4757" w:rsidRDefault="008E4757" w:rsidP="002913AD">
      <w:r>
        <w:t>Specific aims:</w:t>
      </w:r>
    </w:p>
    <w:p w14:paraId="6AB29A40" w14:textId="725EDF4A" w:rsidR="008E4757" w:rsidRDefault="008E4757" w:rsidP="00A13E6F">
      <w:pPr>
        <w:pStyle w:val="ListParagraph"/>
        <w:numPr>
          <w:ilvl w:val="0"/>
          <w:numId w:val="6"/>
        </w:numPr>
      </w:pPr>
      <w:r>
        <w:t xml:space="preserve">Describe morphological </w:t>
      </w:r>
      <w:r w:rsidR="0071230A">
        <w:t>dynamics as a result of</w:t>
      </w:r>
      <w:r>
        <w:t xml:space="preserve"> vancomycin and methicillin</w:t>
      </w:r>
      <w:r w:rsidR="0071230A">
        <w:t xml:space="preserve"> treatment</w:t>
      </w:r>
      <w:r>
        <w:t>.</w:t>
      </w:r>
    </w:p>
    <w:p w14:paraId="3CA9154A" w14:textId="77777777" w:rsidR="004A405C" w:rsidRDefault="004A405C" w:rsidP="004A405C">
      <w:pPr>
        <w:pStyle w:val="ListParagraph"/>
        <w:ind w:left="720"/>
      </w:pPr>
    </w:p>
    <w:p w14:paraId="45304AF2" w14:textId="0D0BDD54" w:rsidR="004A405C" w:rsidRDefault="00E70DE1" w:rsidP="004A405C">
      <w:pPr>
        <w:pStyle w:val="ListParagraph"/>
        <w:numPr>
          <w:ilvl w:val="0"/>
          <w:numId w:val="6"/>
        </w:numPr>
      </w:pPr>
      <w:r>
        <w:t xml:space="preserve">Elucidate cell wall changes during the bactericidal action of </w:t>
      </w:r>
      <w:r w:rsidR="008A2568">
        <w:t>antibiotics</w:t>
      </w:r>
      <w:r>
        <w:t>.</w:t>
      </w:r>
    </w:p>
    <w:p w14:paraId="21AEAD05" w14:textId="77777777" w:rsidR="004A405C" w:rsidRDefault="004A405C" w:rsidP="004A405C">
      <w:pPr>
        <w:pStyle w:val="ListParagraph"/>
        <w:ind w:left="720"/>
      </w:pPr>
    </w:p>
    <w:p w14:paraId="64387C3F" w14:textId="0E29E5A8" w:rsidR="004A405C" w:rsidRDefault="00E70DE1" w:rsidP="004A405C">
      <w:pPr>
        <w:pStyle w:val="ListParagraph"/>
        <w:numPr>
          <w:ilvl w:val="0"/>
          <w:numId w:val="6"/>
        </w:numPr>
      </w:pPr>
      <w:r>
        <w:t xml:space="preserve">Develop a model for how cell wall antibiotics kill </w:t>
      </w:r>
      <w:r>
        <w:rPr>
          <w:i/>
          <w:iCs/>
        </w:rPr>
        <w:t>S. aureus</w:t>
      </w:r>
      <w:r>
        <w:t>.</w:t>
      </w:r>
    </w:p>
    <w:p w14:paraId="1A2A4F7F" w14:textId="77777777" w:rsidR="004A405C" w:rsidRDefault="004A405C" w:rsidP="004A405C">
      <w:pPr>
        <w:pStyle w:val="ListParagraph"/>
        <w:ind w:left="720"/>
      </w:pPr>
    </w:p>
    <w:p w14:paraId="394541B7" w14:textId="77777777" w:rsidR="002B7D0A" w:rsidRDefault="00E70DE1" w:rsidP="00EB647F">
      <w:pPr>
        <w:pStyle w:val="ListParagraph"/>
        <w:numPr>
          <w:ilvl w:val="0"/>
          <w:numId w:val="6"/>
        </w:numPr>
        <w:spacing w:line="360" w:lineRule="auto"/>
        <w:sectPr w:rsidR="002B7D0A" w:rsidSect="004D0E05">
          <w:pgSz w:w="11906" w:h="16838"/>
          <w:pgMar w:top="1191" w:right="1247" w:bottom="1191" w:left="1247" w:header="709" w:footer="709" w:gutter="0"/>
          <w:cols w:space="708"/>
          <w:titlePg/>
          <w:docGrid w:linePitch="360"/>
        </w:sectPr>
      </w:pPr>
      <w:r>
        <w:t>Establish the molecular basis for our model of life and death due to peptidoglycan homeostasis.</w:t>
      </w:r>
    </w:p>
    <w:p w14:paraId="76F94DF5" w14:textId="0A89B8DA" w:rsidR="00182281" w:rsidRDefault="004B0C7E" w:rsidP="00FB36A2">
      <w:pPr>
        <w:pStyle w:val="Heading2"/>
      </w:pPr>
      <w:bookmarkStart w:id="708" w:name="_Toc64276384"/>
      <w:bookmarkStart w:id="709" w:name="_Toc64276688"/>
      <w:bookmarkStart w:id="710" w:name="_Toc64276900"/>
      <w:bookmarkStart w:id="711" w:name="_Ref69035013"/>
      <w:bookmarkStart w:id="712" w:name="_Toc90216902"/>
      <w:r w:rsidRPr="005B0F81">
        <w:lastRenderedPageBreak/>
        <w:t>Antibiotic effect on cell morphology as seen by TEM</w:t>
      </w:r>
      <w:bookmarkEnd w:id="708"/>
      <w:bookmarkEnd w:id="709"/>
      <w:bookmarkEnd w:id="710"/>
      <w:bookmarkEnd w:id="711"/>
      <w:r w:rsidR="007006CC">
        <w:t>.</w:t>
      </w:r>
      <w:bookmarkEnd w:id="712"/>
    </w:p>
    <w:p w14:paraId="75CED4C8" w14:textId="7DE30A42" w:rsidR="00991EB0" w:rsidRDefault="00991EB0" w:rsidP="00991EB0">
      <w:r>
        <w:t xml:space="preserve">Methicillin and </w:t>
      </w:r>
      <w:r w:rsidR="00547445">
        <w:t>v</w:t>
      </w:r>
      <w:r>
        <w:t xml:space="preserve">ancomycin were the CW antibiotics chosen for this study, a representative </w:t>
      </w:r>
      <w:r>
        <w:rPr>
          <w:lang w:val="el-GR"/>
        </w:rPr>
        <w:t>β</w:t>
      </w:r>
      <w:r>
        <w:t xml:space="preserve">-lactam and glycopeptide, respectively. Initially, </w:t>
      </w:r>
      <w:r>
        <w:rPr>
          <w:i/>
          <w:iCs/>
        </w:rPr>
        <w:t>S. aureus</w:t>
      </w:r>
      <w:r>
        <w:t xml:space="preserve"> SH1000 (SJF 682) was used as this is a well characterised, genetically amenable strain.</w:t>
      </w:r>
    </w:p>
    <w:p w14:paraId="4826065C" w14:textId="573B670F" w:rsidR="00991EB0" w:rsidRDefault="00991EB0" w:rsidP="008B52BB">
      <w:r>
        <w:rPr>
          <w:i/>
          <w:iCs/>
        </w:rPr>
        <w:t>S. aureus</w:t>
      </w:r>
      <w:r>
        <w:t xml:space="preserve"> SH1000 was grown to an early-exponential phase (OD</w:t>
      </w:r>
      <w:r w:rsidRPr="006035BC">
        <w:rPr>
          <w:vertAlign w:val="subscript"/>
        </w:rPr>
        <w:t>600</w:t>
      </w:r>
      <w:r>
        <w:t xml:space="preserve"> ~0.2-0.4) using standard growth conditions (</w:t>
      </w:r>
      <w:r w:rsidR="004D2A60">
        <w:t>section</w:t>
      </w:r>
      <w:r>
        <w:t xml:space="preserve"> </w:t>
      </w:r>
      <w:r>
        <w:fldChar w:fldCharType="begin"/>
      </w:r>
      <w:r>
        <w:instrText xml:space="preserve"> REF _Ref64391429 \r \h </w:instrText>
      </w:r>
      <w:r>
        <w:fldChar w:fldCharType="separate"/>
      </w:r>
      <w:r w:rsidR="00183CC8">
        <w:t>2.11.1</w:t>
      </w:r>
      <w:r>
        <w:fldChar w:fldCharType="end"/>
      </w:r>
      <w:r>
        <w:t xml:space="preserve">), after which 40 µg/ml (10 x MIC) methicillin </w:t>
      </w:r>
      <w:r w:rsidR="00902FD2">
        <w:t>and/</w:t>
      </w:r>
      <w:r>
        <w:t xml:space="preserve">or vancomycin </w:t>
      </w:r>
      <w:r w:rsidR="00902FD2">
        <w:t>were</w:t>
      </w:r>
      <w:r>
        <w:t xml:space="preserve"> added (</w:t>
      </w:r>
      <w:r w:rsidR="00F46969">
        <w:t>section</w:t>
      </w:r>
      <w:r>
        <w:t xml:space="preserve"> </w:t>
      </w:r>
      <w:r>
        <w:rPr>
          <w:highlight w:val="yellow"/>
        </w:rPr>
        <w:fldChar w:fldCharType="begin"/>
      </w:r>
      <w:r>
        <w:instrText xml:space="preserve"> REF _Ref68879829 \r \h </w:instrText>
      </w:r>
      <w:r>
        <w:rPr>
          <w:highlight w:val="yellow"/>
        </w:rPr>
      </w:r>
      <w:r>
        <w:rPr>
          <w:highlight w:val="yellow"/>
        </w:rPr>
        <w:fldChar w:fldCharType="separate"/>
      </w:r>
      <w:r w:rsidR="00183CC8">
        <w:t>2.8</w:t>
      </w:r>
      <w:r>
        <w:rPr>
          <w:highlight w:val="yellow"/>
        </w:rPr>
        <w:fldChar w:fldCharType="end"/>
      </w:r>
      <w:r>
        <w:t>). Survival curves were used to analyse the killing dynamics of these antibiotics, via quantification of colony forming units (CFU) at hourly timepoints after addition of antibiotics (</w:t>
      </w:r>
      <w:r w:rsidR="00F46969">
        <w:t>sections</w:t>
      </w:r>
      <w:r>
        <w:t xml:space="preserve"> </w:t>
      </w:r>
      <w:r>
        <w:fldChar w:fldCharType="begin"/>
      </w:r>
      <w:r>
        <w:instrText xml:space="preserve"> REF _Ref71568363 \r \h </w:instrText>
      </w:r>
      <w:r>
        <w:fldChar w:fldCharType="separate"/>
      </w:r>
      <w:r w:rsidR="00183CC8">
        <w:t>2.15</w:t>
      </w:r>
      <w:r>
        <w:fldChar w:fldCharType="end"/>
      </w:r>
      <w:r>
        <w:t xml:space="preserve"> and </w:t>
      </w:r>
      <w:r>
        <w:fldChar w:fldCharType="begin"/>
      </w:r>
      <w:r>
        <w:instrText xml:space="preserve"> REF _Ref71568368 \r \h </w:instrText>
      </w:r>
      <w:r>
        <w:fldChar w:fldCharType="separate"/>
      </w:r>
      <w:r w:rsidR="00183CC8">
        <w:t>2.13.2</w:t>
      </w:r>
      <w:r>
        <w:fldChar w:fldCharType="end"/>
      </w:r>
      <w:r>
        <w:t>).</w:t>
      </w:r>
    </w:p>
    <w:p w14:paraId="1E5701C8" w14:textId="677F4215" w:rsidR="00671BFA" w:rsidRDefault="008B52BB" w:rsidP="008B52BB">
      <w:r>
        <w:t xml:space="preserve">The addition of </w:t>
      </w:r>
      <w:r w:rsidR="006F3D5C">
        <w:t xml:space="preserve">the </w:t>
      </w:r>
      <w:r>
        <w:t xml:space="preserve">bactericidal antibiotics methicillin and vancomycin </w:t>
      </w:r>
      <w:r w:rsidR="0002403D">
        <w:t>results in</w:t>
      </w:r>
      <w:r>
        <w:t xml:space="preserve"> 97</w:t>
      </w:r>
      <w:r w:rsidR="00A12293">
        <w:t> </w:t>
      </w:r>
      <w:r>
        <w:t>±</w:t>
      </w:r>
      <w:r w:rsidR="00A12293">
        <w:t> </w:t>
      </w:r>
      <w:r>
        <w:t>2</w:t>
      </w:r>
      <w:r w:rsidR="00DB18D3">
        <w:t> %</w:t>
      </w:r>
      <w:r>
        <w:t xml:space="preserve"> and 93</w:t>
      </w:r>
      <w:r w:rsidR="00A12293">
        <w:t> </w:t>
      </w:r>
      <w:r>
        <w:t>±</w:t>
      </w:r>
      <w:r w:rsidR="00A12293">
        <w:t> </w:t>
      </w:r>
      <w:r>
        <w:t>5 % death after 6 h, respectively</w:t>
      </w:r>
      <w:r w:rsidR="00014254">
        <w:t xml:space="preserve">, and the </w:t>
      </w:r>
      <w:r w:rsidR="00D75126">
        <w:t>former</w:t>
      </w:r>
      <w:r w:rsidR="00014254">
        <w:t xml:space="preserve"> presents a</w:t>
      </w:r>
      <w:r w:rsidR="00F952FB">
        <w:t>n overall</w:t>
      </w:r>
      <w:r w:rsidR="00014254">
        <w:t xml:space="preserve"> higher mortality rate</w:t>
      </w:r>
      <w:r>
        <w:t xml:space="preserve"> (</w:t>
      </w:r>
      <w:r>
        <w:fldChar w:fldCharType="begin"/>
      </w:r>
      <w:r>
        <w:instrText xml:space="preserve"> REF _Ref68881389 \h </w:instrText>
      </w:r>
      <w:r>
        <w:fldChar w:fldCharType="separate"/>
      </w:r>
      <w:r w:rsidR="00183CC8">
        <w:t xml:space="preserve">Figure </w:t>
      </w:r>
      <w:r w:rsidR="00183CC8">
        <w:rPr>
          <w:noProof/>
        </w:rPr>
        <w:t>5</w:t>
      </w:r>
      <w:r w:rsidR="00183CC8">
        <w:t>.</w:t>
      </w:r>
      <w:r w:rsidR="00183CC8">
        <w:rPr>
          <w:noProof/>
        </w:rPr>
        <w:t>4</w:t>
      </w:r>
      <w:r>
        <w:fldChar w:fldCharType="end"/>
      </w:r>
      <w:r w:rsidR="00D55B5F">
        <w:t xml:space="preserve">; </w:t>
      </w:r>
      <w:r w:rsidR="00AF0F1F">
        <w:t xml:space="preserve">methicillin </w:t>
      </w:r>
      <w:r w:rsidR="00AF0F1F" w:rsidRPr="00486B0A">
        <w:rPr>
          <w:i/>
          <w:iCs/>
        </w:rPr>
        <w:t>vs</w:t>
      </w:r>
      <w:r w:rsidR="00486B0A">
        <w:rPr>
          <w:i/>
          <w:iCs/>
        </w:rPr>
        <w:t>.</w:t>
      </w:r>
      <w:r w:rsidR="00AF0F1F">
        <w:t xml:space="preserve"> vancomycin </w:t>
      </w:r>
      <w:r w:rsidR="00981E6B">
        <w:t>p = 0.00</w:t>
      </w:r>
      <w:r w:rsidR="00EE0D38">
        <w:t>32</w:t>
      </w:r>
      <w:r w:rsidR="00981E6B">
        <w:t>)</w:t>
      </w:r>
      <w:r w:rsidR="00494688">
        <w:t xml:space="preserve"> </w:t>
      </w:r>
      <w:r w:rsidR="00494688">
        <w:fldChar w:fldCharType="begin" w:fldLock="1"/>
      </w:r>
      <w:r w:rsidR="004F7E11">
        <w:instrText>ADDIN CSL_CITATION {"citationItems":[{"id":"ITEM-1","itemData":{"DOI":"10.1073/pnas.2106022118","ISSN":"1091-6490","PMID":"34716264","abstract":"Bacterial cell wall peptidoglycan is essential, maintaining both cellular integrity and morphology, in the face of internal turgor pressure. Peptidoglycan synthesis is important, as it is targeted by cell wall antibiotics, including methicillin and vancomycin. Here, we have used the major human pathogen Staphylococcus aureus to elucidate both the cell wall dynamic processes essential for growth (life) and the bactericidal effects of cell wall antibiotics (death) based on the principle of coordinated peptidoglycan synthesis and hydrolysis. The death of S. aureus due to depletion of the essential, two-component and positive regulatory system for peptidoglycan hydrolase activity (WalKR) is prevented by addition of otherwise bactericidal cell wall antibiotics, resulting in stasis. In contrast, cell wall antibiotics kill via the activity of peptidoglycan hydrolases in the absence of concomitant synthesis. Both methicillin and vancomycin treatment lead to the appearance of perforating holes throughout the cell wall due to peptidoglycan hydrolases. Methicillin alone also results in plasmolysis and misshapen septa with the involvement of the major peptidoglycan hydrolase Atl, a process that is inhibited by vancomycin. The bactericidal effect of vancomycin involves the peptidoglycan hydrolase SagB. In the presence of cell wall antibiotics, the inhibition of peptidoglycan hydrolase activity using the inhibitor complestatin results in reduced killing, while, conversely, the deregulation of hydrolase activity via loss of wall teichoic acids increases the death rate. For S. aureus, the independent regulation of cell wall synthesis and hydrolysis can lead to cell growth, death, or stasis, with implications for the development of new control regimes for this important pathogen.","author":[{"dropping-particle":"","family":"Salamaga","given":"Bartłomiej","non-dropping-particle":"","parse-names":false,"suffix":""},{"dropping-particle":"","family":"Kong","given":"Lingyuan","non-dropping-particle":"","parse-names":false,"suffix":""},{"dropping-particle":"","family":"Pasquina-Lemonche","given":"Laia","non-dropping-particle":"","parse-names":false,"suffix":""},{"dropping-particle":"","family":"Lafage","given":"Lucia","non-dropping-particle":"","parse-names":false,"suffix":""},{"dropping-particle":"","family":"Und Zur Muhlen","given":"Milena","non-dropping-particle":"von","parse-names":false,"suffix":""},{"dropping-particle":"","family":"Gibson","given":"Josie F","non-dropping-particle":"","parse-names":false,"suffix":""},{"dropping-particle":"","family":"Grybchuk","given":"Danyil","non-dropping-particle":"","parse-names":false,"suffix":""},{"dropping-particle":"","family":"Tooke","given":"Amy K","non-dropping-particle":"","parse-names":false,"suffix":""},{"dropping-particle":"","family":"Panchal","given":"Viralkumar","non-dropping-particle":"","parse-names":false,"suffix":""},{"dropping-particle":"","family":"Culp","given":"Elizabeth J","non-dropping-particle":"","parse-names":false,"suffix":""},{"dropping-particle":"","family":"Tatham","given":"Elizabeth","non-dropping-particle":"","parse-names":false,"suffix":""},{"dropping-particle":"","family":"O'Kane","given":"Mary E","non-dropping-particle":"","parse-names":false,"suffix":""},{"dropping-particle":"","family":"Catley","given":"Thomas E","non-dropping-particle":"","parse-names":false,"suffix":""},{"dropping-particle":"","family":"Renshaw","given":"Stephen A","non-dropping-particle":"","parse-names":false,"suffix":""},{"dropping-particle":"","family":"Wright","given":"Gerard D","non-dropping-particle":"","parse-names":false,"suffix":""},{"dropping-particle":"","family":"Plevka","given":"Pavel","non-dropping-particle":"","parse-names":false,"suffix":""},{"dropping-particle":"","family":"Bullough","given":"Per A","non-dropping-particle":"","parse-names":false,"suffix":""},{"dropping-particle":"","family":"Han","given":"Aidong","non-dropping-particle":"","parse-names":false,"suffix":""},{"dropping-particle":"","family":"Hobbs","given":"Jamie K","non-dropping-particle":"","parse-names":false,"suffix":""},{"dropping-particle":"","family":"Foster","given":"Simon J","non-dropping-particle":"","parse-names":false,"suffix":""}],"container-title":"Proceedings of the National Academy of Sciences of the United States of America","id":"ITEM-1","issue":"44","issued":{"date-parts":[["2021","11","2"]]},"page":"1-8","publisher":"National Academy of Sciences","title":"Demonstration of the role of cell wall homeostasis in Staphylococcus aureus growth and the action of bactericidal antibiotics.","type":"article-journal","volume":"118"},"uris":["http://www.mendeley.com/documents/?uuid=9f3bf1ae-65de-4943-a7a8-62e0e140e346"]}],"mendeley":{"formattedCitation":"&lt;sup&gt;[247]&lt;/sup&gt;","plainTextFormattedCitation":"[247]","previouslyFormattedCitation":"&lt;sup&gt;[247]&lt;/sup&gt;"},"properties":{"noteIndex":0},"schema":"https://github.com/citation-style-language/schema/raw/master/csl-citation.json"}</w:instrText>
      </w:r>
      <w:r w:rsidR="00494688">
        <w:fldChar w:fldCharType="separate"/>
      </w:r>
      <w:r w:rsidR="009D34AE" w:rsidRPr="009D34AE">
        <w:rPr>
          <w:noProof/>
          <w:vertAlign w:val="superscript"/>
        </w:rPr>
        <w:t>[247]</w:t>
      </w:r>
      <w:r w:rsidR="00494688">
        <w:fldChar w:fldCharType="end"/>
      </w:r>
      <w:r>
        <w:t>.</w:t>
      </w:r>
      <w:r w:rsidR="00E6331E">
        <w:t xml:space="preserve"> </w:t>
      </w:r>
      <w:r w:rsidR="00A37AAA">
        <w:t>T</w:t>
      </w:r>
      <w:r w:rsidR="00E6331E">
        <w:t xml:space="preserve">he addition of both antibiotics simultaneously caused a </w:t>
      </w:r>
      <w:r w:rsidR="00D03E37">
        <w:t xml:space="preserve">92 ± 4 % death after 6 h, </w:t>
      </w:r>
      <w:r w:rsidR="00EE0D38">
        <w:t>closer to</w:t>
      </w:r>
      <w:r w:rsidR="00E6331E">
        <w:t xml:space="preserve"> the bactericidal effect </w:t>
      </w:r>
      <w:r w:rsidR="00EE0D38">
        <w:t>of</w:t>
      </w:r>
      <w:r w:rsidR="00E6331E">
        <w:t xml:space="preserve"> vancomycin</w:t>
      </w:r>
      <w:r w:rsidR="00014254">
        <w:t xml:space="preserve"> alone. I</w:t>
      </w:r>
      <w:r w:rsidR="00714BA5">
        <w:t xml:space="preserve">t was decided to use the 1 h timepoint after addition of </w:t>
      </w:r>
      <w:r w:rsidR="002B64A2">
        <w:t>antibiotics</w:t>
      </w:r>
      <w:r w:rsidR="00714BA5">
        <w:t xml:space="preserve"> for </w:t>
      </w:r>
      <w:r w:rsidR="002B64A2">
        <w:t xml:space="preserve">the subsequent </w:t>
      </w:r>
      <w:r w:rsidR="00714BA5">
        <w:t xml:space="preserve">analysis of the morphological impact of these </w:t>
      </w:r>
      <w:r w:rsidR="00E9766A">
        <w:t>drugs</w:t>
      </w:r>
      <w:r w:rsidR="00714BA5">
        <w:t>.</w:t>
      </w:r>
      <w:r w:rsidR="002B64A2">
        <w:t xml:space="preserve"> Th</w:t>
      </w:r>
      <w:r w:rsidR="00231FC8">
        <w:t>i</w:t>
      </w:r>
      <w:r w:rsidR="002B64A2">
        <w:t>s reduc</w:t>
      </w:r>
      <w:r w:rsidR="00231FC8">
        <w:t>ed</w:t>
      </w:r>
      <w:r w:rsidR="002B64A2">
        <w:t xml:space="preserve"> the loss of dead cells </w:t>
      </w:r>
      <w:r w:rsidR="00AD4DD6">
        <w:t xml:space="preserve">at this early timepoint </w:t>
      </w:r>
      <w:r w:rsidR="002B64A2">
        <w:t>whil</w:t>
      </w:r>
      <w:r w:rsidR="00231FC8">
        <w:t>st</w:t>
      </w:r>
      <w:r w:rsidR="002B64A2">
        <w:t xml:space="preserve"> maximising </w:t>
      </w:r>
      <w:r w:rsidR="004B6B30">
        <w:t xml:space="preserve">the </w:t>
      </w:r>
      <w:r w:rsidR="00231FC8">
        <w:t>observation of</w:t>
      </w:r>
      <w:r w:rsidR="004B6B30">
        <w:t xml:space="preserve"> differential morphological changes of </w:t>
      </w:r>
      <w:r w:rsidR="00AC3A85">
        <w:t>antibiotic</w:t>
      </w:r>
      <w:r w:rsidR="00305224">
        <w:t>-</w:t>
      </w:r>
      <w:r w:rsidR="004B6B30">
        <w:t>treated cells.</w:t>
      </w:r>
    </w:p>
    <w:p w14:paraId="0AEC0A56" w14:textId="4C44C2A3" w:rsidR="00671BFA" w:rsidRPr="001479D0" w:rsidRDefault="00671BFA" w:rsidP="00671BFA">
      <w:r>
        <w:t xml:space="preserve">To determine the morphological effect of antibiotics, SIM and TEM was used so as to obtain cell volume and a detailed analysis of the bacterial cell envelope respectively. Given the large number of samples and treatments planned, chemical fixation was chosen as the fastest and most efficient </w:t>
      </w:r>
      <w:r w:rsidR="00110577">
        <w:t>T</w:t>
      </w:r>
      <w:r>
        <w:t>EM technique for this purpose (</w:t>
      </w:r>
      <w:r w:rsidR="00965149">
        <w:t xml:space="preserve">as described in sections </w:t>
      </w:r>
      <w:r>
        <w:fldChar w:fldCharType="begin"/>
      </w:r>
      <w:r>
        <w:instrText xml:space="preserve"> REF _Ref71998339 \r \h </w:instrText>
      </w:r>
      <w:r>
        <w:fldChar w:fldCharType="separate"/>
      </w:r>
      <w:r w:rsidR="00183CC8">
        <w:t>3.3</w:t>
      </w:r>
      <w:r>
        <w:fldChar w:fldCharType="end"/>
      </w:r>
      <w:r>
        <w:t xml:space="preserve"> and </w:t>
      </w:r>
      <w:r>
        <w:fldChar w:fldCharType="begin"/>
      </w:r>
      <w:r>
        <w:instrText xml:space="preserve"> REF _Ref76149103 \r \h </w:instrText>
      </w:r>
      <w:r>
        <w:fldChar w:fldCharType="separate"/>
      </w:r>
      <w:r w:rsidR="00183CC8">
        <w:t>3.6</w:t>
      </w:r>
      <w:r>
        <w:fldChar w:fldCharType="end"/>
      </w:r>
      <w:r>
        <w:t xml:space="preserve">). After 1 h in the presence of antibiotics, cells were harvested by centrifugation, washed and fixed with PFA </w:t>
      </w:r>
      <w:r w:rsidR="00352C32">
        <w:t xml:space="preserve">(section </w:t>
      </w:r>
      <w:r w:rsidR="00352C32">
        <w:fldChar w:fldCharType="begin"/>
      </w:r>
      <w:r w:rsidR="00352C32">
        <w:instrText xml:space="preserve"> REF _Ref68880332 \r \h </w:instrText>
      </w:r>
      <w:r w:rsidR="00352C32">
        <w:fldChar w:fldCharType="separate"/>
      </w:r>
      <w:r w:rsidR="00183CC8">
        <w:t>2.11.4</w:t>
      </w:r>
      <w:r w:rsidR="00352C32">
        <w:fldChar w:fldCharType="end"/>
      </w:r>
      <w:r w:rsidR="00352C32">
        <w:t xml:space="preserve">) </w:t>
      </w:r>
      <w:r>
        <w:t>before carrying out SIM preparation (</w:t>
      </w:r>
      <w:r w:rsidR="00352C32">
        <w:t>section</w:t>
      </w:r>
      <w:r>
        <w:t xml:space="preserve"> </w:t>
      </w:r>
      <w:r>
        <w:fldChar w:fldCharType="begin"/>
      </w:r>
      <w:r>
        <w:instrText xml:space="preserve"> REF _Ref71568625 \r \h </w:instrText>
      </w:r>
      <w:r>
        <w:fldChar w:fldCharType="separate"/>
      </w:r>
      <w:r w:rsidR="00183CC8">
        <w:t>2.18.2</w:t>
      </w:r>
      <w:r>
        <w:fldChar w:fldCharType="end"/>
      </w:r>
      <w:r>
        <w:t xml:space="preserve">) or standard chemical fixation </w:t>
      </w:r>
      <w:r w:rsidR="00CB31AF">
        <w:t xml:space="preserve">for TEM </w:t>
      </w:r>
      <w:r>
        <w:t>(</w:t>
      </w:r>
      <w:r w:rsidR="00352C32">
        <w:t>sectio</w:t>
      </w:r>
      <w:r w:rsidR="00363488">
        <w:t>n</w:t>
      </w:r>
      <w:r>
        <w:t xml:space="preserve"> </w:t>
      </w:r>
      <w:r>
        <w:fldChar w:fldCharType="begin"/>
      </w:r>
      <w:r>
        <w:instrText xml:space="preserve"> REF _Ref68880332 \r \h </w:instrText>
      </w:r>
      <w:r>
        <w:fldChar w:fldCharType="separate"/>
      </w:r>
      <w:r w:rsidR="00183CC8">
        <w:t>2.11.4</w:t>
      </w:r>
      <w:r>
        <w:fldChar w:fldCharType="end"/>
      </w:r>
      <w:r>
        <w:t xml:space="preserve"> and </w:t>
      </w:r>
      <w:r>
        <w:fldChar w:fldCharType="begin"/>
      </w:r>
      <w:r>
        <w:instrText xml:space="preserve"> REF _Ref68879315 \r \h </w:instrText>
      </w:r>
      <w:r>
        <w:fldChar w:fldCharType="separate"/>
      </w:r>
      <w:r w:rsidR="00183CC8">
        <w:t>2.20.1</w:t>
      </w:r>
      <w:r>
        <w:fldChar w:fldCharType="end"/>
      </w:r>
      <w:r>
        <w:t xml:space="preserve">). Ultra-thin sections were obtained for </w:t>
      </w:r>
      <w:r w:rsidR="0067647E">
        <w:t>the latter</w:t>
      </w:r>
      <w:r>
        <w:t xml:space="preserve">, </w:t>
      </w:r>
      <w:r w:rsidR="0067647E">
        <w:t xml:space="preserve">and these were </w:t>
      </w:r>
      <w:r>
        <w:t>post-stained and imaged as previously described (</w:t>
      </w:r>
      <w:r w:rsidR="00363488">
        <w:t>section</w:t>
      </w:r>
      <w:r>
        <w:t xml:space="preserve"> </w:t>
      </w:r>
      <w:r>
        <w:fldChar w:fldCharType="begin"/>
      </w:r>
      <w:r>
        <w:instrText xml:space="preserve"> REF _Ref68881712 \r \h </w:instrText>
      </w:r>
      <w:r>
        <w:fldChar w:fldCharType="separate"/>
      </w:r>
      <w:r w:rsidR="00183CC8">
        <w:t>2.20.5</w:t>
      </w:r>
      <w:r>
        <w:fldChar w:fldCharType="end"/>
      </w:r>
      <w:r>
        <w:t xml:space="preserve">, </w:t>
      </w:r>
      <w:r>
        <w:fldChar w:fldCharType="begin"/>
      </w:r>
      <w:r>
        <w:instrText xml:space="preserve"> REF _Ref64373177 \r \h </w:instrText>
      </w:r>
      <w:r>
        <w:fldChar w:fldCharType="separate"/>
      </w:r>
      <w:r w:rsidR="00183CC8">
        <w:t>2.20.6</w:t>
      </w:r>
      <w:r>
        <w:fldChar w:fldCharType="end"/>
      </w:r>
      <w:r>
        <w:t xml:space="preserve"> and </w:t>
      </w:r>
      <w:r>
        <w:fldChar w:fldCharType="begin"/>
      </w:r>
      <w:r>
        <w:instrText xml:space="preserve"> REF _Ref68881841 \r \h </w:instrText>
      </w:r>
      <w:r>
        <w:fldChar w:fldCharType="separate"/>
      </w:r>
      <w:r w:rsidR="00183CC8">
        <w:t>2.20.7</w:t>
      </w:r>
      <w:r>
        <w:fldChar w:fldCharType="end"/>
      </w:r>
      <w:r>
        <w:t>). Cell volume estimation and morphological quantification is described in</w:t>
      </w:r>
      <w:r w:rsidR="00B717D2">
        <w:t xml:space="preserve"> detail</w:t>
      </w:r>
      <w:r w:rsidR="00071C66">
        <w:t xml:space="preserve"> in</w:t>
      </w:r>
      <w:r>
        <w:t xml:space="preserve"> </w:t>
      </w:r>
      <w:r w:rsidR="00965149">
        <w:t>sections</w:t>
      </w:r>
      <w:r>
        <w:t xml:space="preserve"> </w:t>
      </w:r>
      <w:r>
        <w:fldChar w:fldCharType="begin"/>
      </w:r>
      <w:r>
        <w:instrText xml:space="preserve"> REF _Ref71568732 \r \h </w:instrText>
      </w:r>
      <w:r>
        <w:fldChar w:fldCharType="separate"/>
      </w:r>
      <w:r w:rsidR="00183CC8">
        <w:t>2.18.5</w:t>
      </w:r>
      <w:r>
        <w:fldChar w:fldCharType="end"/>
      </w:r>
      <w:r>
        <w:t xml:space="preserve"> and </w:t>
      </w:r>
      <w:r>
        <w:fldChar w:fldCharType="begin"/>
      </w:r>
      <w:r>
        <w:instrText xml:space="preserve"> REF _Ref71511245 \r \h </w:instrText>
      </w:r>
      <w:r>
        <w:fldChar w:fldCharType="separate"/>
      </w:r>
      <w:r w:rsidR="00183CC8">
        <w:t>2.20.9</w:t>
      </w:r>
      <w:r>
        <w:fldChar w:fldCharType="end"/>
      </w:r>
      <w:r>
        <w:t>.</w:t>
      </w:r>
    </w:p>
    <w:p w14:paraId="1701FE7F" w14:textId="70739145" w:rsidR="00E15DC6" w:rsidRDefault="00FC61D0" w:rsidP="00E15DC6">
      <w:r>
        <w:t xml:space="preserve">Quantification of the division state of the population </w:t>
      </w:r>
      <w:r w:rsidR="00DC3394">
        <w:t>1 h after treatment</w:t>
      </w:r>
      <w:r w:rsidR="008B02F0">
        <w:t>,</w:t>
      </w:r>
      <w:r w:rsidR="008B52BB">
        <w:t xml:space="preserve"> </w:t>
      </w:r>
      <w:r>
        <w:t xml:space="preserve">presented </w:t>
      </w:r>
      <w:r w:rsidR="008B52BB">
        <w:t>a significant increase of cells without a septum</w:t>
      </w:r>
      <w:r w:rsidR="00CE55BD">
        <w:t xml:space="preserve"> </w:t>
      </w:r>
      <w:r w:rsidR="00633C49">
        <w:t xml:space="preserve">in all antibiotic </w:t>
      </w:r>
      <w:r w:rsidR="008B02F0">
        <w:t>groups</w:t>
      </w:r>
      <w:r w:rsidR="00CE55BD">
        <w:t xml:space="preserve"> (</w:t>
      </w:r>
      <w:r w:rsidR="00CE55BD" w:rsidRPr="006456D2">
        <w:t xml:space="preserve">methicillin *** p = 0.0002; </w:t>
      </w:r>
      <w:r w:rsidR="00CE55BD" w:rsidRPr="006456D2">
        <w:lastRenderedPageBreak/>
        <w:t>vancomycin: *** p = 0.0003; vancomycin + methicillin: *** p = 0.0005</w:t>
      </w:r>
      <w:r w:rsidR="00CE55BD">
        <w:t xml:space="preserve">). This was correlated with </w:t>
      </w:r>
      <w:r w:rsidR="008B52BB">
        <w:t xml:space="preserve">a decrease of complete </w:t>
      </w:r>
      <w:r w:rsidR="00CE55BD">
        <w:t xml:space="preserve">and incomplete </w:t>
      </w:r>
      <w:r w:rsidR="008B52BB">
        <w:t>septa (</w:t>
      </w:r>
      <w:r w:rsidR="00397701">
        <w:fldChar w:fldCharType="begin"/>
      </w:r>
      <w:r w:rsidR="00397701">
        <w:instrText xml:space="preserve"> REF _Ref76388632 \h </w:instrText>
      </w:r>
      <w:r w:rsidR="00397701">
        <w:fldChar w:fldCharType="separate"/>
      </w:r>
      <w:r w:rsidR="00183CC8">
        <w:t xml:space="preserve">Figure </w:t>
      </w:r>
      <w:r w:rsidR="00183CC8">
        <w:rPr>
          <w:noProof/>
        </w:rPr>
        <w:t>5</w:t>
      </w:r>
      <w:r w:rsidR="00183CC8">
        <w:t>.</w:t>
      </w:r>
      <w:r w:rsidR="00183CC8">
        <w:rPr>
          <w:noProof/>
        </w:rPr>
        <w:t>5</w:t>
      </w:r>
      <w:r w:rsidR="00397701">
        <w:fldChar w:fldCharType="end"/>
      </w:r>
      <w:r w:rsidR="008B52BB">
        <w:t>)</w:t>
      </w:r>
      <w:r w:rsidR="008B02F0">
        <w:t>.</w:t>
      </w:r>
      <w:r w:rsidR="008B52BB">
        <w:t xml:space="preserve"> </w:t>
      </w:r>
      <w:r w:rsidR="008B02F0">
        <w:t>This analysis coincides with the expected</w:t>
      </w:r>
      <w:r w:rsidR="008B52BB">
        <w:t xml:space="preserve"> lack of PG synthesis and</w:t>
      </w:r>
      <w:r w:rsidR="000B6BDB">
        <w:t xml:space="preserve"> arrest of</w:t>
      </w:r>
      <w:r w:rsidR="008B52BB">
        <w:t xml:space="preserve"> further division</w:t>
      </w:r>
      <w:r w:rsidR="00757D78">
        <w:t xml:space="preserve"> </w:t>
      </w:r>
      <w:r w:rsidR="00757D78">
        <w:fldChar w:fldCharType="begin" w:fldLock="1"/>
      </w:r>
      <w:r w:rsidR="004F7E11">
        <w:instrText>ADDIN CSL_CITATION {"citationItems":[{"id":"ITEM-1","itemData":{"author":[{"dropping-particle":"","family":"und zur Mühlen","given":"Milena Louise","non-dropping-particle":"von","parse-names":false,"suffix":""}],"id":"ITEM-1","issued":{"date-parts":[["2019"]]},"publisher":"The University of Sheffield","title":"Life and Death: Cell Wall Antibiotic killing of Staphylococcus aureus","type":"thesis"},"uris":["http://www.mendeley.com/documents/?uuid=940981bd-d042-4bac-9611-160139e29821"]},{"id":"ITEM-2","itemData":{"DOI":"10.1073/pnas.2106022118","ISSN":"1091-6490","PMID":"34716264","abstract":"Bacterial cell wall peptidoglycan is essential, maintaining both cellular integrity and morphology, in the face of internal turgor pressure. Peptidoglycan synthesis is important, as it is targeted by cell wall antibiotics, including methicillin and vancomycin. Here, we have used the major human pathogen Staphylococcus aureus to elucidate both the cell wall dynamic processes essential for growth (life) and the bactericidal effects of cell wall antibiotics (death) based on the principle of coordinated peptidoglycan synthesis and hydrolysis. The death of S. aureus due to depletion of the essential, two-component and positive regulatory system for peptidoglycan hydrolase activity (WalKR) is prevented by addition of otherwise bactericidal cell wall antibiotics, resulting in stasis. In contrast, cell wall antibiotics kill via the activity of peptidoglycan hydrolases in the absence of concomitant synthesis. Both methicillin and vancomycin treatment lead to the appearance of perforating holes throughout the cell wall due to peptidoglycan hydrolases. Methicillin alone also results in plasmolysis and misshapen septa with the involvement of the major peptidoglycan hydrolase Atl, a process that is inhibited by vancomycin. The bactericidal effect of vancomycin involves the peptidoglycan hydrolase SagB. In the presence of cell wall antibiotics, the inhibition of peptidoglycan hydrolase activity using the inhibitor complestatin results in reduced killing, while, conversely, the deregulation of hydrolase activity via loss of wall teichoic acids increases the death rate. For S. aureus, the independent regulation of cell wall synthesis and hydrolysis can lead to cell growth, death, or stasis, with implications for the development of new control regimes for this important pathogen.","author":[{"dropping-particle":"","family":"Salamaga","given":"Bartłomiej","non-dropping-particle":"","parse-names":false,"suffix":""},{"dropping-particle":"","family":"Kong","given":"Lingyuan","non-dropping-particle":"","parse-names":false,"suffix":""},{"dropping-particle":"","family":"Pasquina-Lemonche","given":"Laia","non-dropping-particle":"","parse-names":false,"suffix":""},{"dropping-particle":"","family":"Lafage","given":"Lucia","non-dropping-particle":"","parse-names":false,"suffix":""},{"dropping-particle":"","family":"Und Zur Muhlen","given":"Milena","non-dropping-particle":"von","parse-names":false,"suffix":""},{"dropping-particle":"","family":"Gibson","given":"Josie F","non-dropping-particle":"","parse-names":false,"suffix":""},{"dropping-particle":"","family":"Grybchuk","given":"Danyil","non-dropping-particle":"","parse-names":false,"suffix":""},{"dropping-particle":"","family":"Tooke","given":"Amy K","non-dropping-particle":"","parse-names":false,"suffix":""},{"dropping-particle":"","family":"Panchal","given":"Viralkumar","non-dropping-particle":"","parse-names":false,"suffix":""},{"dropping-particle":"","family":"Culp","given":"Elizabeth J","non-dropping-particle":"","parse-names":false,"suffix":""},{"dropping-particle":"","family":"Tatham","given":"Elizabeth","non-dropping-particle":"","parse-names":false,"suffix":""},{"dropping-particle":"","family":"O'Kane","given":"Mary E","non-dropping-particle":"","parse-names":false,"suffix":""},{"dropping-particle":"","family":"Catley","given":"Thomas E","non-dropping-particle":"","parse-names":false,"suffix":""},{"dropping-particle":"","family":"Renshaw","given":"Stephen A","non-dropping-particle":"","parse-names":false,"suffix":""},{"dropping-particle":"","family":"Wright","given":"Gerard D","non-dropping-particle":"","parse-names":false,"suffix":""},{"dropping-particle":"","family":"Plevka","given":"Pavel","non-dropping-particle":"","parse-names":false,"suffix":""},{"dropping-particle":"","family":"Bullough","given":"Per A","non-dropping-particle":"","parse-names":false,"suffix":""},{"dropping-particle":"","family":"Han","given":"Aidong","non-dropping-particle":"","parse-names":false,"suffix":""},{"dropping-particle":"","family":"Hobbs","given":"Jamie K","non-dropping-particle":"","parse-names":false,"suffix":""},{"dropping-particle":"","family":"Foster","given":"Simon J","non-dropping-particle":"","parse-names":false,"suffix":""}],"container-title":"Proceedings of the National Academy of Sciences of the United States of America","id":"ITEM-2","issue":"44","issued":{"date-parts":[["2021","11","2"]]},"page":"1-8","publisher":"National Academy of Sciences","title":"Demonstration of the role of cell wall homeostasis in Staphylococcus aureus growth and the action of bactericidal antibiotics.","type":"article-journal","volume":"118"},"uris":["http://www.mendeley.com/documents/?uuid=9f3bf1ae-65de-4943-a7a8-62e0e140e346"]}],"mendeley":{"formattedCitation":"&lt;sup&gt;[71,247]&lt;/sup&gt;","plainTextFormattedCitation":"[71,247]","previouslyFormattedCitation":"&lt;sup&gt;[71,247]&lt;/sup&gt;"},"properties":{"noteIndex":0},"schema":"https://github.com/citation-style-language/schema/raw/master/csl-citation.json"}</w:instrText>
      </w:r>
      <w:r w:rsidR="00757D78">
        <w:fldChar w:fldCharType="separate"/>
      </w:r>
      <w:r w:rsidR="009D34AE" w:rsidRPr="009D34AE">
        <w:rPr>
          <w:noProof/>
          <w:vertAlign w:val="superscript"/>
        </w:rPr>
        <w:t>[71,247]</w:t>
      </w:r>
      <w:r w:rsidR="00757D78">
        <w:fldChar w:fldCharType="end"/>
      </w:r>
      <w:r w:rsidR="00757D78">
        <w:t xml:space="preserve">. </w:t>
      </w:r>
      <w:r w:rsidR="00E15DC6">
        <w:t>As with the survival analysis described above (</w:t>
      </w:r>
      <w:r w:rsidR="00E15DC6">
        <w:fldChar w:fldCharType="begin"/>
      </w:r>
      <w:r w:rsidR="00E15DC6">
        <w:instrText xml:space="preserve"> REF _Ref68881389 \h </w:instrText>
      </w:r>
      <w:r w:rsidR="00E15DC6">
        <w:fldChar w:fldCharType="separate"/>
      </w:r>
      <w:r w:rsidR="00183CC8">
        <w:t xml:space="preserve">Figure </w:t>
      </w:r>
      <w:r w:rsidR="00183CC8">
        <w:rPr>
          <w:noProof/>
        </w:rPr>
        <w:t>5</w:t>
      </w:r>
      <w:r w:rsidR="00183CC8">
        <w:t>.</w:t>
      </w:r>
      <w:r w:rsidR="00183CC8">
        <w:rPr>
          <w:noProof/>
        </w:rPr>
        <w:t>4</w:t>
      </w:r>
      <w:r w:rsidR="00E15DC6">
        <w:fldChar w:fldCharType="end"/>
      </w:r>
      <w:r w:rsidR="00E15DC6">
        <w:t>), a similar pattern is found in the quantification of the division stages between the use of both antibiotics simultaneously and vancomycin alone (</w:t>
      </w:r>
      <w:r w:rsidR="00E15DC6">
        <w:fldChar w:fldCharType="begin"/>
      </w:r>
      <w:r w:rsidR="00E15DC6">
        <w:instrText xml:space="preserve"> REF _Ref76388632 \h </w:instrText>
      </w:r>
      <w:r w:rsidR="00E15DC6">
        <w:fldChar w:fldCharType="separate"/>
      </w:r>
      <w:r w:rsidR="00183CC8">
        <w:t xml:space="preserve">Figure </w:t>
      </w:r>
      <w:r w:rsidR="00183CC8">
        <w:rPr>
          <w:noProof/>
        </w:rPr>
        <w:t>5</w:t>
      </w:r>
      <w:r w:rsidR="00183CC8">
        <w:t>.</w:t>
      </w:r>
      <w:r w:rsidR="00183CC8">
        <w:rPr>
          <w:noProof/>
        </w:rPr>
        <w:t>5</w:t>
      </w:r>
      <w:r w:rsidR="00E15DC6">
        <w:fldChar w:fldCharType="end"/>
      </w:r>
      <w:r w:rsidR="00E15DC6">
        <w:t>).</w:t>
      </w:r>
    </w:p>
    <w:p w14:paraId="20E6834B" w14:textId="5FA400BF" w:rsidR="008B52BB" w:rsidRDefault="00832796" w:rsidP="008B52BB">
      <w:r>
        <w:t>Cell volume estimation from SIM images showed that</w:t>
      </w:r>
      <w:r w:rsidR="005D6DF5">
        <w:t xml:space="preserve"> methicillin and vancomycin</w:t>
      </w:r>
      <w:r w:rsidR="008B52BB">
        <w:t xml:space="preserve"> </w:t>
      </w:r>
      <w:r w:rsidR="004944FE">
        <w:t>were</w:t>
      </w:r>
      <w:r w:rsidR="008B52BB">
        <w:t xml:space="preserve"> significant</w:t>
      </w:r>
      <w:r w:rsidR="004944FE">
        <w:t>l</w:t>
      </w:r>
      <w:r w:rsidR="00EB5FED">
        <w:t>y</w:t>
      </w:r>
      <w:r w:rsidR="008B52BB">
        <w:t xml:space="preserve"> </w:t>
      </w:r>
      <w:r w:rsidR="004944FE">
        <w:t>bigger</w:t>
      </w:r>
      <w:r w:rsidR="0015676B">
        <w:t xml:space="preserve"> than the control</w:t>
      </w:r>
      <w:r w:rsidR="005D6DF5">
        <w:t xml:space="preserve"> </w:t>
      </w:r>
      <w:r w:rsidR="008B52BB">
        <w:t>(</w:t>
      </w:r>
      <w:r w:rsidR="00791959">
        <w:fldChar w:fldCharType="begin"/>
      </w:r>
      <w:r w:rsidR="00791959">
        <w:instrText xml:space="preserve"> REF _Ref76382959 \h </w:instrText>
      </w:r>
      <w:r w:rsidR="00791959">
        <w:fldChar w:fldCharType="separate"/>
      </w:r>
      <w:r w:rsidR="00183CC8">
        <w:t xml:space="preserve">Figure </w:t>
      </w:r>
      <w:r w:rsidR="00183CC8">
        <w:rPr>
          <w:noProof/>
        </w:rPr>
        <w:t>5</w:t>
      </w:r>
      <w:r w:rsidR="00183CC8">
        <w:t>.</w:t>
      </w:r>
      <w:r w:rsidR="00183CC8">
        <w:rPr>
          <w:noProof/>
        </w:rPr>
        <w:t>6</w:t>
      </w:r>
      <w:r w:rsidR="00791959">
        <w:fldChar w:fldCharType="end"/>
      </w:r>
      <w:r w:rsidR="00772204">
        <w:t>, p &lt; 0.0001</w:t>
      </w:r>
      <w:r w:rsidR="008B52BB">
        <w:t>)</w:t>
      </w:r>
      <w:r w:rsidR="00B00D34">
        <w:t>, with each being</w:t>
      </w:r>
      <w:r w:rsidR="001E217E">
        <w:t xml:space="preserve"> 2.5X and 1.9X bigger</w:t>
      </w:r>
      <w:r w:rsidR="008B52BB">
        <w:t>. A parallel study has shown that this</w:t>
      </w:r>
      <w:r w:rsidR="00474277">
        <w:t xml:space="preserve"> increase</w:t>
      </w:r>
      <w:r w:rsidR="008B52BB">
        <w:t xml:space="preserve"> is not cause by residual PG synthesis, as the incorporation of D-amino acids into PG strands has been proven to drop to basal levels within 15 min after the addition of antibiotics </w:t>
      </w:r>
      <w:r w:rsidR="00E57B79">
        <w:fldChar w:fldCharType="begin" w:fldLock="1"/>
      </w:r>
      <w:r w:rsidR="004F7E11">
        <w:instrText>ADDIN CSL_CITATION {"citationItems":[{"id":"ITEM-1","itemData":{"author":[{"dropping-particle":"","family":"und zur Mühlen","given":"Milena Louise","non-dropping-particle":"von","parse-names":false,"suffix":""}],"id":"ITEM-1","issued":{"date-parts":[["2019"]]},"publisher":"The University of Sheffield","title":"Life and Death: Cell Wall Antibiotic killing of Staphylococcus aureus","type":"thesis"},"uris":["http://www.mendeley.com/documents/?uuid=940981bd-d042-4bac-9611-160139e29821"]},{"id":"ITEM-2","itemData":{"DOI":"10.1073/pnas.2106022118","ISSN":"1091-6490","PMID":"34716264","abstract":"Bacterial cell wall peptidoglycan is essential, maintaining both cellular integrity and morphology, in the face of internal turgor pressure. Peptidoglycan synthesis is important, as it is targeted by cell wall antibiotics, including methicillin and vancomycin. Here, we have used the major human pathogen Staphylococcus aureus to elucidate both the cell wall dynamic processes essential for growth (life) and the bactericidal effects of cell wall antibiotics (death) based on the principle of coordinated peptidoglycan synthesis and hydrolysis. The death of S. aureus due to depletion of the essential, two-component and positive regulatory system for peptidoglycan hydrolase activity (WalKR) is prevented by addition of otherwise bactericidal cell wall antibiotics, resulting in stasis. In contrast, cell wall antibiotics kill via the activity of peptidoglycan hydrolases in the absence of concomitant synthesis. Both methicillin and vancomycin treatment lead to the appearance of perforating holes throughout the cell wall due to peptidoglycan hydrolases. Methicillin alone also results in plasmolysis and misshapen septa with the involvement of the major peptidoglycan hydrolase Atl, a process that is inhibited by vancomycin. The bactericidal effect of vancomycin involves the peptidoglycan hydrolase SagB. In the presence of cell wall antibiotics, the inhibition of peptidoglycan hydrolase activity using the inhibitor complestatin results in reduced killing, while, conversely, the deregulation of hydrolase activity via loss of wall teichoic acids increases the death rate. For S. aureus, the independent regulation of cell wall synthesis and hydrolysis can lead to cell growth, death, or stasis, with implications for the development of new control regimes for this important pathogen.","author":[{"dropping-particle":"","family":"Salamaga","given":"Bartłomiej","non-dropping-particle":"","parse-names":false,"suffix":""},{"dropping-particle":"","family":"Kong","given":"Lingyuan","non-dropping-particle":"","parse-names":false,"suffix":""},{"dropping-particle":"","family":"Pasquina-Lemonche","given":"Laia","non-dropping-particle":"","parse-names":false,"suffix":""},{"dropping-particle":"","family":"Lafage","given":"Lucia","non-dropping-particle":"","parse-names":false,"suffix":""},{"dropping-particle":"","family":"Und Zur Muhlen","given":"Milena","non-dropping-particle":"von","parse-names":false,"suffix":""},{"dropping-particle":"","family":"Gibson","given":"Josie F","non-dropping-particle":"","parse-names":false,"suffix":""},{"dropping-particle":"","family":"Grybchuk","given":"Danyil","non-dropping-particle":"","parse-names":false,"suffix":""},{"dropping-particle":"","family":"Tooke","given":"Amy K","non-dropping-particle":"","parse-names":false,"suffix":""},{"dropping-particle":"","family":"Panchal","given":"Viralkumar","non-dropping-particle":"","parse-names":false,"suffix":""},{"dropping-particle":"","family":"Culp","given":"Elizabeth J","non-dropping-particle":"","parse-names":false,"suffix":""},{"dropping-particle":"","family":"Tatham","given":"Elizabeth","non-dropping-particle":"","parse-names":false,"suffix":""},{"dropping-particle":"","family":"O'Kane","given":"Mary E","non-dropping-particle":"","parse-names":false,"suffix":""},{"dropping-particle":"","family":"Catley","given":"Thomas E","non-dropping-particle":"","parse-names":false,"suffix":""},{"dropping-particle":"","family":"Renshaw","given":"Stephen A","non-dropping-particle":"","parse-names":false,"suffix":""},{"dropping-particle":"","family":"Wright","given":"Gerard D","non-dropping-particle":"","parse-names":false,"suffix":""},{"dropping-particle":"","family":"Plevka","given":"Pavel","non-dropping-particle":"","parse-names":false,"suffix":""},{"dropping-particle":"","family":"Bullough","given":"Per A","non-dropping-particle":"","parse-names":false,"suffix":""},{"dropping-particle":"","family":"Han","given":"Aidong","non-dropping-particle":"","parse-names":false,"suffix":""},{"dropping-particle":"","family":"Hobbs","given":"Jamie K","non-dropping-particle":"","parse-names":false,"suffix":""},{"dropping-particle":"","family":"Foster","given":"Simon J","non-dropping-particle":"","parse-names":false,"suffix":""}],"container-title":"Proceedings of the National Academy of Sciences of the United States of America","id":"ITEM-2","issue":"44","issued":{"date-parts":[["2021","11","2"]]},"page":"1-8","publisher":"National Academy of Sciences","title":"Demonstration of the role of cell wall homeostasis in Staphylococcus aureus growth and the action of bactericidal antibiotics.","type":"article-journal","volume":"118"},"uris":["http://www.mendeley.com/documents/?uuid=9f3bf1ae-65de-4943-a7a8-62e0e140e346"]}],"mendeley":{"formattedCitation":"&lt;sup&gt;[71,247]&lt;/sup&gt;","plainTextFormattedCitation":"[71,247]","previouslyFormattedCitation":"&lt;sup&gt;[71,247]&lt;/sup&gt;"},"properties":{"noteIndex":0},"schema":"https://github.com/citation-style-language/schema/raw/master/csl-citation.json"}</w:instrText>
      </w:r>
      <w:r w:rsidR="00E57B79">
        <w:fldChar w:fldCharType="separate"/>
      </w:r>
      <w:r w:rsidR="009D34AE" w:rsidRPr="009D34AE">
        <w:rPr>
          <w:noProof/>
          <w:vertAlign w:val="superscript"/>
        </w:rPr>
        <w:t>[71,247]</w:t>
      </w:r>
      <w:r w:rsidR="00E57B79">
        <w:fldChar w:fldCharType="end"/>
      </w:r>
      <w:r w:rsidR="008B52BB">
        <w:t xml:space="preserve">. </w:t>
      </w:r>
    </w:p>
    <w:p w14:paraId="464795BC" w14:textId="45954C87" w:rsidR="008B52BB" w:rsidRDefault="008B52BB" w:rsidP="008B52BB"/>
    <w:p w14:paraId="4D3A594B" w14:textId="0C6A2C10" w:rsidR="008B52BB" w:rsidRDefault="008B52BB" w:rsidP="001739E5">
      <w:pPr>
        <w:sectPr w:rsidR="008B52BB" w:rsidSect="004D0E05">
          <w:pgSz w:w="11906" w:h="16838"/>
          <w:pgMar w:top="1191" w:right="1247" w:bottom="1191" w:left="1247" w:header="709" w:footer="709" w:gutter="0"/>
          <w:cols w:space="708"/>
          <w:titlePg/>
          <w:docGrid w:linePitch="360"/>
        </w:sectPr>
      </w:pPr>
    </w:p>
    <w:p w14:paraId="5C4EE4F5" w14:textId="7E06B998" w:rsidR="00C53239" w:rsidRDefault="00C53239" w:rsidP="002124B6">
      <w:pPr>
        <w:jc w:val="center"/>
      </w:pPr>
      <w:r>
        <w:rPr>
          <w:noProof/>
        </w:rPr>
        <w:lastRenderedPageBreak/>
        <w:drawing>
          <wp:inline distT="0" distB="0" distL="0" distR="0" wp14:anchorId="1588914A" wp14:editId="0DFE580E">
            <wp:extent cx="5695280" cy="2538660"/>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1" cstate="print">
                      <a:extLst>
                        <a:ext uri="{28A0092B-C50C-407E-A947-70E740481C1C}">
                          <a14:useLocalDpi xmlns:a14="http://schemas.microsoft.com/office/drawing/2010/main" val="0"/>
                        </a:ext>
                      </a:extLst>
                    </a:blip>
                    <a:srcRect l="96" r="96"/>
                    <a:stretch>
                      <a:fillRect/>
                    </a:stretch>
                  </pic:blipFill>
                  <pic:spPr bwMode="auto">
                    <a:xfrm>
                      <a:off x="0" y="0"/>
                      <a:ext cx="5695280" cy="2538660"/>
                    </a:xfrm>
                    <a:prstGeom prst="rect">
                      <a:avLst/>
                    </a:prstGeom>
                    <a:ln>
                      <a:noFill/>
                    </a:ln>
                    <a:extLst>
                      <a:ext uri="{53640926-AAD7-44D8-BBD7-CCE9431645EC}">
                        <a14:shadowObscured xmlns:a14="http://schemas.microsoft.com/office/drawing/2010/main"/>
                      </a:ext>
                    </a:extLst>
                  </pic:spPr>
                </pic:pic>
              </a:graphicData>
            </a:graphic>
          </wp:inline>
        </w:drawing>
      </w:r>
    </w:p>
    <w:p w14:paraId="78097D3E" w14:textId="6762909D" w:rsidR="00C53239" w:rsidRDefault="00C53239" w:rsidP="008A2B86">
      <w:pPr>
        <w:pStyle w:val="Caption"/>
      </w:pPr>
      <w:bookmarkStart w:id="713" w:name="_Ref68881389"/>
      <w:bookmarkStart w:id="714" w:name="_Toc90216989"/>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4</w:t>
      </w:r>
      <w:r w:rsidR="003373BF">
        <w:rPr>
          <w:noProof/>
        </w:rPr>
        <w:fldChar w:fldCharType="end"/>
      </w:r>
      <w:bookmarkEnd w:id="713"/>
      <w:r>
        <w:t xml:space="preserve"> </w:t>
      </w:r>
      <w:r w:rsidR="00FB2448">
        <w:t xml:space="preserve">Effect of methicillin </w:t>
      </w:r>
      <w:r w:rsidR="001A2ECA">
        <w:t>and/</w:t>
      </w:r>
      <w:r w:rsidR="00FB2448">
        <w:t xml:space="preserve">or vancomycin on </w:t>
      </w:r>
      <w:r w:rsidR="00FB2448">
        <w:rPr>
          <w:i/>
        </w:rPr>
        <w:t>S. aureus</w:t>
      </w:r>
      <w:r w:rsidR="00FB2448">
        <w:t xml:space="preserve"> survival.</w:t>
      </w:r>
      <w:bookmarkEnd w:id="714"/>
    </w:p>
    <w:p w14:paraId="33B567CC" w14:textId="7E6046DA" w:rsidR="00B400F5" w:rsidRDefault="005E7B4D" w:rsidP="00FB2448">
      <w:pPr>
        <w:pStyle w:val="NoSpacing"/>
        <w:sectPr w:rsidR="00B400F5" w:rsidSect="004D0E05">
          <w:pgSz w:w="11906" w:h="16838"/>
          <w:pgMar w:top="1191" w:right="1247" w:bottom="1191" w:left="1247" w:header="709" w:footer="709" w:gutter="0"/>
          <w:cols w:space="708"/>
          <w:titlePg/>
          <w:docGrid w:linePitch="360"/>
        </w:sectPr>
      </w:pPr>
      <w:r>
        <w:t>Effect</w:t>
      </w:r>
      <w:r w:rsidR="00FB2448" w:rsidRPr="006456D2">
        <w:t xml:space="preserve"> of 10 x MIC methicillin </w:t>
      </w:r>
      <w:r w:rsidR="001A2ECA" w:rsidRPr="006456D2">
        <w:t>and/</w:t>
      </w:r>
      <w:r w:rsidR="00FB2448" w:rsidRPr="006456D2">
        <w:t>or vancomycin</w:t>
      </w:r>
      <w:r w:rsidR="005A75BB" w:rsidRPr="006456D2">
        <w:t xml:space="preserve"> after 1 h</w:t>
      </w:r>
      <w:r w:rsidR="00FB2448" w:rsidRPr="006456D2">
        <w:t xml:space="preserve"> on </w:t>
      </w:r>
      <w:r w:rsidR="00FB2448" w:rsidRPr="006456D2">
        <w:rPr>
          <w:i/>
          <w:iCs/>
        </w:rPr>
        <w:t>S. aureus</w:t>
      </w:r>
      <w:r w:rsidR="00FB2448" w:rsidRPr="006456D2">
        <w:t xml:space="preserve"> SH1000 (</w:t>
      </w:r>
      <w:r w:rsidR="005E1C99" w:rsidRPr="006456D2">
        <w:t>SJF </w:t>
      </w:r>
      <w:r w:rsidR="00FB2448" w:rsidRPr="006456D2">
        <w:t xml:space="preserve">682). </w:t>
      </w:r>
      <w:r w:rsidR="00FB2448" w:rsidRPr="006456D2">
        <w:rPr>
          <w:b/>
          <w:bCs/>
        </w:rPr>
        <w:t>(A)</w:t>
      </w:r>
      <w:r w:rsidR="00FB2448" w:rsidRPr="006456D2">
        <w:t xml:space="preserve"> </w:t>
      </w:r>
      <w:r w:rsidR="00992DB0" w:rsidRPr="006456D2">
        <w:t>Normalised percentage s</w:t>
      </w:r>
      <w:r w:rsidR="00FB2448" w:rsidRPr="006456D2">
        <w:t>urvival of bacterial cells</w:t>
      </w:r>
      <w:r w:rsidR="00013098" w:rsidRPr="006456D2">
        <w:t xml:space="preserve"> (&gt;3 biological repeats).</w:t>
      </w:r>
      <w:r w:rsidR="00512716" w:rsidRPr="006456D2">
        <w:t xml:space="preserve"> </w:t>
      </w:r>
      <w:r w:rsidR="00237971">
        <w:t>E</w:t>
      </w:r>
      <w:r w:rsidR="00512716" w:rsidRPr="006456D2">
        <w:t>xperiment carried out by Dr. Bartlomiej Salamaga</w:t>
      </w:r>
      <w:r w:rsidR="001A2ECA" w:rsidRPr="006456D2">
        <w:t>.</w:t>
      </w:r>
      <w:r w:rsidR="00FB2448" w:rsidRPr="006456D2">
        <w:t xml:space="preserve"> </w:t>
      </w:r>
      <w:r w:rsidR="00A97714" w:rsidRPr="006456D2">
        <w:rPr>
          <w:b/>
          <w:bCs/>
        </w:rPr>
        <w:t>(B)</w:t>
      </w:r>
      <w:r w:rsidR="00A97714" w:rsidRPr="006456D2">
        <w:t xml:space="preserve"> </w:t>
      </w:r>
      <w:r w:rsidR="003E0FF9" w:rsidRPr="006456D2">
        <w:t>Normalised percentage of survival after 6 h from</w:t>
      </w:r>
      <w:r w:rsidR="00B70FB4">
        <w:t xml:space="preserve"> the </w:t>
      </w:r>
      <w:r w:rsidR="003E0FF9" w:rsidRPr="006456D2">
        <w:t>data in (A). Statistical analysis: t-test with Wel</w:t>
      </w:r>
      <w:r w:rsidR="00E15582">
        <w:t>c</w:t>
      </w:r>
      <w:r w:rsidR="003E0FF9" w:rsidRPr="006456D2">
        <w:t>h</w:t>
      </w:r>
      <w:r w:rsidR="000B568B">
        <w:t>’s</w:t>
      </w:r>
      <w:r w:rsidR="003E0FF9" w:rsidRPr="006456D2">
        <w:t xml:space="preserve"> correction (</w:t>
      </w:r>
      <w:r w:rsidR="00B36A44" w:rsidRPr="006456D2">
        <w:t xml:space="preserve">methicillin </w:t>
      </w:r>
      <w:r w:rsidR="00B36A44" w:rsidRPr="00486B0A">
        <w:rPr>
          <w:i/>
          <w:iCs/>
        </w:rPr>
        <w:t>vs</w:t>
      </w:r>
      <w:r w:rsidR="00486B0A">
        <w:rPr>
          <w:i/>
          <w:iCs/>
        </w:rPr>
        <w:t>.</w:t>
      </w:r>
      <w:r w:rsidR="00B36A44" w:rsidRPr="006456D2">
        <w:t xml:space="preserve"> vancomycin ** p = 0.00</w:t>
      </w:r>
      <w:r w:rsidR="002F673D">
        <w:t>32</w:t>
      </w:r>
      <w:r w:rsidR="00123E33">
        <w:t>;</w:t>
      </w:r>
      <w:r w:rsidR="00B41EF8">
        <w:t xml:space="preserve"> vancomycin </w:t>
      </w:r>
      <w:r w:rsidR="00B41EF8">
        <w:rPr>
          <w:i/>
          <w:iCs/>
        </w:rPr>
        <w:t>vs.</w:t>
      </w:r>
      <w:r w:rsidR="00B41EF8">
        <w:t xml:space="preserve"> methicillin + vancomycin non-significant p ≥ 0.05</w:t>
      </w:r>
      <w:r w:rsidR="0021059C" w:rsidRPr="006456D2">
        <w:t>)</w:t>
      </w:r>
      <w:r w:rsidR="005F2D8B" w:rsidRPr="006456D2">
        <w:t>.</w:t>
      </w:r>
    </w:p>
    <w:p w14:paraId="7B84FD8C" w14:textId="77777777" w:rsidR="00B400F5" w:rsidRDefault="00B400F5" w:rsidP="00E27A0A">
      <w:pPr>
        <w:pStyle w:val="NoSpacing"/>
        <w:keepNext/>
        <w:jc w:val="center"/>
      </w:pPr>
      <w:r>
        <w:rPr>
          <w:noProof/>
        </w:rPr>
        <w:lastRenderedPageBreak/>
        <w:drawing>
          <wp:inline distT="0" distB="0" distL="0" distR="0" wp14:anchorId="021D1F28" wp14:editId="374BCDC4">
            <wp:extent cx="4567692" cy="4187051"/>
            <wp:effectExtent l="0" t="0" r="4445" b="444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567692" cy="4187051"/>
                    </a:xfrm>
                    <a:prstGeom prst="rect">
                      <a:avLst/>
                    </a:prstGeom>
                  </pic:spPr>
                </pic:pic>
              </a:graphicData>
            </a:graphic>
          </wp:inline>
        </w:drawing>
      </w:r>
    </w:p>
    <w:p w14:paraId="4AF24D03" w14:textId="5A081F0E" w:rsidR="00CF750E" w:rsidRDefault="00B400F5" w:rsidP="008A2B86">
      <w:pPr>
        <w:pStyle w:val="Caption"/>
      </w:pPr>
      <w:bookmarkStart w:id="715" w:name="_Ref76388632"/>
      <w:bookmarkStart w:id="716" w:name="_Toc90216990"/>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5</w:t>
      </w:r>
      <w:r w:rsidR="003373BF">
        <w:rPr>
          <w:noProof/>
        </w:rPr>
        <w:fldChar w:fldCharType="end"/>
      </w:r>
      <w:bookmarkEnd w:id="715"/>
      <w:r>
        <w:t xml:space="preserve"> Effect of methicillin and/or vancomycin on </w:t>
      </w:r>
      <w:r>
        <w:rPr>
          <w:i/>
        </w:rPr>
        <w:t>S. aureus</w:t>
      </w:r>
      <w:r>
        <w:t xml:space="preserve"> division.</w:t>
      </w:r>
      <w:bookmarkEnd w:id="716"/>
    </w:p>
    <w:p w14:paraId="28A5A63F" w14:textId="748552C3" w:rsidR="00A80CAF" w:rsidRPr="00A80CAF" w:rsidRDefault="00A618C7" w:rsidP="00A80CAF">
      <w:pPr>
        <w:pStyle w:val="NoSpacing"/>
        <w:sectPr w:rsidR="00A80CAF" w:rsidRPr="00A80CAF" w:rsidSect="004D0E05">
          <w:pgSz w:w="11906" w:h="16838"/>
          <w:pgMar w:top="1191" w:right="1247" w:bottom="1191" w:left="1247" w:header="709" w:footer="709" w:gutter="0"/>
          <w:cols w:space="708"/>
          <w:titlePg/>
          <w:docGrid w:linePitch="360"/>
        </w:sectPr>
      </w:pPr>
      <w:r>
        <w:t>Quantification of the e</w:t>
      </w:r>
      <w:r w:rsidRPr="006456D2">
        <w:t xml:space="preserve">ffect of 10 x MIC methicillin and/or vancomycin after 1 h on </w:t>
      </w:r>
      <w:r w:rsidRPr="006456D2">
        <w:rPr>
          <w:i/>
          <w:iCs/>
        </w:rPr>
        <w:t>S. aureus</w:t>
      </w:r>
      <w:r w:rsidRPr="006456D2">
        <w:t xml:space="preserve"> SH1000</w:t>
      </w:r>
      <w:r>
        <w:t xml:space="preserve"> division stages</w:t>
      </w:r>
      <w:r w:rsidRPr="006456D2">
        <w:t xml:space="preserve">. </w:t>
      </w:r>
      <w:r w:rsidR="00A80CAF" w:rsidRPr="006456D2">
        <w:t>Normalised percentage of population and representative TEM micrographs</w:t>
      </w:r>
      <w:r>
        <w:t xml:space="preserve"> of chemically fixed thin sections,</w:t>
      </w:r>
      <w:r w:rsidR="00A80CAF" w:rsidRPr="006456D2">
        <w:t xml:space="preserve"> showing cells with no septum, incomplete septum or completed septum. Untreated (grey: 2 biological repeats, </w:t>
      </w:r>
      <w:r w:rsidR="00A80CAF" w:rsidRPr="006456D2">
        <w:rPr>
          <w:i/>
          <w:iCs/>
        </w:rPr>
        <w:t>n </w:t>
      </w:r>
      <w:r w:rsidR="00A80CAF" w:rsidRPr="006456D2">
        <w:t xml:space="preserve">= 898), vancomycin (blue: 2 biological repeats, </w:t>
      </w:r>
      <w:r w:rsidR="00A80CAF" w:rsidRPr="006456D2">
        <w:rPr>
          <w:i/>
          <w:iCs/>
        </w:rPr>
        <w:t>n </w:t>
      </w:r>
      <w:r w:rsidR="00A80CAF" w:rsidRPr="006456D2">
        <w:t xml:space="preserve">= 729), methicillin (red: 3 biological repeats, </w:t>
      </w:r>
      <w:r w:rsidR="00A80CAF" w:rsidRPr="006456D2">
        <w:rPr>
          <w:i/>
          <w:iCs/>
        </w:rPr>
        <w:t>n </w:t>
      </w:r>
      <w:r w:rsidR="00A80CAF" w:rsidRPr="006456D2">
        <w:t xml:space="preserve">= 907), and both vancomycin plus methicillin (purple: 3 biological repeats, </w:t>
      </w:r>
      <w:r w:rsidR="00A80CAF" w:rsidRPr="006456D2">
        <w:rPr>
          <w:i/>
          <w:iCs/>
        </w:rPr>
        <w:t>n</w:t>
      </w:r>
      <w:r w:rsidR="00A80CAF" w:rsidRPr="006456D2">
        <w:t> = 449). Statistical analysis: two-way ANOVA with multiple comparisons with Tukey’s correction (no sept</w:t>
      </w:r>
      <w:r w:rsidR="00333B40">
        <w:t>um</w:t>
      </w:r>
      <w:r w:rsidR="00A80CAF" w:rsidRPr="006456D2">
        <w:t xml:space="preserve"> control </w:t>
      </w:r>
      <w:r w:rsidR="00A80CAF" w:rsidRPr="00486B0A">
        <w:rPr>
          <w:i/>
          <w:iCs/>
        </w:rPr>
        <w:t>vs</w:t>
      </w:r>
      <w:r w:rsidR="00486B0A">
        <w:rPr>
          <w:i/>
          <w:iCs/>
        </w:rPr>
        <w:t>.</w:t>
      </w:r>
      <w:r w:rsidR="00A80CAF" w:rsidRPr="006456D2">
        <w:t xml:space="preserve"> methicillin *** p = 0.0002; no sep</w:t>
      </w:r>
      <w:r w:rsidR="007C4DA8">
        <w:t>t</w:t>
      </w:r>
      <w:r w:rsidR="00333B40">
        <w:t>um</w:t>
      </w:r>
      <w:r w:rsidR="00A80CAF" w:rsidRPr="006456D2">
        <w:t xml:space="preserve"> control </w:t>
      </w:r>
      <w:r w:rsidR="00A80CAF" w:rsidRPr="00486B0A">
        <w:rPr>
          <w:i/>
          <w:iCs/>
        </w:rPr>
        <w:t>vs</w:t>
      </w:r>
      <w:r w:rsidR="00486B0A">
        <w:rPr>
          <w:i/>
          <w:iCs/>
        </w:rPr>
        <w:t>.</w:t>
      </w:r>
      <w:r w:rsidR="00A80CAF" w:rsidRPr="006456D2">
        <w:t xml:space="preserve"> vancomycin *** p = 0.0003; no sept</w:t>
      </w:r>
      <w:r w:rsidR="00333B40">
        <w:t>um</w:t>
      </w:r>
      <w:r w:rsidR="00A80CAF" w:rsidRPr="006456D2">
        <w:t xml:space="preserve"> control </w:t>
      </w:r>
      <w:r w:rsidR="00A80CAF" w:rsidRPr="00486B0A">
        <w:rPr>
          <w:i/>
          <w:iCs/>
        </w:rPr>
        <w:t>vs</w:t>
      </w:r>
      <w:r w:rsidR="00486B0A">
        <w:rPr>
          <w:i/>
          <w:iCs/>
        </w:rPr>
        <w:t>.</w:t>
      </w:r>
      <w:r w:rsidR="00A80CAF" w:rsidRPr="006456D2">
        <w:t xml:space="preserve"> vancomycin + methicillin *** p = 0.0005; complete sept</w:t>
      </w:r>
      <w:r w:rsidR="00333B40">
        <w:t>um</w:t>
      </w:r>
      <w:r w:rsidR="00A80CAF" w:rsidRPr="006456D2">
        <w:t xml:space="preserve"> control </w:t>
      </w:r>
      <w:r w:rsidR="00A80CAF" w:rsidRPr="006456D2">
        <w:rPr>
          <w:i/>
          <w:iCs/>
        </w:rPr>
        <w:t>vs</w:t>
      </w:r>
      <w:r w:rsidR="00486B0A">
        <w:rPr>
          <w:i/>
          <w:iCs/>
        </w:rPr>
        <w:t>.</w:t>
      </w:r>
      <w:r w:rsidR="00A80CAF" w:rsidRPr="006456D2">
        <w:t xml:space="preserve"> methicillin ** p = 0.0011; complete sept</w:t>
      </w:r>
      <w:r w:rsidR="00333B40">
        <w:t>um</w:t>
      </w:r>
      <w:r w:rsidR="00A80CAF" w:rsidRPr="006456D2">
        <w:t xml:space="preserve"> control </w:t>
      </w:r>
      <w:r w:rsidR="00A80CAF" w:rsidRPr="00486B0A">
        <w:rPr>
          <w:i/>
          <w:iCs/>
        </w:rPr>
        <w:t>vs</w:t>
      </w:r>
      <w:r w:rsidR="00486B0A">
        <w:rPr>
          <w:i/>
          <w:iCs/>
        </w:rPr>
        <w:t>.</w:t>
      </w:r>
      <w:r w:rsidR="00A80CAF" w:rsidRPr="006456D2">
        <w:t xml:space="preserve"> vancomycin + methicillin * p = 0.0180</w:t>
      </w:r>
      <w:r w:rsidR="009014B8">
        <w:t>; all others non-significant p ≥ 0.05</w:t>
      </w:r>
      <w:r w:rsidR="00A80CAF" w:rsidRPr="006456D2">
        <w:t>). Error bars represent standard deviation of the mean</w:t>
      </w:r>
      <w:r w:rsidR="00CE55BD">
        <w:t>.</w:t>
      </w:r>
    </w:p>
    <w:p w14:paraId="77935F28" w14:textId="77777777" w:rsidR="001A3D1A" w:rsidRDefault="001A3D1A" w:rsidP="005B5040">
      <w:pPr>
        <w:pStyle w:val="NoSpacing"/>
        <w:keepNext/>
        <w:jc w:val="center"/>
      </w:pPr>
      <w:r>
        <w:rPr>
          <w:noProof/>
        </w:rPr>
        <w:lastRenderedPageBreak/>
        <w:drawing>
          <wp:inline distT="0" distB="0" distL="0" distR="0" wp14:anchorId="5BED258B" wp14:editId="7BC7AC83">
            <wp:extent cx="5847941" cy="718972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847941" cy="7189725"/>
                    </a:xfrm>
                    <a:prstGeom prst="rect">
                      <a:avLst/>
                    </a:prstGeom>
                  </pic:spPr>
                </pic:pic>
              </a:graphicData>
            </a:graphic>
          </wp:inline>
        </w:drawing>
      </w:r>
    </w:p>
    <w:p w14:paraId="4B0E3047" w14:textId="1FEA380E" w:rsidR="0093528A" w:rsidRDefault="001A3D1A" w:rsidP="008A2B86">
      <w:pPr>
        <w:pStyle w:val="Caption"/>
      </w:pPr>
      <w:bookmarkStart w:id="717" w:name="_Ref76382959"/>
      <w:bookmarkStart w:id="718" w:name="_Toc90216991"/>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6</w:t>
      </w:r>
      <w:r w:rsidR="003373BF">
        <w:rPr>
          <w:noProof/>
        </w:rPr>
        <w:fldChar w:fldCharType="end"/>
      </w:r>
      <w:bookmarkEnd w:id="717"/>
      <w:r>
        <w:t xml:space="preserve"> Effect of methicillin or vancomycin on </w:t>
      </w:r>
      <w:r>
        <w:rPr>
          <w:i/>
        </w:rPr>
        <w:t>S. aureus</w:t>
      </w:r>
      <w:r>
        <w:t xml:space="preserve"> cell volume.</w:t>
      </w:r>
      <w:bookmarkEnd w:id="718"/>
    </w:p>
    <w:p w14:paraId="54AC88AD" w14:textId="4B3F0DE8" w:rsidR="00BD7D74" w:rsidRPr="004E2A09" w:rsidRDefault="00974210" w:rsidP="00BD7D74">
      <w:pPr>
        <w:pStyle w:val="NoSpacing"/>
        <w:rPr>
          <w:b/>
          <w:bCs/>
        </w:rPr>
        <w:sectPr w:rsidR="00BD7D74" w:rsidRPr="004E2A09" w:rsidSect="004D0E05">
          <w:pgSz w:w="11906" w:h="16838"/>
          <w:pgMar w:top="1191" w:right="1247" w:bottom="1191" w:left="1247" w:header="709" w:footer="709" w:gutter="0"/>
          <w:cols w:space="708"/>
          <w:titlePg/>
          <w:docGrid w:linePitch="360"/>
        </w:sectPr>
      </w:pPr>
      <w:r>
        <w:t>Comparison of untreated cells (black– control) with t</w:t>
      </w:r>
      <w:r w:rsidR="004E2A09">
        <w:t>he effect of 10 x MIC methicillin</w:t>
      </w:r>
      <w:r>
        <w:t xml:space="preserve"> (red)</w:t>
      </w:r>
      <w:r w:rsidR="004E2A09">
        <w:t xml:space="preserve"> or vancomycin</w:t>
      </w:r>
      <w:r>
        <w:t xml:space="preserve"> (blue)</w:t>
      </w:r>
      <w:r w:rsidR="004E2A09">
        <w:t xml:space="preserve"> after 1 h on </w:t>
      </w:r>
      <w:r w:rsidR="004E2A09">
        <w:rPr>
          <w:i/>
          <w:iCs/>
        </w:rPr>
        <w:t>S. aureus</w:t>
      </w:r>
      <w:r w:rsidR="004E2A09">
        <w:t xml:space="preserve"> SH1000</w:t>
      </w:r>
      <w:r w:rsidR="00534B02">
        <w:t>.</w:t>
      </w:r>
      <w:r w:rsidR="00F43FFA" w:rsidRPr="00F43FFA">
        <w:rPr>
          <w:b/>
          <w:bCs/>
        </w:rPr>
        <w:t xml:space="preserve"> </w:t>
      </w:r>
      <w:r w:rsidR="00F43FFA">
        <w:rPr>
          <w:b/>
          <w:bCs/>
        </w:rPr>
        <w:t xml:space="preserve">(A-C) </w:t>
      </w:r>
      <w:r w:rsidR="00F43FFA">
        <w:t xml:space="preserve">Representative OMX SIM images of </w:t>
      </w:r>
      <w:r w:rsidR="00F43FFA">
        <w:rPr>
          <w:b/>
          <w:bCs/>
        </w:rPr>
        <w:t>(A)</w:t>
      </w:r>
      <w:r w:rsidR="00F43FFA">
        <w:t xml:space="preserve"> </w:t>
      </w:r>
      <w:r w:rsidR="003D48D4">
        <w:t>untreated</w:t>
      </w:r>
      <w:r w:rsidR="00F43FFA">
        <w:t xml:space="preserve">, </w:t>
      </w:r>
      <w:r w:rsidR="00F43FFA">
        <w:rPr>
          <w:b/>
          <w:bCs/>
        </w:rPr>
        <w:t>(B)</w:t>
      </w:r>
      <w:r w:rsidR="00F43FFA">
        <w:t xml:space="preserve"> </w:t>
      </w:r>
      <w:r w:rsidR="003D48D4">
        <w:t xml:space="preserve">methicillin-treated, and </w:t>
      </w:r>
      <w:r w:rsidR="003D48D4">
        <w:rPr>
          <w:b/>
          <w:bCs/>
        </w:rPr>
        <w:t>(C)</w:t>
      </w:r>
      <w:r w:rsidR="003D48D4">
        <w:t xml:space="preserve"> </w:t>
      </w:r>
      <w:r w:rsidR="00F43FFA">
        <w:t>vancomycin-treated cells</w:t>
      </w:r>
      <w:r w:rsidR="00F43FFA" w:rsidRPr="009578F6">
        <w:t xml:space="preserve"> </w:t>
      </w:r>
      <w:r w:rsidR="00F43FFA">
        <w:t>labelled with NHS-ester Alexa Fluor™ 555. Scale bars 5 µm. Images obtained by Dr. Milena von und zur M</w:t>
      </w:r>
      <w:r w:rsidR="00F43FFA" w:rsidRPr="00512716">
        <w:t>ü</w:t>
      </w:r>
      <w:r w:rsidR="00F43FFA">
        <w:t xml:space="preserve">hlen </w:t>
      </w:r>
      <w:r w:rsidR="00F43FFA">
        <w:fldChar w:fldCharType="begin" w:fldLock="1"/>
      </w:r>
      <w:r w:rsidR="00260ACA">
        <w:instrText>ADDIN CSL_CITATION {"citationItems":[{"id":"ITEM-1","itemData":{"author":[{"dropping-particle":"","family":"und zur Mühlen","given":"Milena Louise","non-dropping-particle":"von","parse-names":false,"suffix":""}],"id":"ITEM-1","issued":{"date-parts":[["2019"]]},"publisher":"The University of Sheffield","title":"Life and Death: Cell Wall Antibiotic killing of Staphylococcus aureus","type":"thesis"},"uris":["http://www.mendeley.com/documents/?uuid=940981bd-d042-4bac-9611-160139e29821"]}],"mendeley":{"formattedCitation":"&lt;sup&gt;[71]&lt;/sup&gt;","plainTextFormattedCitation":"[71]","previouslyFormattedCitation":"&lt;sup&gt;[71]&lt;/sup&gt;"},"properties":{"noteIndex":0},"schema":"https://github.com/citation-style-language/schema/raw/master/csl-citation.json"}</w:instrText>
      </w:r>
      <w:r w:rsidR="00F43FFA">
        <w:fldChar w:fldCharType="separate"/>
      </w:r>
      <w:r w:rsidR="00C825F9" w:rsidRPr="00C825F9">
        <w:rPr>
          <w:noProof/>
          <w:vertAlign w:val="superscript"/>
        </w:rPr>
        <w:t>[71]</w:t>
      </w:r>
      <w:r w:rsidR="00F43FFA">
        <w:fldChar w:fldCharType="end"/>
      </w:r>
      <w:r w:rsidR="00F43FFA">
        <w:t>.</w:t>
      </w:r>
      <w:r w:rsidR="00F43FFA">
        <w:rPr>
          <w:b/>
          <w:bCs/>
        </w:rPr>
        <w:t xml:space="preserve"> </w:t>
      </w:r>
      <w:r w:rsidR="00BD7D74">
        <w:rPr>
          <w:b/>
          <w:bCs/>
        </w:rPr>
        <w:t>(</w:t>
      </w:r>
      <w:r w:rsidR="00F43FFA">
        <w:rPr>
          <w:b/>
          <w:bCs/>
        </w:rPr>
        <w:t>D</w:t>
      </w:r>
      <w:r w:rsidR="00BD7D74">
        <w:rPr>
          <w:b/>
          <w:bCs/>
        </w:rPr>
        <w:t xml:space="preserve">) </w:t>
      </w:r>
      <w:r w:rsidR="00BD7D74">
        <w:t>Cell volume estimation from OMX SIM images of NHS-ester Alexa Fluor™</w:t>
      </w:r>
      <w:r w:rsidR="004233BB">
        <w:t>55</w:t>
      </w:r>
      <w:r w:rsidR="00BD7D74">
        <w:t>5 labelled cells. Statistical analysis: t-test with Wel</w:t>
      </w:r>
      <w:r w:rsidR="00E15582">
        <w:t>c</w:t>
      </w:r>
      <w:r w:rsidR="00BD7D74">
        <w:t>h</w:t>
      </w:r>
      <w:r w:rsidR="000B568B">
        <w:t>’s</w:t>
      </w:r>
      <w:r w:rsidR="00BD7D74">
        <w:t xml:space="preserve"> correction (**** p &lt; 0.0001, </w:t>
      </w:r>
      <w:r w:rsidR="00BD7D74">
        <w:rPr>
          <w:i/>
          <w:iCs/>
        </w:rPr>
        <w:t>n</w:t>
      </w:r>
      <w:r w:rsidR="00BD7D74">
        <w:t xml:space="preserve"> &gt; 100). This scatter dot plot represents the mean and the standard deviation of the mean. </w:t>
      </w:r>
      <w:r w:rsidR="00F43FFA">
        <w:rPr>
          <w:b/>
          <w:bCs/>
        </w:rPr>
        <w:t>(E)</w:t>
      </w:r>
      <w:r w:rsidR="00F43FFA">
        <w:t xml:space="preserve"> Descriptive statistics showing the mean volume estimation</w:t>
      </w:r>
      <w:r w:rsidR="00084612">
        <w:t xml:space="preserve"> value</w:t>
      </w:r>
      <w:r w:rsidR="00F43FFA">
        <w:t xml:space="preserve"> and the standard deviation for each category.</w:t>
      </w:r>
      <w:r w:rsidR="004E2A09">
        <w:t xml:space="preserve"> </w:t>
      </w:r>
      <w:r w:rsidR="00C96129">
        <w:t>Data was collected by Dr. Milena von und zur M</w:t>
      </w:r>
      <w:r w:rsidR="00C96129" w:rsidRPr="00512716">
        <w:t>ü</w:t>
      </w:r>
      <w:r w:rsidR="00C96129">
        <w:t>hlen.</w:t>
      </w:r>
    </w:p>
    <w:p w14:paraId="60C5A852" w14:textId="4E74A4DA" w:rsidR="00CD66E4" w:rsidRDefault="00A41FBA" w:rsidP="00DF675B">
      <w:r>
        <w:lastRenderedPageBreak/>
        <w:t xml:space="preserve">Representative </w:t>
      </w:r>
      <w:r w:rsidR="00FD7817">
        <w:t xml:space="preserve">TEM </w:t>
      </w:r>
      <w:r>
        <w:t xml:space="preserve">images showing the overall phenotype for the control, and for treatment with methicillin, vancomycin, or both are shown in </w:t>
      </w:r>
      <w:r>
        <w:fldChar w:fldCharType="begin"/>
      </w:r>
      <w:r>
        <w:instrText xml:space="preserve"> REF _Ref68881914 \h </w:instrText>
      </w:r>
      <w:r>
        <w:fldChar w:fldCharType="separate"/>
      </w:r>
      <w:r w:rsidR="00183CC8">
        <w:t xml:space="preserve">Figure </w:t>
      </w:r>
      <w:r w:rsidR="00183CC8">
        <w:rPr>
          <w:noProof/>
        </w:rPr>
        <w:t>5</w:t>
      </w:r>
      <w:r w:rsidR="00183CC8">
        <w:t>.</w:t>
      </w:r>
      <w:r w:rsidR="00183CC8">
        <w:rPr>
          <w:noProof/>
        </w:rPr>
        <w:t>7</w:t>
      </w:r>
      <w:r>
        <w:fldChar w:fldCharType="end"/>
      </w:r>
      <w:r>
        <w:t xml:space="preserve">. </w:t>
      </w:r>
      <w:r w:rsidR="008919E9">
        <w:t>TEM micrographs present further differences in phenotype between treated and untreated</w:t>
      </w:r>
      <w:r w:rsidR="003866DB">
        <w:t xml:space="preserve"> </w:t>
      </w:r>
      <w:r w:rsidR="003866DB">
        <w:rPr>
          <w:i/>
          <w:iCs/>
        </w:rPr>
        <w:t>S. aureus</w:t>
      </w:r>
      <w:r w:rsidR="003866DB">
        <w:t xml:space="preserve"> SH1000</w:t>
      </w:r>
      <w:r w:rsidR="008919E9">
        <w:t>. T</w:t>
      </w:r>
      <w:r w:rsidR="003866DB">
        <w:t>he</w:t>
      </w:r>
      <w:r w:rsidR="00CE1F05">
        <w:t xml:space="preserve"> stall of PG synthesis caused by the</w:t>
      </w:r>
      <w:r w:rsidR="003866DB">
        <w:t xml:space="preserve"> addition of</w:t>
      </w:r>
      <w:r w:rsidR="00466017">
        <w:t xml:space="preserve"> bactericidal cell wall antibiotics </w:t>
      </w:r>
      <w:r w:rsidR="00B45555">
        <w:t>coincide</w:t>
      </w:r>
      <w:r w:rsidR="00E83014">
        <w:t>s</w:t>
      </w:r>
      <w:r w:rsidR="00B45555">
        <w:t xml:space="preserve"> with a thinner and fuzzier appearance of cell wall morphology </w:t>
      </w:r>
      <w:r w:rsidR="00466017">
        <w:t>(</w:t>
      </w:r>
      <w:r w:rsidR="00466017">
        <w:fldChar w:fldCharType="begin"/>
      </w:r>
      <w:r w:rsidR="00466017">
        <w:instrText xml:space="preserve"> REF _Ref68960074 \h </w:instrText>
      </w:r>
      <w:r w:rsidR="00466017">
        <w:fldChar w:fldCharType="separate"/>
      </w:r>
      <w:r w:rsidR="00183CC8">
        <w:t xml:space="preserve">Figure </w:t>
      </w:r>
      <w:r w:rsidR="00183CC8">
        <w:rPr>
          <w:noProof/>
        </w:rPr>
        <w:t>5</w:t>
      </w:r>
      <w:r w:rsidR="00183CC8">
        <w:t>.</w:t>
      </w:r>
      <w:r w:rsidR="00183CC8">
        <w:rPr>
          <w:noProof/>
        </w:rPr>
        <w:t>8</w:t>
      </w:r>
      <w:r w:rsidR="00466017">
        <w:fldChar w:fldCharType="end"/>
      </w:r>
      <w:r w:rsidR="00466017">
        <w:t xml:space="preserve">). </w:t>
      </w:r>
      <w:r w:rsidR="00CD66E4">
        <w:t>Vancomycin appears to have a slightly more damaged or fuzzier looking cell wall (</w:t>
      </w:r>
      <w:r w:rsidR="00CD66E4">
        <w:fldChar w:fldCharType="begin"/>
      </w:r>
      <w:r w:rsidR="00CD66E4">
        <w:instrText xml:space="preserve"> REF _Ref68960074 \h </w:instrText>
      </w:r>
      <w:r w:rsidR="00CD66E4">
        <w:fldChar w:fldCharType="separate"/>
      </w:r>
      <w:r w:rsidR="00183CC8">
        <w:t xml:space="preserve">Figure </w:t>
      </w:r>
      <w:r w:rsidR="00183CC8">
        <w:rPr>
          <w:noProof/>
        </w:rPr>
        <w:t>5</w:t>
      </w:r>
      <w:r w:rsidR="00183CC8">
        <w:t>.</w:t>
      </w:r>
      <w:r w:rsidR="00183CC8">
        <w:rPr>
          <w:noProof/>
        </w:rPr>
        <w:t>8</w:t>
      </w:r>
      <w:r w:rsidR="00CD66E4">
        <w:fldChar w:fldCharType="end"/>
      </w:r>
      <w:r w:rsidR="00CD66E4">
        <w:t xml:space="preserve">c). </w:t>
      </w:r>
    </w:p>
    <w:p w14:paraId="01E74ECD" w14:textId="045B0425" w:rsidR="00D72A27" w:rsidRDefault="00B45555" w:rsidP="00E81B93">
      <w:r>
        <w:t xml:space="preserve">A closeup look at </w:t>
      </w:r>
      <w:r w:rsidR="00C67812">
        <w:t xml:space="preserve">a </w:t>
      </w:r>
      <w:r>
        <w:t>representative cel</w:t>
      </w:r>
      <w:r w:rsidR="00C67812">
        <w:t>l</w:t>
      </w:r>
      <w:r>
        <w:t xml:space="preserve"> for each category (</w:t>
      </w:r>
      <w:r>
        <w:fldChar w:fldCharType="begin"/>
      </w:r>
      <w:r>
        <w:instrText xml:space="preserve"> REF _Ref69653684 \h </w:instrText>
      </w:r>
      <w:r>
        <w:fldChar w:fldCharType="separate"/>
      </w:r>
      <w:r w:rsidR="00183CC8">
        <w:t xml:space="preserve">Figure </w:t>
      </w:r>
      <w:r w:rsidR="00183CC8">
        <w:rPr>
          <w:noProof/>
        </w:rPr>
        <w:t>5</w:t>
      </w:r>
      <w:r w:rsidR="00183CC8">
        <w:t>.</w:t>
      </w:r>
      <w:r w:rsidR="00183CC8">
        <w:rPr>
          <w:noProof/>
        </w:rPr>
        <w:t>9</w:t>
      </w:r>
      <w:r>
        <w:fldChar w:fldCharType="end"/>
      </w:r>
      <w:r>
        <w:t>a) shows a</w:t>
      </w:r>
      <w:r w:rsidR="00EF7AE1">
        <w:t>n ill</w:t>
      </w:r>
      <w:r>
        <w:t xml:space="preserve">-defined outer edge and a cell wall that becomes </w:t>
      </w:r>
      <w:r w:rsidR="00284219">
        <w:t>more</w:t>
      </w:r>
      <w:r>
        <w:t xml:space="preserve"> </w:t>
      </w:r>
      <w:r w:rsidR="00284219">
        <w:t>variable</w:t>
      </w:r>
      <w:r>
        <w:t xml:space="preserve"> in thickness throughout the cell periphery</w:t>
      </w:r>
      <w:r w:rsidR="00481272">
        <w:t>,</w:t>
      </w:r>
      <w:r w:rsidR="00284219">
        <w:t xml:space="preserve"> when treated with antibiotics</w:t>
      </w:r>
      <w:r>
        <w:t xml:space="preserve"> (</w:t>
      </w:r>
      <w:r>
        <w:fldChar w:fldCharType="begin"/>
      </w:r>
      <w:r>
        <w:instrText xml:space="preserve"> REF _Ref69653684 \h </w:instrText>
      </w:r>
      <w:r>
        <w:fldChar w:fldCharType="separate"/>
      </w:r>
      <w:r w:rsidR="00183CC8">
        <w:t xml:space="preserve">Figure </w:t>
      </w:r>
      <w:r w:rsidR="00183CC8">
        <w:rPr>
          <w:noProof/>
        </w:rPr>
        <w:t>5</w:t>
      </w:r>
      <w:r w:rsidR="00183CC8">
        <w:t>.</w:t>
      </w:r>
      <w:r w:rsidR="00183CC8">
        <w:rPr>
          <w:noProof/>
        </w:rPr>
        <w:t>9</w:t>
      </w:r>
      <w:r>
        <w:fldChar w:fldCharType="end"/>
      </w:r>
      <w:r>
        <w:t xml:space="preserve">b). </w:t>
      </w:r>
      <w:r w:rsidR="005773CC">
        <w:t xml:space="preserve">This led us to measure the relative CW thickness using TEM micrographs analysed </w:t>
      </w:r>
      <w:r w:rsidR="007B0318">
        <w:t>with</w:t>
      </w:r>
      <w:r w:rsidR="005773CC">
        <w:t xml:space="preserve"> </w:t>
      </w:r>
      <w:r w:rsidR="00E930CC">
        <w:t>Fiji</w:t>
      </w:r>
      <w:r w:rsidR="005773CC">
        <w:t xml:space="preserve"> </w:t>
      </w:r>
      <w:r w:rsidR="007B0318">
        <w:fldChar w:fldCharType="begin" w:fldLock="1"/>
      </w:r>
      <w:r w:rsidR="0058736C">
        <w:instrText>ADDIN CSL_CITATION {"citationItems":[{"id":"ITEM-1","itemData":{"DOI":"10.1038/nmeth.2019","ISSN":"15487091","PMID":"22743772","abstract":"Fiji is a distribution of the popular open-source software ImageJ focused on biological-image analysis. Fiji uses modern software engineering practices to combine powerful software libraries with a broad range of scripting languages to enable rapid prototyping of image-processing algorithms. Fiji facilitates the transformation of new algorithms into ImageJ plugins that can be shared with end users through an integrated update system. We propose Fiji as a platform for productive collaboration between computer science and biology research communities. © 2012 Nature America, Inc. All rights reserved.","author":[{"dropping-particle":"","family":"Schindelin","given":"Johannes","non-dropping-particle":"","parse-names":false,"suffix":""},{"dropping-particle":"","family":"Arganda-Carreras","given":"Ignacio","non-dropping-particle":"","parse-names":false,"suffix":""},{"dropping-particle":"","family":"Frise","given":"Erwin","non-dropping-particle":"","parse-names":false,"suffix":""},{"dropping-particle":"","family":"Kaynig","given":"Verena","non-dropping-particle":"","parse-names":false,"suffix":""},{"dropping-particle":"","family":"Longair","given":"Mark","non-dropping-particle":"","parse-names":false,"suffix":""},{"dropping-particle":"","family":"Pietzsch","given":"Tobias","non-dropping-particle":"","parse-names":false,"suffix":""},{"dropping-particle":"","family":"Preibisch","given":"Stephan","non-dropping-particle":"","parse-names":false,"suffix":""},{"dropping-particle":"","family":"Rueden","given":"Curtis","non-dropping-particle":"","parse-names":false,"suffix":""},{"dropping-particle":"","family":"Saalfeld","given":"Stephan","non-dropping-particle":"","parse-names":false,"suffix":""},{"dropping-particle":"","family":"Schmid","given":"Benjamin","non-dropping-particle":"","parse-names":false,"suffix":""},{"dropping-particle":"","family":"Tinevez","given":"Jean Yves","non-dropping-particle":"","parse-names":false,"suffix":""},{"dropping-particle":"","family":"White","given":"Daniel James","non-dropping-particle":"","parse-names":false,"suffix":""},{"dropping-particle":"","family":"Hartenstein","given":"Volker","non-dropping-particle":"","parse-names":false,"suffix":""},{"dropping-particle":"","family":"Eliceiri","given":"Kevin","non-dropping-particle":"","parse-names":false,"suffix":""},{"dropping-particle":"","family":"Tomancak","given":"Pavel","non-dropping-particle":"","parse-names":false,"suffix":""},{"dropping-particle":"","family":"Cardona","given":"Albert","non-dropping-particle":"","parse-names":false,"suffix":""}],"container-title":"Nature Methods","id":"ITEM-1","issue":"7","issued":{"date-parts":[["2012","7","28"]]},"page":"676-682","publisher":"Nature Publishing Group","title":"Fiji: An open-source platform for biological-image analysis","type":"article","volume":"9"},"uris":["http://www.mendeley.com/documents/?uuid=59429b62-8bc2-379d-b929-9570760f73c6"]}],"mendeley":{"formattedCitation":"&lt;sup&gt;[238]&lt;/sup&gt;","plainTextFormattedCitation":"[238]","previouslyFormattedCitation":"&lt;sup&gt;[238]&lt;/sup&gt;"},"properties":{"noteIndex":0},"schema":"https://github.com/citation-style-language/schema/raw/master/csl-citation.json"}</w:instrText>
      </w:r>
      <w:r w:rsidR="007B0318">
        <w:fldChar w:fldCharType="separate"/>
      </w:r>
      <w:r w:rsidR="002659E5" w:rsidRPr="002659E5">
        <w:rPr>
          <w:noProof/>
          <w:vertAlign w:val="superscript"/>
        </w:rPr>
        <w:t>[238]</w:t>
      </w:r>
      <w:r w:rsidR="007B0318">
        <w:fldChar w:fldCharType="end"/>
      </w:r>
      <w:r w:rsidR="009C7CB1">
        <w:t xml:space="preserve"> </w:t>
      </w:r>
      <w:r w:rsidR="005773CC">
        <w:t>(</w:t>
      </w:r>
      <w:r w:rsidR="009C7CB1">
        <w:t>section</w:t>
      </w:r>
      <w:r w:rsidR="005773CC">
        <w:t xml:space="preserve"> </w:t>
      </w:r>
      <w:r w:rsidR="005773CC">
        <w:fldChar w:fldCharType="begin"/>
      </w:r>
      <w:r w:rsidR="005773CC">
        <w:instrText xml:space="preserve"> REF _Ref71579152 \r \h </w:instrText>
      </w:r>
      <w:r w:rsidR="005773CC">
        <w:fldChar w:fldCharType="separate"/>
      </w:r>
      <w:r w:rsidR="00183CC8">
        <w:t>2.20.8</w:t>
      </w:r>
      <w:r w:rsidR="005773CC">
        <w:fldChar w:fldCharType="end"/>
      </w:r>
      <w:r w:rsidR="005773CC">
        <w:t xml:space="preserve">). </w:t>
      </w:r>
      <w:r w:rsidR="00466017">
        <w:t xml:space="preserve">Average cell wall thickness of cross-section measurements </w:t>
      </w:r>
      <w:r w:rsidR="008C109E">
        <w:t>shows</w:t>
      </w:r>
      <w:r w:rsidR="00466017">
        <w:t xml:space="preserve"> a significantly thinner bacterial wall in both methicillin </w:t>
      </w:r>
      <w:r>
        <w:t>and/</w:t>
      </w:r>
      <w:r w:rsidR="00466017">
        <w:t>or vancomycin treated cells (</w:t>
      </w:r>
      <w:r w:rsidR="00284219">
        <w:fldChar w:fldCharType="begin"/>
      </w:r>
      <w:r w:rsidR="00284219">
        <w:instrText xml:space="preserve"> REF _Ref69653684 \h </w:instrText>
      </w:r>
      <w:r w:rsidR="00284219">
        <w:fldChar w:fldCharType="separate"/>
      </w:r>
      <w:r w:rsidR="00183CC8">
        <w:t xml:space="preserve">Figure </w:t>
      </w:r>
      <w:r w:rsidR="00183CC8">
        <w:rPr>
          <w:noProof/>
        </w:rPr>
        <w:t>5</w:t>
      </w:r>
      <w:r w:rsidR="00183CC8">
        <w:t>.</w:t>
      </w:r>
      <w:r w:rsidR="00183CC8">
        <w:rPr>
          <w:noProof/>
        </w:rPr>
        <w:t>9</w:t>
      </w:r>
      <w:r w:rsidR="00284219">
        <w:fldChar w:fldCharType="end"/>
      </w:r>
      <w:r w:rsidR="00284219">
        <w:t>c</w:t>
      </w:r>
      <w:r w:rsidR="00DD3C03">
        <w:t>-d</w:t>
      </w:r>
      <w:r w:rsidR="003606DF">
        <w:t>, p &lt; 0.0001</w:t>
      </w:r>
      <w:r w:rsidR="00466017">
        <w:t>).</w:t>
      </w:r>
      <w:r w:rsidR="00EE61C9">
        <w:t xml:space="preserve"> </w:t>
      </w:r>
      <w:r w:rsidR="00BC7AFC">
        <w:t xml:space="preserve">The </w:t>
      </w:r>
      <w:r w:rsidR="002D6891">
        <w:t>newly exposed cell wall from recently separated daughter cells</w:t>
      </w:r>
      <w:r w:rsidR="00BC7AFC">
        <w:t>, although thinner,</w:t>
      </w:r>
      <w:r w:rsidR="002D6891">
        <w:t xml:space="preserve"> ha</w:t>
      </w:r>
      <w:r w:rsidR="005773CC">
        <w:t>s</w:t>
      </w:r>
      <w:r w:rsidR="002D6891">
        <w:t xml:space="preserve"> a defined </w:t>
      </w:r>
      <w:r w:rsidR="005F292F">
        <w:t xml:space="preserve">outer </w:t>
      </w:r>
      <w:r w:rsidR="002D6891">
        <w:t xml:space="preserve">edge similar to </w:t>
      </w:r>
      <w:r w:rsidR="005D5C76">
        <w:t xml:space="preserve">that of </w:t>
      </w:r>
      <w:r w:rsidR="002D6891">
        <w:t>untreated cells</w:t>
      </w:r>
      <w:r w:rsidR="006F6B98">
        <w:t xml:space="preserve"> (</w:t>
      </w:r>
      <w:r w:rsidR="006F6B98">
        <w:fldChar w:fldCharType="begin"/>
      </w:r>
      <w:r w:rsidR="006F6B98">
        <w:instrText xml:space="preserve"> REF _Ref69032566 \h </w:instrText>
      </w:r>
      <w:r w:rsidR="006F6B98">
        <w:fldChar w:fldCharType="separate"/>
      </w:r>
      <w:r w:rsidR="00183CC8">
        <w:t xml:space="preserve">Figure </w:t>
      </w:r>
      <w:r w:rsidR="00183CC8">
        <w:rPr>
          <w:noProof/>
        </w:rPr>
        <w:t>5</w:t>
      </w:r>
      <w:r w:rsidR="00183CC8">
        <w:t>.</w:t>
      </w:r>
      <w:r w:rsidR="00183CC8">
        <w:rPr>
          <w:noProof/>
        </w:rPr>
        <w:t>10</w:t>
      </w:r>
      <w:r w:rsidR="006F6B98">
        <w:fldChar w:fldCharType="end"/>
      </w:r>
      <w:r w:rsidR="006F6B98">
        <w:t>)</w:t>
      </w:r>
      <w:r w:rsidR="00466017">
        <w:t>.</w:t>
      </w:r>
    </w:p>
    <w:p w14:paraId="642239F9" w14:textId="07EA649F" w:rsidR="00282DA9" w:rsidRDefault="00D72A27" w:rsidP="00745351">
      <w:r>
        <w:t xml:space="preserve">In summary, these results </w:t>
      </w:r>
      <w:r w:rsidR="0047583F">
        <w:t>demonstrate</w:t>
      </w:r>
      <w:r>
        <w:t xml:space="preserve"> that:</w:t>
      </w:r>
      <w:r w:rsidR="00466017">
        <w:t xml:space="preserve"> </w:t>
      </w:r>
    </w:p>
    <w:p w14:paraId="0619FAD9" w14:textId="144CCF71" w:rsidR="00745351" w:rsidRDefault="00745351" w:rsidP="001D0636">
      <w:pPr>
        <w:pStyle w:val="ListParagraph"/>
        <w:numPr>
          <w:ilvl w:val="0"/>
          <w:numId w:val="32"/>
        </w:numPr>
        <w:spacing w:line="360" w:lineRule="auto"/>
      </w:pPr>
      <w:r>
        <w:t xml:space="preserve">Methicillin has a higher mortality rate than vancomycin, while addition of both has a </w:t>
      </w:r>
      <w:r w:rsidR="008C109E">
        <w:t>similar result</w:t>
      </w:r>
      <w:r>
        <w:t xml:space="preserve"> to that of vancomycin alone.</w:t>
      </w:r>
    </w:p>
    <w:p w14:paraId="7587B605" w14:textId="77777777" w:rsidR="004A405C" w:rsidRDefault="004A405C" w:rsidP="0059679E">
      <w:pPr>
        <w:pStyle w:val="ListParagraph"/>
        <w:ind w:left="1440"/>
      </w:pPr>
    </w:p>
    <w:p w14:paraId="004A26E8" w14:textId="1313B4C0" w:rsidR="00745351" w:rsidRDefault="00745351" w:rsidP="001D0636">
      <w:pPr>
        <w:pStyle w:val="ListParagraph"/>
        <w:numPr>
          <w:ilvl w:val="0"/>
          <w:numId w:val="32"/>
        </w:numPr>
        <w:spacing w:line="360" w:lineRule="auto"/>
      </w:pPr>
      <w:r>
        <w:t>Morphologically, bactericidal antibiotics cause a thinner and fuzzier appearance of the peripher</w:t>
      </w:r>
      <w:r w:rsidR="003E7CBB">
        <w:t>al</w:t>
      </w:r>
      <w:r>
        <w:t xml:space="preserve"> CW and lead to an increase in cell size.</w:t>
      </w:r>
    </w:p>
    <w:p w14:paraId="2D0BEAB6" w14:textId="77777777" w:rsidR="00745351" w:rsidRDefault="00745351" w:rsidP="001D0636">
      <w:pPr>
        <w:pStyle w:val="ListParagraph"/>
        <w:spacing w:line="360" w:lineRule="auto"/>
        <w:ind w:left="1440"/>
      </w:pPr>
    </w:p>
    <w:p w14:paraId="0BD51259" w14:textId="3A70466A" w:rsidR="00745351" w:rsidRDefault="00745351" w:rsidP="00745351">
      <w:pPr>
        <w:pStyle w:val="ListParagraph"/>
        <w:numPr>
          <w:ilvl w:val="0"/>
          <w:numId w:val="32"/>
        </w:numPr>
        <w:sectPr w:rsidR="00745351" w:rsidSect="004D0E05">
          <w:pgSz w:w="11906" w:h="16838"/>
          <w:pgMar w:top="1191" w:right="1247" w:bottom="1191" w:left="1247" w:header="709" w:footer="709" w:gutter="0"/>
          <w:cols w:space="708"/>
          <w:titlePg/>
          <w:docGrid w:linePitch="360"/>
        </w:sectPr>
      </w:pPr>
    </w:p>
    <w:p w14:paraId="082D8799" w14:textId="77777777" w:rsidR="00A41FBA" w:rsidRDefault="00A41FBA" w:rsidP="00A41FBA">
      <w:pPr>
        <w:keepNext/>
        <w:jc w:val="center"/>
      </w:pPr>
      <w:r>
        <w:rPr>
          <w:noProof/>
          <w:color w:val="FF0000"/>
        </w:rPr>
        <w:lastRenderedPageBreak/>
        <w:drawing>
          <wp:inline distT="0" distB="0" distL="0" distR="0" wp14:anchorId="0890C599" wp14:editId="4BA72BAA">
            <wp:extent cx="5872327" cy="73429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892472" cy="7368098"/>
                    </a:xfrm>
                    <a:prstGeom prst="rect">
                      <a:avLst/>
                    </a:prstGeom>
                  </pic:spPr>
                </pic:pic>
              </a:graphicData>
            </a:graphic>
          </wp:inline>
        </w:drawing>
      </w:r>
    </w:p>
    <w:p w14:paraId="55B7B2F3" w14:textId="1D3EE3F3" w:rsidR="00A41FBA" w:rsidRDefault="00A41FBA" w:rsidP="008A2B86">
      <w:pPr>
        <w:pStyle w:val="Caption"/>
      </w:pPr>
      <w:bookmarkStart w:id="719" w:name="_Ref68881914"/>
      <w:bookmarkStart w:id="720" w:name="_Toc90216992"/>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7</w:t>
      </w:r>
      <w:r w:rsidR="003373BF">
        <w:rPr>
          <w:noProof/>
        </w:rPr>
        <w:fldChar w:fldCharType="end"/>
      </w:r>
      <w:bookmarkEnd w:id="719"/>
      <w:r>
        <w:t xml:space="preserve"> Effect of methicillin and/or vancomycin on </w:t>
      </w:r>
      <w:r>
        <w:rPr>
          <w:i/>
        </w:rPr>
        <w:t>S. aureus</w:t>
      </w:r>
      <w:r>
        <w:t xml:space="preserve"> </w:t>
      </w:r>
      <w:r w:rsidR="00DB7E29">
        <w:t>morphology</w:t>
      </w:r>
      <w:r>
        <w:t>.</w:t>
      </w:r>
      <w:bookmarkEnd w:id="720"/>
    </w:p>
    <w:p w14:paraId="0359013A" w14:textId="027B07EF" w:rsidR="00A41FBA" w:rsidRDefault="00A41FBA" w:rsidP="00A41FBA">
      <w:pPr>
        <w:pStyle w:val="NoSpacing"/>
        <w:sectPr w:rsidR="00A41FBA" w:rsidSect="004D0E05">
          <w:pgSz w:w="11906" w:h="16838"/>
          <w:pgMar w:top="1191" w:right="1247" w:bottom="1191" w:left="1247" w:header="709" w:footer="709" w:gutter="0"/>
          <w:cols w:space="708"/>
          <w:titlePg/>
          <w:docGrid w:linePitch="360"/>
        </w:sectPr>
      </w:pPr>
      <w:r w:rsidRPr="003866DB">
        <w:t xml:space="preserve">TEM micrographs from chemically fixed thin-sections of </w:t>
      </w:r>
      <w:r w:rsidRPr="007E03D4">
        <w:rPr>
          <w:i/>
          <w:iCs/>
        </w:rPr>
        <w:t>S. aureus</w:t>
      </w:r>
      <w:r w:rsidRPr="003866DB">
        <w:t xml:space="preserve"> SH1000 treated with 10 x MIC methicillin </w:t>
      </w:r>
      <w:r>
        <w:t>and/</w:t>
      </w:r>
      <w:r w:rsidRPr="003866DB">
        <w:t xml:space="preserve">or vancomycin for 1 h. </w:t>
      </w:r>
      <w:r w:rsidRPr="001B0381">
        <w:rPr>
          <w:b/>
          <w:bCs/>
        </w:rPr>
        <w:t>(A-C)</w:t>
      </w:r>
      <w:r w:rsidRPr="003866DB">
        <w:t xml:space="preserve"> Untreated, </w:t>
      </w:r>
      <w:r w:rsidRPr="001B0381">
        <w:rPr>
          <w:b/>
          <w:bCs/>
        </w:rPr>
        <w:t>(D, F)</w:t>
      </w:r>
      <w:r w:rsidRPr="003866DB">
        <w:t xml:space="preserve"> methicillin</w:t>
      </w:r>
      <w:r>
        <w:t>,</w:t>
      </w:r>
      <w:r w:rsidRPr="003866DB">
        <w:t xml:space="preserve"> </w:t>
      </w:r>
      <w:r w:rsidRPr="001B0381">
        <w:rPr>
          <w:b/>
          <w:bCs/>
        </w:rPr>
        <w:t>(</w:t>
      </w:r>
      <w:r>
        <w:rPr>
          <w:b/>
          <w:bCs/>
        </w:rPr>
        <w:t>G</w:t>
      </w:r>
      <w:r w:rsidRPr="001B0381">
        <w:rPr>
          <w:b/>
          <w:bCs/>
        </w:rPr>
        <w:t>, I)</w:t>
      </w:r>
      <w:r w:rsidRPr="003866DB">
        <w:t xml:space="preserve"> vancomycin</w:t>
      </w:r>
      <w:r>
        <w:t xml:space="preserve">, and </w:t>
      </w:r>
      <w:r>
        <w:rPr>
          <w:b/>
          <w:bCs/>
        </w:rPr>
        <w:t>(J-L)</w:t>
      </w:r>
      <w:r>
        <w:t xml:space="preserve"> methicillin </w:t>
      </w:r>
      <w:r w:rsidR="001665E5">
        <w:t>plus</w:t>
      </w:r>
      <w:r>
        <w:t xml:space="preserve"> vancomycin</w:t>
      </w:r>
      <w:r w:rsidRPr="003866DB">
        <w:t xml:space="preserve">. </w:t>
      </w:r>
      <w:r w:rsidRPr="001B0381">
        <w:rPr>
          <w:b/>
          <w:bCs/>
        </w:rPr>
        <w:t>(A, D, G</w:t>
      </w:r>
      <w:r>
        <w:rPr>
          <w:b/>
          <w:bCs/>
        </w:rPr>
        <w:t>, J</w:t>
      </w:r>
      <w:r w:rsidRPr="001B0381">
        <w:rPr>
          <w:b/>
          <w:bCs/>
        </w:rPr>
        <w:t>)</w:t>
      </w:r>
      <w:r w:rsidRPr="003866DB">
        <w:t xml:space="preserve"> Low magnification </w:t>
      </w:r>
      <w:r w:rsidR="00D93A67">
        <w:t>(</w:t>
      </w:r>
      <w:r w:rsidRPr="003866DB">
        <w:t>1900x</w:t>
      </w:r>
      <w:r w:rsidR="00D93A67">
        <w:t>)</w:t>
      </w:r>
      <w:r w:rsidRPr="003866DB">
        <w:t xml:space="preserve">, scale bar: 1 µm. </w:t>
      </w:r>
      <w:r w:rsidRPr="001B0381">
        <w:rPr>
          <w:b/>
          <w:bCs/>
        </w:rPr>
        <w:t>(B, E, H</w:t>
      </w:r>
      <w:r>
        <w:rPr>
          <w:b/>
          <w:bCs/>
        </w:rPr>
        <w:t>, K</w:t>
      </w:r>
      <w:r w:rsidRPr="001B0381">
        <w:rPr>
          <w:b/>
          <w:bCs/>
        </w:rPr>
        <w:t>)</w:t>
      </w:r>
      <w:r w:rsidRPr="003866DB">
        <w:t xml:space="preserve"> Mid magnification </w:t>
      </w:r>
      <w:r w:rsidR="00D93A67">
        <w:t>(</w:t>
      </w:r>
      <w:r w:rsidRPr="003866DB">
        <w:t>2900x</w:t>
      </w:r>
      <w:r w:rsidR="00D93A67">
        <w:t>)</w:t>
      </w:r>
      <w:r w:rsidRPr="003866DB">
        <w:t xml:space="preserve">, scale bar 1 µm. </w:t>
      </w:r>
      <w:r w:rsidRPr="001B0381">
        <w:rPr>
          <w:b/>
          <w:bCs/>
        </w:rPr>
        <w:t>(C, F, I</w:t>
      </w:r>
      <w:r>
        <w:rPr>
          <w:b/>
          <w:bCs/>
        </w:rPr>
        <w:t>, L</w:t>
      </w:r>
      <w:r w:rsidRPr="001B0381">
        <w:rPr>
          <w:b/>
          <w:bCs/>
        </w:rPr>
        <w:t>)</w:t>
      </w:r>
      <w:r w:rsidRPr="003866DB">
        <w:t xml:space="preserve"> High magnification </w:t>
      </w:r>
      <w:r w:rsidR="00B03DF5">
        <w:t>(</w:t>
      </w:r>
      <w:r w:rsidRPr="003866DB">
        <w:t>4800x</w:t>
      </w:r>
      <w:r w:rsidR="00B03DF5">
        <w:t>)</w:t>
      </w:r>
      <w:r w:rsidRPr="003866DB">
        <w:t>, scale bar 1 µm.</w:t>
      </w:r>
    </w:p>
    <w:p w14:paraId="6D7A90DA" w14:textId="22C7DE79" w:rsidR="0051387C" w:rsidRDefault="0051387C" w:rsidP="0036230C">
      <w:pPr>
        <w:keepNext/>
        <w:ind w:left="720" w:hanging="720"/>
        <w:jc w:val="center"/>
      </w:pPr>
      <w:r>
        <w:rPr>
          <w:noProof/>
        </w:rPr>
        <w:lastRenderedPageBreak/>
        <w:drawing>
          <wp:inline distT="0" distB="0" distL="0" distR="0" wp14:anchorId="3611D153" wp14:editId="0B02BB8A">
            <wp:extent cx="5890591" cy="7631702"/>
            <wp:effectExtent l="0" t="0" r="254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5" cstate="print">
                      <a:extLst>
                        <a:ext uri="{BEBA8EAE-BF5A-486C-A8C5-ECC9F3942E4B}">
                          <a14:imgProps xmlns:a14="http://schemas.microsoft.com/office/drawing/2010/main">
                            <a14:imgLayer r:embed="rId86">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5918175" cy="7667439"/>
                    </a:xfrm>
                    <a:prstGeom prst="rect">
                      <a:avLst/>
                    </a:prstGeom>
                  </pic:spPr>
                </pic:pic>
              </a:graphicData>
            </a:graphic>
          </wp:inline>
        </w:drawing>
      </w:r>
    </w:p>
    <w:p w14:paraId="7CEF872B" w14:textId="0D12AA4C" w:rsidR="0051387C" w:rsidRDefault="0051387C" w:rsidP="008A2B86">
      <w:pPr>
        <w:pStyle w:val="Caption"/>
      </w:pPr>
      <w:bookmarkStart w:id="721" w:name="_Ref68960074"/>
      <w:bookmarkStart w:id="722" w:name="_Toc90216993"/>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w:instrText>
      </w:r>
      <w:r w:rsidR="003373BF">
        <w:instrText xml:space="preserve">1 </w:instrText>
      </w:r>
      <w:r w:rsidR="003373BF">
        <w:fldChar w:fldCharType="separate"/>
      </w:r>
      <w:r w:rsidR="00183CC8">
        <w:rPr>
          <w:noProof/>
        </w:rPr>
        <w:t>8</w:t>
      </w:r>
      <w:r w:rsidR="003373BF">
        <w:rPr>
          <w:noProof/>
        </w:rPr>
        <w:fldChar w:fldCharType="end"/>
      </w:r>
      <w:bookmarkEnd w:id="721"/>
      <w:r>
        <w:t xml:space="preserve"> </w:t>
      </w:r>
      <w:r w:rsidR="001779ED">
        <w:t>The</w:t>
      </w:r>
      <w:r w:rsidR="00F33A43">
        <w:t xml:space="preserve"> e</w:t>
      </w:r>
      <w:r>
        <w:t xml:space="preserve">ffect of methicillin </w:t>
      </w:r>
      <w:r w:rsidR="007A2E07">
        <w:t>and/</w:t>
      </w:r>
      <w:r>
        <w:t xml:space="preserve">or vancomycin on </w:t>
      </w:r>
      <w:r>
        <w:rPr>
          <w:i/>
        </w:rPr>
        <w:t>S. aureu</w:t>
      </w:r>
      <w:r w:rsidR="001779ED">
        <w:rPr>
          <w:i/>
        </w:rPr>
        <w:t>s</w:t>
      </w:r>
      <w:r>
        <w:t xml:space="preserve"> cell wall morphology</w:t>
      </w:r>
      <w:r w:rsidR="00515FB1">
        <w:t xml:space="preserve"> analysed by TEM</w:t>
      </w:r>
      <w:r>
        <w:t>.</w:t>
      </w:r>
      <w:bookmarkEnd w:id="722"/>
    </w:p>
    <w:p w14:paraId="0E562FFF" w14:textId="399F72F6" w:rsidR="0051387C" w:rsidRPr="00686B5C" w:rsidRDefault="00D076A3" w:rsidP="0051387C">
      <w:pPr>
        <w:pStyle w:val="NoSpacing"/>
      </w:pPr>
      <w:r>
        <w:t xml:space="preserve">TEM </w:t>
      </w:r>
      <w:r w:rsidR="0051387C">
        <w:t>micrographs of chemically fixed thin sections of</w:t>
      </w:r>
      <w:r w:rsidR="00F03B26">
        <w:t xml:space="preserve"> </w:t>
      </w:r>
      <w:r w:rsidR="00F03B26">
        <w:rPr>
          <w:i/>
          <w:iCs/>
        </w:rPr>
        <w:t xml:space="preserve">S. </w:t>
      </w:r>
      <w:r w:rsidR="00F03B26" w:rsidRPr="0044092B">
        <w:rPr>
          <w:i/>
          <w:iCs/>
        </w:rPr>
        <w:t>aureus</w:t>
      </w:r>
      <w:r w:rsidR="00F03B26">
        <w:t xml:space="preserve"> SH1000 </w:t>
      </w:r>
      <w:r w:rsidR="0051387C">
        <w:rPr>
          <w:b/>
          <w:bCs/>
        </w:rPr>
        <w:t>(A)</w:t>
      </w:r>
      <w:r w:rsidR="0051387C">
        <w:t xml:space="preserve"> untreated</w:t>
      </w:r>
      <w:r w:rsidR="00302D69">
        <w:t xml:space="preserve"> and</w:t>
      </w:r>
      <w:r w:rsidR="00F03B26">
        <w:t xml:space="preserve"> </w:t>
      </w:r>
      <w:r w:rsidR="006B6604">
        <w:t xml:space="preserve">treated for </w:t>
      </w:r>
      <w:r w:rsidR="00F03B26">
        <w:t>1 h with</w:t>
      </w:r>
      <w:r w:rsidR="00302D69">
        <w:t xml:space="preserve"> 10 x MIC of</w:t>
      </w:r>
      <w:r w:rsidR="0051387C">
        <w:t xml:space="preserve"> </w:t>
      </w:r>
      <w:r w:rsidR="0051387C">
        <w:rPr>
          <w:b/>
          <w:bCs/>
        </w:rPr>
        <w:t>(B)</w:t>
      </w:r>
      <w:r w:rsidR="00F03B26">
        <w:t xml:space="preserve"> </w:t>
      </w:r>
      <w:r w:rsidR="0051387C">
        <w:t>methicillin</w:t>
      </w:r>
      <w:r w:rsidR="00F03B26">
        <w:t xml:space="preserve">, </w:t>
      </w:r>
      <w:r w:rsidR="00F03B26">
        <w:rPr>
          <w:b/>
          <w:bCs/>
        </w:rPr>
        <w:t>(C)</w:t>
      </w:r>
      <w:r w:rsidR="00F03B26">
        <w:t xml:space="preserve"> vancomycin</w:t>
      </w:r>
      <w:r w:rsidR="0051387C">
        <w:t xml:space="preserve"> and </w:t>
      </w:r>
      <w:r w:rsidR="0051387C">
        <w:rPr>
          <w:b/>
          <w:bCs/>
        </w:rPr>
        <w:t>(</w:t>
      </w:r>
      <w:r w:rsidR="00F03B26">
        <w:rPr>
          <w:b/>
          <w:bCs/>
        </w:rPr>
        <w:t>D</w:t>
      </w:r>
      <w:r w:rsidR="0051387C">
        <w:rPr>
          <w:b/>
          <w:bCs/>
        </w:rPr>
        <w:t>)</w:t>
      </w:r>
      <w:r w:rsidR="007C3898">
        <w:t xml:space="preserve"> </w:t>
      </w:r>
      <w:r w:rsidR="0051387C">
        <w:t>vancomycin</w:t>
      </w:r>
      <w:r w:rsidR="00F03B26">
        <w:t xml:space="preserve"> plus methicillin</w:t>
      </w:r>
      <w:r w:rsidR="0044092B">
        <w:t>.</w:t>
      </w:r>
      <w:r w:rsidR="0051387C">
        <w:t xml:space="preserve"> High magnification </w:t>
      </w:r>
      <w:r w:rsidR="00DE5568">
        <w:t>(</w:t>
      </w:r>
      <w:r w:rsidR="00B57106">
        <w:t>4</w:t>
      </w:r>
      <w:r w:rsidR="0051387C">
        <w:t>800x</w:t>
      </w:r>
      <w:r w:rsidR="00DE5568">
        <w:t>)</w:t>
      </w:r>
      <w:r w:rsidR="0051387C">
        <w:t>, scale bar 1 µm.</w:t>
      </w:r>
    </w:p>
    <w:p w14:paraId="30CB1246" w14:textId="77777777" w:rsidR="005D5C76" w:rsidRDefault="005D5C76" w:rsidP="00564145">
      <w:pPr>
        <w:keepNext/>
        <w:sectPr w:rsidR="005D5C76" w:rsidSect="004D0E05">
          <w:pgSz w:w="11906" w:h="16838"/>
          <w:pgMar w:top="1191" w:right="1247" w:bottom="1191" w:left="1247" w:header="709" w:footer="709" w:gutter="0"/>
          <w:cols w:space="708"/>
          <w:titlePg/>
          <w:docGrid w:linePitch="360"/>
        </w:sectPr>
      </w:pPr>
    </w:p>
    <w:p w14:paraId="1D1F16F0" w14:textId="77777777" w:rsidR="000F5697" w:rsidRDefault="000F5697" w:rsidP="000F5697">
      <w:pPr>
        <w:keepNext/>
        <w:jc w:val="center"/>
      </w:pPr>
      <w:r>
        <w:rPr>
          <w:noProof/>
        </w:rPr>
        <w:lastRenderedPageBreak/>
        <w:drawing>
          <wp:inline distT="0" distB="0" distL="0" distR="0" wp14:anchorId="2ECB65CE" wp14:editId="6D4C9922">
            <wp:extent cx="5918891" cy="548842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18891" cy="5488426"/>
                    </a:xfrm>
                    <a:prstGeom prst="rect">
                      <a:avLst/>
                    </a:prstGeom>
                  </pic:spPr>
                </pic:pic>
              </a:graphicData>
            </a:graphic>
          </wp:inline>
        </w:drawing>
      </w:r>
    </w:p>
    <w:p w14:paraId="15F9C982" w14:textId="38D046CB" w:rsidR="000F5697" w:rsidRDefault="000F5697" w:rsidP="008A2B86">
      <w:pPr>
        <w:pStyle w:val="Caption"/>
      </w:pPr>
      <w:bookmarkStart w:id="723" w:name="_Ref69653684"/>
      <w:bookmarkStart w:id="724" w:name="_Toc90216994"/>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9</w:t>
      </w:r>
      <w:r w:rsidR="003373BF">
        <w:rPr>
          <w:noProof/>
        </w:rPr>
        <w:fldChar w:fldCharType="end"/>
      </w:r>
      <w:bookmarkEnd w:id="723"/>
      <w:r>
        <w:t xml:space="preserve"> Effect of methicillin or vancomycin on </w:t>
      </w:r>
      <w:r>
        <w:rPr>
          <w:i/>
        </w:rPr>
        <w:t>S. aureus</w:t>
      </w:r>
      <w:r>
        <w:t xml:space="preserve"> cell wall </w:t>
      </w:r>
      <w:r w:rsidR="00865B64">
        <w:t>thickness</w:t>
      </w:r>
      <w:r>
        <w:t>.</w:t>
      </w:r>
      <w:bookmarkEnd w:id="724"/>
    </w:p>
    <w:p w14:paraId="5F07E85D" w14:textId="0D7731BC" w:rsidR="000F5697" w:rsidRPr="000F5697" w:rsidRDefault="003C343F" w:rsidP="001336F7">
      <w:pPr>
        <w:pStyle w:val="NoSpacing"/>
      </w:pPr>
      <w:r>
        <w:t xml:space="preserve">Effect of 10 x MIC methicillin and/or vancomycin after 1 h on </w:t>
      </w:r>
      <w:r>
        <w:rPr>
          <w:i/>
          <w:iCs/>
        </w:rPr>
        <w:t>S. aureus</w:t>
      </w:r>
      <w:r>
        <w:t xml:space="preserve"> SH1000.</w:t>
      </w:r>
      <w:r>
        <w:rPr>
          <w:b/>
          <w:bCs/>
        </w:rPr>
        <w:t xml:space="preserve"> </w:t>
      </w:r>
      <w:r w:rsidR="000F5697">
        <w:rPr>
          <w:b/>
          <w:bCs/>
        </w:rPr>
        <w:t>(A)</w:t>
      </w:r>
      <w:r w:rsidR="000F5697">
        <w:t xml:space="preserve"> Representative cell for the control, methicillin-treated and vancomycin-treated samples (as indicated). </w:t>
      </w:r>
      <w:r w:rsidR="008A046A">
        <w:t>Cropped from h</w:t>
      </w:r>
      <w:r w:rsidR="000F5697">
        <w:t xml:space="preserve">igh magnification </w:t>
      </w:r>
      <w:r w:rsidR="009A20EF">
        <w:t>(</w:t>
      </w:r>
      <w:r w:rsidR="000F5697">
        <w:t>6800x</w:t>
      </w:r>
      <w:r w:rsidR="009A20EF">
        <w:t>)</w:t>
      </w:r>
      <w:r w:rsidR="008A046A">
        <w:t xml:space="preserve"> TEM micrographs of chemically fixed </w:t>
      </w:r>
      <w:r>
        <w:t>cells</w:t>
      </w:r>
      <w:r w:rsidR="000F5697">
        <w:t xml:space="preserve">, scale bar 200 nm. </w:t>
      </w:r>
      <w:r w:rsidR="000F5697">
        <w:rPr>
          <w:b/>
          <w:bCs/>
        </w:rPr>
        <w:t>(B)</w:t>
      </w:r>
      <w:r w:rsidR="000F5697">
        <w:t xml:space="preserve"> Zoomed sections of the micrographs shown in</w:t>
      </w:r>
      <w:r w:rsidR="000F5697" w:rsidRPr="00686B5C">
        <w:rPr>
          <w:b/>
          <w:bCs/>
        </w:rPr>
        <w:t xml:space="preserve"> </w:t>
      </w:r>
      <w:r w:rsidR="000F5697" w:rsidRPr="006714F0">
        <w:t>(A)</w:t>
      </w:r>
      <w:r w:rsidR="000F5697">
        <w:t xml:space="preserve"> for the control (black rectangles), methicillin (red rectangles) and vancomycin (blue rectangles), showing the natural variation of the cell wall thickness: thicker (upper solid rectangles), thinner (lower dashed rectangles). Cropped from high magnification </w:t>
      </w:r>
      <w:r>
        <w:t>(</w:t>
      </w:r>
      <w:r w:rsidR="000F5697">
        <w:t>6800x</w:t>
      </w:r>
      <w:r>
        <w:t>)</w:t>
      </w:r>
      <w:r w:rsidR="000F5697">
        <w:t xml:space="preserve">, scale bar 50 nm, pm– plasma membrane, cw– cell wall, es– exoplasmic space. </w:t>
      </w:r>
      <w:r w:rsidR="000F5697">
        <w:rPr>
          <w:b/>
          <w:bCs/>
        </w:rPr>
        <w:t>(C)</w:t>
      </w:r>
      <w:r w:rsidR="000F5697">
        <w:t xml:space="preserve"> Average cell wall thickness for untreated (grey: </w:t>
      </w:r>
      <w:r w:rsidR="000F5697" w:rsidRPr="00E14DEC">
        <w:rPr>
          <w:i/>
          <w:iCs/>
        </w:rPr>
        <w:t>n</w:t>
      </w:r>
      <w:r w:rsidR="000F5697">
        <w:rPr>
          <w:i/>
          <w:iCs/>
        </w:rPr>
        <w:t> </w:t>
      </w:r>
      <w:r w:rsidR="000F5697" w:rsidRPr="00B863AB">
        <w:t>= 102</w:t>
      </w:r>
      <w:r w:rsidR="000F5697">
        <w:t xml:space="preserve">), methicillin (red: 2 biological repeats, </w:t>
      </w:r>
      <w:r w:rsidR="000F5697">
        <w:rPr>
          <w:i/>
          <w:iCs/>
        </w:rPr>
        <w:t>n </w:t>
      </w:r>
      <w:r w:rsidR="000F5697">
        <w:t xml:space="preserve">= 104), vancomycin (blue: 4 biological repeats, </w:t>
      </w:r>
      <w:r w:rsidR="000F5697">
        <w:rPr>
          <w:i/>
          <w:iCs/>
        </w:rPr>
        <w:t>n </w:t>
      </w:r>
      <w:r w:rsidR="000F5697">
        <w:t xml:space="preserve">= 100), and vancomycin plus methicillin (purple:3 biological repeats, </w:t>
      </w:r>
      <w:r w:rsidR="000F5697">
        <w:rPr>
          <w:i/>
          <w:iCs/>
        </w:rPr>
        <w:t>n</w:t>
      </w:r>
      <w:r w:rsidR="000F5697">
        <w:t> = 101).</w:t>
      </w:r>
      <w:r w:rsidR="001336F7">
        <w:t xml:space="preserve"> Statistical analysis: t-test with Wel</w:t>
      </w:r>
      <w:r w:rsidR="00E15582">
        <w:t>c</w:t>
      </w:r>
      <w:r w:rsidR="001336F7">
        <w:t>h</w:t>
      </w:r>
      <w:r w:rsidR="000B568B">
        <w:t>’s</w:t>
      </w:r>
      <w:r w:rsidR="001336F7">
        <w:t xml:space="preserve"> correction (**** p &lt; 0.0001, *** p = 0.0003, </w:t>
      </w:r>
      <w:r w:rsidR="001336F7">
        <w:rPr>
          <w:i/>
          <w:iCs/>
        </w:rPr>
        <w:t>n</w:t>
      </w:r>
      <w:r w:rsidR="001336F7">
        <w:t> &gt; 100).</w:t>
      </w:r>
      <w:r w:rsidR="000F5697">
        <w:t xml:space="preserve"> Th</w:t>
      </w:r>
      <w:r w:rsidR="009A20EF">
        <w:t>e</w:t>
      </w:r>
      <w:r w:rsidR="000F5697">
        <w:t xml:space="preserve"> box plot represents the minimum, first quartile, median, third quartile and maximum</w:t>
      </w:r>
      <w:r w:rsidR="005603C7">
        <w:t xml:space="preserve">. </w:t>
      </w:r>
      <w:r w:rsidR="005603C7">
        <w:rPr>
          <w:b/>
          <w:bCs/>
        </w:rPr>
        <w:t>(D)</w:t>
      </w:r>
      <w:r w:rsidR="005603C7">
        <w:t xml:space="preserve"> Descriptive statistics showing the mean CW thickness value and standard deviation for each treatment</w:t>
      </w:r>
      <w:r w:rsidR="000F5697">
        <w:t>.</w:t>
      </w:r>
    </w:p>
    <w:p w14:paraId="049269CC" w14:textId="2AB43953" w:rsidR="000F5697" w:rsidRPr="000F5697" w:rsidRDefault="000F5697" w:rsidP="000F5697">
      <w:pPr>
        <w:pStyle w:val="NoSpacing"/>
        <w:sectPr w:rsidR="000F5697" w:rsidRPr="000F5697" w:rsidSect="004D0E05">
          <w:pgSz w:w="11906" w:h="16838"/>
          <w:pgMar w:top="1191" w:right="1247" w:bottom="1191" w:left="1247" w:header="709" w:footer="709" w:gutter="0"/>
          <w:cols w:space="708"/>
          <w:titlePg/>
          <w:docGrid w:linePitch="360"/>
        </w:sectPr>
      </w:pPr>
    </w:p>
    <w:p w14:paraId="54C3B61B" w14:textId="7D88CFA2" w:rsidR="00564145" w:rsidRDefault="00564145" w:rsidP="008612EA">
      <w:pPr>
        <w:keepNext/>
        <w:tabs>
          <w:tab w:val="left" w:pos="284"/>
        </w:tabs>
        <w:jc w:val="center"/>
      </w:pPr>
      <w:r>
        <w:rPr>
          <w:noProof/>
          <w:color w:val="FF0000"/>
        </w:rPr>
        <w:lastRenderedPageBreak/>
        <w:drawing>
          <wp:inline distT="0" distB="0" distL="0" distR="0" wp14:anchorId="3F6EBEA8" wp14:editId="454BD4DD">
            <wp:extent cx="5890140" cy="4951711"/>
            <wp:effectExtent l="0" t="0" r="3175"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890140" cy="4951711"/>
                    </a:xfrm>
                    <a:prstGeom prst="rect">
                      <a:avLst/>
                    </a:prstGeom>
                  </pic:spPr>
                </pic:pic>
              </a:graphicData>
            </a:graphic>
          </wp:inline>
        </w:drawing>
      </w:r>
    </w:p>
    <w:p w14:paraId="7934E3E8" w14:textId="29109A4A" w:rsidR="00151AA8" w:rsidRDefault="00564145" w:rsidP="008A2B86">
      <w:pPr>
        <w:pStyle w:val="Caption"/>
      </w:pPr>
      <w:bookmarkStart w:id="725" w:name="_Ref69032566"/>
      <w:bookmarkStart w:id="726" w:name="_Toc90216995"/>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10</w:t>
      </w:r>
      <w:r w:rsidR="003373BF">
        <w:rPr>
          <w:noProof/>
        </w:rPr>
        <w:fldChar w:fldCharType="end"/>
      </w:r>
      <w:bookmarkEnd w:id="725"/>
      <w:r>
        <w:t xml:space="preserve"> </w:t>
      </w:r>
      <w:r w:rsidR="00240AF2">
        <w:t xml:space="preserve">Effect of methicillin </w:t>
      </w:r>
      <w:r w:rsidR="00772787">
        <w:t>and/</w:t>
      </w:r>
      <w:r w:rsidR="00240AF2">
        <w:t xml:space="preserve">or vancomycin on </w:t>
      </w:r>
      <w:r w:rsidR="000D221D">
        <w:t xml:space="preserve">the cell wall of </w:t>
      </w:r>
      <w:r w:rsidR="00240AF2">
        <w:t xml:space="preserve">separating cells of </w:t>
      </w:r>
      <w:r w:rsidR="00240AF2">
        <w:rPr>
          <w:i/>
        </w:rPr>
        <w:t>S. aureus</w:t>
      </w:r>
      <w:r w:rsidR="00240AF2">
        <w:t>.</w:t>
      </w:r>
      <w:bookmarkEnd w:id="726"/>
    </w:p>
    <w:p w14:paraId="2F1A5F9F" w14:textId="53A42DF0" w:rsidR="005D5C76" w:rsidRDefault="00937AE9" w:rsidP="00983A21">
      <w:pPr>
        <w:pStyle w:val="NoSpacing"/>
        <w:sectPr w:rsidR="005D5C76" w:rsidSect="004D0E05">
          <w:pgSz w:w="11906" w:h="16838"/>
          <w:pgMar w:top="1191" w:right="1247" w:bottom="1191" w:left="1247" w:header="709" w:footer="709" w:gutter="0"/>
          <w:cols w:space="708"/>
          <w:titlePg/>
          <w:docGrid w:linePitch="360"/>
        </w:sectPr>
      </w:pPr>
      <w:r>
        <w:t xml:space="preserve">TEM micrographs of chemically fixed thin sections of </w:t>
      </w:r>
      <w:r>
        <w:rPr>
          <w:i/>
          <w:iCs/>
        </w:rPr>
        <w:t>S. aureus</w:t>
      </w:r>
      <w:r>
        <w:t xml:space="preserve"> SH1000 </w:t>
      </w:r>
      <w:r w:rsidR="00556FAB">
        <w:t xml:space="preserve">showing representative </w:t>
      </w:r>
      <w:r w:rsidR="00C97BC6">
        <w:t xml:space="preserve">newly separated daughter cells treated with 10 x MIC </w:t>
      </w:r>
      <w:r w:rsidR="00C97BC6">
        <w:rPr>
          <w:b/>
          <w:bCs/>
        </w:rPr>
        <w:t xml:space="preserve">(A) </w:t>
      </w:r>
      <w:r w:rsidR="00C97BC6">
        <w:t>vancomycin</w:t>
      </w:r>
      <w:r w:rsidR="00772787">
        <w:t>,</w:t>
      </w:r>
      <w:r w:rsidR="00C97BC6">
        <w:t xml:space="preserve"> </w:t>
      </w:r>
      <w:r w:rsidR="00C97BC6">
        <w:rPr>
          <w:b/>
          <w:bCs/>
        </w:rPr>
        <w:t>(B)</w:t>
      </w:r>
      <w:r w:rsidR="00C97BC6">
        <w:t xml:space="preserve"> methicillin</w:t>
      </w:r>
      <w:r w:rsidR="00772787">
        <w:t xml:space="preserve">, or </w:t>
      </w:r>
      <w:r w:rsidR="00772787">
        <w:rPr>
          <w:b/>
          <w:bCs/>
        </w:rPr>
        <w:t>(C)</w:t>
      </w:r>
      <w:r w:rsidR="00772787">
        <w:t xml:space="preserve"> vancomycin plus methicillin</w:t>
      </w:r>
      <w:r w:rsidR="00C97BC6">
        <w:t xml:space="preserve"> after 1 h.</w:t>
      </w:r>
      <w:r w:rsidR="00556FAB">
        <w:t xml:space="preserve"> </w:t>
      </w:r>
      <w:r w:rsidR="000568C8">
        <w:t xml:space="preserve">Cropped images from high magnification </w:t>
      </w:r>
      <w:r w:rsidR="00F041D8">
        <w:t>(</w:t>
      </w:r>
      <w:r w:rsidR="000568C8">
        <w:t>4800x</w:t>
      </w:r>
      <w:r w:rsidR="00F041D8">
        <w:t>)</w:t>
      </w:r>
      <w:r w:rsidR="000568C8">
        <w:t>, s</w:t>
      </w:r>
      <w:r w:rsidR="00556FAB">
        <w:t xml:space="preserve">cale bar 300 nm. </w:t>
      </w:r>
      <w:r w:rsidR="00556FAB">
        <w:rPr>
          <w:b/>
          <w:bCs/>
        </w:rPr>
        <w:t>(</w:t>
      </w:r>
      <w:r w:rsidR="00B1085C">
        <w:rPr>
          <w:b/>
          <w:bCs/>
        </w:rPr>
        <w:t>D</w:t>
      </w:r>
      <w:r w:rsidR="00556FAB">
        <w:rPr>
          <w:b/>
          <w:bCs/>
        </w:rPr>
        <w:t>)</w:t>
      </w:r>
      <w:r w:rsidR="00404869">
        <w:t xml:space="preserve"> Zoomed sections of micrographs shown </w:t>
      </w:r>
      <w:r w:rsidR="007D6F5F">
        <w:t>i</w:t>
      </w:r>
      <w:r w:rsidR="00404869">
        <w:t xml:space="preserve">n </w:t>
      </w:r>
      <w:r w:rsidR="00404869">
        <w:rPr>
          <w:b/>
          <w:bCs/>
        </w:rPr>
        <w:t>(A</w:t>
      </w:r>
      <w:r w:rsidR="00B1085C">
        <w:rPr>
          <w:b/>
          <w:bCs/>
        </w:rPr>
        <w:t>-C</w:t>
      </w:r>
      <w:r w:rsidR="00404869">
        <w:rPr>
          <w:b/>
          <w:bCs/>
        </w:rPr>
        <w:t>)</w:t>
      </w:r>
      <w:r w:rsidR="007D6F5F" w:rsidRPr="007D6F5F">
        <w:t>.</w:t>
      </w:r>
      <w:r w:rsidR="00800E77">
        <w:t xml:space="preserve"> </w:t>
      </w:r>
      <w:r w:rsidR="007D6F5F">
        <w:t>V</w:t>
      </w:r>
      <w:r w:rsidR="00800E77">
        <w:t>ancomycin (blue rectangles)</w:t>
      </w:r>
      <w:r w:rsidR="0054598C">
        <w:t xml:space="preserve">, </w:t>
      </w:r>
      <w:r w:rsidR="00800E77">
        <w:t>methicillin (red rectangles)</w:t>
      </w:r>
      <w:r w:rsidR="0054598C">
        <w:t>, and vancomycin plus methicillin (purple rectangles)</w:t>
      </w:r>
      <w:r w:rsidR="003278DF">
        <w:t>, showing the newly synthesised cell wall (</w:t>
      </w:r>
      <w:r w:rsidR="000B60C4">
        <w:t xml:space="preserve">upper </w:t>
      </w:r>
      <w:r w:rsidR="003278DF">
        <w:t>solid rectangle</w:t>
      </w:r>
      <w:r w:rsidR="000B60C4">
        <w:t>s</w:t>
      </w:r>
      <w:r w:rsidR="003278DF">
        <w:t>) and the old cell wall (</w:t>
      </w:r>
      <w:r w:rsidR="000B60C4">
        <w:t xml:space="preserve">lower </w:t>
      </w:r>
      <w:r w:rsidR="003278DF">
        <w:t>dashed rectangles).</w:t>
      </w:r>
      <w:r w:rsidR="00E07823">
        <w:t xml:space="preserve"> Cropped from high magnification </w:t>
      </w:r>
      <w:r w:rsidR="00F37361">
        <w:t>(</w:t>
      </w:r>
      <w:r w:rsidR="00E07823">
        <w:t>4800x</w:t>
      </w:r>
      <w:r w:rsidR="00F37361">
        <w:t>)</w:t>
      </w:r>
      <w:r w:rsidR="00E07823">
        <w:t>, scale bar 50 nm.</w:t>
      </w:r>
      <w:r w:rsidR="005D5C76" w:rsidRPr="00800E77">
        <w:t xml:space="preserve"> </w:t>
      </w:r>
    </w:p>
    <w:p w14:paraId="46666447" w14:textId="60852D27" w:rsidR="00182281" w:rsidRDefault="007F00F7" w:rsidP="00C64717">
      <w:pPr>
        <w:pStyle w:val="Heading2"/>
      </w:pPr>
      <w:bookmarkStart w:id="727" w:name="_Toc64276385"/>
      <w:bookmarkStart w:id="728" w:name="_Toc64276689"/>
      <w:bookmarkStart w:id="729" w:name="_Toc64276901"/>
      <w:bookmarkStart w:id="730" w:name="_Ref71115584"/>
      <w:bookmarkStart w:id="731" w:name="_Toc90216903"/>
      <w:r w:rsidRPr="00C64717">
        <w:lastRenderedPageBreak/>
        <w:t>Observation</w:t>
      </w:r>
      <w:r>
        <w:t xml:space="preserve"> of a m</w:t>
      </w:r>
      <w:r w:rsidR="004B0C7E" w:rsidRPr="005B0F81">
        <w:t xml:space="preserve">ethicillin-specific </w:t>
      </w:r>
      <w:bookmarkEnd w:id="727"/>
      <w:bookmarkEnd w:id="728"/>
      <w:bookmarkEnd w:id="729"/>
      <w:bookmarkEnd w:id="730"/>
      <w:r>
        <w:t xml:space="preserve">morphological </w:t>
      </w:r>
      <w:r w:rsidR="00537A65">
        <w:t>phenotype</w:t>
      </w:r>
      <w:r w:rsidR="007006CC">
        <w:t>.</w:t>
      </w:r>
      <w:bookmarkEnd w:id="731"/>
    </w:p>
    <w:p w14:paraId="425D64B6" w14:textId="484710C9" w:rsidR="004B2354" w:rsidRDefault="00765C88" w:rsidP="00371D6C">
      <w:r>
        <w:t xml:space="preserve">In addition to the fuzzy </w:t>
      </w:r>
      <w:r w:rsidR="00E06DDA">
        <w:t xml:space="preserve">surface </w:t>
      </w:r>
      <w:r>
        <w:t xml:space="preserve">appearance seen </w:t>
      </w:r>
      <w:r w:rsidR="00272EA3">
        <w:t>with</w:t>
      </w:r>
      <w:r>
        <w:t xml:space="preserve"> vancomycin </w:t>
      </w:r>
      <w:r w:rsidR="00272EA3">
        <w:t>and/</w:t>
      </w:r>
      <w:r>
        <w:t>or methicillin treated cells (</w:t>
      </w:r>
      <w:r w:rsidR="00CA138C">
        <w:t>section</w:t>
      </w:r>
      <w:r>
        <w:t xml:space="preserve"> </w:t>
      </w:r>
      <w:r>
        <w:fldChar w:fldCharType="begin"/>
      </w:r>
      <w:r>
        <w:instrText xml:space="preserve"> REF _Ref69035013 \r \h </w:instrText>
      </w:r>
      <w:r>
        <w:fldChar w:fldCharType="separate"/>
      </w:r>
      <w:r w:rsidR="00183CC8">
        <w:t>5.2</w:t>
      </w:r>
      <w:r>
        <w:fldChar w:fldCharType="end"/>
      </w:r>
      <w:r>
        <w:t xml:space="preserve">), the latter shows a particular </w:t>
      </w:r>
      <w:r w:rsidR="00A676F5">
        <w:t>morphology</w:t>
      </w:r>
      <w:r>
        <w:t xml:space="preserve"> associated </w:t>
      </w:r>
      <w:r w:rsidR="00A204E3">
        <w:t>with</w:t>
      </w:r>
      <w:r>
        <w:t xml:space="preserve"> the </w:t>
      </w:r>
      <w:r w:rsidR="00F41F77">
        <w:t>cell envelope</w:t>
      </w:r>
      <w:r w:rsidR="00E3148D">
        <w:t xml:space="preserve"> (</w:t>
      </w:r>
      <w:r w:rsidR="00A9133E">
        <w:fldChar w:fldCharType="begin"/>
      </w:r>
      <w:r w:rsidR="00A9133E">
        <w:instrText xml:space="preserve"> REF _Ref69052258 \h </w:instrText>
      </w:r>
      <w:r w:rsidR="00A9133E">
        <w:fldChar w:fldCharType="separate"/>
      </w:r>
      <w:r w:rsidR="00183CC8">
        <w:t xml:space="preserve">Figure </w:t>
      </w:r>
      <w:r w:rsidR="00183CC8">
        <w:rPr>
          <w:noProof/>
        </w:rPr>
        <w:t>5</w:t>
      </w:r>
      <w:r w:rsidR="00183CC8">
        <w:t>.</w:t>
      </w:r>
      <w:r w:rsidR="00183CC8">
        <w:rPr>
          <w:noProof/>
        </w:rPr>
        <w:t>11</w:t>
      </w:r>
      <w:r w:rsidR="00A9133E">
        <w:fldChar w:fldCharType="end"/>
      </w:r>
      <w:r w:rsidR="00E3148D">
        <w:t xml:space="preserve">). </w:t>
      </w:r>
      <w:r w:rsidR="00F41F77">
        <w:t xml:space="preserve">This observation is consistent </w:t>
      </w:r>
      <w:r w:rsidR="00480982">
        <w:t>with</w:t>
      </w:r>
      <w:r w:rsidR="00F41F77">
        <w:t xml:space="preserve"> previous published records </w:t>
      </w:r>
      <w:r w:rsidR="00F41F77">
        <w:fldChar w:fldCharType="begin" w:fldLock="1"/>
      </w:r>
      <w:r w:rsidR="009D34AE">
        <w:instrText>ADDIN CSL_CITATION {"citationItems":[{"id":"ITEM-1","itemData":{"ISBN":"1092-2172 (Print)","ISSN":"1092-2172","PMID":"9841676","abstract":"The primary goal of this review is to provide a compilation of the complex architectural features of staphylococcal cell walls and of some of their unusual morphogenetic traits including the utilization of murosomes and two different mechanisms of cell separation. Knowledge of these electron microscopic findings may serve as a prerequisite for a better understanding of the sophisticated events which lead to penicillin-induced death. For more than 50 years there have been controversial disputes about the mechanisms by which penicillin kills bacteria. Many hypotheses have tried to explain this fatal event biochemically and mainly via bacteriolysis. However, indications that penicillin-induced death of staphylococci results from overall biochemical defects or from a fatal attack of bacterial cell walls by bacteriolytic murein hydrolases were not been found. Rather, penicillin, claimed to trigger the activity of murein hydrolases, impaired autolytic wall enzymes of staphylococci. Electron microscopic investigations have meanwhile shown that penicillin-mediated induction of seemingly minute cross wall mistakes is the very reason for this killing. Such \"morphogenetic death\" taking place at predictable cross wall sites and at a predictable time is based on the initiation of normal cell separations in those staphylococci in which the completion of cross walls had been prevented by local penicillin-mediated impairment of the distribution of newly synthesized peptidoglycan; this death occurs because the high internal pressure of the protoplast abruptly kills such cells via ejection of some cytoplasm during attempted cell separation. An analogous fatal onset of cell partition is considered to take place without involvement of a detectable quantity of autolytic wall enzymes (\"mechanical cell separation\"). The most prominent feature of penicillin, the disintegration of bacterial cells via bacteriolysis, is shown to represent only a postmortem process resulting from shrinkage of dead cells and perturbation of the cytoplasmic membrane. Several schematic drawings have been included in this review to facilitate an understanding of the complex morphogenetic events.","author":[{"dropping-particle":"","family":"Giesbrecht","given":"P","non-dropping-particle":"","parse-names":false,"suffix":""},{"dropping-particle":"","family":"Kersten","given":"T","non-dropping-particle":"","parse-names":false,"suffix":""},{"dropping-particle":"","family":"Maidhof","given":"H","non-dropping-particle":"","parse-names":false,"suffix":""},{"dropping-particle":"","family":"Wecke","given":"J","non-dropping-particle":"","parse-names":false,"suffix":""}],"container-title":"Microbiology and molecular biology reviews : MMBR","id":"ITEM-1","issue":"4","issued":{"date-parts":[["1998"]]},"page":"1371-414","title":"Staphylococcal cell wall: morphogenesis and fatal variations in the presence of penicillin.","type":"article-journal","volume":"62"},"uris":["http://www.mendeley.com/documents/?uuid=5bbf4be2-ff82-4e3b-8960-10e3554efaac"]}],"mendeley":{"formattedCitation":"&lt;sup&gt;[289]&lt;/sup&gt;","plainTextFormattedCitation":"[289]","previouslyFormattedCitation":"&lt;sup&gt;[289]&lt;/sup&gt;"},"properties":{"noteIndex":0},"schema":"https://github.com/citation-style-language/schema/raw/master/csl-citation.json"}</w:instrText>
      </w:r>
      <w:r w:rsidR="00F41F77">
        <w:fldChar w:fldCharType="separate"/>
      </w:r>
      <w:r w:rsidR="009D34AE" w:rsidRPr="009D34AE">
        <w:rPr>
          <w:noProof/>
          <w:vertAlign w:val="superscript"/>
        </w:rPr>
        <w:t>[289]</w:t>
      </w:r>
      <w:r w:rsidR="00F41F77">
        <w:fldChar w:fldCharType="end"/>
      </w:r>
      <w:r w:rsidR="00F41F77">
        <w:t xml:space="preserve">. Giesbrecht </w:t>
      </w:r>
      <w:r w:rsidR="00F41F77">
        <w:rPr>
          <w:i/>
          <w:iCs/>
        </w:rPr>
        <w:t>et al.</w:t>
      </w:r>
      <w:r w:rsidR="0030513F">
        <w:rPr>
          <w:i/>
          <w:iCs/>
        </w:rPr>
        <w:t>,</w:t>
      </w:r>
      <w:r w:rsidR="00F41F77">
        <w:t xml:space="preserve"> (1998) suggested the inner CW (</w:t>
      </w:r>
      <w:r w:rsidR="002D789B">
        <w:t>or</w:t>
      </w:r>
      <w:r w:rsidR="00F41F77">
        <w:t xml:space="preserve"> secondary CW) reacted differently to the heavy metals in post-stains </w:t>
      </w:r>
      <w:r w:rsidR="002D789B">
        <w:t xml:space="preserve">when treated with penicillin </w:t>
      </w:r>
      <w:r w:rsidR="00F41F77">
        <w:fldChar w:fldCharType="begin" w:fldLock="1"/>
      </w:r>
      <w:r w:rsidR="009D34AE">
        <w:instrText>ADDIN CSL_CITATION {"citationItems":[{"id":"ITEM-1","itemData":{"ISBN":"1092-2172 (Print)","ISSN":"1092-2172","PMID":"9841676","abstract":"The primary goal of this review is to provide a compilation of the complex architectural features of staphylococcal cell walls and of some of their unusual morphogenetic traits including the utilization of murosomes and two different mechanisms of cell separation. Knowledge of these electron microscopic findings may serve as a prerequisite for a better understanding of the sophisticated events which lead to penicillin-induced death. For more than 50 years there have been controversial disputes about the mechanisms by which penicillin kills bacteria. Many hypotheses have tried to explain this fatal event biochemically and mainly via bacteriolysis. However, indications that penicillin-induced death of staphylococci results from overall biochemical defects or from a fatal attack of bacterial cell walls by bacteriolytic murein hydrolases were not been found. Rather, penicillin, claimed to trigger the activity of murein hydrolases, impaired autolytic wall enzymes of staphylococci. Electron microscopic investigations have meanwhile shown that penicillin-mediated induction of seemingly minute cross wall mistakes is the very reason for this killing. Such \"morphogenetic death\" taking place at predictable cross wall sites and at a predictable time is based on the initiation of normal cell separations in those staphylococci in which the completion of cross walls had been prevented by local penicillin-mediated impairment of the distribution of newly synthesized peptidoglycan; this death occurs because the high internal pressure of the protoplast abruptly kills such cells via ejection of some cytoplasm during attempted cell separation. An analogous fatal onset of cell partition is considered to take place without involvement of a detectable quantity of autolytic wall enzymes (\"mechanical cell separation\"). The most prominent feature of penicillin, the disintegration of bacterial cells via bacteriolysis, is shown to represent only a postmortem process resulting from shrinkage of dead cells and perturbation of the cytoplasmic membrane. Several schematic drawings have been included in this review to facilitate an understanding of the complex morphogenetic events.","author":[{"dropping-particle":"","family":"Giesbrecht","given":"P","non-dropping-particle":"","parse-names":false,"suffix":""},{"dropping-particle":"","family":"Kersten","given":"T","non-dropping-particle":"","parse-names":false,"suffix":""},{"dropping-particle":"","family":"Maidhof","given":"H","non-dropping-particle":"","parse-names":false,"suffix":""},{"dropping-particle":"","family":"Wecke","given":"J","non-dropping-particle":"","parse-names":false,"suffix":""}],"container-title":"Microbiology and molecular biology reviews : MMBR","id":"ITEM-1","issue":"4","issued":{"date-parts":[["1998"]]},"page":"1371-414","title":"Staphylococcal cell wall: morphogenesis and fatal variations in the presence of penicillin.","type":"article-journal","volume":"62"},"uris":["http://www.mendeley.com/documents/?uuid=5bbf4be2-ff82-4e3b-8960-10e3554efaac"]}],"mendeley":{"formattedCitation":"&lt;sup&gt;[289]&lt;/sup&gt;","plainTextFormattedCitation":"[289]","previouslyFormattedCitation":"&lt;sup&gt;[289]&lt;/sup&gt;"},"properties":{"noteIndex":0},"schema":"https://github.com/citation-style-language/schema/raw/master/csl-citation.json"}</w:instrText>
      </w:r>
      <w:r w:rsidR="00F41F77">
        <w:fldChar w:fldCharType="separate"/>
      </w:r>
      <w:r w:rsidR="009D34AE" w:rsidRPr="009D34AE">
        <w:rPr>
          <w:noProof/>
          <w:vertAlign w:val="superscript"/>
        </w:rPr>
        <w:t>[289]</w:t>
      </w:r>
      <w:r w:rsidR="00F41F77">
        <w:fldChar w:fldCharType="end"/>
      </w:r>
      <w:r w:rsidR="00F41F77">
        <w:t xml:space="preserve">. However, </w:t>
      </w:r>
      <w:r w:rsidR="004B2354">
        <w:t>this phenotype is similar to that of</w:t>
      </w:r>
      <w:r w:rsidR="008025E0">
        <w:t xml:space="preserve"> chemically fixed </w:t>
      </w:r>
      <w:r w:rsidR="00E91D3D">
        <w:rPr>
          <w:i/>
          <w:iCs/>
        </w:rPr>
        <w:t>S. aureus</w:t>
      </w:r>
      <w:r w:rsidR="00E91D3D">
        <w:t xml:space="preserve"> </w:t>
      </w:r>
      <w:r w:rsidR="008025E0">
        <w:t xml:space="preserve">treated </w:t>
      </w:r>
      <w:r w:rsidR="00E91D3D">
        <w:t>with NaCl during this investigation (</w:t>
      </w:r>
      <w:r w:rsidR="0031734B">
        <w:rPr>
          <w:highlight w:val="yellow"/>
        </w:rPr>
        <w:fldChar w:fldCharType="begin"/>
      </w:r>
      <w:r w:rsidR="0031734B">
        <w:instrText xml:space="preserve"> REF _Ref77856133 \h </w:instrText>
      </w:r>
      <w:r w:rsidR="0031734B">
        <w:rPr>
          <w:highlight w:val="yellow"/>
        </w:rPr>
      </w:r>
      <w:r w:rsidR="0031734B">
        <w:rPr>
          <w:highlight w:val="yellow"/>
        </w:rPr>
        <w:fldChar w:fldCharType="separate"/>
      </w:r>
      <w:r w:rsidR="00183CC8">
        <w:t xml:space="preserve">Supplementary Figure </w:t>
      </w:r>
      <w:r w:rsidR="00183CC8">
        <w:rPr>
          <w:noProof/>
        </w:rPr>
        <w:t>12</w:t>
      </w:r>
      <w:r w:rsidR="0031734B">
        <w:rPr>
          <w:highlight w:val="yellow"/>
        </w:rPr>
        <w:fldChar w:fldCharType="end"/>
      </w:r>
      <w:r w:rsidR="0031734B">
        <w:t xml:space="preserve"> and</w:t>
      </w:r>
      <w:r w:rsidR="009B6115">
        <w:t xml:space="preserve"> </w:t>
      </w:r>
      <w:r w:rsidR="0031734B">
        <w:rPr>
          <w:highlight w:val="yellow"/>
        </w:rPr>
        <w:fldChar w:fldCharType="begin"/>
      </w:r>
      <w:r w:rsidR="0031734B">
        <w:instrText xml:space="preserve"> REF _Ref77856144 \h </w:instrText>
      </w:r>
      <w:r w:rsidR="0031734B">
        <w:rPr>
          <w:highlight w:val="yellow"/>
        </w:rPr>
      </w:r>
      <w:r w:rsidR="0031734B">
        <w:rPr>
          <w:highlight w:val="yellow"/>
        </w:rPr>
        <w:fldChar w:fldCharType="separate"/>
      </w:r>
      <w:r w:rsidR="00183CC8">
        <w:t xml:space="preserve">Supplementary Figure </w:t>
      </w:r>
      <w:r w:rsidR="00183CC8">
        <w:rPr>
          <w:noProof/>
        </w:rPr>
        <w:t>13</w:t>
      </w:r>
      <w:r w:rsidR="0031734B">
        <w:rPr>
          <w:highlight w:val="yellow"/>
        </w:rPr>
        <w:fldChar w:fldCharType="end"/>
      </w:r>
      <w:r w:rsidR="00E91D3D">
        <w:t>),</w:t>
      </w:r>
      <w:r w:rsidR="004B2354">
        <w:t xml:space="preserve"> with a</w:t>
      </w:r>
      <w:r w:rsidR="00CC3A37">
        <w:t xml:space="preserve">n </w:t>
      </w:r>
      <w:r w:rsidR="004B2354">
        <w:t xml:space="preserve">apparent </w:t>
      </w:r>
      <w:r w:rsidR="00CC3A37">
        <w:t xml:space="preserve">expansion of the exoplasmic space and a retraction of the plasma membrane </w:t>
      </w:r>
      <w:r w:rsidR="004B2354">
        <w:t>found</w:t>
      </w:r>
      <w:r w:rsidR="00CC3A37">
        <w:t xml:space="preserve"> in all division stages, </w:t>
      </w:r>
      <w:r w:rsidR="00CC3A37">
        <w:rPr>
          <w:i/>
          <w:iCs/>
        </w:rPr>
        <w:t>i.e.</w:t>
      </w:r>
      <w:r w:rsidR="00CC3A37">
        <w:t xml:space="preserve"> no sept</w:t>
      </w:r>
      <w:r w:rsidR="00DD4FDE">
        <w:t>um</w:t>
      </w:r>
      <w:r w:rsidR="00CC3A37">
        <w:t xml:space="preserve"> (</w:t>
      </w:r>
      <w:r w:rsidR="00CC3A37">
        <w:fldChar w:fldCharType="begin"/>
      </w:r>
      <w:r w:rsidR="00CC3A37">
        <w:instrText xml:space="preserve"> REF _Ref69144437 \h </w:instrText>
      </w:r>
      <w:r w:rsidR="00CC3A37">
        <w:fldChar w:fldCharType="separate"/>
      </w:r>
      <w:r w:rsidR="00183CC8">
        <w:t xml:space="preserve">Figure </w:t>
      </w:r>
      <w:r w:rsidR="00183CC8">
        <w:rPr>
          <w:noProof/>
        </w:rPr>
        <w:t>5</w:t>
      </w:r>
      <w:r w:rsidR="00183CC8">
        <w:t>.</w:t>
      </w:r>
      <w:r w:rsidR="00183CC8">
        <w:rPr>
          <w:noProof/>
        </w:rPr>
        <w:t>12</w:t>
      </w:r>
      <w:r w:rsidR="00CC3A37">
        <w:fldChar w:fldCharType="end"/>
      </w:r>
      <w:r w:rsidR="00CC3A37">
        <w:t>), incomplete sept</w:t>
      </w:r>
      <w:r w:rsidR="00DD4FDE">
        <w:t>um</w:t>
      </w:r>
      <w:r w:rsidR="00CC3A37">
        <w:t xml:space="preserve"> (</w:t>
      </w:r>
      <w:r w:rsidR="00CC3A37">
        <w:fldChar w:fldCharType="begin"/>
      </w:r>
      <w:r w:rsidR="00CC3A37">
        <w:instrText xml:space="preserve"> REF _Ref69144445 \h </w:instrText>
      </w:r>
      <w:r w:rsidR="00CC3A37">
        <w:fldChar w:fldCharType="separate"/>
      </w:r>
      <w:r w:rsidR="00183CC8">
        <w:t xml:space="preserve">Figure </w:t>
      </w:r>
      <w:r w:rsidR="00183CC8">
        <w:rPr>
          <w:noProof/>
        </w:rPr>
        <w:t>5</w:t>
      </w:r>
      <w:r w:rsidR="00183CC8">
        <w:t>.</w:t>
      </w:r>
      <w:r w:rsidR="00183CC8">
        <w:rPr>
          <w:noProof/>
        </w:rPr>
        <w:t>13</w:t>
      </w:r>
      <w:r w:rsidR="00CC3A37">
        <w:fldChar w:fldCharType="end"/>
      </w:r>
      <w:r w:rsidR="00CC3A37">
        <w:t>), and complete sept</w:t>
      </w:r>
      <w:r w:rsidR="00DD4FDE">
        <w:t>um</w:t>
      </w:r>
      <w:r w:rsidR="00CC3A37">
        <w:t xml:space="preserve"> (</w:t>
      </w:r>
      <w:r w:rsidR="00CC3A37">
        <w:fldChar w:fldCharType="begin"/>
      </w:r>
      <w:r w:rsidR="00CC3A37">
        <w:instrText xml:space="preserve"> REF _Ref69144451 \h </w:instrText>
      </w:r>
      <w:r w:rsidR="00CC3A37">
        <w:fldChar w:fldCharType="separate"/>
      </w:r>
      <w:r w:rsidR="00183CC8">
        <w:t xml:space="preserve">Figure </w:t>
      </w:r>
      <w:r w:rsidR="00183CC8">
        <w:rPr>
          <w:noProof/>
        </w:rPr>
        <w:t>5</w:t>
      </w:r>
      <w:r w:rsidR="00183CC8">
        <w:t>.</w:t>
      </w:r>
      <w:r w:rsidR="00183CC8">
        <w:rPr>
          <w:noProof/>
        </w:rPr>
        <w:t>14</w:t>
      </w:r>
      <w:r w:rsidR="00CC3A37">
        <w:fldChar w:fldCharType="end"/>
      </w:r>
      <w:r w:rsidR="00CC3A37">
        <w:t>).</w:t>
      </w:r>
      <w:r w:rsidR="00577108">
        <w:t xml:space="preserve"> </w:t>
      </w:r>
      <w:r w:rsidR="004B2354">
        <w:t xml:space="preserve">Therefore, this phenotype is reminiscent of plasmolysis and </w:t>
      </w:r>
      <w:r w:rsidR="00657854">
        <w:t xml:space="preserve">will be </w:t>
      </w:r>
      <w:r w:rsidR="004B2354">
        <w:t>refe</w:t>
      </w:r>
      <w:r w:rsidR="00657854">
        <w:t>r</w:t>
      </w:r>
      <w:r w:rsidR="004B2354">
        <w:t>r</w:t>
      </w:r>
      <w:r w:rsidR="00657854">
        <w:t>ed</w:t>
      </w:r>
      <w:r w:rsidR="004B2354">
        <w:t xml:space="preserve"> to as such, while this theory is tested.</w:t>
      </w:r>
    </w:p>
    <w:p w14:paraId="1266910B" w14:textId="3B65B383" w:rsidR="00265B28" w:rsidRDefault="00E3765A" w:rsidP="00B75221">
      <w:r>
        <w:t>For a more detailed morphological analysis, a quantification was carried out for all bacterial groups.</w:t>
      </w:r>
      <w:r w:rsidR="00390234">
        <w:t xml:space="preserve"> Hundreds of cells of each group were categorised into no sept</w:t>
      </w:r>
      <w:r w:rsidR="00A4648C">
        <w:t>um</w:t>
      </w:r>
      <w:r w:rsidR="00390234">
        <w:t>, incomplete sept</w:t>
      </w:r>
      <w:r w:rsidR="00A4648C">
        <w:t>um</w:t>
      </w:r>
      <w:r w:rsidR="00390234">
        <w:t>, complete sept</w:t>
      </w:r>
      <w:r w:rsidR="00A4648C">
        <w:t>um</w:t>
      </w:r>
      <w:r w:rsidR="00390234">
        <w:t>, growth defect</w:t>
      </w:r>
      <w:r w:rsidR="00F20783">
        <w:t>s</w:t>
      </w:r>
      <w:r w:rsidR="00390234">
        <w:t xml:space="preserve"> and </w:t>
      </w:r>
      <w:r w:rsidR="003129ED">
        <w:t>“plasmolysis”</w:t>
      </w:r>
      <w:r w:rsidR="00390234">
        <w:t xml:space="preserve">. The last category included all those cells with visible signs of </w:t>
      </w:r>
      <w:r w:rsidR="003F2C82">
        <w:t>alterations</w:t>
      </w:r>
      <w:r w:rsidR="00390234">
        <w:t xml:space="preserve"> of the exoplasm, regardless of their division state.</w:t>
      </w:r>
      <w:r>
        <w:t xml:space="preserve"> A thorough description of the quantification methodology and criteria can be found in section </w:t>
      </w:r>
      <w:r>
        <w:rPr>
          <w:highlight w:val="yellow"/>
        </w:rPr>
        <w:fldChar w:fldCharType="begin"/>
      </w:r>
      <w:r>
        <w:instrText xml:space="preserve"> REF _Ref71511245 \r \h </w:instrText>
      </w:r>
      <w:r>
        <w:rPr>
          <w:highlight w:val="yellow"/>
        </w:rPr>
      </w:r>
      <w:r>
        <w:rPr>
          <w:highlight w:val="yellow"/>
        </w:rPr>
        <w:fldChar w:fldCharType="separate"/>
      </w:r>
      <w:r w:rsidR="00183CC8">
        <w:t>2.20.9</w:t>
      </w:r>
      <w:r>
        <w:rPr>
          <w:highlight w:val="yellow"/>
        </w:rPr>
        <w:fldChar w:fldCharType="end"/>
      </w:r>
      <w:r>
        <w:t>)</w:t>
      </w:r>
      <w:r w:rsidR="00390234">
        <w:t>.</w:t>
      </w:r>
      <w:r w:rsidR="00537A76">
        <w:t xml:space="preserve"> </w:t>
      </w:r>
      <w:r w:rsidR="00B75221">
        <w:t xml:space="preserve">The addition of both vancomycin and methicillin simultaneously does not </w:t>
      </w:r>
      <w:r w:rsidR="0070673B">
        <w:t>lead to visible</w:t>
      </w:r>
      <w:r w:rsidR="00A570BC">
        <w:t xml:space="preserve"> signs of</w:t>
      </w:r>
      <w:r w:rsidR="00B75221">
        <w:t xml:space="preserve"> </w:t>
      </w:r>
      <w:r w:rsidR="00230A37">
        <w:t>“</w:t>
      </w:r>
      <w:r w:rsidR="0070673B">
        <w:t>plasmolysis</w:t>
      </w:r>
      <w:r w:rsidR="00230A37">
        <w:t>”</w:t>
      </w:r>
      <w:r w:rsidR="00B75221">
        <w:t xml:space="preserve"> (</w:t>
      </w:r>
      <w:r w:rsidR="00B75221">
        <w:fldChar w:fldCharType="begin"/>
      </w:r>
      <w:r w:rsidR="00B75221">
        <w:instrText xml:space="preserve"> REF _Ref69678621 \h </w:instrText>
      </w:r>
      <w:r w:rsidR="00B75221">
        <w:fldChar w:fldCharType="separate"/>
      </w:r>
      <w:r w:rsidR="00183CC8">
        <w:t xml:space="preserve">Figure </w:t>
      </w:r>
      <w:r w:rsidR="00183CC8">
        <w:rPr>
          <w:noProof/>
        </w:rPr>
        <w:t>5</w:t>
      </w:r>
      <w:r w:rsidR="00183CC8">
        <w:t>.</w:t>
      </w:r>
      <w:r w:rsidR="00183CC8">
        <w:rPr>
          <w:noProof/>
        </w:rPr>
        <w:t>15</w:t>
      </w:r>
      <w:r w:rsidR="00B75221">
        <w:fldChar w:fldCharType="end"/>
      </w:r>
      <w:r w:rsidR="00237FF5">
        <w:t xml:space="preserve"> and </w:t>
      </w:r>
      <w:r w:rsidR="00B75221">
        <w:fldChar w:fldCharType="begin"/>
      </w:r>
      <w:r w:rsidR="00B75221">
        <w:instrText xml:space="preserve"> REF _Ref69156560 \h </w:instrText>
      </w:r>
      <w:r w:rsidR="00B75221">
        <w:fldChar w:fldCharType="separate"/>
      </w:r>
      <w:r w:rsidR="00183CC8">
        <w:t xml:space="preserve">Figure </w:t>
      </w:r>
      <w:r w:rsidR="00183CC8">
        <w:rPr>
          <w:noProof/>
        </w:rPr>
        <w:t>5</w:t>
      </w:r>
      <w:r w:rsidR="00183CC8">
        <w:t>.</w:t>
      </w:r>
      <w:r w:rsidR="00183CC8">
        <w:rPr>
          <w:noProof/>
        </w:rPr>
        <w:t>16</w:t>
      </w:r>
      <w:r w:rsidR="00B75221">
        <w:fldChar w:fldCharType="end"/>
      </w:r>
      <w:r w:rsidR="00B75221">
        <w:t xml:space="preserve">a). </w:t>
      </w:r>
      <w:r w:rsidR="00BE76D1">
        <w:t>E</w:t>
      </w:r>
      <w:r w:rsidR="00B75221">
        <w:t xml:space="preserve">xposure </w:t>
      </w:r>
      <w:r w:rsidR="00BE76D1">
        <w:t xml:space="preserve">of 1 h </w:t>
      </w:r>
      <w:r w:rsidR="00B75221">
        <w:t>to methicillin</w:t>
      </w:r>
      <w:r w:rsidR="00BE76D1">
        <w:t xml:space="preserve"> </w:t>
      </w:r>
      <w:r w:rsidR="008C109E">
        <w:t>alone,</w:t>
      </w:r>
      <w:r w:rsidR="00BE76D1">
        <w:t xml:space="preserve"> however</w:t>
      </w:r>
      <w:r w:rsidR="00B75221">
        <w:t xml:space="preserve">, </w:t>
      </w:r>
      <w:r w:rsidR="00BE76D1">
        <w:t>culminates with</w:t>
      </w:r>
      <w:r w:rsidR="00B75221">
        <w:t xml:space="preserve"> ~42% of cells show</w:t>
      </w:r>
      <w:r w:rsidR="00BE76D1">
        <w:t>ing</w:t>
      </w:r>
      <w:r w:rsidR="00B75221">
        <w:t xml:space="preserve"> an </w:t>
      </w:r>
      <w:r w:rsidR="00230A37">
        <w:t xml:space="preserve">apparent </w:t>
      </w:r>
      <w:r w:rsidR="00BE76D1">
        <w:t>expanded</w:t>
      </w:r>
      <w:r w:rsidR="00B75221">
        <w:t xml:space="preserve"> exoplasm (</w:t>
      </w:r>
      <w:r w:rsidR="00B75221">
        <w:fldChar w:fldCharType="begin"/>
      </w:r>
      <w:r w:rsidR="00B75221">
        <w:instrText xml:space="preserve"> REF _Ref69156560 \h </w:instrText>
      </w:r>
      <w:r w:rsidR="00B75221">
        <w:fldChar w:fldCharType="separate"/>
      </w:r>
      <w:r w:rsidR="00183CC8">
        <w:t xml:space="preserve">Figure </w:t>
      </w:r>
      <w:r w:rsidR="00183CC8">
        <w:rPr>
          <w:noProof/>
        </w:rPr>
        <w:t>5</w:t>
      </w:r>
      <w:r w:rsidR="00183CC8">
        <w:t>.</w:t>
      </w:r>
      <w:r w:rsidR="00183CC8">
        <w:rPr>
          <w:noProof/>
        </w:rPr>
        <w:t>16</w:t>
      </w:r>
      <w:r w:rsidR="00B75221">
        <w:fldChar w:fldCharType="end"/>
      </w:r>
      <w:r w:rsidR="00B75221">
        <w:t>a), of which the majority corresponds to cells with an incomplete sept</w:t>
      </w:r>
      <w:r w:rsidR="004069EE">
        <w:t>um</w:t>
      </w:r>
      <w:r w:rsidR="00B75221">
        <w:t xml:space="preserve"> (</w:t>
      </w:r>
      <w:r w:rsidR="00B75221">
        <w:fldChar w:fldCharType="begin"/>
      </w:r>
      <w:r w:rsidR="00B75221">
        <w:instrText xml:space="preserve"> REF _Ref69156560 \h </w:instrText>
      </w:r>
      <w:r w:rsidR="00B75221">
        <w:fldChar w:fldCharType="separate"/>
      </w:r>
      <w:r w:rsidR="00183CC8">
        <w:t xml:space="preserve">Figure </w:t>
      </w:r>
      <w:r w:rsidR="00183CC8">
        <w:rPr>
          <w:noProof/>
        </w:rPr>
        <w:t>5</w:t>
      </w:r>
      <w:r w:rsidR="00183CC8">
        <w:t>.</w:t>
      </w:r>
      <w:r w:rsidR="00183CC8">
        <w:rPr>
          <w:noProof/>
        </w:rPr>
        <w:t>16</w:t>
      </w:r>
      <w:r w:rsidR="00B75221">
        <w:fldChar w:fldCharType="end"/>
      </w:r>
      <w:r w:rsidR="00B75221">
        <w:t xml:space="preserve">b). This </w:t>
      </w:r>
      <w:r w:rsidR="00230A37">
        <w:t>is</w:t>
      </w:r>
      <w:r w:rsidR="00B75221">
        <w:t xml:space="preserve"> a methicillin-specific phenotype that is not present </w:t>
      </w:r>
      <w:r w:rsidR="00896E56">
        <w:t>after</w:t>
      </w:r>
      <w:r w:rsidR="00B75221">
        <w:t xml:space="preserve"> vancomycin</w:t>
      </w:r>
      <w:r w:rsidR="00896E56">
        <w:t xml:space="preserve"> treatment</w:t>
      </w:r>
      <w:r w:rsidR="00534B53">
        <w:t>–</w:t>
      </w:r>
      <w:r w:rsidR="004552EB">
        <w:t xml:space="preserve"> </w:t>
      </w:r>
      <w:r w:rsidR="00534B53">
        <w:t xml:space="preserve">alone </w:t>
      </w:r>
      <w:r w:rsidR="00C327C0">
        <w:t>n</w:t>
      </w:r>
      <w:r w:rsidR="00534B53">
        <w:t>or in conjunction with</w:t>
      </w:r>
      <w:r w:rsidR="004552EB">
        <w:t xml:space="preserve"> </w:t>
      </w:r>
      <w:r w:rsidR="00447A0A">
        <w:t>m</w:t>
      </w:r>
      <w:r w:rsidR="004552EB">
        <w:t>ethicillin</w:t>
      </w:r>
      <w:r w:rsidR="00B75221">
        <w:t xml:space="preserve"> (</w:t>
      </w:r>
      <w:r w:rsidR="00B75221">
        <w:fldChar w:fldCharType="begin"/>
      </w:r>
      <w:r w:rsidR="00B75221">
        <w:instrText xml:space="preserve"> REF _Ref69156560 \h </w:instrText>
      </w:r>
      <w:r w:rsidR="00B75221">
        <w:fldChar w:fldCharType="separate"/>
      </w:r>
      <w:r w:rsidR="00183CC8">
        <w:t xml:space="preserve">Figure </w:t>
      </w:r>
      <w:r w:rsidR="00183CC8">
        <w:rPr>
          <w:noProof/>
        </w:rPr>
        <w:t>5</w:t>
      </w:r>
      <w:r w:rsidR="00183CC8">
        <w:t>.</w:t>
      </w:r>
      <w:r w:rsidR="00183CC8">
        <w:rPr>
          <w:noProof/>
        </w:rPr>
        <w:t>16</w:t>
      </w:r>
      <w:r w:rsidR="00B75221">
        <w:fldChar w:fldCharType="end"/>
      </w:r>
      <w:r w:rsidR="00B75221">
        <w:t>a).</w:t>
      </w:r>
    </w:p>
    <w:p w14:paraId="0A99CDD2" w14:textId="663E04F7" w:rsidR="00B75221" w:rsidRDefault="00265B28" w:rsidP="00B75221">
      <w:pPr>
        <w:sectPr w:rsidR="00B75221" w:rsidSect="004D0E05">
          <w:pgSz w:w="11906" w:h="16838"/>
          <w:pgMar w:top="1191" w:right="1247" w:bottom="1191" w:left="1247" w:header="709" w:footer="709" w:gutter="0"/>
          <w:cols w:space="708"/>
          <w:titlePg/>
          <w:docGrid w:linePitch="360"/>
        </w:sectPr>
      </w:pPr>
      <w:r>
        <w:t xml:space="preserve">Given the slower mortality rate of </w:t>
      </w:r>
      <w:r w:rsidRPr="00265B28">
        <w:t>vancomycin</w:t>
      </w:r>
      <w:r w:rsidR="00EE6B1D">
        <w:t xml:space="preserve"> treated cells</w:t>
      </w:r>
      <w:r w:rsidRPr="00265B28">
        <w:t xml:space="preserve"> (</w:t>
      </w:r>
      <w:r w:rsidRPr="00265B28">
        <w:fldChar w:fldCharType="begin"/>
      </w:r>
      <w:r w:rsidRPr="00265B28">
        <w:instrText xml:space="preserve"> REF _Ref68881389 \h </w:instrText>
      </w:r>
      <w:r>
        <w:instrText xml:space="preserve"> \* MERGEFORMAT </w:instrText>
      </w:r>
      <w:r w:rsidRPr="00265B28">
        <w:fldChar w:fldCharType="separate"/>
      </w:r>
      <w:r w:rsidR="00183CC8">
        <w:t>Figure 5.4</w:t>
      </w:r>
      <w:r w:rsidRPr="00265B28">
        <w:fldChar w:fldCharType="end"/>
      </w:r>
      <w:r>
        <w:t>a</w:t>
      </w:r>
      <w:r w:rsidRPr="00265B28">
        <w:t>), additional TEM micrographs and morphological quantification of samples treated with this antibiotic for 2 and 3 h of exposure was carried out</w:t>
      </w:r>
      <w:r w:rsidR="00EE6B1D">
        <w:t>.</w:t>
      </w:r>
      <w:r w:rsidRPr="00265B28">
        <w:t xml:space="preserve"> </w:t>
      </w:r>
      <w:r w:rsidR="00EE6B1D">
        <w:t xml:space="preserve">No </w:t>
      </w:r>
      <w:r w:rsidR="00597CD4">
        <w:t xml:space="preserve">substantial </w:t>
      </w:r>
      <w:r w:rsidR="00EE6B1D">
        <w:t xml:space="preserve">evidence of “plasmolysis”: was observed under vancomycin nor vancomycin plus methicillin at these </w:t>
      </w:r>
      <w:r w:rsidR="00CD3CAB">
        <w:t xml:space="preserve">later </w:t>
      </w:r>
      <w:r w:rsidR="00EE6B1D">
        <w:t>timepoints</w:t>
      </w:r>
      <w:r w:rsidR="00987DF9">
        <w:t xml:space="preserve"> (</w:t>
      </w:r>
      <w:r w:rsidR="00987DF9">
        <w:fldChar w:fldCharType="begin"/>
      </w:r>
      <w:r w:rsidR="00987DF9">
        <w:instrText xml:space="preserve"> REF _Ref71581049 \h </w:instrText>
      </w:r>
      <w:r w:rsidR="00987DF9">
        <w:fldChar w:fldCharType="separate"/>
      </w:r>
      <w:r w:rsidR="00183CC8">
        <w:t xml:space="preserve">Figure </w:t>
      </w:r>
      <w:r w:rsidR="00183CC8">
        <w:rPr>
          <w:noProof/>
        </w:rPr>
        <w:t>5</w:t>
      </w:r>
      <w:r w:rsidR="00183CC8">
        <w:t>.</w:t>
      </w:r>
      <w:r w:rsidR="00183CC8">
        <w:rPr>
          <w:noProof/>
        </w:rPr>
        <w:t>17</w:t>
      </w:r>
      <w:r w:rsidR="00987DF9">
        <w:fldChar w:fldCharType="end"/>
      </w:r>
      <w:r w:rsidR="00382223">
        <w:t xml:space="preserve"> and </w:t>
      </w:r>
      <w:r w:rsidR="00382223">
        <w:fldChar w:fldCharType="begin"/>
      </w:r>
      <w:r w:rsidR="00382223">
        <w:instrText xml:space="preserve"> REF _Ref78307323 \h </w:instrText>
      </w:r>
      <w:r w:rsidR="00382223">
        <w:fldChar w:fldCharType="separate"/>
      </w:r>
      <w:r w:rsidR="00183CC8">
        <w:t xml:space="preserve">Figure </w:t>
      </w:r>
      <w:r w:rsidR="00183CC8">
        <w:rPr>
          <w:noProof/>
        </w:rPr>
        <w:t>5</w:t>
      </w:r>
      <w:r w:rsidR="00183CC8">
        <w:t>.</w:t>
      </w:r>
      <w:r w:rsidR="00183CC8">
        <w:rPr>
          <w:noProof/>
        </w:rPr>
        <w:t>18</w:t>
      </w:r>
      <w:r w:rsidR="00382223">
        <w:fldChar w:fldCharType="end"/>
      </w:r>
      <w:r w:rsidR="001005E3">
        <w:t>)</w:t>
      </w:r>
      <w:r w:rsidR="007F3226">
        <w:t>.</w:t>
      </w:r>
      <w:r w:rsidR="00CD3CAB">
        <w:t xml:space="preserve"> </w:t>
      </w:r>
    </w:p>
    <w:p w14:paraId="12A65580" w14:textId="77777777" w:rsidR="00C073AB" w:rsidRDefault="00C073AB" w:rsidP="001832E8">
      <w:pPr>
        <w:keepNext/>
        <w:jc w:val="center"/>
      </w:pPr>
      <w:r>
        <w:rPr>
          <w:noProof/>
        </w:rPr>
        <w:lastRenderedPageBreak/>
        <w:drawing>
          <wp:inline distT="0" distB="0" distL="0" distR="0" wp14:anchorId="364F5E6B" wp14:editId="612097EA">
            <wp:extent cx="5888233" cy="7822634"/>
            <wp:effectExtent l="0" t="0" r="508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888233" cy="7822634"/>
                    </a:xfrm>
                    <a:prstGeom prst="rect">
                      <a:avLst/>
                    </a:prstGeom>
                  </pic:spPr>
                </pic:pic>
              </a:graphicData>
            </a:graphic>
          </wp:inline>
        </w:drawing>
      </w:r>
    </w:p>
    <w:p w14:paraId="220C7D8E" w14:textId="2C64CE73" w:rsidR="00C073AB" w:rsidRDefault="00C073AB" w:rsidP="008A2B86">
      <w:pPr>
        <w:pStyle w:val="Caption"/>
      </w:pPr>
      <w:bookmarkStart w:id="732" w:name="_Ref69052258"/>
      <w:bookmarkStart w:id="733" w:name="_Toc90216996"/>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11</w:t>
      </w:r>
      <w:r w:rsidR="003373BF">
        <w:rPr>
          <w:noProof/>
        </w:rPr>
        <w:fldChar w:fldCharType="end"/>
      </w:r>
      <w:bookmarkEnd w:id="732"/>
      <w:r>
        <w:t xml:space="preserve"> TEM micrographs of methicillin treated </w:t>
      </w:r>
      <w:r>
        <w:rPr>
          <w:i/>
        </w:rPr>
        <w:t>S. aureus</w:t>
      </w:r>
      <w:r>
        <w:t xml:space="preserve"> </w:t>
      </w:r>
      <w:r w:rsidR="00C66716">
        <w:t>reveals apparent “plasmolysis”</w:t>
      </w:r>
      <w:r>
        <w:t>.</w:t>
      </w:r>
      <w:bookmarkEnd w:id="733"/>
    </w:p>
    <w:p w14:paraId="70B8F866" w14:textId="14ECBA6B" w:rsidR="001832E8" w:rsidRDefault="00481CF9" w:rsidP="00C073AB">
      <w:pPr>
        <w:pStyle w:val="NoSpacing"/>
        <w:sectPr w:rsidR="001832E8" w:rsidSect="004D0E05">
          <w:pgSz w:w="11906" w:h="16838"/>
          <w:pgMar w:top="1191" w:right="1247" w:bottom="1191" w:left="1247" w:header="709" w:footer="709" w:gutter="0"/>
          <w:cols w:space="708"/>
          <w:titlePg/>
          <w:docGrid w:linePitch="360"/>
        </w:sectPr>
      </w:pPr>
      <w:r>
        <w:t xml:space="preserve">TEM </w:t>
      </w:r>
      <w:r w:rsidR="0067685E">
        <w:t>micrographs</w:t>
      </w:r>
      <w:r>
        <w:t xml:space="preserve"> of chemically fixed</w:t>
      </w:r>
      <w:r w:rsidR="001D3473">
        <w:t xml:space="preserve"> thin sections of</w:t>
      </w:r>
      <w:r>
        <w:t xml:space="preserve"> </w:t>
      </w:r>
      <w:r>
        <w:rPr>
          <w:i/>
          <w:iCs/>
        </w:rPr>
        <w:t>S. aureus</w:t>
      </w:r>
      <w:r>
        <w:t xml:space="preserve"> SH1000 treated with 10 X MIC methicillin for 1 h. </w:t>
      </w:r>
      <w:r>
        <w:rPr>
          <w:b/>
          <w:bCs/>
        </w:rPr>
        <w:t>(A)</w:t>
      </w:r>
      <w:r>
        <w:t xml:space="preserve"> Low magnification </w:t>
      </w:r>
      <w:r w:rsidR="00B2317A">
        <w:t>(</w:t>
      </w:r>
      <w:r>
        <w:t>1900x</w:t>
      </w:r>
      <w:r w:rsidR="00B2317A">
        <w:t>)</w:t>
      </w:r>
      <w:r>
        <w:t xml:space="preserve">, scale bar 1 µm. </w:t>
      </w:r>
      <w:r>
        <w:rPr>
          <w:b/>
          <w:bCs/>
        </w:rPr>
        <w:t>(B)</w:t>
      </w:r>
      <w:r>
        <w:t xml:space="preserve"> High magnification </w:t>
      </w:r>
      <w:r w:rsidR="00B2317A">
        <w:t>(</w:t>
      </w:r>
      <w:r>
        <w:t>4800x</w:t>
      </w:r>
      <w:r w:rsidR="00B2317A">
        <w:t>)</w:t>
      </w:r>
      <w:r>
        <w:t>, scale bar 1 µm</w:t>
      </w:r>
      <w:r w:rsidR="00C073AB">
        <w:t>.</w:t>
      </w:r>
      <w:r w:rsidR="0067685E">
        <w:t xml:space="preserve"> </w:t>
      </w:r>
      <w:r w:rsidR="0060550A">
        <w:t>Red</w:t>
      </w:r>
      <w:r w:rsidR="0067685E">
        <w:t xml:space="preserve"> arrows indicat</w:t>
      </w:r>
      <w:r w:rsidR="00540316">
        <w:t>e</w:t>
      </w:r>
      <w:r w:rsidR="00113429">
        <w:t xml:space="preserve"> areas where the</w:t>
      </w:r>
      <w:r w:rsidR="00540316">
        <w:t xml:space="preserve"> exoplasmic space</w:t>
      </w:r>
      <w:r w:rsidR="00113429">
        <w:t xml:space="preserve"> </w:t>
      </w:r>
      <w:r w:rsidR="009430F4">
        <w:t>is</w:t>
      </w:r>
      <w:r w:rsidR="00113429">
        <w:t xml:space="preserve"> expanded.</w:t>
      </w:r>
    </w:p>
    <w:p w14:paraId="5B7CA60B" w14:textId="77777777" w:rsidR="001832E8" w:rsidRDefault="001832E8" w:rsidP="001832E8">
      <w:pPr>
        <w:pStyle w:val="NoSpacing"/>
        <w:keepNext/>
        <w:jc w:val="center"/>
      </w:pPr>
      <w:r>
        <w:rPr>
          <w:noProof/>
        </w:rPr>
        <w:lastRenderedPageBreak/>
        <w:drawing>
          <wp:inline distT="0" distB="0" distL="0" distR="0" wp14:anchorId="440081F6" wp14:editId="0C1E8C77">
            <wp:extent cx="5947239" cy="391977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0" cstate="print">
                      <a:extLst>
                        <a:ext uri="{BEBA8EAE-BF5A-486C-A8C5-ECC9F3942E4B}">
                          <a14:imgProps xmlns:a14="http://schemas.microsoft.com/office/drawing/2010/main">
                            <a14:imgLayer r:embed="rId91">
                              <a14:imgEffect>
                                <a14:brightnessContrast bright="4000"/>
                              </a14:imgEffect>
                            </a14:imgLayer>
                          </a14:imgProps>
                        </a:ext>
                        <a:ext uri="{28A0092B-C50C-407E-A947-70E740481C1C}">
                          <a14:useLocalDpi xmlns:a14="http://schemas.microsoft.com/office/drawing/2010/main" val="0"/>
                        </a:ext>
                      </a:extLst>
                    </a:blip>
                    <a:stretch>
                      <a:fillRect/>
                    </a:stretch>
                  </pic:blipFill>
                  <pic:spPr>
                    <a:xfrm>
                      <a:off x="0" y="0"/>
                      <a:ext cx="5965092" cy="3931537"/>
                    </a:xfrm>
                    <a:prstGeom prst="rect">
                      <a:avLst/>
                    </a:prstGeom>
                  </pic:spPr>
                </pic:pic>
              </a:graphicData>
            </a:graphic>
          </wp:inline>
        </w:drawing>
      </w:r>
    </w:p>
    <w:p w14:paraId="32E3AB5E" w14:textId="57B2E6DB" w:rsidR="00C073AB" w:rsidRDefault="001832E8" w:rsidP="008A2B86">
      <w:pPr>
        <w:pStyle w:val="Caption"/>
      </w:pPr>
      <w:bookmarkStart w:id="734" w:name="_Ref69144437"/>
      <w:bookmarkStart w:id="735" w:name="_Toc90216997"/>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12</w:t>
      </w:r>
      <w:r w:rsidR="003373BF">
        <w:rPr>
          <w:noProof/>
        </w:rPr>
        <w:fldChar w:fldCharType="end"/>
      </w:r>
      <w:bookmarkEnd w:id="734"/>
      <w:r>
        <w:t xml:space="preserve"> </w:t>
      </w:r>
      <w:r w:rsidR="00765C53">
        <w:t>Effect of</w:t>
      </w:r>
      <w:r>
        <w:t xml:space="preserve"> methicillin </w:t>
      </w:r>
      <w:r w:rsidR="00765C53">
        <w:t>on</w:t>
      </w:r>
      <w:r>
        <w:t xml:space="preserve"> </w:t>
      </w:r>
      <w:r>
        <w:rPr>
          <w:i/>
        </w:rPr>
        <w:t>S. aureus</w:t>
      </w:r>
      <w:r>
        <w:t xml:space="preserve"> cells with no sept</w:t>
      </w:r>
      <w:r w:rsidR="00D521C0">
        <w:t>um</w:t>
      </w:r>
      <w:r>
        <w:t>.</w:t>
      </w:r>
      <w:bookmarkEnd w:id="735"/>
    </w:p>
    <w:p w14:paraId="10EA6228" w14:textId="2155EE58" w:rsidR="00216C1B" w:rsidRDefault="00765C53" w:rsidP="00216C1B">
      <w:pPr>
        <w:pStyle w:val="NoSpacing"/>
        <w:sectPr w:rsidR="00216C1B" w:rsidSect="004D0E05">
          <w:pgSz w:w="11906" w:h="16838"/>
          <w:pgMar w:top="1191" w:right="1247" w:bottom="1191" w:left="1247" w:header="709" w:footer="709" w:gutter="0"/>
          <w:cols w:space="708"/>
          <w:titlePg/>
          <w:docGrid w:linePitch="360"/>
        </w:sectPr>
      </w:pPr>
      <w:r>
        <w:t xml:space="preserve">TEM micrographs of chemically fixed thin sections of </w:t>
      </w:r>
      <w:r>
        <w:rPr>
          <w:i/>
          <w:iCs/>
        </w:rPr>
        <w:t>S. aureus</w:t>
      </w:r>
      <w:r>
        <w:t xml:space="preserve"> SH1000 treated with 10 X MIC methicillin for 1 h. </w:t>
      </w:r>
      <w:r w:rsidR="00E80E33">
        <w:t>Representative cells with no sept</w:t>
      </w:r>
      <w:r w:rsidR="00D521C0">
        <w:t>um</w:t>
      </w:r>
      <w:r w:rsidR="00E80E33">
        <w:t xml:space="preserve"> c</w:t>
      </w:r>
      <w:r w:rsidR="00B86FB3">
        <w:t xml:space="preserve">ropped from high </w:t>
      </w:r>
      <w:r>
        <w:t xml:space="preserve">magnification </w:t>
      </w:r>
      <w:r w:rsidR="006B05A2">
        <w:t>(</w:t>
      </w:r>
      <w:r w:rsidR="00B86FB3">
        <w:t>48</w:t>
      </w:r>
      <w:r>
        <w:t>00x</w:t>
      </w:r>
      <w:r w:rsidR="006B05A2">
        <w:t>)</w:t>
      </w:r>
      <w:r>
        <w:t xml:space="preserve">, scale bar </w:t>
      </w:r>
      <w:r w:rsidR="00B86FB3">
        <w:t>300</w:t>
      </w:r>
      <w:r>
        <w:t> </w:t>
      </w:r>
      <w:r w:rsidR="00B86FB3">
        <w:t>n</w:t>
      </w:r>
      <w:r>
        <w:t>m</w:t>
      </w:r>
      <w:r w:rsidR="007C1B80">
        <w:t>, pm– plasma membrane, cw– cell wall, ex– exoplasmic space</w:t>
      </w:r>
      <w:r w:rsidR="00216C1B">
        <w:t>.</w:t>
      </w:r>
    </w:p>
    <w:p w14:paraId="18368C2E" w14:textId="77777777" w:rsidR="00216C1B" w:rsidRDefault="00216C1B" w:rsidP="00216C1B">
      <w:pPr>
        <w:pStyle w:val="NoSpacing"/>
        <w:keepNext/>
        <w:jc w:val="center"/>
      </w:pPr>
      <w:r>
        <w:rPr>
          <w:noProof/>
        </w:rPr>
        <w:lastRenderedPageBreak/>
        <w:drawing>
          <wp:inline distT="0" distB="0" distL="0" distR="0" wp14:anchorId="1E7952A5" wp14:editId="0AFF56D9">
            <wp:extent cx="5932910" cy="7986612"/>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92" cstate="print">
                      <a:extLst>
                        <a:ext uri="{BEBA8EAE-BF5A-486C-A8C5-ECC9F3942E4B}">
                          <a14:imgProps xmlns:a14="http://schemas.microsoft.com/office/drawing/2010/main">
                            <a14:imgLayer r:embed="rId93">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5949786" cy="8009330"/>
                    </a:xfrm>
                    <a:prstGeom prst="rect">
                      <a:avLst/>
                    </a:prstGeom>
                  </pic:spPr>
                </pic:pic>
              </a:graphicData>
            </a:graphic>
          </wp:inline>
        </w:drawing>
      </w:r>
    </w:p>
    <w:p w14:paraId="72EB6FD1" w14:textId="1ED93E39" w:rsidR="00216C1B" w:rsidRDefault="00216C1B" w:rsidP="008A2B86">
      <w:pPr>
        <w:pStyle w:val="Caption"/>
      </w:pPr>
      <w:bookmarkStart w:id="736" w:name="_Ref69144445"/>
      <w:bookmarkStart w:id="737" w:name="_Toc90216998"/>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13</w:t>
      </w:r>
      <w:r w:rsidR="003373BF">
        <w:rPr>
          <w:noProof/>
        </w:rPr>
        <w:fldChar w:fldCharType="end"/>
      </w:r>
      <w:bookmarkEnd w:id="736"/>
      <w:r>
        <w:t xml:space="preserve">  </w:t>
      </w:r>
      <w:r w:rsidR="00765C53">
        <w:t>Effect</w:t>
      </w:r>
      <w:r>
        <w:t xml:space="preserve"> of methicillin </w:t>
      </w:r>
      <w:r w:rsidR="00765C53">
        <w:t xml:space="preserve">on </w:t>
      </w:r>
      <w:r>
        <w:rPr>
          <w:i/>
        </w:rPr>
        <w:t>S. aureus</w:t>
      </w:r>
      <w:r>
        <w:t xml:space="preserve"> cells with incomplete sept</w:t>
      </w:r>
      <w:r w:rsidR="00891AF0">
        <w:t>um</w:t>
      </w:r>
      <w:r>
        <w:t>.</w:t>
      </w:r>
      <w:bookmarkEnd w:id="737"/>
    </w:p>
    <w:p w14:paraId="65FE607E" w14:textId="366EB13F" w:rsidR="00AA7C17" w:rsidRPr="00AA7C17" w:rsidRDefault="00AA7C17" w:rsidP="00AA7C17">
      <w:pPr>
        <w:pStyle w:val="NoSpacing"/>
      </w:pPr>
      <w:r>
        <w:t xml:space="preserve">TEM micrographs of chemically fixed thin sections of </w:t>
      </w:r>
      <w:r>
        <w:rPr>
          <w:i/>
          <w:iCs/>
        </w:rPr>
        <w:t>S. aureus</w:t>
      </w:r>
      <w:r>
        <w:t xml:space="preserve"> SH1000 treated with 10 X MIC methicillin for 1 h. </w:t>
      </w:r>
      <w:r w:rsidR="00E80E33">
        <w:t>Representative cells with incomplete sept</w:t>
      </w:r>
      <w:r w:rsidR="00891AF0">
        <w:t>um</w:t>
      </w:r>
      <w:r w:rsidR="00E80E33">
        <w:t xml:space="preserve"> c</w:t>
      </w:r>
      <w:r>
        <w:t xml:space="preserve">ropped from high magnification </w:t>
      </w:r>
      <w:r w:rsidR="002E11D2">
        <w:t>(</w:t>
      </w:r>
      <w:r>
        <w:t>4800x</w:t>
      </w:r>
      <w:r w:rsidR="002E11D2">
        <w:t>)</w:t>
      </w:r>
      <w:r>
        <w:t>, scale bar 300 nm, pm– plasma membrane, cw– cell wall, ex– exoplasmic space.</w:t>
      </w:r>
      <w:r w:rsidRPr="00AA7C17">
        <w:t xml:space="preserve"> </w:t>
      </w:r>
    </w:p>
    <w:p w14:paraId="2653148F" w14:textId="77777777" w:rsidR="00352DA0" w:rsidRDefault="00352DA0" w:rsidP="00352DA0">
      <w:pPr>
        <w:pStyle w:val="NoSpacing"/>
        <w:keepNext/>
        <w:jc w:val="center"/>
      </w:pPr>
      <w:r>
        <w:rPr>
          <w:noProof/>
        </w:rPr>
        <w:lastRenderedPageBreak/>
        <w:drawing>
          <wp:inline distT="0" distB="0" distL="0" distR="0" wp14:anchorId="7D4B84D8" wp14:editId="6B120FA4">
            <wp:extent cx="5913543" cy="1874520"/>
            <wp:effectExtent l="0" t="0" r="508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78539" cy="1895123"/>
                    </a:xfrm>
                    <a:prstGeom prst="rect">
                      <a:avLst/>
                    </a:prstGeom>
                  </pic:spPr>
                </pic:pic>
              </a:graphicData>
            </a:graphic>
          </wp:inline>
        </w:drawing>
      </w:r>
    </w:p>
    <w:p w14:paraId="55A99594" w14:textId="30D62B37" w:rsidR="00352DA0" w:rsidRDefault="00352DA0" w:rsidP="008A2B86">
      <w:pPr>
        <w:pStyle w:val="Caption"/>
      </w:pPr>
      <w:bookmarkStart w:id="738" w:name="_Ref69144451"/>
      <w:bookmarkStart w:id="739" w:name="_Toc90216999"/>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14</w:t>
      </w:r>
      <w:r w:rsidR="003373BF">
        <w:rPr>
          <w:noProof/>
        </w:rPr>
        <w:fldChar w:fldCharType="end"/>
      </w:r>
      <w:bookmarkEnd w:id="738"/>
      <w:r>
        <w:t xml:space="preserve"> </w:t>
      </w:r>
      <w:r w:rsidR="00765C53">
        <w:t xml:space="preserve">Effect </w:t>
      </w:r>
      <w:r>
        <w:t xml:space="preserve">of methicillin </w:t>
      </w:r>
      <w:r w:rsidR="00765C53">
        <w:t>on</w:t>
      </w:r>
      <w:r>
        <w:t xml:space="preserve"> </w:t>
      </w:r>
      <w:r>
        <w:rPr>
          <w:i/>
        </w:rPr>
        <w:t>S. aureus</w:t>
      </w:r>
      <w:r>
        <w:t xml:space="preserve"> cells with complete sept</w:t>
      </w:r>
      <w:r w:rsidR="000B74B6">
        <w:t>um</w:t>
      </w:r>
      <w:r>
        <w:t>.</w:t>
      </w:r>
      <w:bookmarkEnd w:id="739"/>
    </w:p>
    <w:p w14:paraId="44EBDA8F" w14:textId="02E915F4" w:rsidR="00352DA0" w:rsidRPr="00352DA0" w:rsidRDefault="00AA7C17" w:rsidP="00AA7C17">
      <w:pPr>
        <w:pStyle w:val="NoSpacing"/>
        <w:sectPr w:rsidR="00352DA0" w:rsidRPr="00352DA0" w:rsidSect="004D0E05">
          <w:pgSz w:w="11906" w:h="16838"/>
          <w:pgMar w:top="1191" w:right="1247" w:bottom="1191" w:left="1247" w:header="709" w:footer="709" w:gutter="0"/>
          <w:cols w:space="708"/>
          <w:titlePg/>
          <w:docGrid w:linePitch="360"/>
        </w:sectPr>
      </w:pPr>
      <w:r>
        <w:t xml:space="preserve">TEM micrographs of chemically fixed thin sections of </w:t>
      </w:r>
      <w:r>
        <w:rPr>
          <w:i/>
          <w:iCs/>
        </w:rPr>
        <w:t>S. aureus</w:t>
      </w:r>
      <w:r>
        <w:t xml:space="preserve"> SH1000 treated with 10 X MIC methicillin for 1 h. </w:t>
      </w:r>
      <w:r w:rsidR="00E80E33">
        <w:t>Representative cells with complete sept</w:t>
      </w:r>
      <w:r w:rsidR="000B74B6">
        <w:t>um</w:t>
      </w:r>
      <w:r w:rsidR="00E80E33">
        <w:t xml:space="preserve"> c</w:t>
      </w:r>
      <w:r>
        <w:t xml:space="preserve">ropped from high magnification </w:t>
      </w:r>
      <w:r w:rsidR="00AA5C5B">
        <w:t>(</w:t>
      </w:r>
      <w:r>
        <w:t>4800x</w:t>
      </w:r>
      <w:r w:rsidR="00AA5C5B">
        <w:t>)</w:t>
      </w:r>
      <w:r>
        <w:t>, scale bar 300 nm, pm– plasma membrane, cw– cell wall, ex– exoplasmic space.</w:t>
      </w:r>
      <w:r w:rsidRPr="00352DA0">
        <w:t xml:space="preserve"> </w:t>
      </w:r>
    </w:p>
    <w:p w14:paraId="6C21B960" w14:textId="77777777" w:rsidR="009628CA" w:rsidRDefault="009628CA" w:rsidP="009628CA">
      <w:pPr>
        <w:keepNext/>
        <w:jc w:val="center"/>
      </w:pPr>
      <w:r>
        <w:rPr>
          <w:noProof/>
        </w:rPr>
        <w:lastRenderedPageBreak/>
        <w:drawing>
          <wp:inline distT="0" distB="0" distL="0" distR="0" wp14:anchorId="02BD4366" wp14:editId="00B37D5B">
            <wp:extent cx="5893523" cy="7897091"/>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95" cstate="print">
                      <a:extLst>
                        <a:ext uri="{BEBA8EAE-BF5A-486C-A8C5-ECC9F3942E4B}">
                          <a14:imgProps xmlns:a14="http://schemas.microsoft.com/office/drawing/2010/main">
                            <a14:imgLayer r:embed="rId96">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5909866" cy="7918990"/>
                    </a:xfrm>
                    <a:prstGeom prst="rect">
                      <a:avLst/>
                    </a:prstGeom>
                  </pic:spPr>
                </pic:pic>
              </a:graphicData>
            </a:graphic>
          </wp:inline>
        </w:drawing>
      </w:r>
    </w:p>
    <w:p w14:paraId="1FF82073" w14:textId="59F5C285" w:rsidR="004D2938" w:rsidRDefault="009628CA" w:rsidP="008A2B86">
      <w:pPr>
        <w:pStyle w:val="Caption"/>
      </w:pPr>
      <w:bookmarkStart w:id="740" w:name="_Ref69678621"/>
      <w:bookmarkStart w:id="741" w:name="_Toc90217000"/>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w:instrText>
      </w:r>
      <w:r w:rsidR="003373BF">
        <w:instrText xml:space="preserve"> ARABIC \s 1 </w:instrText>
      </w:r>
      <w:r w:rsidR="003373BF">
        <w:fldChar w:fldCharType="separate"/>
      </w:r>
      <w:r w:rsidR="00183CC8">
        <w:rPr>
          <w:noProof/>
        </w:rPr>
        <w:t>15</w:t>
      </w:r>
      <w:r w:rsidR="003373BF">
        <w:rPr>
          <w:noProof/>
        </w:rPr>
        <w:fldChar w:fldCharType="end"/>
      </w:r>
      <w:bookmarkEnd w:id="740"/>
      <w:r w:rsidR="004D2938">
        <w:t xml:space="preserve"> </w:t>
      </w:r>
      <w:r w:rsidR="0060242F">
        <w:t>Morphology of</w:t>
      </w:r>
      <w:r w:rsidR="004D2938">
        <w:t xml:space="preserve"> </w:t>
      </w:r>
      <w:r w:rsidR="00707405">
        <w:t>methicillin</w:t>
      </w:r>
      <w:r w:rsidR="004D2938">
        <w:t xml:space="preserve"> </w:t>
      </w:r>
      <w:r w:rsidR="0060242F">
        <w:t>and</w:t>
      </w:r>
      <w:r w:rsidR="004D2938">
        <w:t xml:space="preserve"> </w:t>
      </w:r>
      <w:r w:rsidR="00707405">
        <w:t>vancomycin</w:t>
      </w:r>
      <w:r w:rsidR="004D2938">
        <w:t xml:space="preserve"> </w:t>
      </w:r>
      <w:r w:rsidR="0060242F">
        <w:t>combined treatment of</w:t>
      </w:r>
      <w:r w:rsidR="004D2938">
        <w:t xml:space="preserve"> </w:t>
      </w:r>
      <w:r w:rsidR="004D2938">
        <w:rPr>
          <w:i/>
        </w:rPr>
        <w:t>S. aureus</w:t>
      </w:r>
      <w:r w:rsidR="004D2938">
        <w:t>.</w:t>
      </w:r>
      <w:bookmarkEnd w:id="741"/>
    </w:p>
    <w:p w14:paraId="0A301D41" w14:textId="273BA131" w:rsidR="004D2938" w:rsidRPr="004D2938" w:rsidRDefault="004D2938" w:rsidP="004D2938">
      <w:pPr>
        <w:pStyle w:val="NoSpacing"/>
        <w:sectPr w:rsidR="004D2938" w:rsidRPr="004D2938" w:rsidSect="004D0E05">
          <w:pgSz w:w="11906" w:h="16838"/>
          <w:pgMar w:top="1191" w:right="1247" w:bottom="1191" w:left="1247" w:header="709" w:footer="709" w:gutter="0"/>
          <w:cols w:space="708"/>
          <w:titlePg/>
          <w:docGrid w:linePitch="360"/>
        </w:sectPr>
      </w:pPr>
      <w:r>
        <w:t xml:space="preserve">TEM micrographs of chemically fixed thin sections of </w:t>
      </w:r>
      <w:r>
        <w:rPr>
          <w:i/>
          <w:iCs/>
        </w:rPr>
        <w:t>S. aureus</w:t>
      </w:r>
      <w:r>
        <w:t xml:space="preserve"> SH1000 treated with 10 X MIC methicillin plus vancomycin for 1 h. </w:t>
      </w:r>
      <w:r>
        <w:rPr>
          <w:b/>
          <w:bCs/>
        </w:rPr>
        <w:t>(A)</w:t>
      </w:r>
      <w:r>
        <w:t xml:space="preserve"> Mid magnification </w:t>
      </w:r>
      <w:r w:rsidR="00D93A67">
        <w:t>(</w:t>
      </w:r>
      <w:r>
        <w:t>2900x</w:t>
      </w:r>
      <w:r w:rsidR="00D93A67">
        <w:t>)</w:t>
      </w:r>
      <w:r>
        <w:t xml:space="preserve">, scale bar 1 µm. </w:t>
      </w:r>
      <w:r>
        <w:rPr>
          <w:b/>
          <w:bCs/>
        </w:rPr>
        <w:t>(B)</w:t>
      </w:r>
      <w:r>
        <w:t xml:space="preserve"> High magnification </w:t>
      </w:r>
      <w:r w:rsidR="000F49C9">
        <w:t>(</w:t>
      </w:r>
      <w:r>
        <w:t>4800x</w:t>
      </w:r>
      <w:r w:rsidR="000F49C9">
        <w:t>)</w:t>
      </w:r>
      <w:r>
        <w:t>, scale bar 1 µm.</w:t>
      </w:r>
    </w:p>
    <w:p w14:paraId="2C2B2113" w14:textId="7AC24724" w:rsidR="007E756B" w:rsidRDefault="007E756B" w:rsidP="006040AD">
      <w:pPr>
        <w:keepNext/>
        <w:jc w:val="center"/>
      </w:pPr>
      <w:r>
        <w:rPr>
          <w:noProof/>
        </w:rPr>
        <w:lastRenderedPageBreak/>
        <w:drawing>
          <wp:inline distT="0" distB="0" distL="0" distR="0" wp14:anchorId="0EF8593D" wp14:editId="7867174D">
            <wp:extent cx="5894507" cy="357447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894507" cy="3574472"/>
                    </a:xfrm>
                    <a:prstGeom prst="rect">
                      <a:avLst/>
                    </a:prstGeom>
                  </pic:spPr>
                </pic:pic>
              </a:graphicData>
            </a:graphic>
          </wp:inline>
        </w:drawing>
      </w:r>
    </w:p>
    <w:p w14:paraId="4AF0A655" w14:textId="2C9DC392" w:rsidR="007E756B" w:rsidRPr="00315FB0" w:rsidRDefault="007E756B" w:rsidP="008A2B86">
      <w:pPr>
        <w:pStyle w:val="Caption"/>
      </w:pPr>
      <w:bookmarkStart w:id="742" w:name="_Ref69156560"/>
      <w:bookmarkStart w:id="743" w:name="_Toc90217001"/>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16</w:t>
      </w:r>
      <w:r w:rsidR="003373BF">
        <w:rPr>
          <w:noProof/>
        </w:rPr>
        <w:fldChar w:fldCharType="end"/>
      </w:r>
      <w:bookmarkEnd w:id="742"/>
      <w:r w:rsidR="00965727">
        <w:t xml:space="preserve"> </w:t>
      </w:r>
      <w:r w:rsidR="00315FB0">
        <w:t xml:space="preserve">Morphological quantification of the effect of methicillin </w:t>
      </w:r>
      <w:r w:rsidR="004D4B7A">
        <w:t>and/</w:t>
      </w:r>
      <w:r w:rsidR="00315FB0">
        <w:t xml:space="preserve">or vancomycin on </w:t>
      </w:r>
      <w:r w:rsidR="00315FB0">
        <w:rPr>
          <w:i/>
        </w:rPr>
        <w:t>S. aureus</w:t>
      </w:r>
      <w:r w:rsidR="00315FB0">
        <w:t>.</w:t>
      </w:r>
      <w:bookmarkEnd w:id="743"/>
    </w:p>
    <w:p w14:paraId="54F0E7FE" w14:textId="231EBD41" w:rsidR="007E756B" w:rsidRDefault="006D3A4E" w:rsidP="007E756B">
      <w:pPr>
        <w:pStyle w:val="NoSpacing"/>
        <w:sectPr w:rsidR="007E756B" w:rsidSect="004D0E05">
          <w:pgSz w:w="11906" w:h="16838"/>
          <w:pgMar w:top="1191" w:right="1247" w:bottom="1191" w:left="1247" w:header="709" w:footer="709" w:gutter="0"/>
          <w:cols w:space="708"/>
          <w:titlePg/>
          <w:docGrid w:linePitch="360"/>
        </w:sectPr>
      </w:pPr>
      <w:r>
        <w:rPr>
          <w:b/>
          <w:bCs/>
        </w:rPr>
        <w:t xml:space="preserve">(A) </w:t>
      </w:r>
      <w:r w:rsidR="00315FB0">
        <w:t xml:space="preserve">Morphological quantification of 10 x MIC of methicillin </w:t>
      </w:r>
      <w:r w:rsidR="00875201">
        <w:t>and/</w:t>
      </w:r>
      <w:r w:rsidR="00315FB0">
        <w:t xml:space="preserve">or vancomycin after 1 h of treatment on </w:t>
      </w:r>
      <w:r w:rsidR="00315FB0">
        <w:rPr>
          <w:i/>
          <w:iCs/>
        </w:rPr>
        <w:t>S. aureus</w:t>
      </w:r>
      <w:r w:rsidR="00222DBE">
        <w:t>.</w:t>
      </w:r>
      <w:r w:rsidR="006E371B">
        <w:t xml:space="preserve"> Control</w:t>
      </w:r>
      <w:r w:rsidR="00D40C1B">
        <w:rPr>
          <w:i/>
          <w:iCs/>
        </w:rPr>
        <w:t xml:space="preserve"> </w:t>
      </w:r>
      <w:r w:rsidR="00570A71" w:rsidRPr="00570A71">
        <w:t>(</w:t>
      </w:r>
      <w:r w:rsidR="00570A71">
        <w:t xml:space="preserve">2 biological repeats, </w:t>
      </w:r>
      <w:r w:rsidR="00D40C1B">
        <w:rPr>
          <w:i/>
          <w:iCs/>
        </w:rPr>
        <w:t>n</w:t>
      </w:r>
      <w:r w:rsidR="00D40C1B">
        <w:t> = 905</w:t>
      </w:r>
      <w:r w:rsidR="00570A71">
        <w:t>)</w:t>
      </w:r>
      <w:r w:rsidR="00D40C1B">
        <w:t>, methicillin</w:t>
      </w:r>
      <w:r w:rsidR="00570A71">
        <w:t xml:space="preserve"> (3 biological repeat,</w:t>
      </w:r>
      <w:r w:rsidR="00D40C1B">
        <w:t xml:space="preserve"> </w:t>
      </w:r>
      <w:r w:rsidR="00D40C1B">
        <w:rPr>
          <w:i/>
          <w:iCs/>
        </w:rPr>
        <w:t>n</w:t>
      </w:r>
      <w:r w:rsidR="00D40C1B" w:rsidRPr="00D40C1B">
        <w:t> = 913</w:t>
      </w:r>
      <w:r w:rsidR="00570A71">
        <w:t>),</w:t>
      </w:r>
      <w:r w:rsidR="00D40C1B">
        <w:t xml:space="preserve"> vancomycin</w:t>
      </w:r>
      <w:r w:rsidR="00570A71">
        <w:t xml:space="preserve"> (2 biological repeats,</w:t>
      </w:r>
      <w:r w:rsidR="00D40C1B">
        <w:t xml:space="preserve"> </w:t>
      </w:r>
      <w:r w:rsidR="00D40C1B">
        <w:rPr>
          <w:i/>
          <w:iCs/>
        </w:rPr>
        <w:t>n</w:t>
      </w:r>
      <w:r w:rsidR="00D40C1B">
        <w:t> = 730</w:t>
      </w:r>
      <w:r w:rsidR="00570A71">
        <w:t>)</w:t>
      </w:r>
      <w:r w:rsidR="00875201">
        <w:t xml:space="preserve">, and vancomycin plus methicillin (3 biological repeats, </w:t>
      </w:r>
      <w:r w:rsidR="00875201">
        <w:rPr>
          <w:i/>
          <w:iCs/>
        </w:rPr>
        <w:t>n</w:t>
      </w:r>
      <w:r w:rsidR="00875201">
        <w:t> = 451),</w:t>
      </w:r>
      <w:r w:rsidR="005C45D2">
        <w:t xml:space="preserve"> as indicated</w:t>
      </w:r>
      <w:r w:rsidR="00570A71">
        <w:t xml:space="preserve">. </w:t>
      </w:r>
      <w:r w:rsidR="007C4B6B">
        <w:t>No sept</w:t>
      </w:r>
      <w:r w:rsidR="005B06EB">
        <w:t>um</w:t>
      </w:r>
      <w:r w:rsidR="007C4B6B">
        <w:t>– dark green, incomplete sept</w:t>
      </w:r>
      <w:r w:rsidR="006E1B63">
        <w:t>um</w:t>
      </w:r>
      <w:r w:rsidR="007C4B6B">
        <w:t>– medium green, complete sept</w:t>
      </w:r>
      <w:r w:rsidR="006E1B63">
        <w:t>um</w:t>
      </w:r>
      <w:r w:rsidR="007C4B6B">
        <w:t xml:space="preserve">– light green, </w:t>
      </w:r>
      <w:r w:rsidR="003129ED">
        <w:t>“plasmolysis”</w:t>
      </w:r>
      <w:r w:rsidR="007C4B6B">
        <w:t xml:space="preserve">– orange, </w:t>
      </w:r>
      <w:r w:rsidR="006E1B63">
        <w:t xml:space="preserve">and </w:t>
      </w:r>
      <w:r w:rsidR="007C4B6B">
        <w:t>growth defects– yellow</w:t>
      </w:r>
      <w:r w:rsidR="006E371B">
        <w:t>.</w:t>
      </w:r>
      <w:r w:rsidR="005C45D2">
        <w:t xml:space="preserve"> </w:t>
      </w:r>
      <w:r w:rsidR="005C45D2">
        <w:rPr>
          <w:b/>
          <w:bCs/>
        </w:rPr>
        <w:t>(B)</w:t>
      </w:r>
      <w:r w:rsidR="005C45D2">
        <w:t xml:space="preserve"> Compositional analysis of methicillin treated cells in </w:t>
      </w:r>
      <w:r w:rsidR="005C45D2" w:rsidRPr="00FC2CCD">
        <w:t>(A)</w:t>
      </w:r>
      <w:r w:rsidR="00FC2CCD">
        <w:t xml:space="preserve"> showing signs of “plasmolysis”</w:t>
      </w:r>
      <w:r w:rsidR="005C45D2">
        <w:t>. No sept</w:t>
      </w:r>
      <w:r w:rsidR="000147CD">
        <w:t>um</w:t>
      </w:r>
      <w:r w:rsidR="005C45D2">
        <w:t>– dark orange, incomplete sept</w:t>
      </w:r>
      <w:r w:rsidR="000147CD">
        <w:t>um</w:t>
      </w:r>
      <w:r w:rsidR="005C45D2">
        <w:t>– medium orange, complete sept</w:t>
      </w:r>
      <w:r w:rsidR="000147CD">
        <w:t>um</w:t>
      </w:r>
      <w:r w:rsidR="005C45D2">
        <w:t>– light orange</w:t>
      </w:r>
      <w:r w:rsidR="0075475C">
        <w:t xml:space="preserve"> (</w:t>
      </w:r>
      <w:r w:rsidR="0075475C">
        <w:rPr>
          <w:i/>
          <w:iCs/>
        </w:rPr>
        <w:t>n </w:t>
      </w:r>
      <w:r w:rsidR="0075475C">
        <w:t>= 384)</w:t>
      </w:r>
      <w:r w:rsidR="007E756B">
        <w:t>.</w:t>
      </w:r>
    </w:p>
    <w:p w14:paraId="64C827D6" w14:textId="77777777" w:rsidR="005A0F8E" w:rsidRDefault="007171D3" w:rsidP="005A0F8E">
      <w:pPr>
        <w:keepNext/>
        <w:jc w:val="center"/>
      </w:pPr>
      <w:r>
        <w:rPr>
          <w:noProof/>
        </w:rPr>
        <w:lastRenderedPageBreak/>
        <w:drawing>
          <wp:inline distT="0" distB="0" distL="0" distR="0" wp14:anchorId="42ECCF90" wp14:editId="2387EA3D">
            <wp:extent cx="5924346" cy="7564475"/>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24346" cy="7564475"/>
                    </a:xfrm>
                    <a:prstGeom prst="rect">
                      <a:avLst/>
                    </a:prstGeom>
                  </pic:spPr>
                </pic:pic>
              </a:graphicData>
            </a:graphic>
          </wp:inline>
        </w:drawing>
      </w:r>
    </w:p>
    <w:p w14:paraId="11B65660" w14:textId="62327363" w:rsidR="008C5E7F" w:rsidRDefault="005A0F8E" w:rsidP="008A2B86">
      <w:pPr>
        <w:pStyle w:val="Caption"/>
      </w:pPr>
      <w:bookmarkStart w:id="744" w:name="_Ref71581049"/>
      <w:bookmarkStart w:id="745" w:name="_Toc90217002"/>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17</w:t>
      </w:r>
      <w:r w:rsidR="003373BF">
        <w:rPr>
          <w:noProof/>
        </w:rPr>
        <w:fldChar w:fldCharType="end"/>
      </w:r>
      <w:bookmarkEnd w:id="744"/>
      <w:r>
        <w:t xml:space="preserve"> </w:t>
      </w:r>
      <w:r w:rsidR="00382223">
        <w:t xml:space="preserve">TEM micrographs of </w:t>
      </w:r>
      <w:r w:rsidR="00382223">
        <w:rPr>
          <w:i/>
        </w:rPr>
        <w:t>S. aureus</w:t>
      </w:r>
      <w:r w:rsidR="00382223">
        <w:t xml:space="preserve"> treated with</w:t>
      </w:r>
      <w:r>
        <w:t xml:space="preserve"> </w:t>
      </w:r>
      <w:r w:rsidR="00A15805">
        <w:t>methicillin</w:t>
      </w:r>
      <w:r>
        <w:t xml:space="preserve"> and/or </w:t>
      </w:r>
      <w:r w:rsidR="00A15805">
        <w:t>vancomycin</w:t>
      </w:r>
      <w:r>
        <w:t xml:space="preserve"> </w:t>
      </w:r>
      <w:r w:rsidR="00382223">
        <w:t>for</w:t>
      </w:r>
      <w:r>
        <w:t xml:space="preserve"> 2 and 3 h.</w:t>
      </w:r>
      <w:bookmarkStart w:id="746" w:name="_Ref69236430"/>
      <w:bookmarkEnd w:id="745"/>
    </w:p>
    <w:p w14:paraId="26B4946A" w14:textId="25A950BE" w:rsidR="00EA69AC" w:rsidRPr="00EA69AC" w:rsidRDefault="00EA69AC" w:rsidP="00EA69AC">
      <w:pPr>
        <w:pStyle w:val="NoSpacing"/>
      </w:pPr>
      <w:r>
        <w:t xml:space="preserve">TEM micrographs of chemically fixed thin sections of </w:t>
      </w:r>
      <w:r>
        <w:rPr>
          <w:i/>
          <w:iCs/>
        </w:rPr>
        <w:t>S. aureus</w:t>
      </w:r>
      <w:r>
        <w:t xml:space="preserve"> SH1000 treated with 10 X </w:t>
      </w:r>
      <w:r w:rsidR="008C109E">
        <w:t xml:space="preserve">MIC </w:t>
      </w:r>
      <w:r w:rsidR="008C109E">
        <w:rPr>
          <w:b/>
          <w:bCs/>
        </w:rPr>
        <w:t>(</w:t>
      </w:r>
      <w:r>
        <w:rPr>
          <w:b/>
          <w:bCs/>
        </w:rPr>
        <w:t xml:space="preserve">A-B) </w:t>
      </w:r>
      <w:r>
        <w:t xml:space="preserve">methicillin for 2 h, </w:t>
      </w:r>
      <w:r>
        <w:rPr>
          <w:b/>
          <w:bCs/>
        </w:rPr>
        <w:t xml:space="preserve">(C-D) </w:t>
      </w:r>
      <w:r>
        <w:t xml:space="preserve">vancomycin for 2 h, </w:t>
      </w:r>
      <w:r>
        <w:rPr>
          <w:b/>
          <w:bCs/>
        </w:rPr>
        <w:t xml:space="preserve">(E-F) </w:t>
      </w:r>
      <w:r>
        <w:t xml:space="preserve">vancomycin for 3 h, and </w:t>
      </w:r>
      <w:r>
        <w:rPr>
          <w:b/>
          <w:bCs/>
        </w:rPr>
        <w:t>(G-H)</w:t>
      </w:r>
      <w:r>
        <w:t xml:space="preserve"> vancomycin plus methicillin for 2 h. </w:t>
      </w:r>
      <w:r>
        <w:rPr>
          <w:b/>
          <w:bCs/>
        </w:rPr>
        <w:t>(A, C, E, G)</w:t>
      </w:r>
      <w:r>
        <w:t xml:space="preserve"> Mid magnification (2900x), scale bar 1 µm. </w:t>
      </w:r>
      <w:r>
        <w:rPr>
          <w:b/>
          <w:bCs/>
        </w:rPr>
        <w:t>(B, D, F, H)</w:t>
      </w:r>
      <w:r>
        <w:t xml:space="preserve"> High magnification (4800x), scale bar 1 µm. </w:t>
      </w:r>
      <w:r w:rsidR="00F91477">
        <w:t>Red</w:t>
      </w:r>
      <w:r w:rsidRPr="00050F20">
        <w:t xml:space="preserve"> arrows indicate areas where the exoplasmic space </w:t>
      </w:r>
      <w:r w:rsidR="009430F4">
        <w:t>is</w:t>
      </w:r>
      <w:r w:rsidRPr="00050F20">
        <w:t xml:space="preserve"> expanded (</w:t>
      </w:r>
      <w:r>
        <w:t>“plasmolysis”</w:t>
      </w:r>
      <w:r w:rsidRPr="00050F20">
        <w:t>)</w:t>
      </w:r>
      <w:r w:rsidR="003D4938">
        <w:t>.</w:t>
      </w:r>
    </w:p>
    <w:bookmarkEnd w:id="746"/>
    <w:p w14:paraId="7C5BEB1A" w14:textId="77777777" w:rsidR="005A0F8E" w:rsidRDefault="005A0F8E" w:rsidP="008A2B86">
      <w:pPr>
        <w:pStyle w:val="Caption"/>
        <w:sectPr w:rsidR="005A0F8E" w:rsidSect="004D0E05">
          <w:pgSz w:w="11906" w:h="16838"/>
          <w:pgMar w:top="1191" w:right="1247" w:bottom="1191" w:left="1247" w:header="709" w:footer="709" w:gutter="0"/>
          <w:cols w:space="708"/>
          <w:titlePg/>
          <w:docGrid w:linePitch="360"/>
        </w:sectPr>
      </w:pPr>
    </w:p>
    <w:p w14:paraId="6F05537F" w14:textId="77777777" w:rsidR="00BA041C" w:rsidRDefault="00BA041C" w:rsidP="00054536">
      <w:pPr>
        <w:pStyle w:val="NoSpacing"/>
        <w:keepNext/>
        <w:jc w:val="center"/>
      </w:pPr>
      <w:r>
        <w:rPr>
          <w:noProof/>
        </w:rPr>
        <w:lastRenderedPageBreak/>
        <w:drawing>
          <wp:inline distT="0" distB="0" distL="0" distR="0" wp14:anchorId="47898180" wp14:editId="1D119ECB">
            <wp:extent cx="4835573" cy="2493818"/>
            <wp:effectExtent l="0" t="0" r="317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847945" cy="2500198"/>
                    </a:xfrm>
                    <a:prstGeom prst="rect">
                      <a:avLst/>
                    </a:prstGeom>
                  </pic:spPr>
                </pic:pic>
              </a:graphicData>
            </a:graphic>
          </wp:inline>
        </w:drawing>
      </w:r>
    </w:p>
    <w:p w14:paraId="0DF342D7" w14:textId="0548EAA3" w:rsidR="00D41810" w:rsidRDefault="00BA041C" w:rsidP="008A2B86">
      <w:pPr>
        <w:pStyle w:val="Caption"/>
      </w:pPr>
      <w:bookmarkStart w:id="747" w:name="_Ref78307323"/>
      <w:bookmarkStart w:id="748" w:name="_Toc90217003"/>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18</w:t>
      </w:r>
      <w:r w:rsidR="003373BF">
        <w:rPr>
          <w:noProof/>
        </w:rPr>
        <w:fldChar w:fldCharType="end"/>
      </w:r>
      <w:bookmarkEnd w:id="747"/>
      <w:r>
        <w:t xml:space="preserve"> Morphological quantification after 2 and 3 h of methicillin and/or vancomycin treatment on </w:t>
      </w:r>
      <w:r>
        <w:rPr>
          <w:i/>
        </w:rPr>
        <w:t>S. aureus</w:t>
      </w:r>
      <w:r>
        <w:t xml:space="preserve"> SH1000.</w:t>
      </w:r>
      <w:bookmarkEnd w:id="748"/>
      <w:r>
        <w:t xml:space="preserve"> </w:t>
      </w:r>
    </w:p>
    <w:p w14:paraId="209BDA79" w14:textId="5CDA617E" w:rsidR="00054536" w:rsidRPr="00054536" w:rsidRDefault="0046496F" w:rsidP="00054536">
      <w:pPr>
        <w:pStyle w:val="NoSpacing"/>
        <w:sectPr w:rsidR="00054536" w:rsidRPr="00054536" w:rsidSect="004D0E05">
          <w:pgSz w:w="11906" w:h="16838"/>
          <w:pgMar w:top="1191" w:right="1247" w:bottom="1191" w:left="1247" w:header="709" w:footer="709" w:gutter="0"/>
          <w:cols w:space="708"/>
          <w:titlePg/>
          <w:docGrid w:linePitch="360"/>
        </w:sectPr>
      </w:pPr>
      <w:r>
        <w:t>Morphological quantification</w:t>
      </w:r>
      <w:r w:rsidR="00054536">
        <w:t xml:space="preserve"> of chemically fixed thin sections of </w:t>
      </w:r>
      <w:r w:rsidR="00054536">
        <w:rPr>
          <w:i/>
          <w:iCs/>
        </w:rPr>
        <w:t>S. aureus</w:t>
      </w:r>
      <w:r w:rsidR="00054536">
        <w:t xml:space="preserve"> SH1000 treated with 10 X MIC methicillin </w:t>
      </w:r>
      <w:r>
        <w:t xml:space="preserve">and/or </w:t>
      </w:r>
      <w:r w:rsidR="00054536">
        <w:t>vancomycin</w:t>
      </w:r>
      <w:r>
        <w:t>.</w:t>
      </w:r>
      <w:r w:rsidR="00054536">
        <w:t xml:space="preserve"> Control 1 h</w:t>
      </w:r>
      <w:r w:rsidR="00054536">
        <w:rPr>
          <w:i/>
          <w:iCs/>
        </w:rPr>
        <w:t xml:space="preserve"> </w:t>
      </w:r>
      <w:r w:rsidR="00054536" w:rsidRPr="00570A71">
        <w:t>(</w:t>
      </w:r>
      <w:r w:rsidR="00054536">
        <w:t xml:space="preserve">2 biological repeats, </w:t>
      </w:r>
      <w:r w:rsidR="00054536">
        <w:rPr>
          <w:i/>
          <w:iCs/>
        </w:rPr>
        <w:t>n</w:t>
      </w:r>
      <w:r w:rsidR="00054536">
        <w:t xml:space="preserve"> = 905), methicillin 1 h (3 biological repeat, </w:t>
      </w:r>
      <w:r w:rsidR="00054536">
        <w:rPr>
          <w:i/>
          <w:iCs/>
        </w:rPr>
        <w:t>n</w:t>
      </w:r>
      <w:r w:rsidR="00054536" w:rsidRPr="00D40C1B">
        <w:t> = 913</w:t>
      </w:r>
      <w:r w:rsidR="00054536">
        <w:t>), methicillin 2 h (</w:t>
      </w:r>
      <w:r w:rsidR="00054536">
        <w:rPr>
          <w:i/>
          <w:iCs/>
        </w:rPr>
        <w:t>n</w:t>
      </w:r>
      <w:r w:rsidR="00054536">
        <w:t xml:space="preserve"> = 313), vancomycin 1 h (2 biological repeats, </w:t>
      </w:r>
      <w:r w:rsidR="00054536">
        <w:rPr>
          <w:i/>
          <w:iCs/>
        </w:rPr>
        <w:t>n</w:t>
      </w:r>
      <w:r w:rsidR="00054536">
        <w:t> = 730), vancomycin 2 h (</w:t>
      </w:r>
      <w:r w:rsidR="00054536">
        <w:rPr>
          <w:i/>
          <w:iCs/>
        </w:rPr>
        <w:t>n</w:t>
      </w:r>
      <w:r w:rsidR="00054536">
        <w:t> = 301), vancomycin 3 h (</w:t>
      </w:r>
      <w:r w:rsidR="00054536">
        <w:rPr>
          <w:i/>
          <w:iCs/>
        </w:rPr>
        <w:t>n</w:t>
      </w:r>
      <w:r w:rsidR="00054536">
        <w:t> = 402), and vancomycin plus methicillin 2 h (</w:t>
      </w:r>
      <w:r w:rsidR="00054536">
        <w:rPr>
          <w:i/>
          <w:iCs/>
        </w:rPr>
        <w:t>n</w:t>
      </w:r>
      <w:r w:rsidR="00054536">
        <w:t> = 416), as indicated. No sept</w:t>
      </w:r>
      <w:r w:rsidR="00FD11BB">
        <w:t>um</w:t>
      </w:r>
      <w:r w:rsidR="00054536">
        <w:t>– dark green, incomplete sept</w:t>
      </w:r>
      <w:r w:rsidR="00FD11BB">
        <w:t>um</w:t>
      </w:r>
      <w:r w:rsidR="00054536">
        <w:t>– medium green, complete sept</w:t>
      </w:r>
      <w:r w:rsidR="00FD11BB">
        <w:t>um</w:t>
      </w:r>
      <w:r w:rsidR="00054536">
        <w:t xml:space="preserve">– light green, “plasmolysis”– orange, </w:t>
      </w:r>
      <w:r w:rsidR="00FD11BB">
        <w:t xml:space="preserve">and </w:t>
      </w:r>
      <w:r w:rsidR="00054536">
        <w:t>growth defects– yellow</w:t>
      </w:r>
      <w:r>
        <w:t>.</w:t>
      </w:r>
    </w:p>
    <w:p w14:paraId="315C9140" w14:textId="5530E241" w:rsidR="007050B9" w:rsidRDefault="004A62DD" w:rsidP="00371D6C">
      <w:r>
        <w:lastRenderedPageBreak/>
        <w:t>Fi</w:t>
      </w:r>
      <w:r w:rsidR="002B1891">
        <w:t xml:space="preserve">nally, TEM micrographs of methicillin treated cells showed </w:t>
      </w:r>
      <w:r w:rsidR="00CE1FD2">
        <w:t>large</w:t>
      </w:r>
      <w:r w:rsidR="002B1891">
        <w:t xml:space="preserve"> areas of </w:t>
      </w:r>
      <w:r w:rsidR="00223A6F">
        <w:t>lysed</w:t>
      </w:r>
      <w:r w:rsidR="002B1891">
        <w:t xml:space="preserve"> cells, </w:t>
      </w:r>
      <w:r w:rsidR="002759D6">
        <w:t xml:space="preserve">loose </w:t>
      </w:r>
      <w:r w:rsidR="002B1891">
        <w:t xml:space="preserve">cytoplasmic </w:t>
      </w:r>
      <w:r w:rsidR="00CE1FD2">
        <w:t>material</w:t>
      </w:r>
      <w:r w:rsidR="002B1891">
        <w:t xml:space="preserve"> and sacculi (</w:t>
      </w:r>
      <w:r w:rsidR="002B1891">
        <w:fldChar w:fldCharType="begin"/>
      </w:r>
      <w:r w:rsidR="002B1891">
        <w:instrText xml:space="preserve"> REF _Ref69289875 \h </w:instrText>
      </w:r>
      <w:r w:rsidR="002B1891">
        <w:fldChar w:fldCharType="separate"/>
      </w:r>
      <w:r w:rsidR="00183CC8">
        <w:t xml:space="preserve">Figure </w:t>
      </w:r>
      <w:r w:rsidR="00183CC8">
        <w:rPr>
          <w:noProof/>
        </w:rPr>
        <w:t>5</w:t>
      </w:r>
      <w:r w:rsidR="00183CC8">
        <w:t>.</w:t>
      </w:r>
      <w:r w:rsidR="00183CC8">
        <w:rPr>
          <w:noProof/>
        </w:rPr>
        <w:t>19</w:t>
      </w:r>
      <w:r w:rsidR="002B1891">
        <w:fldChar w:fldCharType="end"/>
      </w:r>
      <w:r w:rsidR="002B1891">
        <w:t xml:space="preserve">a-b). </w:t>
      </w:r>
      <w:r w:rsidR="002759D6">
        <w:t xml:space="preserve">It is impossible to tell </w:t>
      </w:r>
      <w:r w:rsidR="007152F8">
        <w:t xml:space="preserve">with certainty </w:t>
      </w:r>
      <w:r w:rsidR="002759D6">
        <w:t>if cells in a TEM micrograph are dead, dying or alive when they look intact</w:t>
      </w:r>
      <w:r w:rsidR="007152F8">
        <w:t>, electron</w:t>
      </w:r>
      <w:r w:rsidR="004F041B">
        <w:t>-</w:t>
      </w:r>
      <w:r w:rsidR="007152F8">
        <w:t>dense,</w:t>
      </w:r>
      <w:r w:rsidR="002759D6">
        <w:t xml:space="preserve"> and fully stained</w:t>
      </w:r>
      <w:r w:rsidR="007152F8">
        <w:t xml:space="preserve">. The </w:t>
      </w:r>
      <w:r w:rsidR="00A3651D">
        <w:t>thin</w:t>
      </w:r>
      <w:r w:rsidR="007152F8">
        <w:t xml:space="preserve"> section obtained could be a cross section </w:t>
      </w:r>
      <w:r w:rsidR="002759D6">
        <w:t xml:space="preserve">at </w:t>
      </w:r>
      <w:r w:rsidR="007152F8">
        <w:t xml:space="preserve">any </w:t>
      </w:r>
      <w:r w:rsidR="002759D6">
        <w:t xml:space="preserve">Z-level </w:t>
      </w:r>
      <w:r w:rsidR="007152F8">
        <w:t xml:space="preserve">of the cell, and a CW rupture </w:t>
      </w:r>
      <w:r w:rsidR="00A3651D">
        <w:t xml:space="preserve">or cytoplasmic leakage </w:t>
      </w:r>
      <w:r w:rsidR="007152F8">
        <w:t>could easily be missed</w:t>
      </w:r>
      <w:r w:rsidR="00AD1297">
        <w:t>. Nonetheless</w:t>
      </w:r>
      <w:r w:rsidR="002759D6">
        <w:t xml:space="preserve">, we can </w:t>
      </w:r>
      <w:r w:rsidR="00AD1297">
        <w:t>certainly</w:t>
      </w:r>
      <w:r w:rsidR="002759D6">
        <w:t xml:space="preserve"> assume </w:t>
      </w:r>
      <w:r w:rsidR="00AD1297">
        <w:t>cells</w:t>
      </w:r>
      <w:r w:rsidR="002759D6">
        <w:t xml:space="preserve"> are dead when the section captures a clear break in the cell envelope</w:t>
      </w:r>
      <w:r w:rsidR="00A3651D">
        <w:t xml:space="preserve">, </w:t>
      </w:r>
      <w:r w:rsidR="00AD1297">
        <w:t>cytoplasmic leakage</w:t>
      </w:r>
      <w:r w:rsidR="00A3651D">
        <w:t xml:space="preserve"> and/or a discernible decrease in cell staining due to lack of cytoplasmic content</w:t>
      </w:r>
      <w:r w:rsidR="00AD1297">
        <w:t xml:space="preserve"> (</w:t>
      </w:r>
      <w:r w:rsidR="00AD1297">
        <w:fldChar w:fldCharType="begin"/>
      </w:r>
      <w:r w:rsidR="00AD1297">
        <w:instrText xml:space="preserve"> REF _Ref69289875 \h </w:instrText>
      </w:r>
      <w:r w:rsidR="00AD1297">
        <w:fldChar w:fldCharType="separate"/>
      </w:r>
      <w:r w:rsidR="00183CC8">
        <w:t xml:space="preserve">Figure </w:t>
      </w:r>
      <w:r w:rsidR="00183CC8">
        <w:rPr>
          <w:noProof/>
        </w:rPr>
        <w:t>5</w:t>
      </w:r>
      <w:r w:rsidR="00183CC8">
        <w:t>.</w:t>
      </w:r>
      <w:r w:rsidR="00183CC8">
        <w:rPr>
          <w:noProof/>
        </w:rPr>
        <w:t>19</w:t>
      </w:r>
      <w:r w:rsidR="00AD1297">
        <w:fldChar w:fldCharType="end"/>
      </w:r>
      <w:r w:rsidR="00AD1297">
        <w:t>c)</w:t>
      </w:r>
      <w:r w:rsidR="002759D6">
        <w:t xml:space="preserve">. </w:t>
      </w:r>
      <w:r w:rsidR="00F24A51">
        <w:t>Morphological</w:t>
      </w:r>
      <w:r w:rsidR="00D10F38">
        <w:t xml:space="preserve"> quantification percentage</w:t>
      </w:r>
      <w:r w:rsidR="00C9616F">
        <w:t>s</w:t>
      </w:r>
      <w:r w:rsidR="00F24A51">
        <w:t xml:space="preserve"> were adjusted</w:t>
      </w:r>
      <w:r w:rsidR="00D10F38">
        <w:t xml:space="preserve"> to include any visible </w:t>
      </w:r>
      <w:r w:rsidR="005E1675">
        <w:t>lysed</w:t>
      </w:r>
      <w:r w:rsidR="00D10F38">
        <w:t xml:space="preserve"> cell or sacculi, </w:t>
      </w:r>
      <w:r w:rsidR="00F24A51">
        <w:t>and</w:t>
      </w:r>
      <w:r w:rsidR="00D10F38">
        <w:t xml:space="preserve"> </w:t>
      </w:r>
      <w:r w:rsidR="00C9616F">
        <w:t>detected</w:t>
      </w:r>
      <w:r w:rsidR="00D10F38">
        <w:t xml:space="preserve"> a </w:t>
      </w:r>
      <w:r w:rsidR="00E37545">
        <w:t>high</w:t>
      </w:r>
      <w:r w:rsidR="00C9616F">
        <w:t>er</w:t>
      </w:r>
      <w:r w:rsidR="00E37545">
        <w:t xml:space="preserve"> </w:t>
      </w:r>
      <w:r w:rsidR="00D10F38">
        <w:t>percentage</w:t>
      </w:r>
      <w:r w:rsidR="00E37545">
        <w:t xml:space="preserve"> of </w:t>
      </w:r>
      <w:r w:rsidR="005E1675">
        <w:t>these</w:t>
      </w:r>
      <w:r w:rsidR="00F24A51">
        <w:t xml:space="preserve"> cells</w:t>
      </w:r>
      <w:r w:rsidR="00C9616F">
        <w:t xml:space="preserve"> after 1 h of incubation with methicillin (</w:t>
      </w:r>
      <w:r w:rsidR="00E37545">
        <w:t>~ 20.5 %</w:t>
      </w:r>
      <w:r w:rsidR="00C9616F">
        <w:t>) than with vancomycin (</w:t>
      </w:r>
      <w:r w:rsidR="00E37545">
        <w:t>~ 2.4 %</w:t>
      </w:r>
      <w:r w:rsidR="00C9616F">
        <w:t>)</w:t>
      </w:r>
      <w:r w:rsidR="008C109E">
        <w:t xml:space="preserve"> </w:t>
      </w:r>
      <w:r w:rsidR="00D10F38">
        <w:t>(</w:t>
      </w:r>
      <w:r w:rsidR="002B1891">
        <w:fldChar w:fldCharType="begin"/>
      </w:r>
      <w:r w:rsidR="002B1891">
        <w:instrText xml:space="preserve"> REF _Ref69289875 \h </w:instrText>
      </w:r>
      <w:r w:rsidR="002B1891">
        <w:fldChar w:fldCharType="separate"/>
      </w:r>
      <w:r w:rsidR="00183CC8">
        <w:t xml:space="preserve">Figure </w:t>
      </w:r>
      <w:r w:rsidR="00183CC8">
        <w:rPr>
          <w:noProof/>
        </w:rPr>
        <w:t>5</w:t>
      </w:r>
      <w:r w:rsidR="00183CC8">
        <w:t>.</w:t>
      </w:r>
      <w:r w:rsidR="00183CC8">
        <w:rPr>
          <w:noProof/>
        </w:rPr>
        <w:t>19</w:t>
      </w:r>
      <w:r w:rsidR="002B1891">
        <w:fldChar w:fldCharType="end"/>
      </w:r>
      <w:r w:rsidR="00BB04CD">
        <w:t>d</w:t>
      </w:r>
      <w:r w:rsidR="00D10F38">
        <w:t xml:space="preserve">). </w:t>
      </w:r>
      <w:r w:rsidR="002B1891">
        <w:t>This is consistent with methicillin’s higher mortality rate.</w:t>
      </w:r>
      <w:r w:rsidR="008C6D4C">
        <w:t xml:space="preserve"> </w:t>
      </w:r>
      <w:r w:rsidR="00361491">
        <w:t xml:space="preserve">Once again, despite vancomycin’s slower mortality rate, </w:t>
      </w:r>
      <w:r w:rsidR="00BF6BDC">
        <w:t>no</w:t>
      </w:r>
      <w:r w:rsidR="00361491">
        <w:t xml:space="preserve"> increase in cell </w:t>
      </w:r>
      <w:r w:rsidR="00960FCE">
        <w:t>lysis</w:t>
      </w:r>
      <w:r w:rsidR="00361491">
        <w:t xml:space="preserve"> after 2 or 3 h of incubation</w:t>
      </w:r>
      <w:r w:rsidR="00BF6BDC">
        <w:t xml:space="preserve"> was detected by TEM</w:t>
      </w:r>
      <w:r w:rsidR="00361491">
        <w:t>.</w:t>
      </w:r>
    </w:p>
    <w:p w14:paraId="6C07988A" w14:textId="77777777" w:rsidR="003B2952" w:rsidRDefault="003B2952" w:rsidP="00371D6C"/>
    <w:p w14:paraId="4F8D0663" w14:textId="77B80BD8" w:rsidR="00717092" w:rsidRDefault="00717092" w:rsidP="00371D6C">
      <w:r>
        <w:t xml:space="preserve">These results </w:t>
      </w:r>
      <w:r w:rsidR="00B16B5A">
        <w:t>demonstrate</w:t>
      </w:r>
      <w:r>
        <w:t xml:space="preserve"> that:</w:t>
      </w:r>
    </w:p>
    <w:p w14:paraId="594C72EE" w14:textId="35EC78DA" w:rsidR="003B2952" w:rsidRDefault="003B2952" w:rsidP="001D0636">
      <w:pPr>
        <w:pStyle w:val="ListParagraph"/>
        <w:numPr>
          <w:ilvl w:val="0"/>
          <w:numId w:val="30"/>
        </w:numPr>
        <w:spacing w:line="360" w:lineRule="auto"/>
      </w:pPr>
      <w:r>
        <w:t>Methicillin</w:t>
      </w:r>
      <w:r w:rsidR="00745351">
        <w:t>-treated cells present a specific</w:t>
      </w:r>
      <w:r>
        <w:t xml:space="preserve"> phenotype</w:t>
      </w:r>
      <w:r w:rsidR="00745351">
        <w:t xml:space="preserve"> that</w:t>
      </w:r>
      <w:r>
        <w:t xml:space="preserve"> includes a retraction of the plasma membrane and expansion of the exoplasm, especially around the sept</w:t>
      </w:r>
      <w:r w:rsidR="0030770C">
        <w:t>um</w:t>
      </w:r>
      <w:r>
        <w:t xml:space="preserve"> (bulbous shaped septa).</w:t>
      </w:r>
    </w:p>
    <w:p w14:paraId="589ED5DB" w14:textId="77777777" w:rsidR="00230564" w:rsidRDefault="00230564" w:rsidP="00C569D8">
      <w:pPr>
        <w:pStyle w:val="ListParagraph"/>
        <w:ind w:left="720"/>
      </w:pPr>
    </w:p>
    <w:p w14:paraId="51FA7469" w14:textId="0A8E3B78" w:rsidR="00230564" w:rsidRDefault="003B2952" w:rsidP="001D0636">
      <w:pPr>
        <w:pStyle w:val="ListParagraph"/>
        <w:numPr>
          <w:ilvl w:val="0"/>
          <w:numId w:val="30"/>
        </w:numPr>
        <w:spacing w:line="360" w:lineRule="auto"/>
      </w:pPr>
      <w:r>
        <w:t>This phenotype is reminiscent of plasmolysis, as seen by experiments with high concentration of NaCl.</w:t>
      </w:r>
    </w:p>
    <w:p w14:paraId="08D44226" w14:textId="77777777" w:rsidR="00230564" w:rsidRDefault="00230564" w:rsidP="00C569D8">
      <w:pPr>
        <w:pStyle w:val="ListParagraph"/>
        <w:ind w:left="720"/>
      </w:pPr>
    </w:p>
    <w:p w14:paraId="302F3674" w14:textId="32CBD463" w:rsidR="00230564" w:rsidRDefault="00717092" w:rsidP="001D0636">
      <w:pPr>
        <w:pStyle w:val="ListParagraph"/>
        <w:numPr>
          <w:ilvl w:val="0"/>
          <w:numId w:val="30"/>
        </w:numPr>
        <w:spacing w:line="360" w:lineRule="auto"/>
      </w:pPr>
      <w:r>
        <w:t xml:space="preserve">Methicillin leads to a larger number of lysed cells with </w:t>
      </w:r>
      <w:r w:rsidR="00230564">
        <w:t>loss</w:t>
      </w:r>
      <w:r>
        <w:t xml:space="preserve"> of cytoplasmic material than vancomycin.</w:t>
      </w:r>
    </w:p>
    <w:p w14:paraId="5586D1E6" w14:textId="77777777" w:rsidR="00230564" w:rsidRDefault="00230564" w:rsidP="00C569D8">
      <w:pPr>
        <w:pStyle w:val="ListParagraph"/>
        <w:ind w:left="720"/>
      </w:pPr>
    </w:p>
    <w:p w14:paraId="1BB8C4E6" w14:textId="129B1C96" w:rsidR="00230564" w:rsidRDefault="004D224E" w:rsidP="001D0636">
      <w:pPr>
        <w:pStyle w:val="ListParagraph"/>
        <w:numPr>
          <w:ilvl w:val="0"/>
          <w:numId w:val="30"/>
        </w:numPr>
        <w:spacing w:line="360" w:lineRule="auto"/>
      </w:pPr>
      <w:r>
        <w:t>Vancomycin inhibits the “plasmolysis” seen with methicillin when added jointly.</w:t>
      </w:r>
    </w:p>
    <w:p w14:paraId="1757BB4A" w14:textId="77777777" w:rsidR="00230564" w:rsidRDefault="00230564" w:rsidP="00C569D8">
      <w:pPr>
        <w:pStyle w:val="ListParagraph"/>
        <w:ind w:left="720"/>
      </w:pPr>
    </w:p>
    <w:p w14:paraId="1E8BBCAE" w14:textId="37A1D747" w:rsidR="00B71D32" w:rsidRDefault="00B71D32" w:rsidP="001D0636">
      <w:pPr>
        <w:pStyle w:val="ListParagraph"/>
        <w:numPr>
          <w:ilvl w:val="0"/>
          <w:numId w:val="30"/>
        </w:numPr>
        <w:spacing w:line="360" w:lineRule="auto"/>
      </w:pPr>
      <w:r>
        <w:t>Despite vancomycin’s slower mortality rate, no evidence of “plasmolysis”: was observed with this antibiotic at later timepoints</w:t>
      </w:r>
      <w:r w:rsidR="004D224E">
        <w:t>.</w:t>
      </w:r>
    </w:p>
    <w:p w14:paraId="7F40D7DF" w14:textId="77777777" w:rsidR="008C6D4C" w:rsidRDefault="008C6D4C" w:rsidP="002B1891">
      <w:pPr>
        <w:keepNext/>
        <w:sectPr w:rsidR="008C6D4C" w:rsidSect="004D0E05">
          <w:pgSz w:w="11906" w:h="16838"/>
          <w:pgMar w:top="1191" w:right="1247" w:bottom="1191" w:left="1247" w:header="709" w:footer="709" w:gutter="0"/>
          <w:cols w:space="708"/>
          <w:titlePg/>
          <w:docGrid w:linePitch="360"/>
        </w:sectPr>
      </w:pPr>
    </w:p>
    <w:p w14:paraId="0AF6954C" w14:textId="5729F24A" w:rsidR="002B1891" w:rsidRDefault="00BA7E65" w:rsidP="004B7C54">
      <w:pPr>
        <w:keepNext/>
        <w:jc w:val="center"/>
      </w:pPr>
      <w:r>
        <w:rPr>
          <w:noProof/>
        </w:rPr>
        <w:lastRenderedPageBreak/>
        <w:drawing>
          <wp:inline distT="0" distB="0" distL="0" distR="0" wp14:anchorId="7CDE10EE" wp14:editId="2CEA73A4">
            <wp:extent cx="5754128" cy="723207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79476" cy="7263930"/>
                    </a:xfrm>
                    <a:prstGeom prst="rect">
                      <a:avLst/>
                    </a:prstGeom>
                  </pic:spPr>
                </pic:pic>
              </a:graphicData>
            </a:graphic>
          </wp:inline>
        </w:drawing>
      </w:r>
    </w:p>
    <w:p w14:paraId="41ECB97E" w14:textId="3EA8D131" w:rsidR="00BA7E65" w:rsidRDefault="002B1891" w:rsidP="008A2B86">
      <w:pPr>
        <w:pStyle w:val="Caption"/>
      </w:pPr>
      <w:bookmarkStart w:id="749" w:name="_Ref69289875"/>
      <w:bookmarkStart w:id="750" w:name="_Toc90217004"/>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19</w:t>
      </w:r>
      <w:r w:rsidR="003373BF">
        <w:rPr>
          <w:noProof/>
        </w:rPr>
        <w:fldChar w:fldCharType="end"/>
      </w:r>
      <w:bookmarkEnd w:id="749"/>
      <w:r>
        <w:t xml:space="preserve"> </w:t>
      </w:r>
      <w:r w:rsidR="00CC4A00">
        <w:t>Cell lysis</w:t>
      </w:r>
      <w:r>
        <w:t xml:space="preserve"> and sacculi </w:t>
      </w:r>
      <w:r w:rsidR="003D0950">
        <w:t>observed</w:t>
      </w:r>
      <w:r w:rsidR="00CC4A00">
        <w:t xml:space="preserve"> during</w:t>
      </w:r>
      <w:r w:rsidR="003D0950">
        <w:t xml:space="preserve"> </w:t>
      </w:r>
      <w:r>
        <w:t>methicillin</w:t>
      </w:r>
      <w:r w:rsidR="003D0950">
        <w:t xml:space="preserve"> treatment</w:t>
      </w:r>
      <w:r>
        <w:t xml:space="preserve"> o</w:t>
      </w:r>
      <w:r w:rsidR="003D0950">
        <w:t>f</w:t>
      </w:r>
      <w:r>
        <w:t xml:space="preserve"> </w:t>
      </w:r>
      <w:r>
        <w:rPr>
          <w:i/>
        </w:rPr>
        <w:t>S. aureus</w:t>
      </w:r>
      <w:r w:rsidR="00CC4A00">
        <w:t xml:space="preserve"> SH1000</w:t>
      </w:r>
      <w:r>
        <w:t>.</w:t>
      </w:r>
      <w:bookmarkEnd w:id="750"/>
    </w:p>
    <w:p w14:paraId="39610E66" w14:textId="7B3E72C5" w:rsidR="00BA7E65" w:rsidRPr="00371D6C" w:rsidRDefault="00EC0B30" w:rsidP="0023708E">
      <w:pPr>
        <w:pStyle w:val="NoSpacing"/>
      </w:pPr>
      <w:r>
        <w:t xml:space="preserve">TEM micrographs of chemically fixed thin sections of </w:t>
      </w:r>
      <w:r>
        <w:rPr>
          <w:i/>
          <w:iCs/>
        </w:rPr>
        <w:t>S. aureus</w:t>
      </w:r>
      <w:r>
        <w:t xml:space="preserve"> SH1000 treated with 10 X MIC methicillin for 1 h</w:t>
      </w:r>
      <w:r w:rsidR="00A96917">
        <w:t xml:space="preserve">. </w:t>
      </w:r>
      <w:r w:rsidR="00A96917">
        <w:rPr>
          <w:b/>
          <w:bCs/>
        </w:rPr>
        <w:t>(A)</w:t>
      </w:r>
      <w:r w:rsidR="00CC0AEB">
        <w:t xml:space="preserve"> </w:t>
      </w:r>
      <w:r w:rsidR="00943D02">
        <w:t>Low</w:t>
      </w:r>
      <w:r w:rsidR="00CC0AEB">
        <w:t xml:space="preserve"> magnification </w:t>
      </w:r>
      <w:r w:rsidR="00115D68">
        <w:t>(</w:t>
      </w:r>
      <w:r w:rsidR="00CC0AEB">
        <w:t>1900x</w:t>
      </w:r>
      <w:r w:rsidR="00115D68">
        <w:t>)</w:t>
      </w:r>
      <w:r w:rsidR="00CC0AEB">
        <w:t xml:space="preserve">, scale bar 1 µm. </w:t>
      </w:r>
      <w:r w:rsidR="00CC0AEB">
        <w:rPr>
          <w:b/>
          <w:bCs/>
        </w:rPr>
        <w:t>(B)</w:t>
      </w:r>
      <w:r w:rsidR="00CC0AEB">
        <w:t xml:space="preserve"> </w:t>
      </w:r>
      <w:r w:rsidR="00943D02">
        <w:t>High</w:t>
      </w:r>
      <w:r w:rsidR="00CC0AEB">
        <w:t xml:space="preserve"> magnification </w:t>
      </w:r>
      <w:r w:rsidR="00115D68">
        <w:t>(</w:t>
      </w:r>
      <w:r w:rsidR="00CC0AEB">
        <w:t>4800x</w:t>
      </w:r>
      <w:r w:rsidR="00115D68">
        <w:t>)</w:t>
      </w:r>
      <w:r w:rsidR="00CC0AEB">
        <w:t>, scale bar 1 µm.</w:t>
      </w:r>
      <w:r w:rsidR="008C6D4C">
        <w:t xml:space="preserve"> </w:t>
      </w:r>
      <w:r w:rsidR="008C6D4C">
        <w:rPr>
          <w:b/>
          <w:bCs/>
        </w:rPr>
        <w:t>(C)</w:t>
      </w:r>
      <w:r w:rsidR="00A96917">
        <w:t xml:space="preserve"> Representative TEM micrographs </w:t>
      </w:r>
      <w:r w:rsidR="00A5660A">
        <w:t xml:space="preserve">showing different stages of lysis </w:t>
      </w:r>
      <w:r w:rsidR="00A96917">
        <w:t xml:space="preserve">and sacculi, as indicated. Cropped from high magnification </w:t>
      </w:r>
      <w:r w:rsidR="00115D68">
        <w:t>(</w:t>
      </w:r>
      <w:r w:rsidR="00A96917">
        <w:t>4800x</w:t>
      </w:r>
      <w:r w:rsidR="00115D68">
        <w:t>)</w:t>
      </w:r>
      <w:r w:rsidR="00A96917">
        <w:t>, scale bar 300 nm.</w:t>
      </w:r>
      <w:r w:rsidR="00BE2637">
        <w:t xml:space="preserve"> </w:t>
      </w:r>
      <w:r w:rsidR="00BE2637">
        <w:rPr>
          <w:b/>
          <w:bCs/>
        </w:rPr>
        <w:t>(D)</w:t>
      </w:r>
      <w:r w:rsidR="00BE2637">
        <w:t xml:space="preserve"> Morphological quantification of Control 1 h</w:t>
      </w:r>
      <w:r w:rsidR="00BE2637">
        <w:rPr>
          <w:i/>
          <w:iCs/>
        </w:rPr>
        <w:t xml:space="preserve"> </w:t>
      </w:r>
      <w:r w:rsidR="00BE2637" w:rsidRPr="00570A71">
        <w:t>(</w:t>
      </w:r>
      <w:r w:rsidR="00BE2637">
        <w:t xml:space="preserve">2 biological repeats, </w:t>
      </w:r>
      <w:r w:rsidR="00BE2637">
        <w:rPr>
          <w:i/>
          <w:iCs/>
        </w:rPr>
        <w:t>n</w:t>
      </w:r>
      <w:r w:rsidR="00BE2637">
        <w:t xml:space="preserve"> = 909), methicillin 1 h (3 biological repeat, </w:t>
      </w:r>
      <w:r w:rsidR="00BE2637">
        <w:rPr>
          <w:i/>
          <w:iCs/>
        </w:rPr>
        <w:t>n</w:t>
      </w:r>
      <w:r w:rsidR="00BE2637" w:rsidRPr="00D40C1B">
        <w:t> = </w:t>
      </w:r>
      <w:r w:rsidR="00BE2637">
        <w:t>1148), methicillin 2 h (</w:t>
      </w:r>
      <w:r w:rsidR="00BE2637">
        <w:rPr>
          <w:i/>
          <w:iCs/>
        </w:rPr>
        <w:t>n</w:t>
      </w:r>
      <w:r w:rsidR="00BE2637">
        <w:t xml:space="preserve"> = 381), vancomycin 1 h (2 biological repeats, </w:t>
      </w:r>
      <w:r w:rsidR="00BE2637">
        <w:rPr>
          <w:i/>
          <w:iCs/>
        </w:rPr>
        <w:t>n</w:t>
      </w:r>
      <w:r w:rsidR="00BE2637">
        <w:t> = 748), vancomycin 2 h (</w:t>
      </w:r>
      <w:r w:rsidR="00BE2637">
        <w:rPr>
          <w:i/>
          <w:iCs/>
        </w:rPr>
        <w:t>n</w:t>
      </w:r>
      <w:r w:rsidR="00BE2637">
        <w:t> = 301), and vancomycin 3 h (</w:t>
      </w:r>
      <w:r w:rsidR="00BE2637">
        <w:rPr>
          <w:i/>
          <w:iCs/>
        </w:rPr>
        <w:t>n</w:t>
      </w:r>
      <w:r w:rsidR="00BE2637">
        <w:t> = 402), as indicated. No sept</w:t>
      </w:r>
      <w:r w:rsidR="00467952">
        <w:t>um</w:t>
      </w:r>
      <w:r w:rsidR="00BE2637">
        <w:t>– dark green, incomplete sept</w:t>
      </w:r>
      <w:r w:rsidR="00467952">
        <w:t>um</w:t>
      </w:r>
      <w:r w:rsidR="00BE2637">
        <w:t>– medium green, complete sept</w:t>
      </w:r>
      <w:r w:rsidR="00467952">
        <w:t>um</w:t>
      </w:r>
      <w:r w:rsidR="00BE2637">
        <w:t xml:space="preserve">– light green, </w:t>
      </w:r>
      <w:r w:rsidR="00C4368E">
        <w:t>“plasmolysis”</w:t>
      </w:r>
      <w:r w:rsidR="00BE2637">
        <w:t>– orange, growth defects– yellow</w:t>
      </w:r>
      <w:r w:rsidR="00467952">
        <w:t>, and</w:t>
      </w:r>
      <w:r w:rsidR="00E07B81">
        <w:t xml:space="preserve"> </w:t>
      </w:r>
      <w:r w:rsidR="00F305BB">
        <w:t>ruptured cells</w:t>
      </w:r>
      <w:r w:rsidR="00E07B81">
        <w:t xml:space="preserve"> or sacculi- light grey</w:t>
      </w:r>
      <w:r w:rsidR="00BE2637">
        <w:t>.</w:t>
      </w:r>
      <w:r w:rsidR="0023708E" w:rsidRPr="00371D6C">
        <w:t xml:space="preserve"> </w:t>
      </w:r>
    </w:p>
    <w:p w14:paraId="489D84D7" w14:textId="77777777" w:rsidR="00A0311B" w:rsidRDefault="00A0311B" w:rsidP="0033254E">
      <w:pPr>
        <w:pStyle w:val="Heading3"/>
        <w:sectPr w:rsidR="00A0311B" w:rsidSect="004D0E05">
          <w:pgSz w:w="11906" w:h="16838"/>
          <w:pgMar w:top="1191" w:right="1247" w:bottom="1191" w:left="1247" w:header="709" w:footer="709" w:gutter="0"/>
          <w:cols w:space="708"/>
          <w:titlePg/>
          <w:docGrid w:linePitch="360"/>
        </w:sectPr>
      </w:pPr>
      <w:bookmarkStart w:id="751" w:name="_Toc64276386"/>
      <w:bookmarkStart w:id="752" w:name="_Toc64276690"/>
      <w:bookmarkStart w:id="753" w:name="_Toc64276902"/>
    </w:p>
    <w:p w14:paraId="67603D72" w14:textId="7FAC0930" w:rsidR="00182281" w:rsidRDefault="00F7009D" w:rsidP="00C64717">
      <w:pPr>
        <w:pStyle w:val="Heading2"/>
      </w:pPr>
      <w:bookmarkStart w:id="754" w:name="_Ref76285689"/>
      <w:bookmarkStart w:id="755" w:name="_Toc90216904"/>
      <w:bookmarkEnd w:id="751"/>
      <w:bookmarkEnd w:id="752"/>
      <w:bookmarkEnd w:id="753"/>
      <w:r>
        <w:lastRenderedPageBreak/>
        <w:t>Morphological effect</w:t>
      </w:r>
      <w:r w:rsidR="008D786E">
        <w:t>s</w:t>
      </w:r>
      <w:r>
        <w:t xml:space="preserve"> of oxacillin treatment</w:t>
      </w:r>
      <w:bookmarkEnd w:id="754"/>
      <w:r w:rsidR="00F43550">
        <w:t>.</w:t>
      </w:r>
      <w:bookmarkEnd w:id="755"/>
    </w:p>
    <w:p w14:paraId="4CE9A843" w14:textId="110A0A37" w:rsidR="00C57647" w:rsidRDefault="004A3ECC" w:rsidP="00BB4506">
      <w:r>
        <w:t xml:space="preserve">To determine whether the morphological changes (“plasmolysis”) observed with methicillin are specific, an alternative </w:t>
      </w:r>
      <w:r>
        <w:rPr>
          <w:lang w:val="el-GR"/>
        </w:rPr>
        <w:t>β</w:t>
      </w:r>
      <w:r>
        <w:t>-lactam, oxacillin, was used</w:t>
      </w:r>
      <w:r w:rsidR="00C57647">
        <w:t xml:space="preserve">. Cells treated with 10X MIC oxacillin </w:t>
      </w:r>
      <w:r w:rsidR="008D786E">
        <w:t>gave</w:t>
      </w:r>
      <w:r w:rsidR="00C57647">
        <w:t xml:space="preserve"> a higher mortality rate than methicillin after 6 h (</w:t>
      </w:r>
      <w:r w:rsidR="00C57647">
        <w:fldChar w:fldCharType="begin"/>
      </w:r>
      <w:r w:rsidR="00C57647">
        <w:instrText xml:space="preserve"> REF _Ref78316675 \h </w:instrText>
      </w:r>
      <w:r w:rsidR="00C57647">
        <w:fldChar w:fldCharType="separate"/>
      </w:r>
      <w:r w:rsidR="00183CC8">
        <w:t xml:space="preserve">Figure </w:t>
      </w:r>
      <w:r w:rsidR="00183CC8">
        <w:rPr>
          <w:noProof/>
        </w:rPr>
        <w:t>5</w:t>
      </w:r>
      <w:r w:rsidR="00183CC8">
        <w:t>.</w:t>
      </w:r>
      <w:r w:rsidR="00183CC8">
        <w:rPr>
          <w:noProof/>
        </w:rPr>
        <w:t>20</w:t>
      </w:r>
      <w:r w:rsidR="00C57647">
        <w:fldChar w:fldCharType="end"/>
      </w:r>
      <w:r w:rsidR="00C57647">
        <w:t>a-b, 99 ± 0.1 %, p = 0.0002). This was consistent with a higher percentage of cells affected by “plasmolysis”</w:t>
      </w:r>
      <w:r w:rsidR="006713FC">
        <w:t xml:space="preserve"> after 1 h of treatment</w:t>
      </w:r>
      <w:r w:rsidR="00C57647">
        <w:t xml:space="preserve">, with ~ 88.4 % of cells </w:t>
      </w:r>
      <w:r w:rsidR="006713FC">
        <w:t>showing</w:t>
      </w:r>
      <w:r w:rsidR="00C57647">
        <w:t xml:space="preserve"> signs of this phenotype (</w:t>
      </w:r>
      <w:r w:rsidR="00C57647">
        <w:fldChar w:fldCharType="begin"/>
      </w:r>
      <w:r w:rsidR="00C57647">
        <w:instrText xml:space="preserve"> REF _Ref78316675 \h </w:instrText>
      </w:r>
      <w:r w:rsidR="00C57647">
        <w:fldChar w:fldCharType="separate"/>
      </w:r>
      <w:r w:rsidR="00183CC8">
        <w:t xml:space="preserve">Figure </w:t>
      </w:r>
      <w:r w:rsidR="00183CC8">
        <w:rPr>
          <w:noProof/>
        </w:rPr>
        <w:t>5</w:t>
      </w:r>
      <w:r w:rsidR="00183CC8">
        <w:t>.</w:t>
      </w:r>
      <w:r w:rsidR="00183CC8">
        <w:rPr>
          <w:noProof/>
        </w:rPr>
        <w:t>20</w:t>
      </w:r>
      <w:r w:rsidR="00C57647">
        <w:fldChar w:fldCharType="end"/>
      </w:r>
      <w:r w:rsidR="006713FC">
        <w:t>c</w:t>
      </w:r>
      <w:r w:rsidR="00C57647">
        <w:t xml:space="preserve">), </w:t>
      </w:r>
      <w:r w:rsidR="006713FC">
        <w:t>of which</w:t>
      </w:r>
      <w:r w:rsidR="00C57647">
        <w:t xml:space="preserve"> ~ 45.5 % of them </w:t>
      </w:r>
      <w:r w:rsidR="006713FC">
        <w:t>were</w:t>
      </w:r>
      <w:r w:rsidR="00C57647">
        <w:t xml:space="preserve"> dividing cells with </w:t>
      </w:r>
      <w:r w:rsidR="000D0089">
        <w:t xml:space="preserve">an </w:t>
      </w:r>
      <w:r w:rsidR="00C57647">
        <w:t>incomplete sept</w:t>
      </w:r>
      <w:r w:rsidR="00627859">
        <w:t>um</w:t>
      </w:r>
      <w:r w:rsidR="00C57647">
        <w:t xml:space="preserve"> (</w:t>
      </w:r>
      <w:r w:rsidR="00C57647">
        <w:fldChar w:fldCharType="begin"/>
      </w:r>
      <w:r w:rsidR="00C57647">
        <w:instrText xml:space="preserve"> REF _Ref78316675 \h </w:instrText>
      </w:r>
      <w:r w:rsidR="00C57647">
        <w:fldChar w:fldCharType="separate"/>
      </w:r>
      <w:r w:rsidR="00183CC8">
        <w:t xml:space="preserve">Figure </w:t>
      </w:r>
      <w:r w:rsidR="00183CC8">
        <w:rPr>
          <w:noProof/>
        </w:rPr>
        <w:t>5</w:t>
      </w:r>
      <w:r w:rsidR="00183CC8">
        <w:t>.</w:t>
      </w:r>
      <w:r w:rsidR="00183CC8">
        <w:rPr>
          <w:noProof/>
        </w:rPr>
        <w:t>20</w:t>
      </w:r>
      <w:r w:rsidR="00C57647">
        <w:fldChar w:fldCharType="end"/>
      </w:r>
      <w:r w:rsidR="006713FC">
        <w:t>d</w:t>
      </w:r>
      <w:r w:rsidR="00C57647">
        <w:t>).</w:t>
      </w:r>
    </w:p>
    <w:p w14:paraId="094C99BF" w14:textId="36285010" w:rsidR="008760C9" w:rsidRDefault="00057A58" w:rsidP="00BB4506">
      <w:r>
        <w:t xml:space="preserve">Even though the post-staining of the thin sections was quite dark, </w:t>
      </w:r>
      <w:r w:rsidR="0045378D">
        <w:t>TEM micrographs showed a pronounced retraction of the</w:t>
      </w:r>
      <w:r>
        <w:t xml:space="preserve"> plasma membrane and </w:t>
      </w:r>
      <w:r w:rsidR="0045378D">
        <w:t>expansion of the</w:t>
      </w:r>
      <w:r>
        <w:t xml:space="preserve"> exoplasm </w:t>
      </w:r>
      <w:r w:rsidR="001F548A">
        <w:t xml:space="preserve">after 1 h treatment with oxacillin </w:t>
      </w:r>
      <w:r>
        <w:t>(</w:t>
      </w:r>
      <w:r w:rsidR="001C18CD">
        <w:fldChar w:fldCharType="begin"/>
      </w:r>
      <w:r w:rsidR="001C18CD">
        <w:instrText xml:space="preserve"> REF _Ref69317632 \h </w:instrText>
      </w:r>
      <w:r w:rsidR="001C18CD">
        <w:fldChar w:fldCharType="separate"/>
      </w:r>
      <w:r w:rsidR="00183CC8">
        <w:t xml:space="preserve">Figure </w:t>
      </w:r>
      <w:r w:rsidR="00183CC8">
        <w:rPr>
          <w:noProof/>
        </w:rPr>
        <w:t>5</w:t>
      </w:r>
      <w:r w:rsidR="00183CC8">
        <w:t>.</w:t>
      </w:r>
      <w:r w:rsidR="00183CC8">
        <w:rPr>
          <w:noProof/>
        </w:rPr>
        <w:t>21</w:t>
      </w:r>
      <w:r w:rsidR="001C18CD">
        <w:fldChar w:fldCharType="end"/>
      </w:r>
      <w:r>
        <w:t>).</w:t>
      </w:r>
    </w:p>
    <w:p w14:paraId="12B48EFA" w14:textId="4CF2F00E" w:rsidR="00F94A0C" w:rsidRDefault="00EC3937" w:rsidP="00BB4506">
      <w:r>
        <w:t>Just as with methicillin</w:t>
      </w:r>
      <w:r w:rsidR="006D592E">
        <w:t xml:space="preserve"> (</w:t>
      </w:r>
      <w:r w:rsidR="006D592E">
        <w:fldChar w:fldCharType="begin"/>
      </w:r>
      <w:r w:rsidR="006D592E">
        <w:instrText xml:space="preserve"> REF _Ref68881389 \h </w:instrText>
      </w:r>
      <w:r w:rsidR="006D592E">
        <w:fldChar w:fldCharType="separate"/>
      </w:r>
      <w:r w:rsidR="00183CC8">
        <w:t xml:space="preserve">Figure </w:t>
      </w:r>
      <w:r w:rsidR="00183CC8">
        <w:rPr>
          <w:noProof/>
        </w:rPr>
        <w:t>5</w:t>
      </w:r>
      <w:r w:rsidR="00183CC8">
        <w:t>.</w:t>
      </w:r>
      <w:r w:rsidR="00183CC8">
        <w:rPr>
          <w:noProof/>
        </w:rPr>
        <w:t>4</w:t>
      </w:r>
      <w:r w:rsidR="006D592E">
        <w:fldChar w:fldCharType="end"/>
      </w:r>
      <w:r w:rsidR="00301644">
        <w:t xml:space="preserve"> and </w:t>
      </w:r>
      <w:r w:rsidR="00301644">
        <w:fldChar w:fldCharType="begin"/>
      </w:r>
      <w:r w:rsidR="00301644">
        <w:instrText xml:space="preserve"> REF _Ref76388632 \h </w:instrText>
      </w:r>
      <w:r w:rsidR="00301644">
        <w:fldChar w:fldCharType="separate"/>
      </w:r>
      <w:r w:rsidR="00183CC8">
        <w:t xml:space="preserve">Figure </w:t>
      </w:r>
      <w:r w:rsidR="00183CC8">
        <w:rPr>
          <w:noProof/>
        </w:rPr>
        <w:t>5</w:t>
      </w:r>
      <w:r w:rsidR="00183CC8">
        <w:t>.</w:t>
      </w:r>
      <w:r w:rsidR="00183CC8">
        <w:rPr>
          <w:noProof/>
        </w:rPr>
        <w:t>5</w:t>
      </w:r>
      <w:r w:rsidR="00301644">
        <w:fldChar w:fldCharType="end"/>
      </w:r>
      <w:r w:rsidR="006D592E">
        <w:t>)</w:t>
      </w:r>
      <w:r>
        <w:t>, oxacillin in addition to vancomycin result</w:t>
      </w:r>
      <w:r w:rsidR="00FB61BB">
        <w:t>ed</w:t>
      </w:r>
      <w:r>
        <w:t xml:space="preserve"> in a similar </w:t>
      </w:r>
      <w:r w:rsidR="00327DAB">
        <w:t>rate of death (</w:t>
      </w:r>
      <w:r w:rsidR="00327DAB">
        <w:fldChar w:fldCharType="begin"/>
      </w:r>
      <w:r w:rsidR="00327DAB">
        <w:instrText xml:space="preserve"> REF _Ref69906389 \h </w:instrText>
      </w:r>
      <w:r w:rsidR="00327DAB">
        <w:fldChar w:fldCharType="separate"/>
      </w:r>
      <w:r w:rsidR="00183CC8">
        <w:t xml:space="preserve">Figure </w:t>
      </w:r>
      <w:r w:rsidR="00183CC8">
        <w:rPr>
          <w:noProof/>
        </w:rPr>
        <w:t>5</w:t>
      </w:r>
      <w:r w:rsidR="00183CC8">
        <w:t>.</w:t>
      </w:r>
      <w:r w:rsidR="00183CC8">
        <w:rPr>
          <w:noProof/>
        </w:rPr>
        <w:t>22</w:t>
      </w:r>
      <w:r w:rsidR="00327DAB">
        <w:fldChar w:fldCharType="end"/>
      </w:r>
      <w:r w:rsidR="002F20B3">
        <w:t>a-b</w:t>
      </w:r>
      <w:r w:rsidR="009D420C">
        <w:t>, 94 ± 1.5 %</w:t>
      </w:r>
      <w:r w:rsidR="00327DAB">
        <w:t xml:space="preserve">), </w:t>
      </w:r>
      <w:r>
        <w:t>division</w:t>
      </w:r>
      <w:r w:rsidR="0065783B">
        <w:t xml:space="preserve"> arrest</w:t>
      </w:r>
      <w:r w:rsidR="00187056">
        <w:t xml:space="preserve"> (</w:t>
      </w:r>
      <w:r w:rsidR="00187056">
        <w:fldChar w:fldCharType="begin"/>
      </w:r>
      <w:r w:rsidR="00187056">
        <w:instrText xml:space="preserve"> REF _Ref69906389 \h </w:instrText>
      </w:r>
      <w:r w:rsidR="00187056">
        <w:fldChar w:fldCharType="separate"/>
      </w:r>
      <w:r w:rsidR="00183CC8">
        <w:t xml:space="preserve">Figure </w:t>
      </w:r>
      <w:r w:rsidR="00183CC8">
        <w:rPr>
          <w:noProof/>
        </w:rPr>
        <w:t>5</w:t>
      </w:r>
      <w:r w:rsidR="00183CC8">
        <w:t>.</w:t>
      </w:r>
      <w:r w:rsidR="00183CC8">
        <w:rPr>
          <w:noProof/>
        </w:rPr>
        <w:t>22</w:t>
      </w:r>
      <w:r w:rsidR="00187056">
        <w:fldChar w:fldCharType="end"/>
      </w:r>
      <w:r w:rsidR="00187056">
        <w:t>c)</w:t>
      </w:r>
      <w:r>
        <w:t xml:space="preserve"> and morphology</w:t>
      </w:r>
      <w:r w:rsidR="00187056">
        <w:t xml:space="preserve"> (</w:t>
      </w:r>
      <w:r w:rsidR="00187056">
        <w:fldChar w:fldCharType="begin"/>
      </w:r>
      <w:r w:rsidR="00187056">
        <w:instrText xml:space="preserve"> REF _Ref78323480 \h </w:instrText>
      </w:r>
      <w:r w:rsidR="00187056">
        <w:fldChar w:fldCharType="separate"/>
      </w:r>
      <w:r w:rsidR="00183CC8">
        <w:t xml:space="preserve">Figure </w:t>
      </w:r>
      <w:r w:rsidR="00183CC8">
        <w:rPr>
          <w:noProof/>
        </w:rPr>
        <w:t>5</w:t>
      </w:r>
      <w:r w:rsidR="00183CC8">
        <w:t>.</w:t>
      </w:r>
      <w:r w:rsidR="00183CC8">
        <w:rPr>
          <w:noProof/>
        </w:rPr>
        <w:t>23</w:t>
      </w:r>
      <w:r w:rsidR="00187056">
        <w:fldChar w:fldCharType="end"/>
      </w:r>
      <w:r w:rsidR="00187056">
        <w:t>)</w:t>
      </w:r>
      <w:r>
        <w:t xml:space="preserve"> to that of vancomycin alone.</w:t>
      </w:r>
    </w:p>
    <w:p w14:paraId="542857C6" w14:textId="77777777" w:rsidR="00C7783D" w:rsidRDefault="00C7783D" w:rsidP="00BB4506">
      <w:r>
        <w:t>These results indicate that:</w:t>
      </w:r>
    </w:p>
    <w:p w14:paraId="32B5C1DF" w14:textId="664FE3A4" w:rsidR="00230564" w:rsidRDefault="00C7783D" w:rsidP="002505E0">
      <w:pPr>
        <w:pStyle w:val="ListParagraph"/>
        <w:numPr>
          <w:ilvl w:val="0"/>
          <w:numId w:val="29"/>
        </w:numPr>
        <w:spacing w:line="360" w:lineRule="auto"/>
      </w:pPr>
      <w:r>
        <w:t xml:space="preserve">These results are consistent with other </w:t>
      </w:r>
      <w:r>
        <w:rPr>
          <w:lang w:val="el-GR"/>
        </w:rPr>
        <w:t>β</w:t>
      </w:r>
      <w:r>
        <w:t xml:space="preserve">-lactams, as both methicillin </w:t>
      </w:r>
      <w:r w:rsidR="008C109E">
        <w:t>and</w:t>
      </w:r>
      <w:r>
        <w:t xml:space="preserve"> oxacillin lead to an expansion of the exoplasm (“plasmolysis”).</w:t>
      </w:r>
    </w:p>
    <w:p w14:paraId="21DCF38E" w14:textId="77777777" w:rsidR="002505E0" w:rsidRDefault="002505E0" w:rsidP="0059679E">
      <w:pPr>
        <w:pStyle w:val="ListParagraph"/>
        <w:ind w:left="720"/>
      </w:pPr>
    </w:p>
    <w:p w14:paraId="3B8EFFE3" w14:textId="6C3FA20C" w:rsidR="00C7783D" w:rsidRDefault="00C7783D" w:rsidP="002505E0">
      <w:pPr>
        <w:pStyle w:val="ListParagraph"/>
        <w:numPr>
          <w:ilvl w:val="0"/>
          <w:numId w:val="29"/>
        </w:numPr>
        <w:spacing w:line="360" w:lineRule="auto"/>
        <w:sectPr w:rsidR="00C7783D" w:rsidSect="004D0E05">
          <w:pgSz w:w="11906" w:h="16838"/>
          <w:pgMar w:top="1191" w:right="1247" w:bottom="1191" w:left="1247" w:header="709" w:footer="709" w:gutter="0"/>
          <w:cols w:space="708"/>
          <w:titlePg/>
          <w:docGrid w:linePitch="360"/>
        </w:sectPr>
      </w:pPr>
      <w:r>
        <w:t xml:space="preserve">Addition of vancomycin to either of these antibiotics inhibits </w:t>
      </w:r>
      <w:r w:rsidR="004156C9">
        <w:t>“plasmolysis”</w:t>
      </w:r>
      <w:r w:rsidR="006B1F08">
        <w:t xml:space="preserve">, suggesting an additional </w:t>
      </w:r>
      <w:r w:rsidR="006B1F08" w:rsidRPr="006B1F08">
        <w:rPr>
          <w:lang w:val="el-GR"/>
        </w:rPr>
        <w:t>β</w:t>
      </w:r>
      <w:r w:rsidR="006B1F08">
        <w:t>-lactam-specific mode of death on top the common mechanism of death of bactericidal antibiotics.</w:t>
      </w:r>
    </w:p>
    <w:p w14:paraId="77FB7370" w14:textId="77777777" w:rsidR="00F94A0C" w:rsidRDefault="00F94A0C" w:rsidP="00F94A0C">
      <w:pPr>
        <w:pStyle w:val="NoSpacing"/>
        <w:keepNext/>
        <w:jc w:val="center"/>
      </w:pPr>
      <w:r>
        <w:rPr>
          <w:noProof/>
        </w:rPr>
        <w:lastRenderedPageBreak/>
        <w:drawing>
          <wp:inline distT="0" distB="0" distL="0" distR="0" wp14:anchorId="04429C7D" wp14:editId="01E296B5">
            <wp:extent cx="5484787" cy="5717309"/>
            <wp:effectExtent l="0" t="0" r="190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494035" cy="5726949"/>
                    </a:xfrm>
                    <a:prstGeom prst="rect">
                      <a:avLst/>
                    </a:prstGeom>
                  </pic:spPr>
                </pic:pic>
              </a:graphicData>
            </a:graphic>
          </wp:inline>
        </w:drawing>
      </w:r>
    </w:p>
    <w:p w14:paraId="048896F0" w14:textId="53F51063" w:rsidR="00F94A0C" w:rsidRDefault="00F94A0C" w:rsidP="008A2B86">
      <w:pPr>
        <w:pStyle w:val="Caption"/>
      </w:pPr>
      <w:bookmarkStart w:id="756" w:name="_Ref78316675"/>
      <w:bookmarkStart w:id="757" w:name="_Toc90217005"/>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20</w:t>
      </w:r>
      <w:r w:rsidR="003373BF">
        <w:rPr>
          <w:noProof/>
        </w:rPr>
        <w:fldChar w:fldCharType="end"/>
      </w:r>
      <w:bookmarkEnd w:id="756"/>
      <w:r>
        <w:t xml:space="preserve"> Effect of 10 x MIC oxacillin on </w:t>
      </w:r>
      <w:r>
        <w:rPr>
          <w:i/>
        </w:rPr>
        <w:t>S. aureus</w:t>
      </w:r>
      <w:r>
        <w:t xml:space="preserve"> </w:t>
      </w:r>
      <w:r w:rsidR="00FB0EBE">
        <w:t xml:space="preserve">morphology, </w:t>
      </w:r>
      <w:r>
        <w:t>survival and division.</w:t>
      </w:r>
      <w:bookmarkEnd w:id="757"/>
    </w:p>
    <w:p w14:paraId="0713236C" w14:textId="12E9EB03" w:rsidR="00F94A0C" w:rsidRDefault="00F94A0C" w:rsidP="00F94A0C">
      <w:pPr>
        <w:pStyle w:val="NoSpacing"/>
        <w:sectPr w:rsidR="00F94A0C" w:rsidSect="004D0E05">
          <w:pgSz w:w="11906" w:h="16838"/>
          <w:pgMar w:top="1191" w:right="1247" w:bottom="1191" w:left="1247" w:header="709" w:footer="709" w:gutter="0"/>
          <w:cols w:space="708"/>
          <w:titlePg/>
          <w:docGrid w:linePitch="360"/>
        </w:sectPr>
      </w:pPr>
      <w:r>
        <w:t xml:space="preserve"> </w:t>
      </w:r>
      <w:r>
        <w:rPr>
          <w:b/>
          <w:bCs/>
        </w:rPr>
        <w:t>(A)</w:t>
      </w:r>
      <w:r>
        <w:t xml:space="preserve"> </w:t>
      </w:r>
      <w:r w:rsidRPr="00054E4A">
        <w:t>Normalised</w:t>
      </w:r>
      <w:r>
        <w:rPr>
          <w:lang w:val="en-US"/>
        </w:rPr>
        <w:t xml:space="preserve"> percentage s</w:t>
      </w:r>
      <w:r w:rsidRPr="0080704D">
        <w:rPr>
          <w:lang w:val="en-US"/>
        </w:rPr>
        <w:t xml:space="preserve">urvival of </w:t>
      </w:r>
      <w:r w:rsidR="003D6F3F">
        <w:rPr>
          <w:i/>
          <w:iCs/>
          <w:lang w:val="en-US"/>
        </w:rPr>
        <w:t xml:space="preserve">S. aureus </w:t>
      </w:r>
      <w:r w:rsidR="003D6F3F">
        <w:rPr>
          <w:lang w:val="en-US"/>
        </w:rPr>
        <w:t>SH1000</w:t>
      </w:r>
      <w:r w:rsidRPr="0080704D">
        <w:rPr>
          <w:lang w:val="en-US"/>
        </w:rPr>
        <w:t xml:space="preserve"> </w:t>
      </w:r>
      <w:r>
        <w:rPr>
          <w:lang w:val="en-US"/>
        </w:rPr>
        <w:t>treated with</w:t>
      </w:r>
      <w:r w:rsidR="003D6F3F">
        <w:rPr>
          <w:lang w:val="en-US"/>
        </w:rPr>
        <w:t xml:space="preserve"> </w:t>
      </w:r>
      <w:r w:rsidR="00217504">
        <w:rPr>
          <w:lang w:val="en-US"/>
        </w:rPr>
        <w:t>10 µg/ml (</w:t>
      </w:r>
      <w:r w:rsidR="003D6F3F">
        <w:rPr>
          <w:lang w:val="en-US"/>
        </w:rPr>
        <w:t>10X MIC</w:t>
      </w:r>
      <w:r w:rsidR="00217504">
        <w:rPr>
          <w:lang w:val="en-US"/>
        </w:rPr>
        <w:t>)</w:t>
      </w:r>
      <w:r>
        <w:rPr>
          <w:lang w:val="en-US"/>
        </w:rPr>
        <w:t xml:space="preserve"> oxacillin (pink) and its comparison to</w:t>
      </w:r>
      <w:r w:rsidR="005527C6">
        <w:rPr>
          <w:lang w:val="en-US"/>
        </w:rPr>
        <w:t xml:space="preserve"> 10X MIC</w:t>
      </w:r>
      <w:r>
        <w:rPr>
          <w:lang w:val="en-US"/>
        </w:rPr>
        <w:t xml:space="preserve"> methicillin (red) and vancomycin (blue)</w:t>
      </w:r>
      <w:r w:rsidR="00DB56DF">
        <w:rPr>
          <w:lang w:val="en-US"/>
        </w:rPr>
        <w:t xml:space="preserve"> (&gt;3 biological repeats)</w:t>
      </w:r>
      <w:r>
        <w:rPr>
          <w:lang w:val="en-US"/>
        </w:rPr>
        <w:t xml:space="preserve">. Experiment carried out by Dr. Bartlomiej Salamaga. </w:t>
      </w:r>
      <w:r>
        <w:rPr>
          <w:b/>
          <w:bCs/>
          <w:lang w:val="en-US"/>
        </w:rPr>
        <w:t>(B)</w:t>
      </w:r>
      <w:r>
        <w:rPr>
          <w:lang w:val="en-US"/>
        </w:rPr>
        <w:t xml:space="preserve"> </w:t>
      </w:r>
      <w:r w:rsidRPr="006456D2">
        <w:t>Normalised percentage of survival after 6 h from</w:t>
      </w:r>
      <w:r>
        <w:t xml:space="preserve"> the</w:t>
      </w:r>
      <w:r w:rsidRPr="006456D2">
        <w:t xml:space="preserve"> data in (A). Statistical analysis: t-test with Wel</w:t>
      </w:r>
      <w:r w:rsidR="00E15582">
        <w:t>c</w:t>
      </w:r>
      <w:r w:rsidRPr="006456D2">
        <w:t>h</w:t>
      </w:r>
      <w:r w:rsidR="000B568B">
        <w:t>’s</w:t>
      </w:r>
      <w:r w:rsidRPr="006456D2">
        <w:t xml:space="preserve"> correction (methicillin </w:t>
      </w:r>
      <w:r w:rsidRPr="00486B0A">
        <w:rPr>
          <w:i/>
          <w:iCs/>
        </w:rPr>
        <w:t>vs</w:t>
      </w:r>
      <w:r w:rsidR="00486B0A">
        <w:rPr>
          <w:i/>
          <w:iCs/>
        </w:rPr>
        <w:t>.</w:t>
      </w:r>
      <w:r w:rsidRPr="006456D2">
        <w:t xml:space="preserve"> vancomycin ** p = 0.00</w:t>
      </w:r>
      <w:r>
        <w:t>32</w:t>
      </w:r>
      <w:r w:rsidRPr="006456D2">
        <w:t xml:space="preserve">; </w:t>
      </w:r>
      <w:r>
        <w:t>oxacillin</w:t>
      </w:r>
      <w:r w:rsidRPr="006456D2">
        <w:t xml:space="preserve"> </w:t>
      </w:r>
      <w:r w:rsidRPr="00486B0A">
        <w:rPr>
          <w:i/>
          <w:iCs/>
        </w:rPr>
        <w:t>vs</w:t>
      </w:r>
      <w:r w:rsidR="00486B0A">
        <w:rPr>
          <w:i/>
          <w:iCs/>
        </w:rPr>
        <w:t>.</w:t>
      </w:r>
      <w:r w:rsidRPr="006456D2">
        <w:t xml:space="preserve"> methicillin *</w:t>
      </w:r>
      <w:r>
        <w:t>*</w:t>
      </w:r>
      <w:r w:rsidRPr="006456D2">
        <w:t>* p = 0.00</w:t>
      </w:r>
      <w:r>
        <w:t xml:space="preserve">02; oxacillin </w:t>
      </w:r>
      <w:r w:rsidRPr="00486B0A">
        <w:rPr>
          <w:i/>
          <w:iCs/>
        </w:rPr>
        <w:t>vs</w:t>
      </w:r>
      <w:r w:rsidR="00486B0A">
        <w:rPr>
          <w:i/>
          <w:iCs/>
        </w:rPr>
        <w:t>.</w:t>
      </w:r>
      <w:r>
        <w:t xml:space="preserve"> vancomycin *** p = 0.0001</w:t>
      </w:r>
      <w:r w:rsidRPr="006456D2">
        <w:t>)</w:t>
      </w:r>
      <w:r w:rsidR="009F655C">
        <w:t>.</w:t>
      </w:r>
      <w:r>
        <w:rPr>
          <w:lang w:val="en-US"/>
        </w:rPr>
        <w:t xml:space="preserve"> </w:t>
      </w:r>
      <w:r>
        <w:rPr>
          <w:b/>
          <w:bCs/>
          <w:lang w:val="en-US"/>
        </w:rPr>
        <w:t xml:space="preserve">(C) </w:t>
      </w:r>
      <w:r>
        <w:t xml:space="preserve">Morphological quantification of chemically fixed thin sections of </w:t>
      </w:r>
      <w:r>
        <w:rPr>
          <w:i/>
          <w:iCs/>
        </w:rPr>
        <w:t>S. aureus</w:t>
      </w:r>
      <w:r>
        <w:t xml:space="preserve"> SH1000 untreated</w:t>
      </w:r>
      <w:r>
        <w:rPr>
          <w:i/>
          <w:iCs/>
        </w:rPr>
        <w:t xml:space="preserve"> </w:t>
      </w:r>
      <w:r w:rsidRPr="00570A71">
        <w:t>(</w:t>
      </w:r>
      <w:r>
        <w:t xml:space="preserve">2 biological repeats, </w:t>
      </w:r>
      <w:r>
        <w:rPr>
          <w:i/>
          <w:iCs/>
        </w:rPr>
        <w:t>n</w:t>
      </w:r>
      <w:r>
        <w:t> = 905),</w:t>
      </w:r>
      <w:r w:rsidR="000E1164">
        <w:t xml:space="preserve"> and after 1 h of treatment with</w:t>
      </w:r>
      <w:r>
        <w:t xml:space="preserve"> methicillin (3 biological repeat, </w:t>
      </w:r>
      <w:r>
        <w:rPr>
          <w:i/>
          <w:iCs/>
        </w:rPr>
        <w:t>n</w:t>
      </w:r>
      <w:r w:rsidRPr="00D40C1B">
        <w:t> = 913</w:t>
      </w:r>
      <w:r>
        <w:t>), oxacillin (</w:t>
      </w:r>
      <w:r w:rsidRPr="006666EC">
        <w:rPr>
          <w:i/>
          <w:iCs/>
        </w:rPr>
        <w:t>n</w:t>
      </w:r>
      <w:r>
        <w:t xml:space="preserve"> = 318) </w:t>
      </w:r>
      <w:r w:rsidRPr="006666EC">
        <w:t>and</w:t>
      </w:r>
      <w:r>
        <w:t xml:space="preserve"> vancomycin (2 biological repeats, </w:t>
      </w:r>
      <w:r>
        <w:rPr>
          <w:i/>
          <w:iCs/>
        </w:rPr>
        <w:t>n</w:t>
      </w:r>
      <w:r>
        <w:t> = 730)</w:t>
      </w:r>
      <w:r w:rsidR="000E1164">
        <w:t>,</w:t>
      </w:r>
      <w:r>
        <w:t xml:space="preserve"> as indicated. No sept</w:t>
      </w:r>
      <w:r w:rsidR="00F04BD5">
        <w:t>um</w:t>
      </w:r>
      <w:r>
        <w:t>– dark green, incomplete sept</w:t>
      </w:r>
      <w:r w:rsidR="00F04BD5">
        <w:t>um</w:t>
      </w:r>
      <w:r>
        <w:t>– medium green, complete sept</w:t>
      </w:r>
      <w:r w:rsidR="00F04BD5">
        <w:t>um</w:t>
      </w:r>
      <w:r>
        <w:t xml:space="preserve">– light green, “plasmolysis”– orange, </w:t>
      </w:r>
      <w:r w:rsidR="00F04BD5">
        <w:t xml:space="preserve">and </w:t>
      </w:r>
      <w:r>
        <w:t xml:space="preserve">growth defects– yellow. </w:t>
      </w:r>
      <w:r>
        <w:rPr>
          <w:b/>
          <w:bCs/>
        </w:rPr>
        <w:t>(D)</w:t>
      </w:r>
      <w:r>
        <w:t xml:space="preserve"> Compositional analysis of oxacillin treated cells in </w:t>
      </w:r>
      <w:r w:rsidRPr="003129ED">
        <w:t>(</w:t>
      </w:r>
      <w:r>
        <w:t>C</w:t>
      </w:r>
      <w:r w:rsidRPr="003129ED">
        <w:t>)</w:t>
      </w:r>
      <w:r>
        <w:t xml:space="preserve"> presenting signs of “plasmolysis”. No sept</w:t>
      </w:r>
      <w:r w:rsidR="00F04BD5">
        <w:t>um</w:t>
      </w:r>
      <w:r>
        <w:t>– dark orange, incomplete sept</w:t>
      </w:r>
      <w:r w:rsidR="00F04BD5">
        <w:t>um</w:t>
      </w:r>
      <w:r>
        <w:t>– medium orange, complet</w:t>
      </w:r>
      <w:r w:rsidR="00FA5648">
        <w:t>e</w:t>
      </w:r>
      <w:r>
        <w:t xml:space="preserve"> sept</w:t>
      </w:r>
      <w:r w:rsidR="00FA5648">
        <w:t>um</w:t>
      </w:r>
      <w:r>
        <w:t>– light orange (</w:t>
      </w:r>
      <w:r>
        <w:rPr>
          <w:i/>
          <w:iCs/>
        </w:rPr>
        <w:t>n </w:t>
      </w:r>
      <w:r>
        <w:t>= 281).</w:t>
      </w:r>
    </w:p>
    <w:p w14:paraId="0B9ECDF5" w14:textId="77777777" w:rsidR="00A533FE" w:rsidRDefault="007740C0" w:rsidP="00A533FE">
      <w:pPr>
        <w:keepNext/>
        <w:jc w:val="center"/>
      </w:pPr>
      <w:r>
        <w:rPr>
          <w:noProof/>
        </w:rPr>
        <w:lastRenderedPageBreak/>
        <w:drawing>
          <wp:inline distT="0" distB="0" distL="0" distR="0" wp14:anchorId="7B09D126" wp14:editId="5960AE28">
            <wp:extent cx="5930000" cy="5807941"/>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30000" cy="5807941"/>
                    </a:xfrm>
                    <a:prstGeom prst="rect">
                      <a:avLst/>
                    </a:prstGeom>
                  </pic:spPr>
                </pic:pic>
              </a:graphicData>
            </a:graphic>
          </wp:inline>
        </w:drawing>
      </w:r>
    </w:p>
    <w:p w14:paraId="0A56C585" w14:textId="39CDB088" w:rsidR="007740C0" w:rsidRDefault="00A533FE" w:rsidP="008A2B86">
      <w:pPr>
        <w:pStyle w:val="Caption"/>
      </w:pPr>
      <w:bookmarkStart w:id="758" w:name="_Ref69317632"/>
      <w:bookmarkStart w:id="759" w:name="_Toc90217006"/>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21</w:t>
      </w:r>
      <w:r w:rsidR="003373BF">
        <w:rPr>
          <w:noProof/>
        </w:rPr>
        <w:fldChar w:fldCharType="end"/>
      </w:r>
      <w:bookmarkEnd w:id="758"/>
      <w:r>
        <w:t xml:space="preserve"> </w:t>
      </w:r>
      <w:r w:rsidR="00B9760E">
        <w:t>TEM micrographs of the e</w:t>
      </w:r>
      <w:r>
        <w:t xml:space="preserve">ffect of oxacillin on </w:t>
      </w:r>
      <w:r>
        <w:rPr>
          <w:i/>
        </w:rPr>
        <w:t>S. aureus</w:t>
      </w:r>
      <w:r>
        <w:t xml:space="preserve"> morphology.</w:t>
      </w:r>
      <w:bookmarkEnd w:id="759"/>
    </w:p>
    <w:p w14:paraId="7DB918DE" w14:textId="44BB475D" w:rsidR="00190134" w:rsidRDefault="006D1133" w:rsidP="009C20C9">
      <w:pPr>
        <w:pStyle w:val="NoSpacing"/>
        <w:sectPr w:rsidR="00190134" w:rsidSect="004D0E05">
          <w:pgSz w:w="11906" w:h="16838"/>
          <w:pgMar w:top="1191" w:right="1247" w:bottom="1191" w:left="1247" w:header="709" w:footer="709" w:gutter="0"/>
          <w:cols w:space="708"/>
          <w:titlePg/>
          <w:docGrid w:linePitch="360"/>
        </w:sectPr>
      </w:pPr>
      <w:r>
        <w:t xml:space="preserve">TEM micrographs of chemically fixed thin sections of </w:t>
      </w:r>
      <w:r>
        <w:rPr>
          <w:i/>
          <w:iCs/>
        </w:rPr>
        <w:t>S. aureus</w:t>
      </w:r>
      <w:r>
        <w:t xml:space="preserve"> SH1000 treated with</w:t>
      </w:r>
      <w:r w:rsidR="00BF46AC">
        <w:t xml:space="preserve"> </w:t>
      </w:r>
      <w:r w:rsidR="00BF46AC">
        <w:rPr>
          <w:lang w:val="en-US"/>
        </w:rPr>
        <w:t>10 µg/ml</w:t>
      </w:r>
      <w:r>
        <w:t xml:space="preserve"> </w:t>
      </w:r>
      <w:r w:rsidR="00BF46AC">
        <w:t>(</w:t>
      </w:r>
      <w:r>
        <w:t>10 X MIC</w:t>
      </w:r>
      <w:r w:rsidR="00BF46AC">
        <w:t>)</w:t>
      </w:r>
      <w:r>
        <w:t xml:space="preserve"> oxacillin for 1 h. </w:t>
      </w:r>
      <w:r>
        <w:rPr>
          <w:b/>
          <w:bCs/>
        </w:rPr>
        <w:t>(A)</w:t>
      </w:r>
      <w:r>
        <w:t xml:space="preserve"> </w:t>
      </w:r>
      <w:r w:rsidR="008A64B5">
        <w:t>High</w:t>
      </w:r>
      <w:r>
        <w:t xml:space="preserve"> magnification </w:t>
      </w:r>
      <w:r w:rsidR="00DF6028">
        <w:t>(</w:t>
      </w:r>
      <w:r w:rsidR="008A64B5">
        <w:t>48</w:t>
      </w:r>
      <w:r>
        <w:t>00x</w:t>
      </w:r>
      <w:r w:rsidR="00DF6028">
        <w:t>)</w:t>
      </w:r>
      <w:r>
        <w:t>, scale bar 1 µm.</w:t>
      </w:r>
      <w:r w:rsidR="00D8091A">
        <w:t xml:space="preserve"> </w:t>
      </w:r>
      <w:r w:rsidR="00527547">
        <w:t>Red</w:t>
      </w:r>
      <w:r w:rsidR="00D8091A" w:rsidRPr="00050F20">
        <w:t xml:space="preserve"> arrows indicate areas where the exoplasmic space </w:t>
      </w:r>
      <w:r w:rsidR="009430F4">
        <w:t>is</w:t>
      </w:r>
      <w:r w:rsidR="00D8091A" w:rsidRPr="00050F20">
        <w:t xml:space="preserve"> expanded (</w:t>
      </w:r>
      <w:r w:rsidR="0076096E">
        <w:t>“plasmolysis”</w:t>
      </w:r>
      <w:r w:rsidR="00D8091A" w:rsidRPr="00050F20">
        <w:t>).</w:t>
      </w:r>
      <w:r w:rsidR="00D8091A">
        <w:rPr>
          <w:b/>
          <w:bCs/>
        </w:rPr>
        <w:t xml:space="preserve"> </w:t>
      </w:r>
      <w:r>
        <w:rPr>
          <w:b/>
          <w:bCs/>
        </w:rPr>
        <w:t>(B)</w:t>
      </w:r>
      <w:r>
        <w:t xml:space="preserve"> </w:t>
      </w:r>
      <w:r w:rsidR="008A64B5">
        <w:t>Representative cells cropped from h</w:t>
      </w:r>
      <w:r>
        <w:t xml:space="preserve">igh magnification </w:t>
      </w:r>
      <w:r w:rsidR="00DF6028">
        <w:t>(</w:t>
      </w:r>
      <w:r w:rsidR="008A64B5">
        <w:t>68</w:t>
      </w:r>
      <w:r>
        <w:t>00x</w:t>
      </w:r>
      <w:r w:rsidR="00DF6028">
        <w:t>)</w:t>
      </w:r>
      <w:r>
        <w:t xml:space="preserve">, scale bar </w:t>
      </w:r>
      <w:r w:rsidR="008A64B5">
        <w:t>300</w:t>
      </w:r>
      <w:r>
        <w:t> </w:t>
      </w:r>
      <w:r w:rsidR="008A64B5">
        <w:t>n</w:t>
      </w:r>
      <w:r>
        <w:t>m</w:t>
      </w:r>
      <w:r w:rsidR="00D8091A">
        <w:t>. pm– plasma membrane, cw– cell wall, ex– exoplasmic space. No sept</w:t>
      </w:r>
      <w:r w:rsidR="00D31F43">
        <w:t>um</w:t>
      </w:r>
      <w:r w:rsidR="00D8091A">
        <w:softHyphen/>
        <w:t>– dark orange, incomplete sept</w:t>
      </w:r>
      <w:r w:rsidR="00D31F43">
        <w:t>um</w:t>
      </w:r>
      <w:r w:rsidR="00D8091A">
        <w:t>– medium orange, and complete sept</w:t>
      </w:r>
      <w:r w:rsidR="00D31F43">
        <w:t>um</w:t>
      </w:r>
      <w:r w:rsidR="00D8091A">
        <w:t xml:space="preserve">– light orange. </w:t>
      </w:r>
    </w:p>
    <w:p w14:paraId="0BA6AFF8" w14:textId="77777777" w:rsidR="00062FC6" w:rsidRDefault="00062FC6" w:rsidP="00673312">
      <w:pPr>
        <w:pStyle w:val="NoSpacing"/>
        <w:keepNext/>
        <w:jc w:val="center"/>
      </w:pPr>
      <w:r>
        <w:rPr>
          <w:noProof/>
        </w:rPr>
        <w:lastRenderedPageBreak/>
        <w:drawing>
          <wp:inline distT="0" distB="0" distL="0" distR="0" wp14:anchorId="29BEBA65" wp14:editId="26AD7EC1">
            <wp:extent cx="5694445" cy="483061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08879" cy="4842862"/>
                    </a:xfrm>
                    <a:prstGeom prst="rect">
                      <a:avLst/>
                    </a:prstGeom>
                  </pic:spPr>
                </pic:pic>
              </a:graphicData>
            </a:graphic>
          </wp:inline>
        </w:drawing>
      </w:r>
    </w:p>
    <w:p w14:paraId="4D98E818" w14:textId="451CB02E" w:rsidR="004F5A0D" w:rsidRDefault="00062FC6" w:rsidP="008A2B86">
      <w:pPr>
        <w:pStyle w:val="Caption"/>
      </w:pPr>
      <w:bookmarkStart w:id="760" w:name="_Ref69906389"/>
      <w:bookmarkStart w:id="761" w:name="_Toc90217007"/>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22</w:t>
      </w:r>
      <w:r w:rsidR="003373BF">
        <w:rPr>
          <w:noProof/>
        </w:rPr>
        <w:fldChar w:fldCharType="end"/>
      </w:r>
      <w:bookmarkEnd w:id="760"/>
      <w:r>
        <w:t xml:space="preserve"> Effect of </w:t>
      </w:r>
      <w:r w:rsidR="0017798A">
        <w:t>oxacillin</w:t>
      </w:r>
      <w:r>
        <w:t xml:space="preserve"> and/or </w:t>
      </w:r>
      <w:r w:rsidR="0017798A">
        <w:t>vancomycin</w:t>
      </w:r>
      <w:r>
        <w:t xml:space="preserve"> in </w:t>
      </w:r>
      <w:r>
        <w:rPr>
          <w:i/>
        </w:rPr>
        <w:t>S. aureus</w:t>
      </w:r>
      <w:r>
        <w:t xml:space="preserve"> morphology, survival and division.</w:t>
      </w:r>
      <w:bookmarkEnd w:id="761"/>
    </w:p>
    <w:p w14:paraId="0904FF40" w14:textId="53BE2531" w:rsidR="00C840A5" w:rsidRDefault="00851F1A" w:rsidP="00851F1A">
      <w:pPr>
        <w:pStyle w:val="NoSpacing"/>
        <w:sectPr w:rsidR="00C840A5" w:rsidSect="004D0E05">
          <w:pgSz w:w="11906" w:h="16838"/>
          <w:pgMar w:top="1191" w:right="1247" w:bottom="1191" w:left="1247" w:header="709" w:footer="709" w:gutter="0"/>
          <w:cols w:space="708"/>
          <w:titlePg/>
          <w:docGrid w:linePitch="360"/>
        </w:sectPr>
      </w:pPr>
      <w:r w:rsidRPr="00851F1A">
        <w:rPr>
          <w:b/>
          <w:bCs/>
        </w:rPr>
        <w:t>(</w:t>
      </w:r>
      <w:r w:rsidR="00B96FA0">
        <w:rPr>
          <w:b/>
          <w:bCs/>
        </w:rPr>
        <w:t>A</w:t>
      </w:r>
      <w:r w:rsidRPr="00851F1A">
        <w:rPr>
          <w:b/>
          <w:bCs/>
        </w:rPr>
        <w:t>)</w:t>
      </w:r>
      <w:r w:rsidRPr="00851F1A">
        <w:t xml:space="preserve"> Normalised</w:t>
      </w:r>
      <w:r w:rsidRPr="00851F1A">
        <w:rPr>
          <w:lang w:val="en-US"/>
        </w:rPr>
        <w:t xml:space="preserve"> percentage survival of </w:t>
      </w:r>
      <w:r w:rsidR="00E253C5">
        <w:rPr>
          <w:i/>
          <w:iCs/>
          <w:lang w:val="en-US"/>
        </w:rPr>
        <w:t>S. aureus</w:t>
      </w:r>
      <w:r w:rsidR="00E253C5">
        <w:rPr>
          <w:lang w:val="en-US"/>
        </w:rPr>
        <w:t xml:space="preserve"> SH1000</w:t>
      </w:r>
      <w:r w:rsidRPr="00851F1A">
        <w:rPr>
          <w:lang w:val="en-US"/>
        </w:rPr>
        <w:t xml:space="preserve"> </w:t>
      </w:r>
      <w:r w:rsidR="00E253C5">
        <w:rPr>
          <w:lang w:val="en-US"/>
        </w:rPr>
        <w:t>treated with 10X MIC oxacillin</w:t>
      </w:r>
      <w:r w:rsidR="009E31BA">
        <w:rPr>
          <w:lang w:val="en-US"/>
        </w:rPr>
        <w:t xml:space="preserve"> (pink), vancomycin (blue),</w:t>
      </w:r>
      <w:r w:rsidR="00E253C5">
        <w:rPr>
          <w:lang w:val="en-US"/>
        </w:rPr>
        <w:t xml:space="preserve"> and </w:t>
      </w:r>
      <w:r w:rsidR="009E31BA">
        <w:rPr>
          <w:lang w:val="en-US"/>
        </w:rPr>
        <w:t>both (violet)</w:t>
      </w:r>
      <w:r w:rsidRPr="00851F1A">
        <w:rPr>
          <w:lang w:val="en-US"/>
        </w:rPr>
        <w:t xml:space="preserve"> (&gt;3 biological repeats). Experiment carried out by Dr. Bartlomiej Salamaga. </w:t>
      </w:r>
      <w:r w:rsidR="00C4409C">
        <w:rPr>
          <w:b/>
          <w:bCs/>
          <w:lang w:val="en-US"/>
        </w:rPr>
        <w:t>(B)</w:t>
      </w:r>
      <w:r w:rsidR="00C4409C">
        <w:rPr>
          <w:lang w:val="en-US"/>
        </w:rPr>
        <w:t xml:space="preserve"> </w:t>
      </w:r>
      <w:r w:rsidR="009F655C" w:rsidRPr="006456D2">
        <w:t>Normalised percentage of survival after 6 h from</w:t>
      </w:r>
      <w:r w:rsidR="009F655C">
        <w:t xml:space="preserve"> the</w:t>
      </w:r>
      <w:r w:rsidR="009F655C" w:rsidRPr="006456D2">
        <w:t xml:space="preserve"> data in (A). Statistical analysis: t-test with Wel</w:t>
      </w:r>
      <w:r w:rsidR="00E15582">
        <w:t>c</w:t>
      </w:r>
      <w:r w:rsidR="009F655C" w:rsidRPr="006456D2">
        <w:t>h</w:t>
      </w:r>
      <w:r w:rsidR="00654641">
        <w:t>’s</w:t>
      </w:r>
      <w:r w:rsidR="009F655C" w:rsidRPr="006456D2">
        <w:t xml:space="preserve"> correction (</w:t>
      </w:r>
      <w:r w:rsidR="009F655C">
        <w:t>oxacillin</w:t>
      </w:r>
      <w:r w:rsidR="009F655C" w:rsidRPr="006456D2">
        <w:t xml:space="preserve"> </w:t>
      </w:r>
      <w:r w:rsidR="009F655C" w:rsidRPr="00486B0A">
        <w:rPr>
          <w:i/>
          <w:iCs/>
        </w:rPr>
        <w:t>vs</w:t>
      </w:r>
      <w:r w:rsidR="00486B0A">
        <w:rPr>
          <w:i/>
          <w:iCs/>
        </w:rPr>
        <w:t>.</w:t>
      </w:r>
      <w:r w:rsidR="009F655C" w:rsidRPr="006456D2">
        <w:t xml:space="preserve"> vancomycin *</w:t>
      </w:r>
      <w:r w:rsidR="009F655C">
        <w:t>*</w:t>
      </w:r>
      <w:r w:rsidR="009F655C" w:rsidRPr="006456D2">
        <w:t>* p = 0.00</w:t>
      </w:r>
      <w:r w:rsidR="009F655C">
        <w:t>01</w:t>
      </w:r>
      <w:r w:rsidR="009F655C" w:rsidRPr="006456D2">
        <w:t xml:space="preserve">; </w:t>
      </w:r>
      <w:r w:rsidR="009F655C">
        <w:t>oxacillin</w:t>
      </w:r>
      <w:r w:rsidR="009F655C" w:rsidRPr="006456D2">
        <w:t xml:space="preserve"> </w:t>
      </w:r>
      <w:r w:rsidR="009F655C" w:rsidRPr="00486B0A">
        <w:rPr>
          <w:i/>
          <w:iCs/>
        </w:rPr>
        <w:t>vs</w:t>
      </w:r>
      <w:r w:rsidR="00486B0A">
        <w:rPr>
          <w:i/>
          <w:iCs/>
        </w:rPr>
        <w:t>.</w:t>
      </w:r>
      <w:r w:rsidR="009F655C" w:rsidRPr="006456D2">
        <w:t xml:space="preserve"> </w:t>
      </w:r>
      <w:r w:rsidR="009F655C">
        <w:t>oxacillin</w:t>
      </w:r>
      <w:r w:rsidR="005203B3">
        <w:t> </w:t>
      </w:r>
      <w:r w:rsidR="009F655C">
        <w:t>+</w:t>
      </w:r>
      <w:r w:rsidR="005203B3">
        <w:t> </w:t>
      </w:r>
      <w:r w:rsidR="009F655C">
        <w:t>vancomycin</w:t>
      </w:r>
      <w:r w:rsidR="009F655C" w:rsidRPr="006456D2">
        <w:t xml:space="preserve"> * p = 0.0</w:t>
      </w:r>
      <w:r w:rsidR="009F655C">
        <w:t>287</w:t>
      </w:r>
      <w:r w:rsidR="00B5665F">
        <w:t xml:space="preserve">; vancomycin </w:t>
      </w:r>
      <w:r w:rsidR="00B5665F">
        <w:rPr>
          <w:i/>
          <w:iCs/>
        </w:rPr>
        <w:t>vs.</w:t>
      </w:r>
      <w:r w:rsidR="00B5665F">
        <w:t xml:space="preserve"> oxacillin + vancomycin non-significant p ≥ 0.05</w:t>
      </w:r>
      <w:r w:rsidR="009F655C" w:rsidRPr="006456D2">
        <w:t>)</w:t>
      </w:r>
      <w:r w:rsidR="00C4409C">
        <w:rPr>
          <w:lang w:val="en-US"/>
        </w:rPr>
        <w:t xml:space="preserve">. </w:t>
      </w:r>
      <w:r w:rsidRPr="00851F1A">
        <w:rPr>
          <w:b/>
          <w:bCs/>
          <w:lang w:val="en-US"/>
        </w:rPr>
        <w:t>(</w:t>
      </w:r>
      <w:r w:rsidR="00C4409C">
        <w:rPr>
          <w:b/>
          <w:bCs/>
          <w:lang w:val="en-US"/>
        </w:rPr>
        <w:t>C</w:t>
      </w:r>
      <w:r w:rsidRPr="00851F1A">
        <w:rPr>
          <w:b/>
          <w:bCs/>
          <w:lang w:val="en-US"/>
        </w:rPr>
        <w:t>)</w:t>
      </w:r>
      <w:r w:rsidRPr="00851F1A">
        <w:rPr>
          <w:lang w:val="en-US"/>
        </w:rPr>
        <w:t xml:space="preserve"> </w:t>
      </w:r>
      <w:r w:rsidRPr="00851F1A">
        <w:t>Morphological quantification</w:t>
      </w:r>
      <w:r w:rsidR="00FC65F7">
        <w:t xml:space="preserve"> after 1 h of treatment</w:t>
      </w:r>
      <w:r w:rsidRPr="00851F1A">
        <w:t xml:space="preserve"> of the control</w:t>
      </w:r>
      <w:r w:rsidRPr="00851F1A">
        <w:rPr>
          <w:i/>
          <w:iCs/>
        </w:rPr>
        <w:t xml:space="preserve"> </w:t>
      </w:r>
      <w:r w:rsidRPr="00851F1A">
        <w:t xml:space="preserve">(2 biological repeats, </w:t>
      </w:r>
      <w:r w:rsidRPr="00851F1A">
        <w:rPr>
          <w:i/>
          <w:iCs/>
        </w:rPr>
        <w:t>n</w:t>
      </w:r>
      <w:r w:rsidRPr="00851F1A">
        <w:t xml:space="preserve"> = 905), </w:t>
      </w:r>
      <w:r>
        <w:t xml:space="preserve">vancomycin (2 biological repeats, </w:t>
      </w:r>
      <w:r w:rsidRPr="00851F1A">
        <w:rPr>
          <w:i/>
          <w:iCs/>
        </w:rPr>
        <w:t>n</w:t>
      </w:r>
      <w:r>
        <w:t xml:space="preserve"> = 730), </w:t>
      </w:r>
      <w:r w:rsidRPr="00851F1A">
        <w:t>oxacillin (</w:t>
      </w:r>
      <w:r w:rsidRPr="00851F1A">
        <w:rPr>
          <w:i/>
          <w:iCs/>
        </w:rPr>
        <w:t>n</w:t>
      </w:r>
      <w:r w:rsidRPr="00851F1A">
        <w:t> = 318) and vancomycin</w:t>
      </w:r>
      <w:r>
        <w:t xml:space="preserve"> plus oxacillin (</w:t>
      </w:r>
      <w:r>
        <w:rPr>
          <w:i/>
          <w:iCs/>
        </w:rPr>
        <w:t>n</w:t>
      </w:r>
      <w:r>
        <w:t> = 384), as indicated. No sept</w:t>
      </w:r>
      <w:r w:rsidR="001E53A0">
        <w:t>um</w:t>
      </w:r>
      <w:r>
        <w:t>–</w:t>
      </w:r>
      <w:r w:rsidRPr="00851F1A">
        <w:t xml:space="preserve"> dark green, incomplete sept</w:t>
      </w:r>
      <w:r w:rsidR="001E53A0">
        <w:t>um</w:t>
      </w:r>
      <w:r w:rsidRPr="00851F1A">
        <w:t>– medium green, complete sept</w:t>
      </w:r>
      <w:r w:rsidR="001E53A0">
        <w:t>um</w:t>
      </w:r>
      <w:r w:rsidRPr="00851F1A">
        <w:t xml:space="preserve">– light green, </w:t>
      </w:r>
      <w:r w:rsidR="003129ED">
        <w:t>“plasmolysis”</w:t>
      </w:r>
      <w:r w:rsidRPr="00851F1A">
        <w:t xml:space="preserve">– orange, </w:t>
      </w:r>
      <w:r w:rsidR="001E53A0">
        <w:t xml:space="preserve">and </w:t>
      </w:r>
      <w:r w:rsidRPr="00851F1A">
        <w:t>growth defects– yellow.</w:t>
      </w:r>
    </w:p>
    <w:p w14:paraId="32EECC65" w14:textId="77777777" w:rsidR="00C840A5" w:rsidRDefault="00C840A5" w:rsidP="00824E47">
      <w:pPr>
        <w:pStyle w:val="NoSpacing"/>
        <w:keepNext/>
        <w:jc w:val="center"/>
      </w:pPr>
      <w:r>
        <w:rPr>
          <w:noProof/>
        </w:rPr>
        <w:lastRenderedPageBreak/>
        <w:drawing>
          <wp:inline distT="0" distB="0" distL="0" distR="0" wp14:anchorId="1FF70BBE" wp14:editId="710CD95A">
            <wp:extent cx="5916612" cy="5766950"/>
            <wp:effectExtent l="0" t="0" r="190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16612" cy="5766950"/>
                    </a:xfrm>
                    <a:prstGeom prst="rect">
                      <a:avLst/>
                    </a:prstGeom>
                  </pic:spPr>
                </pic:pic>
              </a:graphicData>
            </a:graphic>
          </wp:inline>
        </w:drawing>
      </w:r>
    </w:p>
    <w:p w14:paraId="0E240AAC" w14:textId="60673E71" w:rsidR="00C840A5" w:rsidRDefault="00C840A5" w:rsidP="008A2B86">
      <w:pPr>
        <w:pStyle w:val="Caption"/>
      </w:pPr>
      <w:bookmarkStart w:id="762" w:name="_Ref78323480"/>
      <w:bookmarkStart w:id="763" w:name="_Toc90217008"/>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23</w:t>
      </w:r>
      <w:r w:rsidR="003373BF">
        <w:rPr>
          <w:noProof/>
        </w:rPr>
        <w:fldChar w:fldCharType="end"/>
      </w:r>
      <w:bookmarkEnd w:id="762"/>
      <w:r>
        <w:t xml:space="preserve"> </w:t>
      </w:r>
      <w:r w:rsidR="00673312">
        <w:t>TEM micrographs of</w:t>
      </w:r>
      <w:r>
        <w:t xml:space="preserve"> </w:t>
      </w:r>
      <w:r w:rsidR="007C5717">
        <w:t>oxacillin</w:t>
      </w:r>
      <w:r>
        <w:t xml:space="preserve"> and/or </w:t>
      </w:r>
      <w:r w:rsidR="007C5717">
        <w:t>vancomycin</w:t>
      </w:r>
      <w:r>
        <w:t xml:space="preserve"> </w:t>
      </w:r>
      <w:r w:rsidR="00673312">
        <w:t>treatment of</w:t>
      </w:r>
      <w:r>
        <w:t xml:space="preserve"> </w:t>
      </w:r>
      <w:r>
        <w:rPr>
          <w:i/>
        </w:rPr>
        <w:t>S. aureus</w:t>
      </w:r>
      <w:r>
        <w:t>.</w:t>
      </w:r>
      <w:bookmarkEnd w:id="763"/>
    </w:p>
    <w:p w14:paraId="27011F89" w14:textId="09122AF5" w:rsidR="00851F1A" w:rsidRPr="00851F1A" w:rsidRDefault="00673312" w:rsidP="00851F1A">
      <w:pPr>
        <w:pStyle w:val="NoSpacing"/>
        <w:sectPr w:rsidR="00851F1A" w:rsidRPr="00851F1A" w:rsidSect="004D0E05">
          <w:pgSz w:w="11906" w:h="16838"/>
          <w:pgMar w:top="1191" w:right="1247" w:bottom="1191" w:left="1247" w:header="709" w:footer="709" w:gutter="0"/>
          <w:cols w:space="708"/>
          <w:titlePg/>
          <w:docGrid w:linePitch="360"/>
        </w:sectPr>
      </w:pPr>
      <w:r w:rsidRPr="00851F1A">
        <w:t xml:space="preserve">TEM micrographs of chemically fixed thin sections of </w:t>
      </w:r>
      <w:r w:rsidRPr="00851F1A">
        <w:rPr>
          <w:i/>
          <w:iCs/>
        </w:rPr>
        <w:t>S. aureus</w:t>
      </w:r>
      <w:r w:rsidRPr="00851F1A">
        <w:t xml:space="preserve"> SH1000 treated</w:t>
      </w:r>
      <w:r>
        <w:t xml:space="preserve"> for 1 h</w:t>
      </w:r>
      <w:r w:rsidRPr="00851F1A">
        <w:t xml:space="preserve"> with 10 X MIC </w:t>
      </w:r>
      <w:r>
        <w:rPr>
          <w:b/>
          <w:bCs/>
        </w:rPr>
        <w:t>(A)</w:t>
      </w:r>
      <w:r>
        <w:t xml:space="preserve"> oxacillin, </w:t>
      </w:r>
      <w:r>
        <w:rPr>
          <w:b/>
          <w:bCs/>
        </w:rPr>
        <w:t>(B)</w:t>
      </w:r>
      <w:r>
        <w:t xml:space="preserve"> vancomycin, and </w:t>
      </w:r>
      <w:r>
        <w:rPr>
          <w:b/>
          <w:bCs/>
        </w:rPr>
        <w:t>(C)</w:t>
      </w:r>
      <w:r>
        <w:t xml:space="preserve"> oxacillin plus vancomycin</w:t>
      </w:r>
      <w:r w:rsidRPr="00851F1A">
        <w:t xml:space="preserve">. High magnification </w:t>
      </w:r>
      <w:r>
        <w:t>(</w:t>
      </w:r>
      <w:r w:rsidRPr="00851F1A">
        <w:t>4800x</w:t>
      </w:r>
      <w:r>
        <w:t>)</w:t>
      </w:r>
      <w:r w:rsidRPr="00851F1A">
        <w:t xml:space="preserve">, scale bar 1 µm. </w:t>
      </w:r>
      <w:r w:rsidR="00802B7F">
        <w:t>Red</w:t>
      </w:r>
      <w:r w:rsidRPr="00851F1A">
        <w:t xml:space="preserve"> arrows indicate areas where the exoplasmic space </w:t>
      </w:r>
      <w:r w:rsidR="009430F4">
        <w:t>is</w:t>
      </w:r>
      <w:r w:rsidRPr="00851F1A">
        <w:t xml:space="preserve"> expanded (</w:t>
      </w:r>
      <w:r>
        <w:t>“plasmolysis”</w:t>
      </w:r>
      <w:r w:rsidRPr="00851F1A">
        <w:t>).</w:t>
      </w:r>
      <w:r>
        <w:t xml:space="preserve"> Higher magnification (6800x), scale bar 500nm.</w:t>
      </w:r>
      <w:r w:rsidRPr="00851F1A">
        <w:rPr>
          <w:b/>
          <w:bCs/>
        </w:rPr>
        <w:t xml:space="preserve"> </w:t>
      </w:r>
    </w:p>
    <w:p w14:paraId="25FCEE41" w14:textId="72783914" w:rsidR="00182281" w:rsidRDefault="00EC75AA" w:rsidP="005D0F71">
      <w:pPr>
        <w:pStyle w:val="Heading2"/>
      </w:pPr>
      <w:bookmarkStart w:id="764" w:name="_Toc64276387"/>
      <w:bookmarkStart w:id="765" w:name="_Toc64276691"/>
      <w:bookmarkStart w:id="766" w:name="_Toc64276903"/>
      <w:bookmarkStart w:id="767" w:name="_Toc90216905"/>
      <w:r>
        <w:lastRenderedPageBreak/>
        <w:t>Effect of cell wall antibiotics on the morphology of</w:t>
      </w:r>
      <w:r w:rsidR="004B0C7E" w:rsidRPr="005B0F81">
        <w:t xml:space="preserve"> </w:t>
      </w:r>
      <w:r w:rsidR="004B0C7E" w:rsidRPr="005B0F81">
        <w:rPr>
          <w:i/>
          <w:iCs/>
        </w:rPr>
        <w:t>S. aureus</w:t>
      </w:r>
      <w:r w:rsidR="004B0C7E" w:rsidRPr="005B0F81">
        <w:t xml:space="preserve"> </w:t>
      </w:r>
      <w:bookmarkEnd w:id="764"/>
      <w:bookmarkEnd w:id="765"/>
      <w:bookmarkEnd w:id="766"/>
      <w:r>
        <w:t>NewHG and COL</w:t>
      </w:r>
      <w:r w:rsidR="00222625">
        <w:t>.</w:t>
      </w:r>
      <w:bookmarkEnd w:id="767"/>
    </w:p>
    <w:p w14:paraId="0FF577B6" w14:textId="3BE58C25" w:rsidR="00F170CA" w:rsidRDefault="00CD74AF" w:rsidP="00F170CA">
      <w:r>
        <w:t>To determine the general effect of cell wall antibiotics and rule out strain specificity, the MSSA strain NewHG</w:t>
      </w:r>
      <w:r w:rsidR="002540D8">
        <w:t xml:space="preserve"> (SJF 3663)</w:t>
      </w:r>
      <w:r w:rsidR="00AF1FEB">
        <w:t xml:space="preserve"> </w:t>
      </w:r>
      <w:r w:rsidR="00AF1FEB">
        <w:fldChar w:fldCharType="begin" w:fldLock="1"/>
      </w:r>
      <w:r w:rsidR="00B3106D">
        <w:instrText>ADDIN CSL_CITATION {"citationItems":[{"id":"ITEM-1","itemData":{"DOI":"10.1099/00221287-6-1-2-95","ISSN":"00221287","PMID":"14927856","author":[{"dropping-particle":"","family":"Duthie","given":"E. S.","non-dropping-particle":"","parse-names":false,"suffix":""},{"dropping-particle":"","family":"Lorenz","given":"L. L.","non-dropping-particle":"","parse-names":false,"suffix":""}],"container-title":"Journal of general microbiology","id":"ITEM-1","issue":"1-2","issued":{"date-parts":[["1952"]]},"page":"95-107","title":"Staphylococcal coagulase; mode of action and antigenicity.","type":"article-journal","volume":"6"},"uris":["http://www.mendeley.com/documents/?uuid=5621523a-6a5f-4c91-82c1-40bf1a31e98d"]}],"mendeley":{"formattedCitation":"&lt;sup&gt;[236]&lt;/sup&gt;","plainTextFormattedCitation":"[236]","previouslyFormattedCitation":"&lt;sup&gt;[236]&lt;/sup&gt;"},"properties":{"noteIndex":0},"schema":"https://github.com/citation-style-language/schema/raw/master/csl-citation.json"}</w:instrText>
      </w:r>
      <w:r w:rsidR="00AF1FEB">
        <w:fldChar w:fldCharType="separate"/>
      </w:r>
      <w:r w:rsidR="002659E5" w:rsidRPr="002659E5">
        <w:rPr>
          <w:noProof/>
          <w:vertAlign w:val="superscript"/>
        </w:rPr>
        <w:t>[236]</w:t>
      </w:r>
      <w:r w:rsidR="00AF1FEB">
        <w:fldChar w:fldCharType="end"/>
      </w:r>
      <w:r>
        <w:t xml:space="preserve"> and the MRSA strain COL </w:t>
      </w:r>
      <w:r w:rsidR="002540D8">
        <w:t>(SJF </w:t>
      </w:r>
      <w:r w:rsidR="002540D8" w:rsidRPr="00952EB1">
        <w:t>4183</w:t>
      </w:r>
      <w:r w:rsidR="002540D8">
        <w:t>)</w:t>
      </w:r>
      <w:r w:rsidR="00AF1FEB">
        <w:t xml:space="preserve"> </w:t>
      </w:r>
      <w:r w:rsidR="00AF1FEB">
        <w:fldChar w:fldCharType="begin" w:fldLock="1"/>
      </w:r>
      <w:r w:rsidR="0058736C">
        <w:instrText>ADDIN CSL_CITATION {"citationItems":[{"id":"ITEM-1","itemData":{"DOI":"https://doi.org/10.1016/S0140-6736(66)90182-6","author":[{"dropping-particle":"","family":"K.G.H. Dyke","given":"Ph.D. Cantab.","non-dropping-particle":"","parse-names":false,"suffix":""},{"dropping-particle":"","family":"M.Patricia Jevons, M.D. Lond., M.C.Path.","given":"Dip. Bact.","non-dropping-particle":"","parse-names":false,"suffix":""},{"dropping-particle":"","family":"M.T. Parker, M.D. Cantab., F.C.Path.","given":"Dip. Bact.","non-dropping-particle":"","parse-names":false,"suffix":""}],"container-title":"The Lancet","id":"ITEM-1","issue":"7442","issued":{"date-parts":[["1966"]]},"page":"835-838","title":"Penicillinase production and intrinsic resistance to penicillins in Staphylococcus aures.","type":"article-journal","volume":"287"},"uris":["http://www.mendeley.com/documents/?uuid=017d9691-c91f-4ac7-8895-5720706f25e8"]}],"mendeley":{"formattedCitation":"&lt;sup&gt;[235]&lt;/sup&gt;","plainTextFormattedCitation":"[235]","previouslyFormattedCitation":"&lt;sup&gt;[235]&lt;/sup&gt;"},"properties":{"noteIndex":0},"schema":"https://github.com/citation-style-language/schema/raw/master/csl-citation.json"}</w:instrText>
      </w:r>
      <w:r w:rsidR="00AF1FEB">
        <w:fldChar w:fldCharType="separate"/>
      </w:r>
      <w:r w:rsidR="002659E5" w:rsidRPr="002659E5">
        <w:rPr>
          <w:noProof/>
          <w:vertAlign w:val="superscript"/>
        </w:rPr>
        <w:t>[235]</w:t>
      </w:r>
      <w:r w:rsidR="00AF1FEB">
        <w:fldChar w:fldCharType="end"/>
      </w:r>
      <w:r>
        <w:t xml:space="preserve"> were compared.</w:t>
      </w:r>
      <w:r w:rsidR="00F170CA" w:rsidRPr="00F170CA">
        <w:t xml:space="preserve"> </w:t>
      </w:r>
    </w:p>
    <w:p w14:paraId="26C7E6C6" w14:textId="22B29F36" w:rsidR="00F170CA" w:rsidRDefault="003678E6" w:rsidP="00F170CA">
      <w:r>
        <w:rPr>
          <w:i/>
          <w:iCs/>
        </w:rPr>
        <w:t xml:space="preserve">S. aureus </w:t>
      </w:r>
      <w:r w:rsidR="00F170CA">
        <w:t>NewHG has a 99.9 ± 0.1 % mortality rate with methicillin, 99 ± 0.2 % with vancomycin and 99.4 ± 0.3 % with both after 6 h of treatment (</w:t>
      </w:r>
      <w:r w:rsidR="00F170CA">
        <w:fldChar w:fldCharType="begin"/>
      </w:r>
      <w:r w:rsidR="00F170CA">
        <w:instrText xml:space="preserve"> REF _Ref69547503 \h </w:instrText>
      </w:r>
      <w:r w:rsidR="00F170CA">
        <w:fldChar w:fldCharType="separate"/>
      </w:r>
      <w:r w:rsidR="00183CC8">
        <w:t xml:space="preserve">Figure </w:t>
      </w:r>
      <w:r w:rsidR="00183CC8">
        <w:rPr>
          <w:noProof/>
        </w:rPr>
        <w:t>5</w:t>
      </w:r>
      <w:r w:rsidR="00183CC8">
        <w:t>.</w:t>
      </w:r>
      <w:r w:rsidR="00183CC8">
        <w:rPr>
          <w:noProof/>
        </w:rPr>
        <w:t>24</w:t>
      </w:r>
      <w:r w:rsidR="00F170CA">
        <w:fldChar w:fldCharType="end"/>
      </w:r>
      <w:r w:rsidR="00F170CA">
        <w:t xml:space="preserve">a-b). The expansion of the exoplasm seen with </w:t>
      </w:r>
      <w:r w:rsidR="00F170CA">
        <w:rPr>
          <w:lang w:val="el-GR"/>
        </w:rPr>
        <w:t>β</w:t>
      </w:r>
      <w:r w:rsidR="00F170CA">
        <w:t>-lactams (methicillin, oxacillin) also occurs in NewHG (</w:t>
      </w:r>
      <w:r w:rsidR="00F170CA">
        <w:fldChar w:fldCharType="begin"/>
      </w:r>
      <w:r w:rsidR="00F170CA">
        <w:instrText xml:space="preserve"> REF _Ref78359776 \h </w:instrText>
      </w:r>
      <w:r w:rsidR="00F170CA">
        <w:fldChar w:fldCharType="separate"/>
      </w:r>
      <w:r w:rsidR="00183CC8">
        <w:t xml:space="preserve">Figure </w:t>
      </w:r>
      <w:r w:rsidR="00183CC8">
        <w:rPr>
          <w:noProof/>
        </w:rPr>
        <w:t>5</w:t>
      </w:r>
      <w:r w:rsidR="00183CC8">
        <w:t>.</w:t>
      </w:r>
      <w:r w:rsidR="00183CC8">
        <w:rPr>
          <w:noProof/>
        </w:rPr>
        <w:t>25</w:t>
      </w:r>
      <w:r w:rsidR="00F170CA">
        <w:fldChar w:fldCharType="end"/>
      </w:r>
      <w:r w:rsidR="00F170CA">
        <w:t xml:space="preserve">). Morphological quantification showed ~ 42.6 % of cells with </w:t>
      </w:r>
      <w:r w:rsidR="00EF1CC2">
        <w:t>“plasmolysis”</w:t>
      </w:r>
      <w:r w:rsidR="00F170CA">
        <w:t>, with the majority of them being dividing cells (</w:t>
      </w:r>
      <w:r w:rsidR="00F170CA">
        <w:fldChar w:fldCharType="begin"/>
      </w:r>
      <w:r w:rsidR="00F170CA">
        <w:instrText xml:space="preserve"> REF _Ref69547503 \h </w:instrText>
      </w:r>
      <w:r w:rsidR="00F170CA">
        <w:fldChar w:fldCharType="separate"/>
      </w:r>
      <w:r w:rsidR="00183CC8">
        <w:t xml:space="preserve">Figure </w:t>
      </w:r>
      <w:r w:rsidR="00183CC8">
        <w:rPr>
          <w:noProof/>
        </w:rPr>
        <w:t>5</w:t>
      </w:r>
      <w:r w:rsidR="00183CC8">
        <w:t>.</w:t>
      </w:r>
      <w:r w:rsidR="00183CC8">
        <w:rPr>
          <w:noProof/>
        </w:rPr>
        <w:t>24</w:t>
      </w:r>
      <w:r w:rsidR="00F170CA">
        <w:fldChar w:fldCharType="end"/>
      </w:r>
      <w:r w:rsidR="00F170CA">
        <w:t xml:space="preserve">c-d). </w:t>
      </w:r>
      <w:r w:rsidR="004A25E6">
        <w:t xml:space="preserve">These results </w:t>
      </w:r>
      <w:r w:rsidR="00DD754E">
        <w:t>revealed a similar pattern to that of</w:t>
      </w:r>
      <w:r w:rsidR="004A25E6">
        <w:t xml:space="preserve"> SH1000.</w:t>
      </w:r>
    </w:p>
    <w:p w14:paraId="62228905" w14:textId="3BF2AE7F" w:rsidR="00390BC3" w:rsidRDefault="00314BA1" w:rsidP="00390BC3">
      <w:r>
        <w:t>The MRSA clinical strain COL has a 93.9 ± 0.8 % mortality rate with vancomycin and 93.8 ± 1.5 % with both after 6 h of treatment (</w:t>
      </w:r>
      <w:r>
        <w:fldChar w:fldCharType="begin"/>
      </w:r>
      <w:r>
        <w:instrText xml:space="preserve"> REF _Ref69547514 \h </w:instrText>
      </w:r>
      <w:r>
        <w:fldChar w:fldCharType="separate"/>
      </w:r>
      <w:r w:rsidR="00183CC8">
        <w:t xml:space="preserve">Figure </w:t>
      </w:r>
      <w:r w:rsidR="00183CC8">
        <w:rPr>
          <w:noProof/>
        </w:rPr>
        <w:t>5</w:t>
      </w:r>
      <w:r w:rsidR="00183CC8">
        <w:t>.</w:t>
      </w:r>
      <w:r w:rsidR="00183CC8">
        <w:rPr>
          <w:noProof/>
        </w:rPr>
        <w:t>26</w:t>
      </w:r>
      <w:r>
        <w:fldChar w:fldCharType="end"/>
      </w:r>
      <w:r>
        <w:t>a-b).</w:t>
      </w:r>
      <w:r w:rsidR="00B546DF">
        <w:t>Testing for</w:t>
      </w:r>
      <w:r>
        <w:t xml:space="preserve"> the effect of methicillin on this strain survival and morphology</w:t>
      </w:r>
      <w:r w:rsidR="00B546DF">
        <w:t xml:space="preserve"> is not possible due its high resistance to methicillin</w:t>
      </w:r>
      <w:r w:rsidR="004259E7">
        <w:t xml:space="preserve">, however, </w:t>
      </w:r>
      <w:r w:rsidR="00B546DF">
        <w:t>TEM micrographs</w:t>
      </w:r>
      <w:r w:rsidR="005A5F63">
        <w:t xml:space="preserve"> and morphological quantification</w:t>
      </w:r>
      <w:r w:rsidR="00B546DF">
        <w:t xml:space="preserve"> show that neither vancomycin nor vancomycin plus methicillin present signs of </w:t>
      </w:r>
      <w:r w:rsidR="0086253F">
        <w:t>“plasmolysis”</w:t>
      </w:r>
      <w:r w:rsidR="00B546DF">
        <w:t xml:space="preserve"> (</w:t>
      </w:r>
      <w:r w:rsidR="00B546DF">
        <w:fldChar w:fldCharType="begin"/>
      </w:r>
      <w:r w:rsidR="00B546DF">
        <w:instrText xml:space="preserve"> REF _Ref69547514 \h </w:instrText>
      </w:r>
      <w:r w:rsidR="00B546DF">
        <w:fldChar w:fldCharType="separate"/>
      </w:r>
      <w:r w:rsidR="00183CC8">
        <w:t xml:space="preserve">Figure </w:t>
      </w:r>
      <w:r w:rsidR="00183CC8">
        <w:rPr>
          <w:noProof/>
        </w:rPr>
        <w:t>5</w:t>
      </w:r>
      <w:r w:rsidR="00183CC8">
        <w:t>.</w:t>
      </w:r>
      <w:r w:rsidR="00183CC8">
        <w:rPr>
          <w:noProof/>
        </w:rPr>
        <w:t>26</w:t>
      </w:r>
      <w:r w:rsidR="00B546DF">
        <w:fldChar w:fldCharType="end"/>
      </w:r>
      <w:r w:rsidR="005A5F63">
        <w:t xml:space="preserve">c and </w:t>
      </w:r>
      <w:r w:rsidR="005A5F63">
        <w:fldChar w:fldCharType="begin"/>
      </w:r>
      <w:r w:rsidR="005A5F63">
        <w:instrText xml:space="preserve"> REF _Ref78361094 \h </w:instrText>
      </w:r>
      <w:r w:rsidR="005A5F63">
        <w:fldChar w:fldCharType="separate"/>
      </w:r>
      <w:r w:rsidR="00183CC8">
        <w:t xml:space="preserve">Figure </w:t>
      </w:r>
      <w:r w:rsidR="00183CC8">
        <w:rPr>
          <w:noProof/>
        </w:rPr>
        <w:t>5</w:t>
      </w:r>
      <w:r w:rsidR="00183CC8">
        <w:t>.</w:t>
      </w:r>
      <w:r w:rsidR="00183CC8">
        <w:rPr>
          <w:noProof/>
        </w:rPr>
        <w:t>27</w:t>
      </w:r>
      <w:r w:rsidR="005A5F63">
        <w:fldChar w:fldCharType="end"/>
      </w:r>
      <w:r w:rsidR="004259E7">
        <w:t>).</w:t>
      </w:r>
      <w:r w:rsidR="00390BC3" w:rsidRPr="00390BC3">
        <w:t xml:space="preserve"> </w:t>
      </w:r>
    </w:p>
    <w:p w14:paraId="68842460" w14:textId="7F67A282" w:rsidR="00B546DF" w:rsidRDefault="004259E7" w:rsidP="00CD178A">
      <w:r>
        <w:t xml:space="preserve">For both NewHG and COL, </w:t>
      </w:r>
      <w:r w:rsidR="00EA0C3F">
        <w:t xml:space="preserve">vancomycin or vancomycin plus methicillin </w:t>
      </w:r>
      <w:r w:rsidR="0043019E">
        <w:t>have the same response as SH1000</w:t>
      </w:r>
      <w:r w:rsidR="00390BC3">
        <w:t>.</w:t>
      </w:r>
      <w:r w:rsidR="00EA0C3F">
        <w:t xml:space="preserve"> </w:t>
      </w:r>
    </w:p>
    <w:p w14:paraId="45D2501C" w14:textId="1FDF2E4A" w:rsidR="00AF4583" w:rsidRDefault="00AF4583" w:rsidP="00CD178A">
      <w:r>
        <w:t>These results imply that:</w:t>
      </w:r>
    </w:p>
    <w:p w14:paraId="2967A4FD" w14:textId="0B4F0941" w:rsidR="001B2D76" w:rsidRDefault="001B2D76" w:rsidP="002505E0">
      <w:pPr>
        <w:pStyle w:val="ListParagraph"/>
        <w:numPr>
          <w:ilvl w:val="0"/>
          <w:numId w:val="28"/>
        </w:numPr>
        <w:spacing w:line="360" w:lineRule="auto"/>
      </w:pPr>
      <w:r>
        <w:t>Vancomycin does not cause an expansion of the exoplasm (“plasmolysis”) in either NewHG or COL.</w:t>
      </w:r>
    </w:p>
    <w:p w14:paraId="7222AA50" w14:textId="77777777" w:rsidR="00230564" w:rsidRDefault="00230564" w:rsidP="0059679E">
      <w:pPr>
        <w:pStyle w:val="ListParagraph"/>
        <w:ind w:left="720"/>
      </w:pPr>
    </w:p>
    <w:p w14:paraId="4FFF81EE" w14:textId="3FE24E32" w:rsidR="00AF4583" w:rsidRDefault="00AF4583" w:rsidP="002505E0">
      <w:pPr>
        <w:pStyle w:val="ListParagraph"/>
        <w:numPr>
          <w:ilvl w:val="0"/>
          <w:numId w:val="28"/>
        </w:numPr>
        <w:spacing w:line="360" w:lineRule="auto"/>
      </w:pPr>
      <w:r>
        <w:t xml:space="preserve">The methicillin-specific phenotype is consistent with other </w:t>
      </w:r>
      <w:r>
        <w:rPr>
          <w:i/>
          <w:iCs/>
        </w:rPr>
        <w:t xml:space="preserve">S. aureus </w:t>
      </w:r>
      <w:r>
        <w:t>backgrounds.</w:t>
      </w:r>
    </w:p>
    <w:p w14:paraId="56BE2C4A" w14:textId="77777777" w:rsidR="00CD178A" w:rsidRDefault="00CD178A" w:rsidP="00CD178A"/>
    <w:p w14:paraId="69615F6D" w14:textId="2B7586B9" w:rsidR="00B546DF" w:rsidRDefault="00B546DF" w:rsidP="00CD178A">
      <w:pPr>
        <w:sectPr w:rsidR="00B546DF" w:rsidSect="004D0E05">
          <w:pgSz w:w="11906" w:h="16838"/>
          <w:pgMar w:top="1191" w:right="1247" w:bottom="1191" w:left="1247" w:header="709" w:footer="709" w:gutter="0"/>
          <w:cols w:space="708"/>
          <w:titlePg/>
          <w:docGrid w:linePitch="360"/>
        </w:sectPr>
      </w:pPr>
    </w:p>
    <w:p w14:paraId="6DC6C756" w14:textId="77777777" w:rsidR="00CD178A" w:rsidRDefault="00CD178A" w:rsidP="0037703D">
      <w:pPr>
        <w:keepNext/>
        <w:jc w:val="center"/>
      </w:pPr>
      <w:r>
        <w:rPr>
          <w:noProof/>
        </w:rPr>
        <w:lastRenderedPageBreak/>
        <w:drawing>
          <wp:inline distT="0" distB="0" distL="0" distR="0" wp14:anchorId="4FC164C0" wp14:editId="5E6F33D2">
            <wp:extent cx="5076742" cy="6650181"/>
            <wp:effectExtent l="0" t="0" r="381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05" cstate="print">
                      <a:extLst>
                        <a:ext uri="{28A0092B-C50C-407E-A947-70E740481C1C}">
                          <a14:useLocalDpi xmlns:a14="http://schemas.microsoft.com/office/drawing/2010/main" val="0"/>
                        </a:ext>
                      </a:extLst>
                    </a:blip>
                    <a:srcRect l="4" r="4"/>
                    <a:stretch>
                      <a:fillRect/>
                    </a:stretch>
                  </pic:blipFill>
                  <pic:spPr bwMode="auto">
                    <a:xfrm>
                      <a:off x="0" y="0"/>
                      <a:ext cx="5093258" cy="6671816"/>
                    </a:xfrm>
                    <a:prstGeom prst="rect">
                      <a:avLst/>
                    </a:prstGeom>
                    <a:ln>
                      <a:noFill/>
                    </a:ln>
                    <a:extLst>
                      <a:ext uri="{53640926-AAD7-44D8-BBD7-CCE9431645EC}">
                        <a14:shadowObscured xmlns:a14="http://schemas.microsoft.com/office/drawing/2010/main"/>
                      </a:ext>
                    </a:extLst>
                  </pic:spPr>
                </pic:pic>
              </a:graphicData>
            </a:graphic>
          </wp:inline>
        </w:drawing>
      </w:r>
    </w:p>
    <w:p w14:paraId="2A7EDB8F" w14:textId="30667A16" w:rsidR="00B4091E" w:rsidRDefault="00CD178A" w:rsidP="008A2B86">
      <w:pPr>
        <w:pStyle w:val="Caption"/>
      </w:pPr>
      <w:bookmarkStart w:id="768" w:name="_Ref69547503"/>
      <w:bookmarkStart w:id="769" w:name="_Toc90217009"/>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24</w:t>
      </w:r>
      <w:r w:rsidR="003373BF">
        <w:rPr>
          <w:noProof/>
        </w:rPr>
        <w:fldChar w:fldCharType="end"/>
      </w:r>
      <w:bookmarkEnd w:id="768"/>
      <w:r>
        <w:t xml:space="preserve"> Effect of methicillin </w:t>
      </w:r>
      <w:r w:rsidR="003F63EE">
        <w:t>and/</w:t>
      </w:r>
      <w:r>
        <w:t xml:space="preserve">or vancomycin on </w:t>
      </w:r>
      <w:r>
        <w:rPr>
          <w:i/>
        </w:rPr>
        <w:t>S. aureus</w:t>
      </w:r>
      <w:r>
        <w:t xml:space="preserve"> NewHG morphology, survival and division.</w:t>
      </w:r>
      <w:bookmarkEnd w:id="769"/>
    </w:p>
    <w:p w14:paraId="2911AA2E" w14:textId="11926622" w:rsidR="008A768B" w:rsidRDefault="00991DDD" w:rsidP="00A25B00">
      <w:pPr>
        <w:pStyle w:val="NoSpacing"/>
        <w:sectPr w:rsidR="008A768B" w:rsidSect="004D0E05">
          <w:pgSz w:w="11906" w:h="16838"/>
          <w:pgMar w:top="1191" w:right="1247" w:bottom="1191" w:left="1247" w:header="709" w:footer="709" w:gutter="0"/>
          <w:cols w:space="708"/>
          <w:titlePg/>
          <w:docGrid w:linePitch="360"/>
        </w:sectPr>
      </w:pPr>
      <w:r>
        <w:rPr>
          <w:b/>
          <w:bCs/>
        </w:rPr>
        <w:t>(</w:t>
      </w:r>
      <w:r w:rsidR="00375EB8">
        <w:rPr>
          <w:b/>
          <w:bCs/>
        </w:rPr>
        <w:t>A</w:t>
      </w:r>
      <w:r>
        <w:rPr>
          <w:b/>
          <w:bCs/>
        </w:rPr>
        <w:t>)</w:t>
      </w:r>
      <w:r>
        <w:t xml:space="preserve"> </w:t>
      </w:r>
      <w:r w:rsidRPr="00054E4A">
        <w:t>Normalised</w:t>
      </w:r>
      <w:r>
        <w:rPr>
          <w:lang w:val="en-US"/>
        </w:rPr>
        <w:t xml:space="preserve"> percentage s</w:t>
      </w:r>
      <w:r w:rsidRPr="0080704D">
        <w:rPr>
          <w:lang w:val="en-US"/>
        </w:rPr>
        <w:t xml:space="preserve">urvival of </w:t>
      </w:r>
      <w:r w:rsidR="00E253C5">
        <w:rPr>
          <w:i/>
          <w:iCs/>
          <w:lang w:val="en-US"/>
        </w:rPr>
        <w:t>S. aureus</w:t>
      </w:r>
      <w:r w:rsidR="00E253C5">
        <w:rPr>
          <w:lang w:val="en-US"/>
        </w:rPr>
        <w:t xml:space="preserve"> NewHG</w:t>
      </w:r>
      <w:r w:rsidRPr="0080704D">
        <w:rPr>
          <w:lang w:val="en-US"/>
        </w:rPr>
        <w:t xml:space="preserve"> </w:t>
      </w:r>
      <w:r w:rsidR="00764549">
        <w:rPr>
          <w:lang w:val="en-US"/>
        </w:rPr>
        <w:t xml:space="preserve">treated with 10X MIC </w:t>
      </w:r>
      <w:r w:rsidR="007A49E9">
        <w:rPr>
          <w:lang w:val="en-US"/>
        </w:rPr>
        <w:t>methicillin</w:t>
      </w:r>
      <w:r w:rsidR="00764549">
        <w:rPr>
          <w:lang w:val="en-US"/>
        </w:rPr>
        <w:t xml:space="preserve"> (</w:t>
      </w:r>
      <w:r w:rsidR="007A49E9">
        <w:rPr>
          <w:lang w:val="en-US"/>
        </w:rPr>
        <w:t>red</w:t>
      </w:r>
      <w:r w:rsidR="00764549">
        <w:rPr>
          <w:lang w:val="en-US"/>
        </w:rPr>
        <w:t>), vancomycin (blue) and both (</w:t>
      </w:r>
      <w:r w:rsidR="007A49E9">
        <w:rPr>
          <w:lang w:val="en-US"/>
        </w:rPr>
        <w:t>purple</w:t>
      </w:r>
      <w:r w:rsidR="00764549">
        <w:rPr>
          <w:lang w:val="en-US"/>
        </w:rPr>
        <w:t>)</w:t>
      </w:r>
      <w:r>
        <w:rPr>
          <w:lang w:val="en-US"/>
        </w:rPr>
        <w:t xml:space="preserve"> (3 biological repeats). Experiment carried out by Dr. Bartlomiej Salamaga. </w:t>
      </w:r>
      <w:r w:rsidR="00EE2EC1">
        <w:rPr>
          <w:b/>
          <w:bCs/>
          <w:lang w:val="en-US"/>
        </w:rPr>
        <w:t>(B)</w:t>
      </w:r>
      <w:r w:rsidR="00EB3545">
        <w:rPr>
          <w:b/>
          <w:bCs/>
          <w:lang w:val="en-US"/>
        </w:rPr>
        <w:t xml:space="preserve"> </w:t>
      </w:r>
      <w:r w:rsidR="00EB3545" w:rsidRPr="006456D2">
        <w:t>Normalised percentage of survival after 6 h from</w:t>
      </w:r>
      <w:r w:rsidR="00EB3545">
        <w:t xml:space="preserve"> the</w:t>
      </w:r>
      <w:r w:rsidR="00EB3545" w:rsidRPr="006456D2">
        <w:t xml:space="preserve"> data in (A). Statistical analysis: t-test with Wel</w:t>
      </w:r>
      <w:r w:rsidR="00E15582">
        <w:t>c</w:t>
      </w:r>
      <w:r w:rsidR="00EB3545" w:rsidRPr="006456D2">
        <w:t>h</w:t>
      </w:r>
      <w:r w:rsidR="000B568B">
        <w:t>’s</w:t>
      </w:r>
      <w:r w:rsidR="00EB3545" w:rsidRPr="006456D2">
        <w:t xml:space="preserve"> correction (</w:t>
      </w:r>
      <w:r w:rsidR="00EB3545">
        <w:t>methicillin</w:t>
      </w:r>
      <w:r w:rsidR="00EB3545" w:rsidRPr="006456D2">
        <w:t xml:space="preserve"> </w:t>
      </w:r>
      <w:r w:rsidR="00EB3545" w:rsidRPr="00486B0A">
        <w:rPr>
          <w:i/>
          <w:iCs/>
        </w:rPr>
        <w:t>vs</w:t>
      </w:r>
      <w:r w:rsidR="00486B0A">
        <w:rPr>
          <w:i/>
          <w:iCs/>
        </w:rPr>
        <w:t>.</w:t>
      </w:r>
      <w:r w:rsidR="00EB3545" w:rsidRPr="006456D2">
        <w:t xml:space="preserve"> vancomycin * p = 0.0</w:t>
      </w:r>
      <w:r w:rsidR="003011C2">
        <w:t>111</w:t>
      </w:r>
      <w:r w:rsidR="003F6D5B">
        <w:t xml:space="preserve">; vancomycin </w:t>
      </w:r>
      <w:r w:rsidR="003F6D5B">
        <w:rPr>
          <w:i/>
          <w:iCs/>
        </w:rPr>
        <w:t>vs.</w:t>
      </w:r>
      <w:r w:rsidR="003F6D5B">
        <w:t xml:space="preserve"> methicillin + vancomycin non-significant p ≥ 0.05</w:t>
      </w:r>
      <w:r w:rsidR="00EB3545" w:rsidRPr="006456D2">
        <w:t>)</w:t>
      </w:r>
      <w:r w:rsidR="00EB3545">
        <w:rPr>
          <w:lang w:val="en-US"/>
        </w:rPr>
        <w:t>.</w:t>
      </w:r>
      <w:r w:rsidR="00EE2EC1">
        <w:rPr>
          <w:lang w:val="en-US"/>
        </w:rPr>
        <w:t xml:space="preserve"> </w:t>
      </w:r>
      <w:r>
        <w:rPr>
          <w:b/>
          <w:bCs/>
          <w:lang w:val="en-US"/>
        </w:rPr>
        <w:t>(</w:t>
      </w:r>
      <w:r w:rsidR="00375EB8">
        <w:rPr>
          <w:b/>
          <w:bCs/>
          <w:lang w:val="en-US"/>
        </w:rPr>
        <w:t>C</w:t>
      </w:r>
      <w:r>
        <w:rPr>
          <w:b/>
          <w:bCs/>
          <w:lang w:val="en-US"/>
        </w:rPr>
        <w:t>)</w:t>
      </w:r>
      <w:r>
        <w:rPr>
          <w:lang w:val="en-US"/>
        </w:rPr>
        <w:t xml:space="preserve"> </w:t>
      </w:r>
      <w:r>
        <w:t xml:space="preserve">Morphological quantification </w:t>
      </w:r>
      <w:r w:rsidR="005E3B9E">
        <w:t xml:space="preserve">after 1 h of treatment </w:t>
      </w:r>
      <w:r>
        <w:t>of the control</w:t>
      </w:r>
      <w:r>
        <w:rPr>
          <w:i/>
          <w:iCs/>
        </w:rPr>
        <w:t xml:space="preserve"> </w:t>
      </w:r>
      <w:r w:rsidRPr="00570A71">
        <w:t>(</w:t>
      </w:r>
      <w:r>
        <w:rPr>
          <w:i/>
          <w:iCs/>
        </w:rPr>
        <w:t>n</w:t>
      </w:r>
      <w:r>
        <w:t> = </w:t>
      </w:r>
      <w:r w:rsidR="00FF13B7">
        <w:t>366), methicillin (</w:t>
      </w:r>
      <w:r w:rsidR="00FF13B7">
        <w:rPr>
          <w:i/>
          <w:iCs/>
        </w:rPr>
        <w:t>n</w:t>
      </w:r>
      <w:r w:rsidR="00FF13B7">
        <w:t> = 244),</w:t>
      </w:r>
      <w:r>
        <w:t xml:space="preserve"> vancomycin (</w:t>
      </w:r>
      <w:r>
        <w:rPr>
          <w:i/>
          <w:iCs/>
        </w:rPr>
        <w:t>n</w:t>
      </w:r>
      <w:r>
        <w:t> = </w:t>
      </w:r>
      <w:r w:rsidR="0018632D">
        <w:t>285</w:t>
      </w:r>
      <w:r>
        <w:t>)</w:t>
      </w:r>
      <w:r w:rsidR="004B4135">
        <w:t>, and vancomycin plus methicillin (</w:t>
      </w:r>
      <w:r w:rsidR="004B4135">
        <w:rPr>
          <w:i/>
          <w:iCs/>
        </w:rPr>
        <w:t>n</w:t>
      </w:r>
      <w:r w:rsidR="004B4135">
        <w:t> = 358)</w:t>
      </w:r>
      <w:r>
        <w:t xml:space="preserve"> as indicated. No sept</w:t>
      </w:r>
      <w:r w:rsidR="00236ABF">
        <w:t>um</w:t>
      </w:r>
      <w:r>
        <w:t>– dark green, incomplete sept</w:t>
      </w:r>
      <w:r w:rsidR="00236ABF">
        <w:t>um</w:t>
      </w:r>
      <w:r>
        <w:t>– medium green, complete sept</w:t>
      </w:r>
      <w:r w:rsidR="00236ABF">
        <w:t>um</w:t>
      </w:r>
      <w:r>
        <w:t xml:space="preserve">– light green, </w:t>
      </w:r>
      <w:r w:rsidR="003129ED">
        <w:t>“plasmolysis”</w:t>
      </w:r>
      <w:r>
        <w:t xml:space="preserve">– orange, </w:t>
      </w:r>
      <w:r w:rsidR="00236ABF">
        <w:t xml:space="preserve">and </w:t>
      </w:r>
      <w:r>
        <w:t>growth defects– yellow.</w:t>
      </w:r>
      <w:r w:rsidR="00500123">
        <w:t xml:space="preserve"> </w:t>
      </w:r>
      <w:r w:rsidR="00500123">
        <w:rPr>
          <w:b/>
          <w:bCs/>
        </w:rPr>
        <w:t>(</w:t>
      </w:r>
      <w:r w:rsidR="00375EB8">
        <w:rPr>
          <w:b/>
          <w:bCs/>
        </w:rPr>
        <w:t>D</w:t>
      </w:r>
      <w:r w:rsidR="00500123">
        <w:rPr>
          <w:b/>
          <w:bCs/>
        </w:rPr>
        <w:t>)</w:t>
      </w:r>
      <w:r w:rsidR="00500123">
        <w:t xml:space="preserve"> </w:t>
      </w:r>
      <w:r w:rsidR="001B64E2">
        <w:t xml:space="preserve">Compositional analysis of methicillin treated cells in </w:t>
      </w:r>
      <w:r w:rsidR="001B64E2" w:rsidRPr="003129ED">
        <w:t>(</w:t>
      </w:r>
      <w:r w:rsidR="00375EB8">
        <w:t>C</w:t>
      </w:r>
      <w:r w:rsidR="001B64E2" w:rsidRPr="003129ED">
        <w:t>)</w:t>
      </w:r>
      <w:r w:rsidR="003129ED">
        <w:t xml:space="preserve"> presenting signs of “plasmolysis”</w:t>
      </w:r>
      <w:r w:rsidR="001B64E2">
        <w:t>. No sept</w:t>
      </w:r>
      <w:r w:rsidR="00236ABF">
        <w:t>um</w:t>
      </w:r>
      <w:r w:rsidR="001B64E2">
        <w:t>– dark orange, incomplete sept</w:t>
      </w:r>
      <w:r w:rsidR="00236ABF">
        <w:t>um</w:t>
      </w:r>
      <w:r w:rsidR="001B64E2">
        <w:t>– medium orange, complete sept</w:t>
      </w:r>
      <w:r w:rsidR="00236ABF">
        <w:t>um</w:t>
      </w:r>
      <w:r w:rsidR="001B64E2">
        <w:t>– light orange (</w:t>
      </w:r>
      <w:r w:rsidR="001B64E2">
        <w:rPr>
          <w:i/>
          <w:iCs/>
        </w:rPr>
        <w:t>n </w:t>
      </w:r>
      <w:r w:rsidR="001B64E2">
        <w:t>= 104)</w:t>
      </w:r>
      <w:r w:rsidR="00A25B00">
        <w:t>.</w:t>
      </w:r>
    </w:p>
    <w:p w14:paraId="0D5F18E8" w14:textId="77777777" w:rsidR="008A768B" w:rsidRDefault="008A768B" w:rsidP="00E92D62">
      <w:pPr>
        <w:pStyle w:val="NoSpacing"/>
        <w:keepNext/>
        <w:jc w:val="center"/>
      </w:pPr>
      <w:r>
        <w:rPr>
          <w:noProof/>
        </w:rPr>
        <w:lastRenderedPageBreak/>
        <w:drawing>
          <wp:inline distT="0" distB="0" distL="0" distR="0" wp14:anchorId="17A24457" wp14:editId="27DC9D01">
            <wp:extent cx="5878115" cy="7649467"/>
            <wp:effectExtent l="0" t="0" r="254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878115" cy="7649467"/>
                    </a:xfrm>
                    <a:prstGeom prst="rect">
                      <a:avLst/>
                    </a:prstGeom>
                  </pic:spPr>
                </pic:pic>
              </a:graphicData>
            </a:graphic>
          </wp:inline>
        </w:drawing>
      </w:r>
    </w:p>
    <w:p w14:paraId="1694B6AC" w14:textId="2CF86DF5" w:rsidR="00A25B00" w:rsidRDefault="008A768B" w:rsidP="008A2B86">
      <w:pPr>
        <w:pStyle w:val="Caption"/>
      </w:pPr>
      <w:bookmarkStart w:id="770" w:name="_Ref78359776"/>
      <w:bookmarkStart w:id="771" w:name="_Toc90217010"/>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25</w:t>
      </w:r>
      <w:r w:rsidR="003373BF">
        <w:rPr>
          <w:noProof/>
        </w:rPr>
        <w:fldChar w:fldCharType="end"/>
      </w:r>
      <w:bookmarkEnd w:id="770"/>
      <w:r w:rsidR="00680633">
        <w:t xml:space="preserve"> TEM micrographs of methicillin and/or vancomycin treatment o</w:t>
      </w:r>
      <w:r w:rsidR="00790D1D">
        <w:t>f</w:t>
      </w:r>
      <w:r w:rsidR="00680633">
        <w:t xml:space="preserve"> </w:t>
      </w:r>
      <w:r w:rsidR="00680633">
        <w:rPr>
          <w:i/>
        </w:rPr>
        <w:t>S. aureus</w:t>
      </w:r>
      <w:r w:rsidR="00680633">
        <w:t xml:space="preserve"> NewHG.</w:t>
      </w:r>
      <w:bookmarkEnd w:id="771"/>
    </w:p>
    <w:p w14:paraId="374C81BD" w14:textId="134D41BD" w:rsidR="009B0BDA" w:rsidRPr="009B0BDA" w:rsidRDefault="002954CF" w:rsidP="009B0BDA">
      <w:pPr>
        <w:pStyle w:val="NoSpacing"/>
        <w:sectPr w:rsidR="009B0BDA" w:rsidRPr="009B0BDA" w:rsidSect="004D0E05">
          <w:pgSz w:w="11906" w:h="16838"/>
          <w:pgMar w:top="1191" w:right="1247" w:bottom="1191" w:left="1247" w:header="709" w:footer="709" w:gutter="0"/>
          <w:cols w:space="708"/>
          <w:titlePg/>
          <w:docGrid w:linePitch="360"/>
        </w:sectPr>
      </w:pPr>
      <w:r>
        <w:t xml:space="preserve">TEM micrographs of chemically fixed thin sections </w:t>
      </w:r>
      <w:r>
        <w:rPr>
          <w:i/>
          <w:iCs/>
        </w:rPr>
        <w:t>S. aureus</w:t>
      </w:r>
      <w:r>
        <w:t xml:space="preserve"> NewHG </w:t>
      </w:r>
      <w:r>
        <w:rPr>
          <w:b/>
          <w:bCs/>
        </w:rPr>
        <w:t>(A)</w:t>
      </w:r>
      <w:r>
        <w:t xml:space="preserve"> untreated,</w:t>
      </w:r>
      <w:r>
        <w:rPr>
          <w:b/>
          <w:bCs/>
        </w:rPr>
        <w:t xml:space="preserve"> </w:t>
      </w:r>
      <w:r>
        <w:t xml:space="preserve">treated for 1 h with 10 X MIC </w:t>
      </w:r>
      <w:r>
        <w:rPr>
          <w:b/>
          <w:bCs/>
        </w:rPr>
        <w:t xml:space="preserve">(B) </w:t>
      </w:r>
      <w:r>
        <w:t xml:space="preserve">methicillin, </w:t>
      </w:r>
      <w:r>
        <w:rPr>
          <w:b/>
          <w:bCs/>
        </w:rPr>
        <w:t>(C)</w:t>
      </w:r>
      <w:r>
        <w:t xml:space="preserve"> vancomycin, or </w:t>
      </w:r>
      <w:r>
        <w:rPr>
          <w:b/>
          <w:bCs/>
        </w:rPr>
        <w:t>(D)</w:t>
      </w:r>
      <w:r>
        <w:t xml:space="preserve"> vancomycin plus methicillin. High magnification 4800x, scale bar 1 µm; and 6800x, scale bar 500 nm.</w:t>
      </w:r>
      <w:r w:rsidRPr="00C23BDE">
        <w:t xml:space="preserve"> </w:t>
      </w:r>
      <w:r w:rsidR="00802B7F">
        <w:t>Red</w:t>
      </w:r>
      <w:r>
        <w:t xml:space="preserve"> arrows indicate areas where the exoplasmic space </w:t>
      </w:r>
      <w:r w:rsidR="009430F4">
        <w:t>is</w:t>
      </w:r>
      <w:r>
        <w:t xml:space="preserve"> expanded</w:t>
      </w:r>
      <w:r>
        <w:rPr>
          <w:lang w:val="en-US"/>
        </w:rPr>
        <w:t>.</w:t>
      </w:r>
    </w:p>
    <w:p w14:paraId="53741C79" w14:textId="77777777" w:rsidR="00AE3B9A" w:rsidRDefault="00AE3B9A" w:rsidP="0037703D">
      <w:pPr>
        <w:pStyle w:val="NoSpacing"/>
        <w:keepNext/>
        <w:jc w:val="center"/>
      </w:pPr>
      <w:r>
        <w:rPr>
          <w:noProof/>
        </w:rPr>
        <w:lastRenderedPageBreak/>
        <w:drawing>
          <wp:inline distT="0" distB="0" distL="0" distR="0" wp14:anchorId="4296960D" wp14:editId="78C82519">
            <wp:extent cx="5247550" cy="508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107" cstate="print">
                      <a:extLst>
                        <a:ext uri="{28A0092B-C50C-407E-A947-70E740481C1C}">
                          <a14:useLocalDpi xmlns:a14="http://schemas.microsoft.com/office/drawing/2010/main" val="0"/>
                        </a:ext>
                      </a:extLst>
                    </a:blip>
                    <a:srcRect t="-5" r="16614" b="5"/>
                    <a:stretch/>
                  </pic:blipFill>
                  <pic:spPr bwMode="auto">
                    <a:xfrm>
                      <a:off x="0" y="0"/>
                      <a:ext cx="5269917" cy="5101653"/>
                    </a:xfrm>
                    <a:prstGeom prst="rect">
                      <a:avLst/>
                    </a:prstGeom>
                    <a:ln>
                      <a:noFill/>
                    </a:ln>
                    <a:extLst>
                      <a:ext uri="{53640926-AAD7-44D8-BBD7-CCE9431645EC}">
                        <a14:shadowObscured xmlns:a14="http://schemas.microsoft.com/office/drawing/2010/main"/>
                      </a:ext>
                    </a:extLst>
                  </pic:spPr>
                </pic:pic>
              </a:graphicData>
            </a:graphic>
          </wp:inline>
        </w:drawing>
      </w:r>
    </w:p>
    <w:p w14:paraId="72AAB2C7" w14:textId="7FDDDB4B" w:rsidR="00A25B00" w:rsidRDefault="00AE3B9A" w:rsidP="008A2B86">
      <w:pPr>
        <w:pStyle w:val="Caption"/>
      </w:pPr>
      <w:bookmarkStart w:id="772" w:name="_Ref69547514"/>
      <w:bookmarkStart w:id="773" w:name="_Toc90217011"/>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26</w:t>
      </w:r>
      <w:r w:rsidR="003373BF">
        <w:rPr>
          <w:noProof/>
        </w:rPr>
        <w:fldChar w:fldCharType="end"/>
      </w:r>
      <w:bookmarkEnd w:id="772"/>
      <w:r>
        <w:t xml:space="preserve"> Effect of </w:t>
      </w:r>
      <w:r w:rsidR="0056062C">
        <w:t>vancomycin</w:t>
      </w:r>
      <w:r w:rsidR="009A33BE">
        <w:t xml:space="preserve"> and </w:t>
      </w:r>
      <w:r w:rsidR="00680577">
        <w:t>vancomycin</w:t>
      </w:r>
      <w:r w:rsidR="0056062C">
        <w:t xml:space="preserve"> plus methicillin</w:t>
      </w:r>
      <w:r>
        <w:t xml:space="preserve"> on </w:t>
      </w:r>
      <w:r>
        <w:rPr>
          <w:i/>
        </w:rPr>
        <w:t>S. aureus</w:t>
      </w:r>
      <w:r>
        <w:t xml:space="preserve"> COL morphology, survival and division.</w:t>
      </w:r>
      <w:bookmarkEnd w:id="773"/>
    </w:p>
    <w:p w14:paraId="48752A63" w14:textId="16859381" w:rsidR="000B34DD" w:rsidRDefault="00952EB1" w:rsidP="00AE3B9A">
      <w:pPr>
        <w:pStyle w:val="NoSpacing"/>
        <w:sectPr w:rsidR="000B34DD" w:rsidSect="004D0E05">
          <w:pgSz w:w="11906" w:h="16838"/>
          <w:pgMar w:top="1191" w:right="1247" w:bottom="1191" w:left="1247" w:header="709" w:footer="709" w:gutter="0"/>
          <w:cols w:space="708"/>
          <w:titlePg/>
          <w:docGrid w:linePitch="360"/>
        </w:sectPr>
      </w:pPr>
      <w:r>
        <w:rPr>
          <w:b/>
          <w:bCs/>
        </w:rPr>
        <w:t>(</w:t>
      </w:r>
      <w:r w:rsidR="00081012">
        <w:rPr>
          <w:b/>
          <w:bCs/>
        </w:rPr>
        <w:t>A</w:t>
      </w:r>
      <w:r>
        <w:rPr>
          <w:b/>
          <w:bCs/>
        </w:rPr>
        <w:t>)</w:t>
      </w:r>
      <w:r>
        <w:t xml:space="preserve"> </w:t>
      </w:r>
      <w:r w:rsidR="00232F4B" w:rsidRPr="00054E4A">
        <w:t>Normalised</w:t>
      </w:r>
      <w:r w:rsidR="00232F4B">
        <w:rPr>
          <w:lang w:val="en-US"/>
        </w:rPr>
        <w:t xml:space="preserve"> percentage s</w:t>
      </w:r>
      <w:r w:rsidR="00232F4B" w:rsidRPr="0080704D">
        <w:rPr>
          <w:lang w:val="en-US"/>
        </w:rPr>
        <w:t>urvival of</w:t>
      </w:r>
      <w:r w:rsidR="000A08EF">
        <w:rPr>
          <w:lang w:val="en-US"/>
        </w:rPr>
        <w:t xml:space="preserve"> </w:t>
      </w:r>
      <w:r w:rsidR="000A08EF">
        <w:rPr>
          <w:i/>
          <w:iCs/>
          <w:lang w:val="en-US"/>
        </w:rPr>
        <w:t xml:space="preserve">S. aureus </w:t>
      </w:r>
      <w:r w:rsidR="000A08EF">
        <w:rPr>
          <w:lang w:val="en-US"/>
        </w:rPr>
        <w:t>COL treated with 10X MIC vancomycin (blue) or vancomycin plus methicillin (purple)</w:t>
      </w:r>
      <w:r w:rsidR="00232F4B" w:rsidRPr="0080704D">
        <w:rPr>
          <w:lang w:val="en-US"/>
        </w:rPr>
        <w:t xml:space="preserve"> </w:t>
      </w:r>
      <w:r w:rsidR="00232F4B">
        <w:rPr>
          <w:lang w:val="en-US"/>
        </w:rPr>
        <w:t>(3 biological repeats). Experiment carried out by Dr. Bartlomiej Salamaga.</w:t>
      </w:r>
      <w:r w:rsidR="00CF2D3A">
        <w:rPr>
          <w:lang w:val="en-US"/>
        </w:rPr>
        <w:t xml:space="preserve"> </w:t>
      </w:r>
      <w:r w:rsidR="00081012">
        <w:rPr>
          <w:b/>
          <w:bCs/>
          <w:lang w:val="en-US"/>
        </w:rPr>
        <w:t>(B)</w:t>
      </w:r>
      <w:r w:rsidR="00081012">
        <w:rPr>
          <w:lang w:val="en-US"/>
        </w:rPr>
        <w:t xml:space="preserve"> </w:t>
      </w:r>
      <w:r w:rsidR="0057353B" w:rsidRPr="006456D2">
        <w:t>Normalised percentage of survival after 6 h from</w:t>
      </w:r>
      <w:r w:rsidR="0057353B">
        <w:t xml:space="preserve"> the</w:t>
      </w:r>
      <w:r w:rsidR="0057353B" w:rsidRPr="006456D2">
        <w:t xml:space="preserve"> data in (A). Statistical analysis: t-test with Wel</w:t>
      </w:r>
      <w:r w:rsidR="00E15582">
        <w:t>c</w:t>
      </w:r>
      <w:r w:rsidR="0057353B" w:rsidRPr="006456D2">
        <w:t>h</w:t>
      </w:r>
      <w:r w:rsidR="000B568B">
        <w:t>’s</w:t>
      </w:r>
      <w:r w:rsidR="0057353B" w:rsidRPr="006456D2">
        <w:t xml:space="preserve"> correction (</w:t>
      </w:r>
      <w:r w:rsidR="002D528B">
        <w:t>non-significant p ≥ 0.05</w:t>
      </w:r>
      <w:r w:rsidR="0057353B" w:rsidRPr="006456D2">
        <w:t>)</w:t>
      </w:r>
      <w:r w:rsidR="00081012">
        <w:rPr>
          <w:lang w:val="en-US"/>
        </w:rPr>
        <w:t xml:space="preserve">. </w:t>
      </w:r>
      <w:r w:rsidR="00CF2D3A">
        <w:rPr>
          <w:b/>
          <w:bCs/>
          <w:lang w:val="en-US"/>
        </w:rPr>
        <w:t>(</w:t>
      </w:r>
      <w:r w:rsidR="00081012">
        <w:rPr>
          <w:b/>
          <w:bCs/>
          <w:lang w:val="en-US"/>
        </w:rPr>
        <w:t>C</w:t>
      </w:r>
      <w:r w:rsidR="00CF2D3A">
        <w:rPr>
          <w:b/>
          <w:bCs/>
          <w:lang w:val="en-US"/>
        </w:rPr>
        <w:t>)</w:t>
      </w:r>
      <w:r w:rsidR="00CF2D3A">
        <w:rPr>
          <w:lang w:val="en-US"/>
        </w:rPr>
        <w:t xml:space="preserve"> </w:t>
      </w:r>
      <w:r w:rsidR="005B774E">
        <w:t xml:space="preserve">Morphological quantification </w:t>
      </w:r>
      <w:r w:rsidR="00BF2292">
        <w:t xml:space="preserve">after 1 h </w:t>
      </w:r>
      <w:r w:rsidR="005B774E">
        <w:t>of the control</w:t>
      </w:r>
      <w:r w:rsidR="005B774E">
        <w:rPr>
          <w:i/>
          <w:iCs/>
        </w:rPr>
        <w:t xml:space="preserve"> </w:t>
      </w:r>
      <w:r w:rsidR="005B774E" w:rsidRPr="00570A71">
        <w:t>(</w:t>
      </w:r>
      <w:r w:rsidR="005B774E">
        <w:rPr>
          <w:i/>
          <w:iCs/>
        </w:rPr>
        <w:t>n</w:t>
      </w:r>
      <w:r w:rsidR="005B774E">
        <w:t> = 582)</w:t>
      </w:r>
      <w:r w:rsidR="00EE340E">
        <w:t xml:space="preserve">, </w:t>
      </w:r>
      <w:r w:rsidR="005B774E">
        <w:t>vancomycin (</w:t>
      </w:r>
      <w:r w:rsidR="005B774E">
        <w:rPr>
          <w:i/>
          <w:iCs/>
        </w:rPr>
        <w:t>n</w:t>
      </w:r>
      <w:r w:rsidR="005B774E">
        <w:t> = 404)</w:t>
      </w:r>
      <w:r w:rsidR="00EE340E">
        <w:t>, and vancomycin plus methicillin (</w:t>
      </w:r>
      <w:r w:rsidR="00EE340E">
        <w:rPr>
          <w:i/>
          <w:iCs/>
        </w:rPr>
        <w:t>n</w:t>
      </w:r>
      <w:r w:rsidR="00EE340E">
        <w:t> = </w:t>
      </w:r>
      <w:r w:rsidR="00DC2CCF">
        <w:t>215</w:t>
      </w:r>
      <w:r w:rsidR="00EE340E">
        <w:t>)</w:t>
      </w:r>
      <w:r w:rsidR="005B774E">
        <w:t xml:space="preserve"> as indicated. No sept</w:t>
      </w:r>
      <w:r w:rsidR="006F0EA8">
        <w:t>um</w:t>
      </w:r>
      <w:r w:rsidR="005B774E">
        <w:t>– dark green, incomplete sept</w:t>
      </w:r>
      <w:r w:rsidR="006F0EA8">
        <w:t>um</w:t>
      </w:r>
      <w:r w:rsidR="005B774E">
        <w:t>– medium green, complete sept</w:t>
      </w:r>
      <w:r w:rsidR="006F0EA8">
        <w:t>um</w:t>
      </w:r>
      <w:r w:rsidR="005B774E">
        <w:t xml:space="preserve">– light green, </w:t>
      </w:r>
      <w:r w:rsidR="003129ED">
        <w:t>“plasmolysis”</w:t>
      </w:r>
      <w:r w:rsidR="005B774E">
        <w:t xml:space="preserve">– orange, </w:t>
      </w:r>
      <w:r w:rsidR="006F0EA8">
        <w:t xml:space="preserve">and </w:t>
      </w:r>
      <w:r w:rsidR="005B774E">
        <w:t>growth defects– yellow</w:t>
      </w:r>
      <w:r w:rsidR="00AE3B9A">
        <w:t>.</w:t>
      </w:r>
    </w:p>
    <w:p w14:paraId="2A8FB245" w14:textId="77777777" w:rsidR="000B34DD" w:rsidRDefault="000B34DD" w:rsidP="0044553B">
      <w:pPr>
        <w:pStyle w:val="NoSpacing"/>
        <w:keepNext/>
        <w:jc w:val="center"/>
      </w:pPr>
      <w:r>
        <w:rPr>
          <w:noProof/>
        </w:rPr>
        <w:lastRenderedPageBreak/>
        <w:drawing>
          <wp:inline distT="0" distB="0" distL="0" distR="0" wp14:anchorId="276513AC" wp14:editId="5B36682F">
            <wp:extent cx="5922010" cy="5781963"/>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108" cstate="print">
                      <a:extLst>
                        <a:ext uri="{BEBA8EAE-BF5A-486C-A8C5-ECC9F3942E4B}">
                          <a14:imgProps xmlns:a14="http://schemas.microsoft.com/office/drawing/2010/main">
                            <a14:imgLayer r:embed="rId109">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5943239" cy="5802690"/>
                    </a:xfrm>
                    <a:prstGeom prst="rect">
                      <a:avLst/>
                    </a:prstGeom>
                  </pic:spPr>
                </pic:pic>
              </a:graphicData>
            </a:graphic>
          </wp:inline>
        </w:drawing>
      </w:r>
    </w:p>
    <w:p w14:paraId="18E73D42" w14:textId="3E83817D" w:rsidR="0035791B" w:rsidRDefault="000B34DD" w:rsidP="008A2B86">
      <w:pPr>
        <w:pStyle w:val="Caption"/>
      </w:pPr>
      <w:bookmarkStart w:id="774" w:name="_Ref78361094"/>
      <w:bookmarkStart w:id="775" w:name="_Toc90217012"/>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27</w:t>
      </w:r>
      <w:r w:rsidR="003373BF">
        <w:rPr>
          <w:noProof/>
        </w:rPr>
        <w:fldChar w:fldCharType="end"/>
      </w:r>
      <w:bookmarkEnd w:id="774"/>
      <w:r>
        <w:t xml:space="preserve"> TEM micrographs of vancomycin and </w:t>
      </w:r>
      <w:r w:rsidR="00DF0284">
        <w:t>vancomycin</w:t>
      </w:r>
      <w:r w:rsidR="00E46BF4">
        <w:t xml:space="preserve"> plus methicillin</w:t>
      </w:r>
      <w:r>
        <w:t xml:space="preserve"> treatment o</w:t>
      </w:r>
      <w:r w:rsidR="003D146A">
        <w:t>f</w:t>
      </w:r>
      <w:r>
        <w:t xml:space="preserve"> </w:t>
      </w:r>
      <w:r>
        <w:rPr>
          <w:i/>
        </w:rPr>
        <w:t>S. aureus</w:t>
      </w:r>
      <w:r>
        <w:t xml:space="preserve"> COL.</w:t>
      </w:r>
      <w:bookmarkEnd w:id="775"/>
    </w:p>
    <w:p w14:paraId="1AAE537A" w14:textId="6002AFAC" w:rsidR="00E8469D" w:rsidRPr="00E8469D" w:rsidRDefault="00E8469D" w:rsidP="00E8469D">
      <w:pPr>
        <w:pStyle w:val="NoSpacing"/>
        <w:sectPr w:rsidR="00E8469D" w:rsidRPr="00E8469D" w:rsidSect="004D0E05">
          <w:pgSz w:w="11906" w:h="16838"/>
          <w:pgMar w:top="1191" w:right="1247" w:bottom="1191" w:left="1247" w:header="709" w:footer="709" w:gutter="0"/>
          <w:cols w:space="708"/>
          <w:titlePg/>
          <w:docGrid w:linePitch="360"/>
        </w:sectPr>
      </w:pPr>
      <w:r>
        <w:t xml:space="preserve">TEM micrographs of chemically fixed thin sections </w:t>
      </w:r>
      <w:r>
        <w:rPr>
          <w:i/>
          <w:iCs/>
        </w:rPr>
        <w:t>S. aureus</w:t>
      </w:r>
      <w:r>
        <w:t xml:space="preserve"> COL </w:t>
      </w:r>
      <w:r>
        <w:rPr>
          <w:b/>
          <w:bCs/>
        </w:rPr>
        <w:t>(A)</w:t>
      </w:r>
      <w:r>
        <w:t xml:space="preserve"> untreated,</w:t>
      </w:r>
      <w:r>
        <w:rPr>
          <w:b/>
          <w:bCs/>
        </w:rPr>
        <w:t xml:space="preserve"> </w:t>
      </w:r>
      <w:r>
        <w:t xml:space="preserve">treated for 1 h with 10 X MIC </w:t>
      </w:r>
      <w:r>
        <w:rPr>
          <w:b/>
          <w:bCs/>
        </w:rPr>
        <w:t>(B)</w:t>
      </w:r>
      <w:r>
        <w:t xml:space="preserve"> vancomycin, and </w:t>
      </w:r>
      <w:r>
        <w:rPr>
          <w:b/>
          <w:bCs/>
        </w:rPr>
        <w:t>(C)</w:t>
      </w:r>
      <w:r>
        <w:t xml:space="preserve"> vancomycin plus methicillin. High magnification (4800x), scale bar 1 µm.</w:t>
      </w:r>
    </w:p>
    <w:p w14:paraId="6BD68628" w14:textId="4085193C" w:rsidR="00182281" w:rsidRDefault="004B0C7E" w:rsidP="005976EF">
      <w:pPr>
        <w:pStyle w:val="Heading2"/>
      </w:pPr>
      <w:bookmarkStart w:id="776" w:name="_Toc64276388"/>
      <w:bookmarkStart w:id="777" w:name="_Toc64276692"/>
      <w:bookmarkStart w:id="778" w:name="_Toc64276904"/>
      <w:bookmarkStart w:id="779" w:name="_Toc90216906"/>
      <w:r w:rsidRPr="005B0F81">
        <w:lastRenderedPageBreak/>
        <w:t>What is causing the expansion of the exoplasm?</w:t>
      </w:r>
      <w:bookmarkEnd w:id="776"/>
      <w:bookmarkEnd w:id="777"/>
      <w:bookmarkEnd w:id="778"/>
      <w:bookmarkEnd w:id="779"/>
    </w:p>
    <w:p w14:paraId="496576F1" w14:textId="266E4C74" w:rsidR="00182281" w:rsidRDefault="00EB4144" w:rsidP="005976EF">
      <w:pPr>
        <w:pStyle w:val="Heading3"/>
      </w:pPr>
      <w:bookmarkStart w:id="780" w:name="_Toc64276389"/>
      <w:bookmarkStart w:id="781" w:name="_Toc64276693"/>
      <w:bookmarkStart w:id="782" w:name="_Toc64276905"/>
      <w:bookmarkStart w:id="783" w:name="_Toc90216907"/>
      <w:r>
        <w:t>Are</w:t>
      </w:r>
      <w:r w:rsidR="00F87D71">
        <w:t xml:space="preserve"> u</w:t>
      </w:r>
      <w:r w:rsidR="004B0C7E" w:rsidRPr="005B0F81">
        <w:t>ncrosslinked PG or lipid precursors</w:t>
      </w:r>
      <w:bookmarkEnd w:id="780"/>
      <w:bookmarkEnd w:id="781"/>
      <w:bookmarkEnd w:id="782"/>
      <w:r w:rsidR="00F87D71">
        <w:t xml:space="preserve"> causing this phenotype?</w:t>
      </w:r>
      <w:bookmarkEnd w:id="783"/>
    </w:p>
    <w:p w14:paraId="1191D1A0" w14:textId="3C4DC49A" w:rsidR="00095D0A" w:rsidRDefault="00095D0A" w:rsidP="00231EA8">
      <w:r>
        <w:t xml:space="preserve">Giesbrecht </w:t>
      </w:r>
      <w:r>
        <w:rPr>
          <w:i/>
          <w:iCs/>
        </w:rPr>
        <w:t>et al</w:t>
      </w:r>
      <w:r>
        <w:t>.</w:t>
      </w:r>
      <w:r w:rsidR="0030513F">
        <w:t>,</w:t>
      </w:r>
      <w:r>
        <w:t xml:space="preserve"> (1998) published one of the most comprehensive studies on morphology </w:t>
      </w:r>
      <w:r w:rsidR="00AD2FCC">
        <w:t>of</w:t>
      </w:r>
      <w:r>
        <w:t xml:space="preserve"> </w:t>
      </w:r>
      <w:r>
        <w:rPr>
          <w:i/>
          <w:iCs/>
        </w:rPr>
        <w:t>S. aureus</w:t>
      </w:r>
      <w:r>
        <w:t xml:space="preserve"> </w:t>
      </w:r>
      <w:r w:rsidR="00AD2FCC">
        <w:t xml:space="preserve">after penicillin treatment </w:t>
      </w:r>
      <w:r>
        <w:t>using EM techniques, and</w:t>
      </w:r>
      <w:r w:rsidR="008C2F47">
        <w:t xml:space="preserve"> it is</w:t>
      </w:r>
      <w:r>
        <w:t xml:space="preserve"> naturally a good source of comparison for the data obtain in this investigation. Giesbrecht </w:t>
      </w:r>
      <w:r w:rsidR="004F7932">
        <w:t>suggested</w:t>
      </w:r>
      <w:r>
        <w:t xml:space="preserve"> that the phenotype observed corresponded to a fibrillar cell wall material. </w:t>
      </w:r>
      <w:r w:rsidR="000A2F44">
        <w:t xml:space="preserve">Therefore, </w:t>
      </w:r>
      <w:r w:rsidR="008C109E">
        <w:t>it</w:t>
      </w:r>
      <w:r>
        <w:t xml:space="preserve"> was</w:t>
      </w:r>
      <w:r w:rsidR="000A2F44">
        <w:t xml:space="preserve"> </w:t>
      </w:r>
      <w:r>
        <w:t xml:space="preserve">natural to continue our study and uncover if the expansion of the exoplasm was caused by an accumulation of </w:t>
      </w:r>
      <w:r w:rsidR="00CB1A96">
        <w:t>polymers</w:t>
      </w:r>
      <w:r>
        <w:t>.</w:t>
      </w:r>
      <w:r w:rsidR="000F6285">
        <w:t xml:space="preserve"> To test this premise, we </w:t>
      </w:r>
      <w:r w:rsidR="000F351D">
        <w:t xml:space="preserve">first </w:t>
      </w:r>
      <w:r w:rsidR="00406959">
        <w:t>treated SH1000 with</w:t>
      </w:r>
      <w:r w:rsidR="00E659C0">
        <w:t xml:space="preserve"> methicillin </w:t>
      </w:r>
      <w:r w:rsidR="00406959">
        <w:t xml:space="preserve">and </w:t>
      </w:r>
      <w:r w:rsidR="005C7564" w:rsidRPr="005C7564">
        <w:t>c</w:t>
      </w:r>
      <w:r w:rsidR="000F6285" w:rsidRPr="005C7564">
        <w:t>erulenin</w:t>
      </w:r>
      <w:r w:rsidR="000F6285">
        <w:t xml:space="preserve">, an antifungal antibiotic that </w:t>
      </w:r>
      <w:r w:rsidR="00C51078">
        <w:t>blocks the activity of</w:t>
      </w:r>
      <w:r w:rsidR="00042CB7">
        <w:t xml:space="preserve"> </w:t>
      </w:r>
      <w:r w:rsidR="00042CB7">
        <w:rPr>
          <w:lang w:val="el-GR"/>
        </w:rPr>
        <w:t>β</w:t>
      </w:r>
      <w:r w:rsidR="00042CB7">
        <w:t xml:space="preserve">-ketoacyl acyl carrier proteins (ACP) </w:t>
      </w:r>
      <w:r w:rsidR="00853C9F">
        <w:t>synthetases</w:t>
      </w:r>
      <w:r w:rsidR="00E659C0">
        <w:t xml:space="preserve"> and inhibits lipid synthesis</w:t>
      </w:r>
      <w:r w:rsidR="00042CB7">
        <w:t xml:space="preserve"> </w:t>
      </w:r>
      <w:r w:rsidR="000F6285">
        <w:fldChar w:fldCharType="begin" w:fldLock="1"/>
      </w:r>
      <w:r w:rsidR="00CD3AA4">
        <w:instrText>ADDIN CSL_CITATION {"citationItems":[{"id":"ITEM-1","itemData":{"author":[{"dropping-particle":"","family":"Hata T","given":"","non-dropping-particle":"","parse-names":false,"suffix":""},{"dropping-particle":"","family":"Matsumae A","given":"","non-dropping-particle":"","parse-names":false,"suffix":""},{"dropping-particle":"","family":"Nomura S","given":"","non-dropping-particle":"","parse-names":false,"suffix":""},{"dropping-particle":"","family":"Kim T","given":"","non-dropping-particle":"","parse-names":false,"suffix":""},{"dropping-particle":"","family":"Ryan K","given":"","non-dropping-particle":"","parse-names":false,"suffix":""}],"container-title":"Japanese Journal of Bacteriology","id":"ITEM-1","issued":{"date-parts":[["1960"]]},"page":"1075-1076","title":"Study of new antifungal antibiotic","type":"article-journal","volume":"15"},"uris":["http://www.mendeley.com/documents/?uuid=0062e49a-5084-3b40-a739-2559d0989bfc"]},{"id":"ITEM-2","itemData":{"DOI":"10.1016/0006-291X(72)90397-X","ISSN":"10902104","PMID":"4625866","abstract":"The antibiotic cerulenin is a potent and apparently non-competitive inhibitor of fatty acid synthetase systems isolated from various microorganisms and from rat liver. Cerulenin specifically blocks the activity of β-keto acyl thioester synthetase (condensing enzyme). This effect may account for the inhibition of overall fatty acid synthesis by the antibiotic. © 1972.","author":[{"dropping-particle":"","family":"Vance","given":"D.","non-dropping-particle":"","parse-names":false,"suffix":""},{"dropping-particle":"","family":"Goldberg","given":"I.","non-dropping-particle":"","parse-names":false,"suffix":""},{"dropping-particle":"","family":"Mitsuhashi","given":"O.","non-dropping-particle":"","parse-names":false,"suffix":""},{"dropping-particle":"","family":"Bloch","given":"K.","non-dropping-particle":"","parse-names":false,"suffix":""},{"dropping-particle":"","family":"Omura","given":"Satoshi","non-dropping-particle":"","parse-names":false,"suffix":""},{"dropping-particle":"","family":"Nomura","given":"Setsuzo","non-dropping-particle":"","parse-names":false,"suffix":""}],"container-title":"Biochemical and Biophysical Research Communications","id":"ITEM-2","issue":"3","issued":{"date-parts":[["1972","8","7"]]},"page":"649-656","publisher":"Academic Press","title":"Inhibition of fatty acid synthetases by the antibiotic cerulenin","type":"article-journal","volume":"48"},"uris":["http://www.mendeley.com/documents/?uuid=75319644-1d02-3118-89d4-d79540d485f2"]},{"id":"ITEM-3","itemData":{"DOI":"10.1128/mmbr.40.3.681-697.1976","ISSN":"00053678","PMID":"791237","author":[{"dropping-particle":"","family":"Omura","given":"S.","non-dropping-particle":"","parse-names":false,"suffix":""}],"container-title":"Bacteriological Reviews","id":"ITEM-3","issue":"3","issued":{"date-parts":[["1976"]]},"page":"681-697","publisher":"American Society for Microbiology (ASM)","title":"The antibiotic cerulenin, a novel tool for biochemistry as an inhibitor of fatty acid synthesis","type":"article","volume":"40"},"uris":["http://www.mendeley.com/documents/?uuid=495b24f2-7206-39bf-adfa-e992c621db71"]},{"id":"ITEM-4","itemData":{"DOI":"10.1099/mic.0.28102-0","ISSN":"13500872","abstract":"Cerulenin is an antibiotic that inhibits fatty acid synthesis by covalent modification of the active thiol of the chain-elongation subtypes of β-ketoacyl-acyl carrier protein synthase. It also inhibits other processes that utilize essential thiols. Cerulenin has been widely reported to block protein secretion at sub-MIC levels, an effect that has been postulated to represent interference with membrane function through interference with normal fatty acid synthesis. This study confirms the profound reduction in extracellular proteins caused by low concentrations of the antibiotic, and shows by Northern blot hybridization that this reduction is due to interference with transcription. By exchanging promoters between entB, a gene that is inhibited by cerulenin, and entA, a gene that is not, it was also shown that the antibiotic does not block secretion. Subinhibitory concentrations of cerulenin were also found to block transcriptional activation of at least two regulatory determinants, agr and sae, that function by signal transduction. Interference with the activation of these and other regulatory determinants probably accounts for much of the inhibitory effect on exoprotein production of sub-MIC concentrations of cerulenin. © 2005 SGM.","author":[{"dropping-particle":"","family":"Adhikari","given":"Rajan P.","non-dropping-particle":"","parse-names":false,"suffix":""},{"dropping-particle":"","family":"Novick","given":"Richard P.","non-dropping-particle":"","parse-names":false,"suffix":""}],"container-title":"Microbiology","id":"ITEM-4","issue":"9","issued":{"date-parts":[["2005"]]},"page":"3059-3069","title":"Subinhibitory cerulenin inhibits staphylococcal exoprotein production by blocking transcription rather than by blocking secretion","type":"article-journal","volume":"151"},"uris":["http://www.mendeley.com/documents/?uuid=574d31a7-9aad-43ba-aa77-aad8845944a3"]}],"mendeley":{"formattedCitation":"&lt;sup&gt;[171–174]&lt;/sup&gt;","plainTextFormattedCitation":"[171–174]","previouslyFormattedCitation":"&lt;sup&gt;[171–174]&lt;/sup&gt;"},"properties":{"noteIndex":0},"schema":"https://github.com/citation-style-language/schema/raw/master/csl-citation.json"}</w:instrText>
      </w:r>
      <w:r w:rsidR="000F6285">
        <w:fldChar w:fldCharType="separate"/>
      </w:r>
      <w:r w:rsidR="002659E5" w:rsidRPr="002659E5">
        <w:rPr>
          <w:noProof/>
          <w:vertAlign w:val="superscript"/>
        </w:rPr>
        <w:t>[171–174]</w:t>
      </w:r>
      <w:r w:rsidR="000F6285">
        <w:fldChar w:fldCharType="end"/>
      </w:r>
      <w:r w:rsidR="00E659C0">
        <w:t>. Thereafter</w:t>
      </w:r>
      <w:r w:rsidR="004C4C85">
        <w:t xml:space="preserve">, </w:t>
      </w:r>
      <w:r w:rsidR="00E659C0">
        <w:t>methicillin was co-administrated together with</w:t>
      </w:r>
      <w:r w:rsidR="004C4C85">
        <w:t xml:space="preserve"> </w:t>
      </w:r>
      <w:r w:rsidR="005C7564" w:rsidRPr="005C7564">
        <w:t>m</w:t>
      </w:r>
      <w:r w:rsidR="004C4C85" w:rsidRPr="005C7564">
        <w:t>oenomycin</w:t>
      </w:r>
      <w:r w:rsidR="004C4C85">
        <w:rPr>
          <w:b/>
          <w:bCs/>
        </w:rPr>
        <w:t>,</w:t>
      </w:r>
      <w:r w:rsidR="004C4C85">
        <w:t xml:space="preserve"> a phosphoglycolipid CW antibiotic that inhibits the transglycosylase</w:t>
      </w:r>
      <w:r w:rsidR="004B7E16">
        <w:t>s PBP2</w:t>
      </w:r>
      <w:r w:rsidR="007A2BF7">
        <w:t>,</w:t>
      </w:r>
      <w:r w:rsidR="004B7E16">
        <w:t xml:space="preserve"> SgtB</w:t>
      </w:r>
      <w:r w:rsidR="007A2BF7">
        <w:t xml:space="preserve"> (Mgt) and SgtA</w:t>
      </w:r>
      <w:r w:rsidR="004B7E16">
        <w:t xml:space="preserve"> in </w:t>
      </w:r>
      <w:r w:rsidR="004B7E16">
        <w:rPr>
          <w:i/>
          <w:iCs/>
        </w:rPr>
        <w:t>S. aureus</w:t>
      </w:r>
      <w:r w:rsidR="00C51078">
        <w:t xml:space="preserve"> </w:t>
      </w:r>
      <w:r w:rsidR="004C4C85">
        <w:fldChar w:fldCharType="begin" w:fldLock="1"/>
      </w:r>
      <w:r w:rsidR="0058736C">
        <w:instrText>ADDIN CSL_CITATION {"citationItems":[{"id":"ITEM-1","itemData":{"DOI":"10.1126/science.1136611","ISSN":"00368075","PMID":"17347437","abstract":"Peptidoglycan glycosyltransferases (GTs) catalyze the polymerization step of cell-wall biosynthesis, are membrane-bound, and are highly conserved across all bacteria. Long considered the \"holy grail\" of antibiotic research, they represent an essential and easily accessible drug target for antibiotic-resistant bacteria, including methicillin-resistant Staphylococcus aureus. We have determined the 2.8 angstrom structure of a bifunctional cell-wall cross-linking enzyme, including its transpeptidase and GT domains, both unliganded and complexed with the substrate analog moenomycin. The peptidoglycan GTs adopt a fold distinct from those of other GT classes. The structures give insight into critical features of the catalytic mechanism and key interactions required for enzyme inhibition.","author":[{"dropping-particle":"","family":"Lovering","given":"Andrew L.","non-dropping-particle":"","parse-names":false,"suffix":""},{"dropping-particle":"","family":"Castro","given":"Liza H.","non-dropping-particle":"De","parse-names":false,"suffix":""},{"dropping-particle":"","family":"Lim","given":"Daniel","non-dropping-particle":"","parse-names":false,"suffix":""},{"dropping-particle":"","family":"Strynadka","given":"Natalie C.J.","non-dropping-particle":"","parse-names":false,"suffix":""}],"container-title":"Science","id":"ITEM-1","issue":"5817","issued":{"date-parts":[["2007","3","9"]]},"page":"1402-1405","publisher":"American Association for the Advancement of Science","title":"Structural insight into the transglycosylation step of bacterial cell-wall biosynthesis","type":"article-journal","volume":"315"},"uris":["http://www.mendeley.com/documents/?uuid=77de2f94-68a0-3364-bd3a-db9351cbec89"]},{"id":"ITEM-2","itemData":{"DOI":"10.1021/cb4006744","ISSN":"15548929","PMID":"24255971","abstract":"Staphylococcus aureus is a Gram-positive pathogen with an unusual mode of cell division in that it divides in orthogonal rather than parallel planes. Through selection using moenomycin, an antibiotic proposed to target peptidoglycan glycosyltransferases (PGTs), we have generated resistant mutants containing a single point mutation in the active site of the PGT domain of an essential peptidoglycan (PG) biosynthetic enzyme, PBP2. Using cell free polymerization assays, we show that this mutation alters PGT activity so that much shorter PG chains are made. The same mutation in another S. aureus PGT, SgtB, has a similar effect on glycan chain length. Moenomycin-resistant S. aureus strains containing mutated PGTs that make only short glycan polymers display major cell division defects, implicating PG chain length in determining bacterial cell morphology and division site placement. © 2013 American Chemical Society.","author":[{"dropping-particle":"","family":"Rebets","given":"Yuriy","non-dropping-particle":"","parse-names":false,"suffix":""},{"dropping-particle":"","family":"Lupoli","given":"Tania","non-dropping-particle":"","parse-names":false,"suffix":""},{"dropping-particle":"","family":"Qiao","given":"Yuan","non-dropping-particle":"","parse-names":false,"suffix":""},{"dropping-particle":"","family":"Schirner","given":"Kathrin","non-dropping-particle":"","parse-names":false,"suffix":""},{"dropping-particle":"","family":"Villet","given":"Regis","non-dropping-particle":"","parse-names":false,"suffix":""},{"dropping-particle":"","family":"Hooper","given":"David","non-dropping-particle":"","parse-names":false,"suffix":""},{"dropping-particle":"","family":"Kahne","given":"Daniel","non-dropping-particle":"","parse-names":false,"suffix":""},{"dropping-particle":"","family":"Walker","given":"Suzanne","non-dropping-particle":"","parse-names":false,"suffix":""}],"container-title":"ACS Chemical Biology","id":"ITEM-2","issue":"2","issued":{"date-parts":[["2014"]]},"page":"459-467","title":"Moenomycin resistance mutations in Staphylococcus aureus reduce peptidoglycan chain length and cause aberrant cell division","type":"article-journal","volume":"9"},"uris":["http://www.mendeley.com/documents/?uuid=3b09024d-4adb-3966-b965-0e5dd9f75f79"]}],"mendeley":{"formattedCitation":"&lt;sup&gt;[175,177]&lt;/sup&gt;","plainTextFormattedCitation":"[175,177]","previouslyFormattedCitation":"&lt;sup&gt;[175,177]&lt;/sup&gt;"},"properties":{"noteIndex":0},"schema":"https://github.com/citation-style-language/schema/raw/master/csl-citation.json"}</w:instrText>
      </w:r>
      <w:r w:rsidR="004C4C85">
        <w:fldChar w:fldCharType="separate"/>
      </w:r>
      <w:r w:rsidR="002659E5" w:rsidRPr="002659E5">
        <w:rPr>
          <w:noProof/>
          <w:vertAlign w:val="superscript"/>
        </w:rPr>
        <w:t>[175,177]</w:t>
      </w:r>
      <w:r w:rsidR="004C4C85">
        <w:fldChar w:fldCharType="end"/>
      </w:r>
      <w:r w:rsidR="004C4C85">
        <w:t>.</w:t>
      </w:r>
      <w:r w:rsidR="0065238C">
        <w:t xml:space="preserve"> </w:t>
      </w:r>
      <w:r w:rsidR="00E659C0">
        <w:t>M</w:t>
      </w:r>
      <w:r w:rsidR="00B90F90">
        <w:t>oenomycin</w:t>
      </w:r>
      <w:r w:rsidR="00A53959">
        <w:t xml:space="preserve"> therefore</w:t>
      </w:r>
      <w:r w:rsidR="00B90F90">
        <w:t xml:space="preserve"> stops PG synthesis before the production of its uncrosslinked PG strands. </w:t>
      </w:r>
      <w:r w:rsidR="0065238C">
        <w:t xml:space="preserve">For a detailed description of the mechanism of action of these antibiotics, refer to section </w:t>
      </w:r>
      <w:r w:rsidR="0065238C">
        <w:fldChar w:fldCharType="begin"/>
      </w:r>
      <w:r w:rsidR="0065238C">
        <w:instrText xml:space="preserve"> REF _Ref76216612 \r \h </w:instrText>
      </w:r>
      <w:r w:rsidR="0065238C">
        <w:fldChar w:fldCharType="separate"/>
      </w:r>
      <w:r w:rsidR="00183CC8">
        <w:t>1.7</w:t>
      </w:r>
      <w:r w:rsidR="0065238C">
        <w:fldChar w:fldCharType="end"/>
      </w:r>
      <w:r w:rsidR="0065238C">
        <w:t>.</w:t>
      </w:r>
    </w:p>
    <w:p w14:paraId="62D2F804" w14:textId="35A0649B" w:rsidR="00231EA8" w:rsidRDefault="006D774D" w:rsidP="00231EA8">
      <w:r>
        <w:t xml:space="preserve">The bacteriostatic effect of cerulenin is shown in </w:t>
      </w:r>
      <w:r>
        <w:fldChar w:fldCharType="begin"/>
      </w:r>
      <w:r>
        <w:instrText xml:space="preserve"> REF _Ref70462442 \h </w:instrText>
      </w:r>
      <w:r>
        <w:fldChar w:fldCharType="separate"/>
      </w:r>
      <w:r w:rsidR="00183CC8">
        <w:t xml:space="preserve">Figure </w:t>
      </w:r>
      <w:r w:rsidR="00183CC8">
        <w:rPr>
          <w:noProof/>
        </w:rPr>
        <w:t>5</w:t>
      </w:r>
      <w:r w:rsidR="00183CC8">
        <w:t>.</w:t>
      </w:r>
      <w:r w:rsidR="00183CC8">
        <w:rPr>
          <w:noProof/>
        </w:rPr>
        <w:t>28</w:t>
      </w:r>
      <w:r>
        <w:fldChar w:fldCharType="end"/>
      </w:r>
      <w:r w:rsidR="008A3A82">
        <w:t>a</w:t>
      </w:r>
      <w:r>
        <w:t>.</w:t>
      </w:r>
      <w:r w:rsidR="008A3A82">
        <w:t xml:space="preserve"> Its co-administration with methicillin</w:t>
      </w:r>
      <w:r w:rsidR="00355177">
        <w:t xml:space="preserve"> results in a reduction of the bactericidal effect of this </w:t>
      </w:r>
      <w:r w:rsidR="00355177">
        <w:rPr>
          <w:lang w:val="el-GR"/>
        </w:rPr>
        <w:t>β</w:t>
      </w:r>
      <w:r w:rsidR="00355177">
        <w:t xml:space="preserve">-lactam antibiotic. </w:t>
      </w:r>
      <w:r w:rsidR="007B5A9F">
        <w:t>Morphologically, t</w:t>
      </w:r>
      <w:r w:rsidR="00231EA8">
        <w:t xml:space="preserve">he addition of </w:t>
      </w:r>
      <w:r w:rsidR="00231EA8" w:rsidRPr="00AA6A37">
        <w:t>cerulenin</w:t>
      </w:r>
      <w:r w:rsidR="00645C3C">
        <w:t xml:space="preserve"> </w:t>
      </w:r>
      <w:r w:rsidR="00287CE2">
        <w:t>does not cause an expansion of the exoplasm</w:t>
      </w:r>
      <w:r w:rsidR="008726C1">
        <w:t>ic space</w:t>
      </w:r>
      <w:r w:rsidR="00DA582B">
        <w:t xml:space="preserve"> </w:t>
      </w:r>
      <w:r w:rsidR="00287CE2">
        <w:t xml:space="preserve">except when added jointly </w:t>
      </w:r>
      <w:r w:rsidR="00231EA8">
        <w:t>with methicillin</w:t>
      </w:r>
      <w:r w:rsidR="002A58F5">
        <w:t>,</w:t>
      </w:r>
      <w:r w:rsidR="00287CE2">
        <w:t xml:space="preserve"> where ~51.3 % of the population presents the phenotype in question</w:t>
      </w:r>
      <w:r w:rsidR="00DA582B">
        <w:t xml:space="preserve"> (</w:t>
      </w:r>
      <w:r w:rsidR="00DA582B">
        <w:fldChar w:fldCharType="begin"/>
      </w:r>
      <w:r w:rsidR="00DA582B">
        <w:instrText xml:space="preserve"> REF _Ref70462442 \h </w:instrText>
      </w:r>
      <w:r w:rsidR="00DA582B">
        <w:fldChar w:fldCharType="separate"/>
      </w:r>
      <w:r w:rsidR="00183CC8">
        <w:t xml:space="preserve">Figure </w:t>
      </w:r>
      <w:r w:rsidR="00183CC8">
        <w:rPr>
          <w:noProof/>
        </w:rPr>
        <w:t>5</w:t>
      </w:r>
      <w:r w:rsidR="00183CC8">
        <w:t>.</w:t>
      </w:r>
      <w:r w:rsidR="00183CC8">
        <w:rPr>
          <w:noProof/>
        </w:rPr>
        <w:t>28</w:t>
      </w:r>
      <w:r w:rsidR="00DA582B">
        <w:fldChar w:fldCharType="end"/>
      </w:r>
      <w:r w:rsidR="007B5A9F">
        <w:t>b</w:t>
      </w:r>
      <w:r w:rsidR="00DA582B">
        <w:t xml:space="preserve">, </w:t>
      </w:r>
      <w:r w:rsidR="00DA582B">
        <w:fldChar w:fldCharType="begin"/>
      </w:r>
      <w:r w:rsidR="00DA582B">
        <w:instrText xml:space="preserve"> REF _Ref78365423 \h </w:instrText>
      </w:r>
      <w:r w:rsidR="00DA582B">
        <w:fldChar w:fldCharType="separate"/>
      </w:r>
      <w:r w:rsidR="00183CC8">
        <w:t xml:space="preserve">Figure </w:t>
      </w:r>
      <w:r w:rsidR="00183CC8">
        <w:rPr>
          <w:noProof/>
        </w:rPr>
        <w:t>5</w:t>
      </w:r>
      <w:r w:rsidR="00183CC8">
        <w:t>.</w:t>
      </w:r>
      <w:r w:rsidR="00183CC8">
        <w:rPr>
          <w:noProof/>
        </w:rPr>
        <w:t>29</w:t>
      </w:r>
      <w:r w:rsidR="00DA582B">
        <w:fldChar w:fldCharType="end"/>
      </w:r>
      <w:r w:rsidR="00DA582B">
        <w:t>).</w:t>
      </w:r>
    </w:p>
    <w:p w14:paraId="2B2ACEA1" w14:textId="35E28486" w:rsidR="005B56C6" w:rsidRDefault="005B5E2A" w:rsidP="00231EA8">
      <w:r>
        <w:t xml:space="preserve">The bactericidal effect of moenomycin is shown in </w:t>
      </w:r>
      <w:r>
        <w:fldChar w:fldCharType="begin"/>
      </w:r>
      <w:r>
        <w:instrText xml:space="preserve"> REF _Ref70462450 \h </w:instrText>
      </w:r>
      <w:r>
        <w:fldChar w:fldCharType="separate"/>
      </w:r>
      <w:r w:rsidR="00183CC8">
        <w:t xml:space="preserve">Figure </w:t>
      </w:r>
      <w:r w:rsidR="00183CC8">
        <w:rPr>
          <w:noProof/>
        </w:rPr>
        <w:t>5</w:t>
      </w:r>
      <w:r w:rsidR="00183CC8">
        <w:t>.</w:t>
      </w:r>
      <w:r w:rsidR="00183CC8">
        <w:rPr>
          <w:noProof/>
        </w:rPr>
        <w:t>30</w:t>
      </w:r>
      <w:r>
        <w:fldChar w:fldCharType="end"/>
      </w:r>
      <w:r>
        <w:t xml:space="preserve">a. </w:t>
      </w:r>
      <w:r w:rsidR="00247607">
        <w:t>As with</w:t>
      </w:r>
      <w:r>
        <w:t xml:space="preserve"> vancomycin</w:t>
      </w:r>
      <w:r w:rsidR="00247607">
        <w:t xml:space="preserve"> or cerulenin</w:t>
      </w:r>
      <w:r>
        <w:t xml:space="preserve">, its co-administration with methicillin results in a reduction of the bactericidal effect of this </w:t>
      </w:r>
      <w:r>
        <w:rPr>
          <w:lang w:val="el-GR"/>
        </w:rPr>
        <w:t>β</w:t>
      </w:r>
      <w:r>
        <w:t xml:space="preserve">-lactam antibiotic. </w:t>
      </w:r>
      <w:r w:rsidR="00231EA8">
        <w:t xml:space="preserve">TEM control micrographs of </w:t>
      </w:r>
      <w:r w:rsidR="00231EA8" w:rsidRPr="00AA6A37">
        <w:t>moenomycin</w:t>
      </w:r>
      <w:r w:rsidR="00231EA8">
        <w:t xml:space="preserve"> treated cells show a particular phenotype that corresponds to</w:t>
      </w:r>
      <w:r w:rsidR="00801AB8">
        <w:t xml:space="preserve"> a</w:t>
      </w:r>
      <w:r w:rsidR="00231EA8">
        <w:t xml:space="preserve"> thin</w:t>
      </w:r>
      <w:r w:rsidR="00801AB8">
        <w:t>ner</w:t>
      </w:r>
      <w:r w:rsidR="00231EA8">
        <w:t xml:space="preserve"> CW and rounded-shaped septa (</w:t>
      </w:r>
      <w:r w:rsidR="00E412A7">
        <w:fldChar w:fldCharType="begin"/>
      </w:r>
      <w:r w:rsidR="00E412A7">
        <w:instrText xml:space="preserve"> REF _Ref78367586 \h </w:instrText>
      </w:r>
      <w:r w:rsidR="00E412A7">
        <w:fldChar w:fldCharType="separate"/>
      </w:r>
      <w:r w:rsidR="00183CC8">
        <w:t xml:space="preserve">Figure </w:t>
      </w:r>
      <w:r w:rsidR="00183CC8">
        <w:rPr>
          <w:noProof/>
        </w:rPr>
        <w:t>5</w:t>
      </w:r>
      <w:r w:rsidR="00183CC8">
        <w:t>.</w:t>
      </w:r>
      <w:r w:rsidR="00183CC8">
        <w:rPr>
          <w:noProof/>
        </w:rPr>
        <w:t>31</w:t>
      </w:r>
      <w:r w:rsidR="00E412A7">
        <w:fldChar w:fldCharType="end"/>
      </w:r>
      <w:r w:rsidR="00231EA8">
        <w:t>)</w:t>
      </w:r>
      <w:r w:rsidR="00E20920">
        <w:t>, h</w:t>
      </w:r>
      <w:r w:rsidR="00231EA8">
        <w:t xml:space="preserve">owever, </w:t>
      </w:r>
      <w:r w:rsidR="00E20920">
        <w:t>they</w:t>
      </w:r>
      <w:r w:rsidR="00231EA8">
        <w:t xml:space="preserve"> do not include the expansion of the exoplasm</w:t>
      </w:r>
      <w:r w:rsidR="00E5506A">
        <w:t>ic space</w:t>
      </w:r>
      <w:r w:rsidR="00231EA8">
        <w:t xml:space="preserve"> seen </w:t>
      </w:r>
      <w:r w:rsidR="00E20920">
        <w:t>with</w:t>
      </w:r>
      <w:r w:rsidR="00231EA8">
        <w:t xml:space="preserve"> methicillin-treated cells (</w:t>
      </w:r>
      <w:r w:rsidR="00443287">
        <w:fldChar w:fldCharType="begin"/>
      </w:r>
      <w:r w:rsidR="00443287">
        <w:instrText xml:space="preserve"> REF _Ref70462450 \h </w:instrText>
      </w:r>
      <w:r w:rsidR="00443287">
        <w:fldChar w:fldCharType="separate"/>
      </w:r>
      <w:r w:rsidR="00183CC8">
        <w:t xml:space="preserve">Figure </w:t>
      </w:r>
      <w:r w:rsidR="00183CC8">
        <w:rPr>
          <w:noProof/>
        </w:rPr>
        <w:t>5</w:t>
      </w:r>
      <w:r w:rsidR="00183CC8">
        <w:t>.</w:t>
      </w:r>
      <w:r w:rsidR="00183CC8">
        <w:rPr>
          <w:noProof/>
        </w:rPr>
        <w:t>30</w:t>
      </w:r>
      <w:r w:rsidR="00443287">
        <w:fldChar w:fldCharType="end"/>
      </w:r>
      <w:r>
        <w:t>b</w:t>
      </w:r>
      <w:r w:rsidR="00231EA8">
        <w:t xml:space="preserve">). </w:t>
      </w:r>
      <w:r w:rsidR="00801AB8">
        <w:t>I</w:t>
      </w:r>
      <w:r w:rsidR="00886328">
        <w:t>mportantly</w:t>
      </w:r>
      <w:r w:rsidR="00231EA8">
        <w:t>, 37</w:t>
      </w:r>
      <w:r w:rsidR="00287CE2">
        <w:t> </w:t>
      </w:r>
      <w:r w:rsidR="00231EA8">
        <w:t>% of cells incubated with</w:t>
      </w:r>
      <w:r w:rsidR="008C5A61">
        <w:t xml:space="preserve"> both</w:t>
      </w:r>
      <w:r w:rsidR="00231EA8">
        <w:t xml:space="preserve"> moenomycin and methicillin show </w:t>
      </w:r>
      <w:r w:rsidR="008C5A61">
        <w:t xml:space="preserve">clear </w:t>
      </w:r>
      <w:r w:rsidR="00231EA8">
        <w:t xml:space="preserve">signs of </w:t>
      </w:r>
      <w:r w:rsidR="003129ED">
        <w:t>“plasmolysis”</w:t>
      </w:r>
      <w:r w:rsidR="00443287">
        <w:t xml:space="preserve"> (</w:t>
      </w:r>
      <w:r w:rsidR="00443287">
        <w:fldChar w:fldCharType="begin"/>
      </w:r>
      <w:r w:rsidR="00443287">
        <w:instrText xml:space="preserve"> REF _Ref70462450 \h </w:instrText>
      </w:r>
      <w:r w:rsidR="00443287">
        <w:fldChar w:fldCharType="separate"/>
      </w:r>
      <w:r w:rsidR="00183CC8">
        <w:t xml:space="preserve">Figure </w:t>
      </w:r>
      <w:r w:rsidR="00183CC8">
        <w:rPr>
          <w:noProof/>
        </w:rPr>
        <w:t>5</w:t>
      </w:r>
      <w:r w:rsidR="00183CC8">
        <w:t>.</w:t>
      </w:r>
      <w:r w:rsidR="00183CC8">
        <w:rPr>
          <w:noProof/>
        </w:rPr>
        <w:t>30</w:t>
      </w:r>
      <w:r w:rsidR="00443287">
        <w:fldChar w:fldCharType="end"/>
      </w:r>
      <w:r>
        <w:t>b</w:t>
      </w:r>
      <w:r w:rsidR="00E412A7">
        <w:t xml:space="preserve">, </w:t>
      </w:r>
      <w:r w:rsidR="00E412A7">
        <w:fldChar w:fldCharType="begin"/>
      </w:r>
      <w:r w:rsidR="00E412A7">
        <w:instrText xml:space="preserve"> REF _Ref78367586 \h </w:instrText>
      </w:r>
      <w:r w:rsidR="00E412A7">
        <w:fldChar w:fldCharType="separate"/>
      </w:r>
      <w:r w:rsidR="00183CC8">
        <w:t xml:space="preserve">Figure </w:t>
      </w:r>
      <w:r w:rsidR="00183CC8">
        <w:rPr>
          <w:noProof/>
        </w:rPr>
        <w:t>5</w:t>
      </w:r>
      <w:r w:rsidR="00183CC8">
        <w:t>.</w:t>
      </w:r>
      <w:r w:rsidR="00183CC8">
        <w:rPr>
          <w:noProof/>
        </w:rPr>
        <w:t>31</w:t>
      </w:r>
      <w:r w:rsidR="00E412A7">
        <w:fldChar w:fldCharType="end"/>
      </w:r>
      <w:r w:rsidR="00443287">
        <w:t>)</w:t>
      </w:r>
      <w:r w:rsidR="003A4118">
        <w:t>.</w:t>
      </w:r>
    </w:p>
    <w:p w14:paraId="3C18009F" w14:textId="0961C142" w:rsidR="003A4118" w:rsidRDefault="003A4118" w:rsidP="00231EA8">
      <w:r>
        <w:t xml:space="preserve">These results </w:t>
      </w:r>
      <w:r w:rsidR="000D443E">
        <w:t>show</w:t>
      </w:r>
      <w:r>
        <w:t xml:space="preserve"> that:</w:t>
      </w:r>
    </w:p>
    <w:p w14:paraId="20251AD4" w14:textId="6DDC220F" w:rsidR="003A4118" w:rsidRDefault="003A4118" w:rsidP="00A840CD">
      <w:pPr>
        <w:pStyle w:val="ListParagraph"/>
        <w:numPr>
          <w:ilvl w:val="0"/>
          <w:numId w:val="37"/>
        </w:numPr>
        <w:spacing w:line="360" w:lineRule="auto"/>
        <w:sectPr w:rsidR="003A4118" w:rsidSect="004D0E05">
          <w:pgSz w:w="11906" w:h="16838"/>
          <w:pgMar w:top="1191" w:right="1247" w:bottom="1191" w:left="1247" w:header="709" w:footer="709" w:gutter="0"/>
          <w:cols w:space="708"/>
          <w:titlePg/>
          <w:docGrid w:linePitch="360"/>
        </w:sectPr>
      </w:pPr>
      <w:r>
        <w:t>Neither lipid or uncrosslinked PG precursors are accumulating in the exoplasmic space to a degree capable of causing the separation of the plasma membrane from the cell wall.</w:t>
      </w:r>
    </w:p>
    <w:p w14:paraId="7E21A390" w14:textId="77777777" w:rsidR="005B56C6" w:rsidRDefault="005B56C6" w:rsidP="005B56C6">
      <w:pPr>
        <w:keepNext/>
        <w:jc w:val="center"/>
      </w:pPr>
      <w:r>
        <w:rPr>
          <w:noProof/>
        </w:rPr>
        <w:lastRenderedPageBreak/>
        <w:drawing>
          <wp:inline distT="0" distB="0" distL="0" distR="0" wp14:anchorId="1A69FC89" wp14:editId="43774FCF">
            <wp:extent cx="5574425" cy="5742423"/>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597409" cy="5766099"/>
                    </a:xfrm>
                    <a:prstGeom prst="rect">
                      <a:avLst/>
                    </a:prstGeom>
                  </pic:spPr>
                </pic:pic>
              </a:graphicData>
            </a:graphic>
          </wp:inline>
        </w:drawing>
      </w:r>
    </w:p>
    <w:p w14:paraId="2BD41711" w14:textId="560C5EAC" w:rsidR="00231EA8" w:rsidRDefault="005B56C6" w:rsidP="008A2B86">
      <w:pPr>
        <w:pStyle w:val="Caption"/>
      </w:pPr>
      <w:bookmarkStart w:id="784" w:name="_Ref70462442"/>
      <w:bookmarkStart w:id="785" w:name="_Toc90217013"/>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w:instrText>
      </w:r>
      <w:r w:rsidR="003373BF">
        <w:instrText xml:space="preserve"> 1 </w:instrText>
      </w:r>
      <w:r w:rsidR="003373BF">
        <w:fldChar w:fldCharType="separate"/>
      </w:r>
      <w:r w:rsidR="00183CC8">
        <w:rPr>
          <w:noProof/>
        </w:rPr>
        <w:t>28</w:t>
      </w:r>
      <w:r w:rsidR="003373BF">
        <w:rPr>
          <w:noProof/>
        </w:rPr>
        <w:fldChar w:fldCharType="end"/>
      </w:r>
      <w:bookmarkEnd w:id="784"/>
      <w:r>
        <w:t xml:space="preserve"> Effect of cerulenin with and without methicillin on </w:t>
      </w:r>
      <w:r>
        <w:rPr>
          <w:i/>
        </w:rPr>
        <w:t>S. aureus</w:t>
      </w:r>
      <w:r>
        <w:t xml:space="preserve"> </w:t>
      </w:r>
      <w:r w:rsidR="00217E82">
        <w:t>morphology, survival and division</w:t>
      </w:r>
      <w:r>
        <w:t>.</w:t>
      </w:r>
      <w:bookmarkEnd w:id="785"/>
    </w:p>
    <w:p w14:paraId="589C27D6" w14:textId="0991F27A" w:rsidR="009521CA" w:rsidRDefault="00217E82" w:rsidP="00217E82">
      <w:pPr>
        <w:pStyle w:val="NoSpacing"/>
        <w:sectPr w:rsidR="009521CA" w:rsidSect="004D0E05">
          <w:pgSz w:w="11906" w:h="16838"/>
          <w:pgMar w:top="1191" w:right="1247" w:bottom="1191" w:left="1247" w:header="709" w:footer="709" w:gutter="0"/>
          <w:cols w:space="708"/>
          <w:titlePg/>
          <w:docGrid w:linePitch="360"/>
        </w:sectPr>
      </w:pPr>
      <w:r>
        <w:rPr>
          <w:b/>
          <w:bCs/>
        </w:rPr>
        <w:t>(</w:t>
      </w:r>
      <w:r w:rsidR="004B6A11">
        <w:rPr>
          <w:b/>
          <w:bCs/>
        </w:rPr>
        <w:t>A</w:t>
      </w:r>
      <w:r>
        <w:rPr>
          <w:b/>
          <w:bCs/>
        </w:rPr>
        <w:t>)</w:t>
      </w:r>
      <w:r>
        <w:t xml:space="preserve"> </w:t>
      </w:r>
      <w:r w:rsidRPr="00054E4A">
        <w:t>Normalised</w:t>
      </w:r>
      <w:r>
        <w:rPr>
          <w:lang w:val="en-US"/>
        </w:rPr>
        <w:t xml:space="preserve"> percentage s</w:t>
      </w:r>
      <w:r w:rsidRPr="0080704D">
        <w:rPr>
          <w:lang w:val="en-US"/>
        </w:rPr>
        <w:t xml:space="preserve">urvival of </w:t>
      </w:r>
      <w:r w:rsidR="004B6A11">
        <w:rPr>
          <w:i/>
          <w:iCs/>
          <w:lang w:val="en-US"/>
        </w:rPr>
        <w:t>S. aureus</w:t>
      </w:r>
      <w:r w:rsidR="004B6A11">
        <w:rPr>
          <w:lang w:val="en-US"/>
        </w:rPr>
        <w:t xml:space="preserve"> SH1000</w:t>
      </w:r>
      <w:r w:rsidRPr="0080704D">
        <w:rPr>
          <w:lang w:val="en-US"/>
        </w:rPr>
        <w:t xml:space="preserve"> </w:t>
      </w:r>
      <w:r w:rsidR="004B6A11">
        <w:rPr>
          <w:lang w:val="en-US"/>
        </w:rPr>
        <w:t xml:space="preserve">treated with </w:t>
      </w:r>
      <w:r w:rsidR="004B6A11">
        <w:t>100 µg/ml (1.3X MIC)</w:t>
      </w:r>
      <w:r w:rsidR="004B6A11">
        <w:rPr>
          <w:b/>
          <w:bCs/>
        </w:rPr>
        <w:t xml:space="preserve"> </w:t>
      </w:r>
      <w:r w:rsidR="004B6A11">
        <w:t xml:space="preserve">cerulenin (green), 10X MIC methicillin (red), and both (grey) </w:t>
      </w:r>
      <w:r>
        <w:rPr>
          <w:lang w:val="en-US"/>
        </w:rPr>
        <w:t xml:space="preserve">(3 biological repeats). Experiment carried out by Dr. Bartlomiej Salamaga. </w:t>
      </w:r>
      <w:r>
        <w:rPr>
          <w:b/>
          <w:bCs/>
          <w:lang w:val="en-US"/>
        </w:rPr>
        <w:t>(</w:t>
      </w:r>
      <w:r w:rsidR="00B8199F">
        <w:rPr>
          <w:b/>
          <w:bCs/>
          <w:lang w:val="en-US"/>
        </w:rPr>
        <w:t>B</w:t>
      </w:r>
      <w:r>
        <w:rPr>
          <w:b/>
          <w:bCs/>
          <w:lang w:val="en-US"/>
        </w:rPr>
        <w:t>)</w:t>
      </w:r>
      <w:r>
        <w:rPr>
          <w:lang w:val="en-US"/>
        </w:rPr>
        <w:t xml:space="preserve"> </w:t>
      </w:r>
      <w:r>
        <w:t>Morphological quantification of the control</w:t>
      </w:r>
      <w:r w:rsidR="001934F1">
        <w:rPr>
          <w:i/>
          <w:iCs/>
        </w:rPr>
        <w:t xml:space="preserve"> </w:t>
      </w:r>
      <w:r w:rsidR="001934F1" w:rsidRPr="00570A71">
        <w:t>(</w:t>
      </w:r>
      <w:r w:rsidR="001934F1">
        <w:t xml:space="preserve">2 biological repeats, </w:t>
      </w:r>
      <w:r w:rsidR="001934F1">
        <w:rPr>
          <w:i/>
          <w:iCs/>
        </w:rPr>
        <w:t>n</w:t>
      </w:r>
      <w:r w:rsidR="001934F1">
        <w:t> = 905)</w:t>
      </w:r>
      <w:r>
        <w:t>, methicillin (</w:t>
      </w:r>
      <w:r w:rsidR="001934F1">
        <w:t xml:space="preserve">3 biological repeat, </w:t>
      </w:r>
      <w:r w:rsidR="001934F1">
        <w:rPr>
          <w:i/>
          <w:iCs/>
        </w:rPr>
        <w:t>n</w:t>
      </w:r>
      <w:r w:rsidR="001934F1" w:rsidRPr="00D40C1B">
        <w:t> = 913</w:t>
      </w:r>
      <w:r>
        <w:t xml:space="preserve">), </w:t>
      </w:r>
      <w:r w:rsidR="001934F1">
        <w:t>cerulenin</w:t>
      </w:r>
      <w:r>
        <w:t xml:space="preserve"> (</w:t>
      </w:r>
      <w:r w:rsidR="001934F1">
        <w:t xml:space="preserve">2 biological repeats, </w:t>
      </w:r>
      <w:r>
        <w:rPr>
          <w:i/>
          <w:iCs/>
        </w:rPr>
        <w:t>n</w:t>
      </w:r>
      <w:r>
        <w:t> = </w:t>
      </w:r>
      <w:r w:rsidR="001934F1">
        <w:t>1061</w:t>
      </w:r>
      <w:r>
        <w:t xml:space="preserve">), and </w:t>
      </w:r>
      <w:r w:rsidR="001934F1">
        <w:t>cerulenin</w:t>
      </w:r>
      <w:r>
        <w:t xml:space="preserve"> plus methicillin (</w:t>
      </w:r>
      <w:r w:rsidR="000E3668">
        <w:t xml:space="preserve">2 biological repeats, </w:t>
      </w:r>
      <w:r>
        <w:rPr>
          <w:i/>
          <w:iCs/>
        </w:rPr>
        <w:t>n</w:t>
      </w:r>
      <w:r>
        <w:t> = </w:t>
      </w:r>
      <w:r w:rsidR="001934F1">
        <w:t>747</w:t>
      </w:r>
      <w:r>
        <w:t>) as indicated. No sept</w:t>
      </w:r>
      <w:r w:rsidR="00A23C4B">
        <w:t>um</w:t>
      </w:r>
      <w:r>
        <w:t>– dark green, incomplete sept</w:t>
      </w:r>
      <w:r w:rsidR="00A23C4B">
        <w:t>um</w:t>
      </w:r>
      <w:r>
        <w:t>– medium green, complete sept</w:t>
      </w:r>
      <w:r w:rsidR="00A23C4B">
        <w:t>um</w:t>
      </w:r>
      <w:r>
        <w:t xml:space="preserve">– light green, </w:t>
      </w:r>
      <w:r w:rsidR="003129ED">
        <w:t>“plasmolysis”</w:t>
      </w:r>
      <w:r>
        <w:t xml:space="preserve">– orange, </w:t>
      </w:r>
      <w:r w:rsidR="00A23C4B">
        <w:t xml:space="preserve">and </w:t>
      </w:r>
      <w:r>
        <w:t xml:space="preserve">growth defects– yellow. </w:t>
      </w:r>
      <w:r>
        <w:rPr>
          <w:b/>
          <w:bCs/>
        </w:rPr>
        <w:t>(</w:t>
      </w:r>
      <w:r w:rsidR="00B8199F">
        <w:rPr>
          <w:b/>
          <w:bCs/>
        </w:rPr>
        <w:t>C</w:t>
      </w:r>
      <w:r>
        <w:rPr>
          <w:b/>
          <w:bCs/>
        </w:rPr>
        <w:t>)</w:t>
      </w:r>
      <w:r>
        <w:t xml:space="preserve"> Compositional analysis of </w:t>
      </w:r>
      <w:r w:rsidR="00C76542">
        <w:t xml:space="preserve">cerulenin plus </w:t>
      </w:r>
      <w:r>
        <w:t xml:space="preserve">methicillin treated cells in </w:t>
      </w:r>
      <w:r w:rsidRPr="003129ED">
        <w:t>(</w:t>
      </w:r>
      <w:r w:rsidR="00B8199F">
        <w:t>B</w:t>
      </w:r>
      <w:r w:rsidRPr="003129ED">
        <w:t>)</w:t>
      </w:r>
      <w:r w:rsidR="003129ED">
        <w:t xml:space="preserve"> presenting signs of “plasmolysis”</w:t>
      </w:r>
      <w:r>
        <w:t>. No sept</w:t>
      </w:r>
      <w:r w:rsidR="00A23C4B">
        <w:t>um</w:t>
      </w:r>
      <w:r>
        <w:t>– dark orange, incomplete sept</w:t>
      </w:r>
      <w:r w:rsidR="00A23C4B">
        <w:t>um</w:t>
      </w:r>
      <w:r>
        <w:t>– medium orange, complete sept</w:t>
      </w:r>
      <w:r w:rsidR="00A23C4B">
        <w:t>um</w:t>
      </w:r>
      <w:r>
        <w:t>– light orange (</w:t>
      </w:r>
      <w:r>
        <w:rPr>
          <w:i/>
          <w:iCs/>
        </w:rPr>
        <w:t>n </w:t>
      </w:r>
      <w:r>
        <w:t>= </w:t>
      </w:r>
      <w:r w:rsidR="00C76542">
        <w:t>383</w:t>
      </w:r>
      <w:r w:rsidR="008F782B">
        <w:t>).</w:t>
      </w:r>
    </w:p>
    <w:p w14:paraId="281E6D33" w14:textId="77777777" w:rsidR="009521CA" w:rsidRDefault="009521CA" w:rsidP="00CB332E">
      <w:pPr>
        <w:pStyle w:val="NoSpacing"/>
        <w:keepNext/>
        <w:jc w:val="center"/>
      </w:pPr>
      <w:r>
        <w:rPr>
          <w:noProof/>
        </w:rPr>
        <w:lastRenderedPageBreak/>
        <w:drawing>
          <wp:inline distT="0" distB="0" distL="0" distR="0" wp14:anchorId="3E04E294" wp14:editId="76AB5420">
            <wp:extent cx="5901747" cy="5613129"/>
            <wp:effectExtent l="0" t="0" r="3810" b="63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01747" cy="5613129"/>
                    </a:xfrm>
                    <a:prstGeom prst="rect">
                      <a:avLst/>
                    </a:prstGeom>
                  </pic:spPr>
                </pic:pic>
              </a:graphicData>
            </a:graphic>
          </wp:inline>
        </w:drawing>
      </w:r>
    </w:p>
    <w:p w14:paraId="41B050A6" w14:textId="241865E8" w:rsidR="00217E82" w:rsidRDefault="009521CA" w:rsidP="008A2B86">
      <w:pPr>
        <w:pStyle w:val="Caption"/>
      </w:pPr>
      <w:bookmarkStart w:id="786" w:name="_Ref78365423"/>
      <w:bookmarkStart w:id="787" w:name="_Toc90217014"/>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29</w:t>
      </w:r>
      <w:r w:rsidR="003373BF">
        <w:rPr>
          <w:noProof/>
        </w:rPr>
        <w:fldChar w:fldCharType="end"/>
      </w:r>
      <w:bookmarkEnd w:id="786"/>
      <w:r w:rsidR="00572726">
        <w:t xml:space="preserve"> TEM micrographs of cerulenin </w:t>
      </w:r>
      <w:r w:rsidR="00907B67">
        <w:t xml:space="preserve">treatment </w:t>
      </w:r>
      <w:r w:rsidR="00572726">
        <w:t>with /without methicillin</w:t>
      </w:r>
      <w:r w:rsidR="00907B67">
        <w:t xml:space="preserve"> </w:t>
      </w:r>
      <w:r w:rsidR="00572726">
        <w:t xml:space="preserve">on </w:t>
      </w:r>
      <w:r w:rsidR="00572726">
        <w:rPr>
          <w:i/>
        </w:rPr>
        <w:t>S. aureus</w:t>
      </w:r>
      <w:r w:rsidR="00572726">
        <w:t>.</w:t>
      </w:r>
      <w:bookmarkEnd w:id="787"/>
    </w:p>
    <w:p w14:paraId="49FCA73F" w14:textId="1EEDB475" w:rsidR="00ED3420" w:rsidRPr="00ED3420" w:rsidRDefault="00ED3420" w:rsidP="00ED3420">
      <w:pPr>
        <w:pStyle w:val="NoSpacing"/>
        <w:sectPr w:rsidR="00ED3420" w:rsidRPr="00ED3420" w:rsidSect="004D0E05">
          <w:pgSz w:w="11906" w:h="16838"/>
          <w:pgMar w:top="1191" w:right="1247" w:bottom="1191" w:left="1247" w:header="709" w:footer="709" w:gutter="0"/>
          <w:cols w:space="708"/>
          <w:titlePg/>
          <w:docGrid w:linePitch="360"/>
        </w:sectPr>
      </w:pPr>
      <w:r>
        <w:t xml:space="preserve">TEM micrographs of chemically fixed thin sections </w:t>
      </w:r>
      <w:r>
        <w:rPr>
          <w:i/>
          <w:iCs/>
        </w:rPr>
        <w:t>S. aureus</w:t>
      </w:r>
      <w:r>
        <w:t xml:space="preserve"> SH100</w:t>
      </w:r>
      <w:r>
        <w:rPr>
          <w:b/>
          <w:bCs/>
        </w:rPr>
        <w:t xml:space="preserve"> </w:t>
      </w:r>
      <w:r>
        <w:t xml:space="preserve">treated for 1 h with </w:t>
      </w:r>
      <w:r w:rsidR="005C16D4">
        <w:rPr>
          <w:b/>
          <w:bCs/>
        </w:rPr>
        <w:t xml:space="preserve">(A) </w:t>
      </w:r>
      <w:r w:rsidR="005C16D4">
        <w:t>100 µg/ml (</w:t>
      </w:r>
      <w:r>
        <w:t>1</w:t>
      </w:r>
      <w:r w:rsidR="005C16D4">
        <w:t>.3</w:t>
      </w:r>
      <w:r>
        <w:t>X MIC</w:t>
      </w:r>
      <w:r w:rsidR="005C16D4">
        <w:t>)</w:t>
      </w:r>
      <w:r>
        <w:rPr>
          <w:b/>
          <w:bCs/>
        </w:rPr>
        <w:t xml:space="preserve"> </w:t>
      </w:r>
      <w:r>
        <w:t xml:space="preserve">cerulenin and </w:t>
      </w:r>
      <w:r>
        <w:rPr>
          <w:b/>
          <w:bCs/>
        </w:rPr>
        <w:t>(B)</w:t>
      </w:r>
      <w:r>
        <w:t xml:space="preserve"> cerulenin plus methicillin. High magnification (4800x), scale bar 1 µm. </w:t>
      </w:r>
      <w:r>
        <w:rPr>
          <w:b/>
          <w:bCs/>
        </w:rPr>
        <w:t xml:space="preserve">(C) </w:t>
      </w:r>
      <w:r>
        <w:t xml:space="preserve">Representative cells from </w:t>
      </w:r>
      <w:r w:rsidRPr="002C20DD">
        <w:t>(B)</w:t>
      </w:r>
      <w:r>
        <w:rPr>
          <w:b/>
          <w:bCs/>
        </w:rPr>
        <w:t xml:space="preserve"> </w:t>
      </w:r>
      <w:r>
        <w:t>cropped from high magnification (4800x), scale bar 200 nm. pm– plasma membrane, cw– cell wall, ex– exoplasmic space. No sept</w:t>
      </w:r>
      <w:r w:rsidR="00F92A17">
        <w:t>um</w:t>
      </w:r>
      <w:r>
        <w:softHyphen/>
        <w:t>– dark orange, incomplete sept</w:t>
      </w:r>
      <w:r w:rsidR="00F92A17">
        <w:t>um</w:t>
      </w:r>
      <w:r>
        <w:t>– medium orange, and complete sept</w:t>
      </w:r>
      <w:r w:rsidR="00F92A17">
        <w:t>um</w:t>
      </w:r>
      <w:r>
        <w:t>– light orange.</w:t>
      </w:r>
      <w:r w:rsidRPr="00C23BDE">
        <w:t xml:space="preserve"> </w:t>
      </w:r>
      <w:r w:rsidR="00802B7F">
        <w:t>Red</w:t>
      </w:r>
      <w:r>
        <w:t xml:space="preserve"> arrows indicate areas where the exoplasmic space </w:t>
      </w:r>
      <w:r w:rsidR="00DB49CF">
        <w:t>is</w:t>
      </w:r>
      <w:r>
        <w:t xml:space="preserve"> expanded</w:t>
      </w:r>
      <w:r w:rsidR="009B7E00">
        <w:t>.</w:t>
      </w:r>
    </w:p>
    <w:p w14:paraId="31C648B0" w14:textId="77777777" w:rsidR="005B56C6" w:rsidRDefault="005B56C6" w:rsidP="00BF5B26">
      <w:pPr>
        <w:pStyle w:val="NoSpacing"/>
        <w:keepNext/>
        <w:jc w:val="center"/>
      </w:pPr>
      <w:r>
        <w:rPr>
          <w:noProof/>
        </w:rPr>
        <w:lastRenderedPageBreak/>
        <w:drawing>
          <wp:inline distT="0" distB="0" distL="0" distR="0" wp14:anchorId="3EC0CB3B" wp14:editId="03ED3AC1">
            <wp:extent cx="5670132" cy="5586543"/>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683636" cy="5599848"/>
                    </a:xfrm>
                    <a:prstGeom prst="rect">
                      <a:avLst/>
                    </a:prstGeom>
                  </pic:spPr>
                </pic:pic>
              </a:graphicData>
            </a:graphic>
          </wp:inline>
        </w:drawing>
      </w:r>
    </w:p>
    <w:p w14:paraId="280C16D8" w14:textId="1EA6CD88" w:rsidR="005B56C6" w:rsidRDefault="005B56C6" w:rsidP="008A2B86">
      <w:pPr>
        <w:pStyle w:val="Caption"/>
      </w:pPr>
      <w:bookmarkStart w:id="788" w:name="_Ref70462450"/>
      <w:bookmarkStart w:id="789" w:name="_Toc90217015"/>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30</w:t>
      </w:r>
      <w:r w:rsidR="003373BF">
        <w:rPr>
          <w:noProof/>
        </w:rPr>
        <w:fldChar w:fldCharType="end"/>
      </w:r>
      <w:bookmarkEnd w:id="788"/>
      <w:r>
        <w:t xml:space="preserve"> Effect of moenomycin with and without methicillin on </w:t>
      </w:r>
      <w:r>
        <w:rPr>
          <w:i/>
        </w:rPr>
        <w:t>S. aureus</w:t>
      </w:r>
      <w:r>
        <w:t xml:space="preserve"> </w:t>
      </w:r>
      <w:r w:rsidR="00217E82">
        <w:t>morphology, survival and division</w:t>
      </w:r>
      <w:r>
        <w:t>.</w:t>
      </w:r>
      <w:bookmarkEnd w:id="789"/>
    </w:p>
    <w:p w14:paraId="3326E294" w14:textId="716785DE" w:rsidR="00D010B4" w:rsidRDefault="007C4588" w:rsidP="007C4588">
      <w:pPr>
        <w:pStyle w:val="NoSpacing"/>
        <w:sectPr w:rsidR="00D010B4" w:rsidSect="004D0E05">
          <w:pgSz w:w="11906" w:h="16838"/>
          <w:pgMar w:top="1191" w:right="1247" w:bottom="1191" w:left="1247" w:header="709" w:footer="709" w:gutter="0"/>
          <w:cols w:space="708"/>
          <w:titlePg/>
          <w:docGrid w:linePitch="360"/>
        </w:sectPr>
      </w:pPr>
      <w:r>
        <w:rPr>
          <w:b/>
          <w:bCs/>
        </w:rPr>
        <w:t>(</w:t>
      </w:r>
      <w:r w:rsidR="0043641D">
        <w:rPr>
          <w:b/>
          <w:bCs/>
        </w:rPr>
        <w:t>A</w:t>
      </w:r>
      <w:r>
        <w:rPr>
          <w:b/>
          <w:bCs/>
        </w:rPr>
        <w:t>)</w:t>
      </w:r>
      <w:r>
        <w:t xml:space="preserve"> </w:t>
      </w:r>
      <w:r w:rsidRPr="00054E4A">
        <w:t>Normalised</w:t>
      </w:r>
      <w:r>
        <w:rPr>
          <w:lang w:val="en-US"/>
        </w:rPr>
        <w:t xml:space="preserve"> percentage s</w:t>
      </w:r>
      <w:r w:rsidRPr="0080704D">
        <w:rPr>
          <w:lang w:val="en-US"/>
        </w:rPr>
        <w:t xml:space="preserve">urvival of </w:t>
      </w:r>
      <w:r w:rsidR="007902F8">
        <w:rPr>
          <w:i/>
          <w:iCs/>
          <w:lang w:val="en-US"/>
        </w:rPr>
        <w:t>S. aureus</w:t>
      </w:r>
      <w:r w:rsidR="007902F8">
        <w:rPr>
          <w:lang w:val="en-US"/>
        </w:rPr>
        <w:t xml:space="preserve"> SH1000</w:t>
      </w:r>
      <w:r w:rsidR="007902F8" w:rsidRPr="0080704D">
        <w:rPr>
          <w:lang w:val="en-US"/>
        </w:rPr>
        <w:t xml:space="preserve"> </w:t>
      </w:r>
      <w:r w:rsidR="007902F8">
        <w:rPr>
          <w:lang w:val="en-US"/>
        </w:rPr>
        <w:t>treated with 2</w:t>
      </w:r>
      <w:r w:rsidR="007902F8">
        <w:t> µg/ml (10X MIC)</w:t>
      </w:r>
      <w:r w:rsidR="007902F8">
        <w:rPr>
          <w:b/>
          <w:bCs/>
        </w:rPr>
        <w:t xml:space="preserve"> </w:t>
      </w:r>
      <w:r w:rsidR="007902F8">
        <w:t xml:space="preserve">moenomycin (teal), 10X MIC methicillin (red), and both (grey) </w:t>
      </w:r>
      <w:r w:rsidRPr="0080704D">
        <w:rPr>
          <w:lang w:val="en-US"/>
        </w:rPr>
        <w:t>cells</w:t>
      </w:r>
      <w:r>
        <w:rPr>
          <w:lang w:val="en-US"/>
        </w:rPr>
        <w:t xml:space="preserve"> (3 biological repeats). Experiment carried out by Dr. Bartlomiej Salamaga. </w:t>
      </w:r>
      <w:r>
        <w:rPr>
          <w:b/>
          <w:bCs/>
          <w:lang w:val="en-US"/>
        </w:rPr>
        <w:t>(</w:t>
      </w:r>
      <w:r w:rsidR="0043641D">
        <w:rPr>
          <w:b/>
          <w:bCs/>
          <w:lang w:val="en-US"/>
        </w:rPr>
        <w:t>B</w:t>
      </w:r>
      <w:r>
        <w:rPr>
          <w:b/>
          <w:bCs/>
          <w:lang w:val="en-US"/>
        </w:rPr>
        <w:t>)</w:t>
      </w:r>
      <w:r>
        <w:rPr>
          <w:lang w:val="en-US"/>
        </w:rPr>
        <w:t xml:space="preserve"> </w:t>
      </w:r>
      <w:r>
        <w:t>Morphological quantification of the control</w:t>
      </w:r>
      <w:r>
        <w:rPr>
          <w:i/>
          <w:iCs/>
        </w:rPr>
        <w:t xml:space="preserve"> </w:t>
      </w:r>
      <w:r w:rsidRPr="00570A71">
        <w:t>(</w:t>
      </w:r>
      <w:r>
        <w:t xml:space="preserve">2 biological repeats, </w:t>
      </w:r>
      <w:r>
        <w:rPr>
          <w:i/>
          <w:iCs/>
        </w:rPr>
        <w:t>n</w:t>
      </w:r>
      <w:r>
        <w:t xml:space="preserve"> = 905), methicillin (3 biological repeat, </w:t>
      </w:r>
      <w:r>
        <w:rPr>
          <w:i/>
          <w:iCs/>
        </w:rPr>
        <w:t>n</w:t>
      </w:r>
      <w:r w:rsidRPr="00D40C1B">
        <w:t> = 913</w:t>
      </w:r>
      <w:r>
        <w:t xml:space="preserve">), </w:t>
      </w:r>
      <w:r w:rsidR="001F2B19">
        <w:t>moenomycin</w:t>
      </w:r>
      <w:r>
        <w:t xml:space="preserve"> (</w:t>
      </w:r>
      <w:r w:rsidR="001F2B19">
        <w:t>2</w:t>
      </w:r>
      <w:r>
        <w:t xml:space="preserve"> biological repeats, </w:t>
      </w:r>
      <w:r>
        <w:rPr>
          <w:i/>
          <w:iCs/>
        </w:rPr>
        <w:t>n</w:t>
      </w:r>
      <w:r>
        <w:t> = 1</w:t>
      </w:r>
      <w:r w:rsidR="001F2B19">
        <w:t>222</w:t>
      </w:r>
      <w:r>
        <w:t xml:space="preserve">), and </w:t>
      </w:r>
      <w:r w:rsidR="001F2B19">
        <w:t>moenomycin</w:t>
      </w:r>
      <w:r>
        <w:t xml:space="preserve"> plus methicillin (2 biological repeats, </w:t>
      </w:r>
      <w:r>
        <w:rPr>
          <w:i/>
          <w:iCs/>
        </w:rPr>
        <w:t>n</w:t>
      </w:r>
      <w:r>
        <w:t> = </w:t>
      </w:r>
      <w:r w:rsidR="001F2B19">
        <w:t>861</w:t>
      </w:r>
      <w:r>
        <w:t>) as indicated. No sept</w:t>
      </w:r>
      <w:r w:rsidR="00743B6F">
        <w:t>um</w:t>
      </w:r>
      <w:r>
        <w:t>– dark green, incomplete sept</w:t>
      </w:r>
      <w:r w:rsidR="00743B6F">
        <w:t>um</w:t>
      </w:r>
      <w:r>
        <w:t>– medium green, complet</w:t>
      </w:r>
      <w:r w:rsidR="00FA5648">
        <w:t>e</w:t>
      </w:r>
      <w:r>
        <w:t xml:space="preserve"> sept</w:t>
      </w:r>
      <w:r w:rsidR="00FA5648">
        <w:t>um</w:t>
      </w:r>
      <w:r>
        <w:t xml:space="preserve">– light green, </w:t>
      </w:r>
      <w:r w:rsidR="00790639">
        <w:t>“plasmolysis”</w:t>
      </w:r>
      <w:r>
        <w:t xml:space="preserve">– orange, </w:t>
      </w:r>
      <w:r w:rsidR="00743B6F">
        <w:t xml:space="preserve">and </w:t>
      </w:r>
      <w:r>
        <w:t xml:space="preserve">growth defects– yellow. </w:t>
      </w:r>
      <w:r>
        <w:rPr>
          <w:b/>
          <w:bCs/>
        </w:rPr>
        <w:t>(</w:t>
      </w:r>
      <w:r w:rsidR="0043641D">
        <w:rPr>
          <w:b/>
          <w:bCs/>
        </w:rPr>
        <w:t>C</w:t>
      </w:r>
      <w:r>
        <w:rPr>
          <w:b/>
          <w:bCs/>
        </w:rPr>
        <w:t>)</w:t>
      </w:r>
      <w:r>
        <w:t xml:space="preserve"> Compositional analysis of </w:t>
      </w:r>
      <w:r w:rsidR="001F2B19">
        <w:t>moenomycin</w:t>
      </w:r>
      <w:r>
        <w:t xml:space="preserve"> plus methicillin treated cells in </w:t>
      </w:r>
      <w:r w:rsidRPr="00790639">
        <w:t>(</w:t>
      </w:r>
      <w:r w:rsidR="0043641D">
        <w:t>B</w:t>
      </w:r>
      <w:r w:rsidRPr="00790639">
        <w:t>)</w:t>
      </w:r>
      <w:r w:rsidR="00790639">
        <w:t xml:space="preserve"> presenting signs of “plasmolysis”</w:t>
      </w:r>
      <w:r>
        <w:t>. No sept</w:t>
      </w:r>
      <w:r w:rsidR="00743B6F">
        <w:t>um</w:t>
      </w:r>
      <w:r>
        <w:t>– dark orange, incomplete sept</w:t>
      </w:r>
      <w:r w:rsidR="00743B6F">
        <w:t>um</w:t>
      </w:r>
      <w:r>
        <w:t>– medium orange, complete sept</w:t>
      </w:r>
      <w:r w:rsidR="00743B6F">
        <w:t>um</w:t>
      </w:r>
      <w:r>
        <w:t>– light orange (</w:t>
      </w:r>
      <w:r>
        <w:rPr>
          <w:i/>
          <w:iCs/>
        </w:rPr>
        <w:t>n </w:t>
      </w:r>
      <w:r>
        <w:t>= 3</w:t>
      </w:r>
      <w:r w:rsidR="001F2B19">
        <w:t>19</w:t>
      </w:r>
      <w:r>
        <w:t>).</w:t>
      </w:r>
    </w:p>
    <w:p w14:paraId="1B309C01" w14:textId="1A095C9B" w:rsidR="00865B97" w:rsidRDefault="00D010B4" w:rsidP="005D7BC0">
      <w:pPr>
        <w:pStyle w:val="NoSpacing"/>
        <w:keepNext/>
        <w:jc w:val="center"/>
      </w:pPr>
      <w:r>
        <w:rPr>
          <w:noProof/>
        </w:rPr>
        <w:lastRenderedPageBreak/>
        <w:drawing>
          <wp:inline distT="0" distB="0" distL="0" distR="0" wp14:anchorId="5167EA67" wp14:editId="719CFB43">
            <wp:extent cx="5904877" cy="5636474"/>
            <wp:effectExtent l="0" t="0" r="635" b="254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04877" cy="5636474"/>
                    </a:xfrm>
                    <a:prstGeom prst="rect">
                      <a:avLst/>
                    </a:prstGeom>
                  </pic:spPr>
                </pic:pic>
              </a:graphicData>
            </a:graphic>
          </wp:inline>
        </w:drawing>
      </w:r>
    </w:p>
    <w:p w14:paraId="5080016A" w14:textId="69852EB2" w:rsidR="007C4588" w:rsidRDefault="00865B97" w:rsidP="008A2B86">
      <w:pPr>
        <w:pStyle w:val="Caption"/>
      </w:pPr>
      <w:bookmarkStart w:id="790" w:name="_Ref78367586"/>
      <w:bookmarkStart w:id="791" w:name="_Toc90217016"/>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31</w:t>
      </w:r>
      <w:r w:rsidR="003373BF">
        <w:rPr>
          <w:noProof/>
        </w:rPr>
        <w:fldChar w:fldCharType="end"/>
      </w:r>
      <w:bookmarkEnd w:id="790"/>
      <w:r>
        <w:t xml:space="preserve"> TEM micrographs of moenomycin treatment with /without methicillin on </w:t>
      </w:r>
      <w:r>
        <w:rPr>
          <w:i/>
        </w:rPr>
        <w:t>S. aureus</w:t>
      </w:r>
      <w:r>
        <w:t>.</w:t>
      </w:r>
      <w:bookmarkEnd w:id="791"/>
    </w:p>
    <w:p w14:paraId="48ECBB64" w14:textId="6E8AA50E" w:rsidR="00865B97" w:rsidRPr="00865B97" w:rsidRDefault="00865B97" w:rsidP="00865B97">
      <w:pPr>
        <w:pStyle w:val="NoSpacing"/>
        <w:sectPr w:rsidR="00865B97" w:rsidRPr="00865B97" w:rsidSect="004D0E05">
          <w:pgSz w:w="11906" w:h="16838"/>
          <w:pgMar w:top="1191" w:right="1247" w:bottom="1191" w:left="1247" w:header="709" w:footer="709" w:gutter="0"/>
          <w:cols w:space="708"/>
          <w:titlePg/>
          <w:docGrid w:linePitch="360"/>
        </w:sectPr>
      </w:pPr>
      <w:r>
        <w:t xml:space="preserve">TEM micrographs of chemically fixed thin sections </w:t>
      </w:r>
      <w:r>
        <w:rPr>
          <w:i/>
          <w:iCs/>
        </w:rPr>
        <w:t>S. aureus</w:t>
      </w:r>
      <w:r>
        <w:t xml:space="preserve"> SH100 treated for 1 h with </w:t>
      </w:r>
      <w:r w:rsidR="00B701C3">
        <w:rPr>
          <w:b/>
          <w:bCs/>
        </w:rPr>
        <w:t xml:space="preserve">(A) </w:t>
      </w:r>
      <w:r w:rsidR="001B0F2B">
        <w:t>2µg/ml (</w:t>
      </w:r>
      <w:r>
        <w:t>10X MIC</w:t>
      </w:r>
      <w:r w:rsidR="001B0F2B">
        <w:t>)</w:t>
      </w:r>
      <w:r>
        <w:rPr>
          <w:b/>
          <w:bCs/>
        </w:rPr>
        <w:t xml:space="preserve"> </w:t>
      </w:r>
      <w:r>
        <w:t xml:space="preserve">moenomycin and </w:t>
      </w:r>
      <w:r>
        <w:rPr>
          <w:b/>
          <w:bCs/>
        </w:rPr>
        <w:t>(B)</w:t>
      </w:r>
      <w:r>
        <w:t xml:space="preserve"> moenomycin plus methicillin. High magnification (4800x), scale bar 1 µm. </w:t>
      </w:r>
      <w:r>
        <w:rPr>
          <w:b/>
          <w:bCs/>
        </w:rPr>
        <w:t xml:space="preserve">(C) </w:t>
      </w:r>
      <w:r>
        <w:t xml:space="preserve">Representative cells from </w:t>
      </w:r>
      <w:r w:rsidRPr="002336AA">
        <w:t>(B)</w:t>
      </w:r>
      <w:r>
        <w:t xml:space="preserve"> cropped from high magnification (4800x), scale bar 200 nm. pm– plasma membrane, cw– cell wall, ex– exoplasmic space. No sept</w:t>
      </w:r>
      <w:r w:rsidR="00C41F27">
        <w:t>um</w:t>
      </w:r>
      <w:r>
        <w:t>– dark orange, incomplete sept</w:t>
      </w:r>
      <w:r w:rsidR="00C41F27">
        <w:t>um</w:t>
      </w:r>
      <w:r>
        <w:t>– medium orange, and complete sept</w:t>
      </w:r>
      <w:r w:rsidR="00C41F27">
        <w:t>um</w:t>
      </w:r>
      <w:r>
        <w:t>– light orange.</w:t>
      </w:r>
      <w:r w:rsidRPr="00C23BDE">
        <w:t xml:space="preserve"> </w:t>
      </w:r>
      <w:r w:rsidR="00CB2CEB">
        <w:t>Red</w:t>
      </w:r>
      <w:r>
        <w:t xml:space="preserve"> arrows indicate areas where the exoplasmic space </w:t>
      </w:r>
      <w:r w:rsidR="000B4BDB">
        <w:t>is</w:t>
      </w:r>
      <w:r>
        <w:t xml:space="preserve"> expanded.</w:t>
      </w:r>
    </w:p>
    <w:p w14:paraId="50FE6A07" w14:textId="6D03DA3E" w:rsidR="00182281" w:rsidRDefault="00F87D71" w:rsidP="0034236C">
      <w:pPr>
        <w:pStyle w:val="Heading3"/>
      </w:pPr>
      <w:bookmarkStart w:id="792" w:name="_Toc64276390"/>
      <w:bookmarkStart w:id="793" w:name="_Toc64276694"/>
      <w:bookmarkStart w:id="794" w:name="_Toc64276906"/>
      <w:bookmarkStart w:id="795" w:name="_Toc90216908"/>
      <w:r>
        <w:lastRenderedPageBreak/>
        <w:t>Are t</w:t>
      </w:r>
      <w:r w:rsidR="004B0C7E" w:rsidRPr="005B0F81">
        <w:t xml:space="preserve">eichoic acids precursors </w:t>
      </w:r>
      <w:bookmarkEnd w:id="792"/>
      <w:bookmarkEnd w:id="793"/>
      <w:bookmarkEnd w:id="794"/>
      <w:r>
        <w:t>causing th</w:t>
      </w:r>
      <w:r w:rsidR="00BC4B45">
        <w:t>e</w:t>
      </w:r>
      <w:r w:rsidR="002D26C7">
        <w:t xml:space="preserve"> expansion of the exoplasm</w:t>
      </w:r>
      <w:r>
        <w:t>?</w:t>
      </w:r>
      <w:bookmarkEnd w:id="795"/>
    </w:p>
    <w:p w14:paraId="0FAF2666" w14:textId="603F8465" w:rsidR="0011182E" w:rsidRDefault="002D26C7" w:rsidP="0011182E">
      <w:r>
        <w:t>Teichoic acids are present in the exoplasm</w:t>
      </w:r>
      <w:r w:rsidR="003E11D2">
        <w:t>ic space</w:t>
      </w:r>
      <w:r>
        <w:t xml:space="preserve"> and in the CW</w:t>
      </w:r>
      <w:r w:rsidR="00262491">
        <w:t xml:space="preserve"> </w:t>
      </w:r>
      <w:r w:rsidR="00262491">
        <w:fldChar w:fldCharType="begin" w:fldLock="1"/>
      </w:r>
      <w:r w:rsidR="005774C9">
        <w:instrText>ADDIN CSL_CITATION {"citationItems":[{"id":"ITEM-1","itemData":{"DOI":"10.1101/cshperspect.a000414","ISBN":"1943-0264 (Electronic)","ISSN":"19430264","PMID":"20452953","abstract":"The bacteria cell envelope is a complex multilayered structure that serves to protect these organisms from their unpredictable and often hostile environment. The cell envelopes of most bacteria fall into one of two major groups. Gram-negative bacteria are surrounded by a thin peptidoglycan cell wall, which itself is surrounded by an outer membrane containing lipopolysaccharide. Gram-positive bacteria lack an outer membrane but are surrounded by layers of peptidoglycan many times thicker than is found in the gram-negatives. Threading through these layers of peptidoglycan are long anionic polymers, called teichoic acids. The composition and organization of these envelope layers and recent insights into the mechanisms of cell envelope assembly are discussed.","author":[{"dropping-particle":"","family":"Silhavy","given":"Thomas","non-dropping-particle":"","parse-names":false,"suffix":""},{"dropping-particle":"","family":"Kahne","given":"Daniel","non-dropping-particle":"","parse-names":false,"suffix":""},{"dropping-particle":"","family":"Walker","given":"Suzanne","non-dropping-particle":"","parse-names":false,"suffix":""}],"container-title":"Cold Spring Harbor perspectives in biology","id":"ITEM-1","issue":"5","issued":{"date-parts":[["2010"]]},"page":"1-16","title":"The bacterial cell envelope.","type":"article-journal","volume":"2"},"uris":["http://www.mendeley.com/documents/?uuid=cabb3e66-261f-40a6-becd-647af3e2f1c7"]}],"mendeley":{"formattedCitation":"&lt;sup&gt;[14]&lt;/sup&gt;","plainTextFormattedCitation":"[14]","previouslyFormattedCitation":"&lt;sup&gt;[14]&lt;/sup&gt;"},"properties":{"noteIndex":0},"schema":"https://github.com/citation-style-language/schema/raw/master/csl-citation.json"}</w:instrText>
      </w:r>
      <w:r w:rsidR="00262491">
        <w:fldChar w:fldCharType="separate"/>
      </w:r>
      <w:r w:rsidR="00262491" w:rsidRPr="00262491">
        <w:rPr>
          <w:noProof/>
          <w:vertAlign w:val="superscript"/>
        </w:rPr>
        <w:t>[14]</w:t>
      </w:r>
      <w:r w:rsidR="00262491">
        <w:fldChar w:fldCharType="end"/>
      </w:r>
      <w:r>
        <w:t xml:space="preserve">, thus </w:t>
      </w:r>
      <w:r w:rsidR="00A82B41">
        <w:t xml:space="preserve">we </w:t>
      </w:r>
      <w:r>
        <w:t xml:space="preserve">tested if an unusual accumulation of these anionic polymers </w:t>
      </w:r>
      <w:r w:rsidR="00A82B41">
        <w:t>in</w:t>
      </w:r>
      <w:r>
        <w:t xml:space="preserve"> the </w:t>
      </w:r>
      <w:r w:rsidR="003E11D2">
        <w:t>ES</w:t>
      </w:r>
      <w:r>
        <w:t xml:space="preserve"> could account for the morphological changes observed with </w:t>
      </w:r>
      <w:r>
        <w:rPr>
          <w:lang w:val="el-GR"/>
        </w:rPr>
        <w:t>β</w:t>
      </w:r>
      <w:r>
        <w:t>-lactam</w:t>
      </w:r>
      <w:r w:rsidR="00A82B41">
        <w:t xml:space="preserve"> </w:t>
      </w:r>
      <w:r w:rsidR="003E11D2">
        <w:t>antibiotics</w:t>
      </w:r>
      <w:r>
        <w:t xml:space="preserve">. </w:t>
      </w:r>
      <w:r w:rsidR="00DD61D4">
        <w:t>M</w:t>
      </w:r>
      <w:r w:rsidR="001F196F">
        <w:t>utant strains lacking either wall teichoic acids (WTA) or lipoteichoic acids (LTA) were analysed.</w:t>
      </w:r>
    </w:p>
    <w:p w14:paraId="26233652" w14:textId="2BBAE200" w:rsidR="0053111D" w:rsidRDefault="0055281B" w:rsidP="0011182E">
      <w:r>
        <w:t xml:space="preserve">The WTA-depleted SH1000 </w:t>
      </w:r>
      <w:r>
        <w:rPr>
          <w:i/>
          <w:iCs/>
        </w:rPr>
        <w:t>tarO</w:t>
      </w:r>
      <w:r>
        <w:t xml:space="preserve"> (SJF 5289) ha</w:t>
      </w:r>
      <w:r w:rsidR="00E6319A">
        <w:t>s</w:t>
      </w:r>
      <w:r>
        <w:t xml:space="preserve"> a higher mortality rate after treatment</w:t>
      </w:r>
      <w:r w:rsidR="00E6319A">
        <w:t xml:space="preserve"> with bactericidal antibiotics in comparison to</w:t>
      </w:r>
      <w:r>
        <w:t xml:space="preserve"> its parental wildtype strain</w:t>
      </w:r>
      <w:r w:rsidR="00E6319A">
        <w:t>,</w:t>
      </w:r>
      <w:r>
        <w:t xml:space="preserve"> </w:t>
      </w:r>
      <w:r w:rsidR="00E6319A">
        <w:t>with a significant difference in survival after</w:t>
      </w:r>
      <w:r>
        <w:t xml:space="preserve"> </w:t>
      </w:r>
      <w:r w:rsidR="00D53E10">
        <w:t>4</w:t>
      </w:r>
      <w:r>
        <w:t xml:space="preserve"> h </w:t>
      </w:r>
      <w:r w:rsidR="004E3E62">
        <w:t>(</w:t>
      </w:r>
      <w:r w:rsidR="00D7461F">
        <w:t xml:space="preserve">99.5 ± 0.5 % death with </w:t>
      </w:r>
      <w:r w:rsidR="004E3E62">
        <w:t>methicillin *** p = 0.0001</w:t>
      </w:r>
      <w:r w:rsidR="00D7461F">
        <w:t>;</w:t>
      </w:r>
      <w:r w:rsidR="004E3E62">
        <w:t xml:space="preserve"> </w:t>
      </w:r>
      <w:r w:rsidR="00D7461F">
        <w:t xml:space="preserve">99.3 ± 0.4 % death with </w:t>
      </w:r>
      <w:r w:rsidR="004E3E62">
        <w:t>vancomycin **** p &lt; 0.0001</w:t>
      </w:r>
      <w:r w:rsidR="00D7461F">
        <w:t>; and 99.6 ± 0.1 % death with</w:t>
      </w:r>
      <w:r w:rsidR="004E3E62">
        <w:t xml:space="preserve"> vancomycin plus </w:t>
      </w:r>
      <w:r w:rsidR="007633BD">
        <w:t>methicillin</w:t>
      </w:r>
      <w:r w:rsidR="004E3E62">
        <w:t xml:space="preserve"> ** p = 0.0021) </w:t>
      </w:r>
      <w:r w:rsidR="00E6319A">
        <w:t>(</w:t>
      </w:r>
      <w:r>
        <w:fldChar w:fldCharType="begin"/>
      </w:r>
      <w:r>
        <w:instrText xml:space="preserve"> REF _Ref70673173 \h </w:instrText>
      </w:r>
      <w:r>
        <w:fldChar w:fldCharType="separate"/>
      </w:r>
      <w:r w:rsidR="00183CC8">
        <w:t xml:space="preserve">Figure </w:t>
      </w:r>
      <w:r w:rsidR="00183CC8">
        <w:rPr>
          <w:noProof/>
        </w:rPr>
        <w:t>5</w:t>
      </w:r>
      <w:r w:rsidR="00183CC8">
        <w:t>.</w:t>
      </w:r>
      <w:r w:rsidR="00183CC8">
        <w:rPr>
          <w:noProof/>
        </w:rPr>
        <w:t>32</w:t>
      </w:r>
      <w:r>
        <w:fldChar w:fldCharType="end"/>
      </w:r>
      <w:r>
        <w:t>).</w:t>
      </w:r>
    </w:p>
    <w:p w14:paraId="74DFF93C" w14:textId="73C17344" w:rsidR="001D7EC7" w:rsidRDefault="006F1CCE" w:rsidP="0011182E">
      <w:pPr>
        <w:sectPr w:rsidR="001D7EC7" w:rsidSect="004D0E05">
          <w:pgSz w:w="11906" w:h="16838"/>
          <w:pgMar w:top="1191" w:right="1247" w:bottom="1191" w:left="1247" w:header="709" w:footer="709" w:gutter="0"/>
          <w:cols w:space="708"/>
          <w:titlePg/>
          <w:docGrid w:linePitch="360"/>
        </w:sectPr>
      </w:pPr>
      <w:r>
        <w:t>TEM and morphological analysis</w:t>
      </w:r>
      <w:r w:rsidR="00485801">
        <w:t xml:space="preserve"> </w:t>
      </w:r>
      <w:r w:rsidR="00307708">
        <w:t xml:space="preserve">of </w:t>
      </w:r>
      <w:r w:rsidR="00307708" w:rsidRPr="00307708">
        <w:rPr>
          <w:i/>
          <w:iCs/>
        </w:rPr>
        <w:t xml:space="preserve">tarO </w:t>
      </w:r>
      <w:r w:rsidR="00933223">
        <w:t>show</w:t>
      </w:r>
      <w:r>
        <w:t>ed</w:t>
      </w:r>
      <w:r w:rsidR="00933223">
        <w:t xml:space="preserve"> a similar </w:t>
      </w:r>
      <w:r w:rsidR="00AB2D06">
        <w:t>response</w:t>
      </w:r>
      <w:r w:rsidR="00933223">
        <w:t xml:space="preserve"> to SH1000.</w:t>
      </w:r>
      <w:r w:rsidR="00DE288E">
        <w:t xml:space="preserve"> </w:t>
      </w:r>
      <w:r w:rsidR="00C368C3">
        <w:t xml:space="preserve">TEM micrographs show </w:t>
      </w:r>
      <w:r w:rsidR="0045645C">
        <w:t>signs of “plasmolysis”</w:t>
      </w:r>
      <w:r w:rsidR="00C368C3">
        <w:t xml:space="preserve"> only when treated with methicillin (</w:t>
      </w:r>
      <w:r w:rsidR="004B1252">
        <w:fldChar w:fldCharType="begin"/>
      </w:r>
      <w:r w:rsidR="004B1252">
        <w:instrText xml:space="preserve"> REF _Ref70616471 \h </w:instrText>
      </w:r>
      <w:r w:rsidR="004B1252">
        <w:fldChar w:fldCharType="separate"/>
      </w:r>
      <w:r w:rsidR="00183CC8" w:rsidRPr="0030142B">
        <w:t xml:space="preserve">Figure </w:t>
      </w:r>
      <w:r w:rsidR="00183CC8">
        <w:rPr>
          <w:noProof/>
        </w:rPr>
        <w:t>5</w:t>
      </w:r>
      <w:r w:rsidR="00183CC8">
        <w:t>.</w:t>
      </w:r>
      <w:r w:rsidR="00183CC8">
        <w:rPr>
          <w:noProof/>
        </w:rPr>
        <w:t>33</w:t>
      </w:r>
      <w:r w:rsidR="004B1252">
        <w:fldChar w:fldCharType="end"/>
      </w:r>
      <w:r w:rsidR="00C368C3">
        <w:t>)</w:t>
      </w:r>
      <w:r w:rsidR="00EB18C5">
        <w:t xml:space="preserve"> or with oxacillin (</w:t>
      </w:r>
      <w:r w:rsidR="008C4401">
        <w:rPr>
          <w:highlight w:val="yellow"/>
        </w:rPr>
        <w:fldChar w:fldCharType="begin"/>
      </w:r>
      <w:r w:rsidR="008C4401">
        <w:instrText xml:space="preserve"> REF _Ref70631626 \h </w:instrText>
      </w:r>
      <w:r w:rsidR="008C4401">
        <w:rPr>
          <w:highlight w:val="yellow"/>
        </w:rPr>
      </w:r>
      <w:r w:rsidR="008C4401">
        <w:rPr>
          <w:highlight w:val="yellow"/>
        </w:rPr>
        <w:fldChar w:fldCharType="separate"/>
      </w:r>
      <w:r w:rsidR="00183CC8">
        <w:t xml:space="preserve">Figure </w:t>
      </w:r>
      <w:r w:rsidR="00183CC8">
        <w:rPr>
          <w:noProof/>
        </w:rPr>
        <w:t>5</w:t>
      </w:r>
      <w:r w:rsidR="00183CC8">
        <w:t>.</w:t>
      </w:r>
      <w:r w:rsidR="00183CC8">
        <w:rPr>
          <w:noProof/>
        </w:rPr>
        <w:t>34</w:t>
      </w:r>
      <w:r w:rsidR="008C4401">
        <w:rPr>
          <w:highlight w:val="yellow"/>
        </w:rPr>
        <w:fldChar w:fldCharType="end"/>
      </w:r>
      <w:r w:rsidR="00EB18C5">
        <w:t>)</w:t>
      </w:r>
      <w:r w:rsidR="00C368C3">
        <w:t xml:space="preserve">, with around </w:t>
      </w:r>
      <w:r w:rsidR="00EB18C5">
        <w:t>~</w:t>
      </w:r>
      <w:r w:rsidR="004B1252">
        <w:t>50.</w:t>
      </w:r>
      <w:r w:rsidR="00EB18C5">
        <w:t>1</w:t>
      </w:r>
      <w:r w:rsidR="004B1252">
        <w:t> </w:t>
      </w:r>
      <w:r w:rsidR="00C368C3">
        <w:t xml:space="preserve">% </w:t>
      </w:r>
      <w:r w:rsidR="00EB18C5">
        <w:t xml:space="preserve">and ~73.4 % </w:t>
      </w:r>
      <w:r w:rsidR="00C368C3">
        <w:t>of the</w:t>
      </w:r>
      <w:r w:rsidR="00EB18C5">
        <w:t xml:space="preserve">ir respective </w:t>
      </w:r>
      <w:r w:rsidR="00C368C3">
        <w:t>population presenting visible signs (</w:t>
      </w:r>
      <w:r w:rsidR="00C83CDE">
        <w:fldChar w:fldCharType="begin"/>
      </w:r>
      <w:r w:rsidR="00C83CDE">
        <w:instrText xml:space="preserve"> REF _Ref70617103 \h </w:instrText>
      </w:r>
      <w:r w:rsidR="00C83CDE">
        <w:fldChar w:fldCharType="separate"/>
      </w:r>
      <w:r w:rsidR="00183CC8">
        <w:t xml:space="preserve">Figure </w:t>
      </w:r>
      <w:r w:rsidR="00183CC8">
        <w:rPr>
          <w:noProof/>
        </w:rPr>
        <w:t>5</w:t>
      </w:r>
      <w:r w:rsidR="00183CC8">
        <w:t>.</w:t>
      </w:r>
      <w:r w:rsidR="00183CC8">
        <w:rPr>
          <w:noProof/>
        </w:rPr>
        <w:t>35</w:t>
      </w:r>
      <w:r w:rsidR="00C83CDE">
        <w:fldChar w:fldCharType="end"/>
      </w:r>
      <w:r w:rsidR="00C368C3">
        <w:t>).</w:t>
      </w:r>
      <w:r w:rsidR="00706409">
        <w:t xml:space="preserve"> </w:t>
      </w:r>
      <w:r w:rsidR="00AB2D06">
        <w:t>V</w:t>
      </w:r>
      <w:r w:rsidR="006F6ACC">
        <w:t xml:space="preserve">ancomycin treated cells present </w:t>
      </w:r>
      <w:r w:rsidR="00CD17C2">
        <w:t>blebs</w:t>
      </w:r>
      <w:r w:rsidR="006F6ACC">
        <w:t xml:space="preserve"> and </w:t>
      </w:r>
      <w:r w:rsidR="00681202">
        <w:t>“</w:t>
      </w:r>
      <w:r w:rsidR="007C4247">
        <w:t xml:space="preserve">lipid </w:t>
      </w:r>
      <w:r w:rsidR="006F6ACC">
        <w:t>spirals”</w:t>
      </w:r>
      <w:r w:rsidR="00C83CDE">
        <w:t xml:space="preserve"> (</w:t>
      </w:r>
      <w:r w:rsidR="00E77396">
        <w:t>arrow</w:t>
      </w:r>
      <w:r w:rsidR="007B6014">
        <w:t xml:space="preserve"> </w:t>
      </w:r>
      <w:r w:rsidR="00E77396">
        <w:t xml:space="preserve">heads in </w:t>
      </w:r>
      <w:r w:rsidR="00C83CDE">
        <w:fldChar w:fldCharType="begin"/>
      </w:r>
      <w:r w:rsidR="00C83CDE">
        <w:instrText xml:space="preserve"> REF _Ref70616471 \h </w:instrText>
      </w:r>
      <w:r w:rsidR="00C83CDE">
        <w:fldChar w:fldCharType="separate"/>
      </w:r>
      <w:r w:rsidR="00183CC8" w:rsidRPr="0030142B">
        <w:t xml:space="preserve">Figure </w:t>
      </w:r>
      <w:r w:rsidR="00183CC8">
        <w:rPr>
          <w:noProof/>
        </w:rPr>
        <w:t>5</w:t>
      </w:r>
      <w:r w:rsidR="00183CC8">
        <w:t>.</w:t>
      </w:r>
      <w:r w:rsidR="00183CC8">
        <w:rPr>
          <w:noProof/>
        </w:rPr>
        <w:t>33</w:t>
      </w:r>
      <w:r w:rsidR="00C83CDE">
        <w:fldChar w:fldCharType="end"/>
      </w:r>
      <w:r w:rsidR="00C83CDE">
        <w:t>b,d</w:t>
      </w:r>
      <w:r w:rsidR="008D5762">
        <w:t xml:space="preserve"> and </w:t>
      </w:r>
      <w:r w:rsidR="008D5762">
        <w:rPr>
          <w:highlight w:val="yellow"/>
        </w:rPr>
        <w:fldChar w:fldCharType="begin"/>
      </w:r>
      <w:r w:rsidR="008D5762">
        <w:instrText xml:space="preserve"> REF _Ref70631626 \h </w:instrText>
      </w:r>
      <w:r w:rsidR="008D5762">
        <w:rPr>
          <w:highlight w:val="yellow"/>
        </w:rPr>
      </w:r>
      <w:r w:rsidR="008D5762">
        <w:rPr>
          <w:highlight w:val="yellow"/>
        </w:rPr>
        <w:fldChar w:fldCharType="separate"/>
      </w:r>
      <w:r w:rsidR="00183CC8">
        <w:t xml:space="preserve">Figure </w:t>
      </w:r>
      <w:r w:rsidR="00183CC8">
        <w:rPr>
          <w:noProof/>
        </w:rPr>
        <w:t>5</w:t>
      </w:r>
      <w:r w:rsidR="00183CC8">
        <w:t>.</w:t>
      </w:r>
      <w:r w:rsidR="00183CC8">
        <w:rPr>
          <w:noProof/>
        </w:rPr>
        <w:t>34</w:t>
      </w:r>
      <w:r w:rsidR="008D5762">
        <w:rPr>
          <w:highlight w:val="yellow"/>
        </w:rPr>
        <w:fldChar w:fldCharType="end"/>
      </w:r>
      <w:r w:rsidR="008D5762">
        <w:t>b</w:t>
      </w:r>
      <w:r w:rsidR="00C83CDE">
        <w:t>)</w:t>
      </w:r>
      <w:r w:rsidR="006F6ACC">
        <w:t xml:space="preserve">, and </w:t>
      </w:r>
      <w:r w:rsidR="001D1BC4">
        <w:t>these</w:t>
      </w:r>
      <w:r w:rsidR="006F6ACC">
        <w:t xml:space="preserve"> appear </w:t>
      </w:r>
      <w:r w:rsidR="0043395D">
        <w:t xml:space="preserve">to be </w:t>
      </w:r>
      <w:r w:rsidR="006F6ACC">
        <w:t>mor</w:t>
      </w:r>
      <w:r w:rsidR="004E3003">
        <w:t>e</w:t>
      </w:r>
      <w:r w:rsidR="006F6ACC">
        <w:t xml:space="preserve"> frequent </w:t>
      </w:r>
      <w:r w:rsidR="0043395D">
        <w:t>when</w:t>
      </w:r>
      <w:r w:rsidR="001D1BC4">
        <w:t xml:space="preserve"> </w:t>
      </w:r>
      <w:r w:rsidR="008D5762">
        <w:t>either methicillin or oxacillin</w:t>
      </w:r>
      <w:r w:rsidR="0043395D">
        <w:t xml:space="preserve"> are added jointly with vancomycin</w:t>
      </w:r>
      <w:r w:rsidR="00747A39">
        <w:t>.</w:t>
      </w:r>
      <w:r w:rsidR="008D5762">
        <w:t xml:space="preserve"> </w:t>
      </w:r>
      <w:r w:rsidR="002C0488">
        <w:t>Comparison between</w:t>
      </w:r>
      <w:r w:rsidR="00725671">
        <w:t xml:space="preserve"> the effect of</w:t>
      </w:r>
      <w:r w:rsidR="002C0488">
        <w:t xml:space="preserve"> methicillin and oxacillin on this strain shows that the latter </w:t>
      </w:r>
      <w:r w:rsidR="00706C08">
        <w:t xml:space="preserve">results in a more exaggerated phenotype with misplacement of septa and </w:t>
      </w:r>
      <w:r w:rsidR="00C167D6">
        <w:t>deviating and curving</w:t>
      </w:r>
      <w:r w:rsidR="00706C08">
        <w:t xml:space="preserve"> septa</w:t>
      </w:r>
      <w:r w:rsidR="002C0488">
        <w:t xml:space="preserve"> (</w:t>
      </w:r>
      <w:r w:rsidR="004400E2">
        <w:rPr>
          <w:highlight w:val="yellow"/>
        </w:rPr>
        <w:fldChar w:fldCharType="begin"/>
      </w:r>
      <w:r w:rsidR="004400E2">
        <w:instrText xml:space="preserve"> REF _Ref70631626 \h </w:instrText>
      </w:r>
      <w:r w:rsidR="004400E2">
        <w:rPr>
          <w:highlight w:val="yellow"/>
        </w:rPr>
      </w:r>
      <w:r w:rsidR="004400E2">
        <w:rPr>
          <w:highlight w:val="yellow"/>
        </w:rPr>
        <w:fldChar w:fldCharType="separate"/>
      </w:r>
      <w:r w:rsidR="00183CC8">
        <w:t xml:space="preserve">Figure </w:t>
      </w:r>
      <w:r w:rsidR="00183CC8">
        <w:rPr>
          <w:noProof/>
        </w:rPr>
        <w:t>5</w:t>
      </w:r>
      <w:r w:rsidR="00183CC8">
        <w:t>.</w:t>
      </w:r>
      <w:r w:rsidR="00183CC8">
        <w:rPr>
          <w:noProof/>
        </w:rPr>
        <w:t>34</w:t>
      </w:r>
      <w:r w:rsidR="004400E2">
        <w:rPr>
          <w:highlight w:val="yellow"/>
        </w:rPr>
        <w:fldChar w:fldCharType="end"/>
      </w:r>
      <w:r w:rsidR="004400E2">
        <w:t>a</w:t>
      </w:r>
      <w:r w:rsidR="002C0488">
        <w:t>).</w:t>
      </w:r>
      <w:r w:rsidR="00261A2C">
        <w:t xml:space="preserve"> The septal wall is not </w:t>
      </w:r>
      <w:r w:rsidR="00443264">
        <w:t xml:space="preserve">as </w:t>
      </w:r>
      <w:r w:rsidR="00261A2C">
        <w:t>easy to differentiat</w:t>
      </w:r>
      <w:r w:rsidR="00443264">
        <w:t>e</w:t>
      </w:r>
      <w:r w:rsidR="00261A2C">
        <w:t xml:space="preserve"> in oxacillin treated </w:t>
      </w:r>
      <w:r w:rsidR="00261A2C">
        <w:rPr>
          <w:i/>
          <w:iCs/>
        </w:rPr>
        <w:t>tarO</w:t>
      </w:r>
      <w:r w:rsidR="00261A2C">
        <w:t xml:space="preserve"> </w:t>
      </w:r>
      <w:r w:rsidR="00443264">
        <w:t>as it is with methicillin</w:t>
      </w:r>
      <w:r w:rsidR="00261A2C">
        <w:t>.</w:t>
      </w:r>
    </w:p>
    <w:p w14:paraId="7AD49020" w14:textId="77777777" w:rsidR="001D7EC7" w:rsidRDefault="001D7EC7" w:rsidP="00E96D27">
      <w:pPr>
        <w:keepNext/>
        <w:jc w:val="center"/>
      </w:pPr>
      <w:r>
        <w:rPr>
          <w:noProof/>
        </w:rPr>
        <w:lastRenderedPageBreak/>
        <w:drawing>
          <wp:inline distT="0" distB="0" distL="0" distR="0" wp14:anchorId="68DEDF63" wp14:editId="4EB30C97">
            <wp:extent cx="5872028" cy="337127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891489" cy="3382445"/>
                    </a:xfrm>
                    <a:prstGeom prst="rect">
                      <a:avLst/>
                    </a:prstGeom>
                  </pic:spPr>
                </pic:pic>
              </a:graphicData>
            </a:graphic>
          </wp:inline>
        </w:drawing>
      </w:r>
    </w:p>
    <w:p w14:paraId="496E1E96" w14:textId="541E58E6" w:rsidR="009454B9" w:rsidRDefault="001D7EC7" w:rsidP="008A2B86">
      <w:pPr>
        <w:pStyle w:val="Caption"/>
      </w:pPr>
      <w:bookmarkStart w:id="796" w:name="_Ref70673173"/>
      <w:bookmarkStart w:id="797" w:name="_Toc90217017"/>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32</w:t>
      </w:r>
      <w:r w:rsidR="003373BF">
        <w:rPr>
          <w:noProof/>
        </w:rPr>
        <w:fldChar w:fldCharType="end"/>
      </w:r>
      <w:bookmarkEnd w:id="796"/>
      <w:r>
        <w:t xml:space="preserve"> Effect of vancomycin and/or </w:t>
      </w:r>
      <w:r w:rsidR="008C109E">
        <w:t>methicillin on</w:t>
      </w:r>
      <w:r>
        <w:t xml:space="preserve"> </w:t>
      </w:r>
      <w:r>
        <w:rPr>
          <w:i/>
        </w:rPr>
        <w:t>S. aureus</w:t>
      </w:r>
      <w:r>
        <w:t xml:space="preserve"> SH1000 </w:t>
      </w:r>
      <w:r>
        <w:rPr>
          <w:i/>
        </w:rPr>
        <w:t>tarO</w:t>
      </w:r>
      <w:r>
        <w:t xml:space="preserve"> survival.</w:t>
      </w:r>
      <w:bookmarkEnd w:id="797"/>
    </w:p>
    <w:p w14:paraId="4D602C6E" w14:textId="72A35F58" w:rsidR="001D7EC7" w:rsidRPr="00353C6B" w:rsidRDefault="00E45973" w:rsidP="001D7EC7">
      <w:pPr>
        <w:pStyle w:val="NoSpacing"/>
        <w:sectPr w:rsidR="001D7EC7" w:rsidRPr="00353C6B" w:rsidSect="004D0E05">
          <w:pgSz w:w="11906" w:h="16838"/>
          <w:pgMar w:top="1191" w:right="1247" w:bottom="1191" w:left="1247" w:header="709" w:footer="709" w:gutter="0"/>
          <w:cols w:space="708"/>
          <w:titlePg/>
          <w:docGrid w:linePitch="360"/>
        </w:sectPr>
      </w:pPr>
      <w:r>
        <w:rPr>
          <w:b/>
          <w:bCs/>
        </w:rPr>
        <w:t xml:space="preserve">(A) </w:t>
      </w:r>
      <w:r w:rsidR="001D7EC7" w:rsidRPr="00054E4A">
        <w:t>Normalised</w:t>
      </w:r>
      <w:r w:rsidR="001D7EC7">
        <w:rPr>
          <w:lang w:val="en-US"/>
        </w:rPr>
        <w:t xml:space="preserve"> percentage s</w:t>
      </w:r>
      <w:r w:rsidR="001D7EC7" w:rsidRPr="0080704D">
        <w:rPr>
          <w:lang w:val="en-US"/>
        </w:rPr>
        <w:t xml:space="preserve">urvival </w:t>
      </w:r>
      <w:r w:rsidR="001D7EC7">
        <w:rPr>
          <w:lang w:val="en-US"/>
        </w:rPr>
        <w:t xml:space="preserve">of </w:t>
      </w:r>
      <w:r w:rsidR="001D7EC7">
        <w:rPr>
          <w:i/>
          <w:iCs/>
        </w:rPr>
        <w:t>S. aureus</w:t>
      </w:r>
      <w:r w:rsidR="001D7EC7">
        <w:t xml:space="preserve"> </w:t>
      </w:r>
      <w:r w:rsidR="001D7EC7">
        <w:rPr>
          <w:i/>
          <w:iCs/>
        </w:rPr>
        <w:t>tarO</w:t>
      </w:r>
      <w:r w:rsidR="001D7EC7">
        <w:t xml:space="preserve"> treated for 1 h with 10 </w:t>
      </w:r>
      <w:r w:rsidR="009E1B24">
        <w:t>X</w:t>
      </w:r>
      <w:r w:rsidR="001D7EC7">
        <w:t> MIC of methicillin and/or vancomycin</w:t>
      </w:r>
      <w:r w:rsidR="005C5FEB">
        <w:t xml:space="preserve"> </w:t>
      </w:r>
      <w:r w:rsidR="005C5FEB">
        <w:rPr>
          <w:lang w:val="en-US"/>
        </w:rPr>
        <w:t>(3 biological repeats)</w:t>
      </w:r>
      <w:r w:rsidR="001D7EC7">
        <w:rPr>
          <w:lang w:val="en-US"/>
        </w:rPr>
        <w:t>. Experiment carried out by Dr. Bartlomiej Salamaga</w:t>
      </w:r>
      <w:r w:rsidR="00951668">
        <w:rPr>
          <w:lang w:val="en-US"/>
        </w:rPr>
        <w:t>.</w:t>
      </w:r>
      <w:r w:rsidR="00353C6B">
        <w:rPr>
          <w:lang w:val="en-US"/>
        </w:rPr>
        <w:t xml:space="preserve"> </w:t>
      </w:r>
      <w:r w:rsidR="00353C6B">
        <w:rPr>
          <w:b/>
          <w:bCs/>
          <w:lang w:val="en-US"/>
        </w:rPr>
        <w:t>(B)</w:t>
      </w:r>
      <w:r w:rsidR="00353C6B">
        <w:rPr>
          <w:lang w:val="en-US"/>
        </w:rPr>
        <w:t xml:space="preserve"> </w:t>
      </w:r>
      <w:r w:rsidR="00D51A38" w:rsidRPr="006456D2">
        <w:t xml:space="preserve">Normalised percentage of survival after </w:t>
      </w:r>
      <w:r w:rsidR="00624A8F">
        <w:t>4</w:t>
      </w:r>
      <w:r w:rsidR="00D51A38" w:rsidRPr="006456D2">
        <w:t> h from</w:t>
      </w:r>
      <w:r w:rsidR="00D51A38">
        <w:t xml:space="preserve"> the</w:t>
      </w:r>
      <w:r w:rsidR="00D51A38" w:rsidRPr="006456D2">
        <w:t xml:space="preserve"> data in (A). Statistical analysis: t-test with Wel</w:t>
      </w:r>
      <w:r w:rsidR="00E15582">
        <w:t>c</w:t>
      </w:r>
      <w:r w:rsidR="00D51A38" w:rsidRPr="006456D2">
        <w:t>h</w:t>
      </w:r>
      <w:r w:rsidR="000B568B">
        <w:t>’s</w:t>
      </w:r>
      <w:r w:rsidR="00D51A38" w:rsidRPr="006456D2">
        <w:t xml:space="preserve"> correction </w:t>
      </w:r>
      <w:r w:rsidR="008A2729">
        <w:t xml:space="preserve">(SH1000 </w:t>
      </w:r>
      <w:r w:rsidR="008A2729">
        <w:rPr>
          <w:i/>
          <w:iCs/>
        </w:rPr>
        <w:t>vs.</w:t>
      </w:r>
      <w:r w:rsidR="008A2729">
        <w:t xml:space="preserve"> </w:t>
      </w:r>
      <w:r w:rsidR="008A2729">
        <w:rPr>
          <w:i/>
          <w:iCs/>
        </w:rPr>
        <w:t>tarO</w:t>
      </w:r>
      <w:r w:rsidR="008A2729">
        <w:t>: methicillin *** p = 0.0001, vancomycin **** p &lt; 0.0001</w:t>
      </w:r>
      <w:r w:rsidR="00F1448A">
        <w:t>,</w:t>
      </w:r>
      <w:r w:rsidR="008A2729">
        <w:t xml:space="preserve"> vancomycin plus </w:t>
      </w:r>
      <w:r w:rsidR="004E3E62">
        <w:t>methicillin</w:t>
      </w:r>
      <w:r w:rsidR="008A2729">
        <w:t> ** p = 0.0021) (&gt; 3 biological repeats)</w:t>
      </w:r>
      <w:r w:rsidR="00D51A38">
        <w:rPr>
          <w:lang w:val="en-US"/>
        </w:rPr>
        <w:t>.</w:t>
      </w:r>
    </w:p>
    <w:p w14:paraId="70D6AF74" w14:textId="77777777" w:rsidR="009454B9" w:rsidRDefault="009454B9" w:rsidP="009454B9">
      <w:pPr>
        <w:keepNext/>
        <w:jc w:val="center"/>
      </w:pPr>
      <w:r>
        <w:rPr>
          <w:noProof/>
        </w:rPr>
        <w:lastRenderedPageBreak/>
        <w:drawing>
          <wp:inline distT="0" distB="0" distL="0" distR="0" wp14:anchorId="562DA11A" wp14:editId="3F1ED764">
            <wp:extent cx="5871006" cy="762149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871006" cy="7621491"/>
                    </a:xfrm>
                    <a:prstGeom prst="rect">
                      <a:avLst/>
                    </a:prstGeom>
                  </pic:spPr>
                </pic:pic>
              </a:graphicData>
            </a:graphic>
          </wp:inline>
        </w:drawing>
      </w:r>
    </w:p>
    <w:p w14:paraId="777C8A87" w14:textId="212AB1D9" w:rsidR="009454B9" w:rsidRPr="0030142B" w:rsidRDefault="009454B9" w:rsidP="008A2B86">
      <w:pPr>
        <w:pStyle w:val="Caption"/>
      </w:pPr>
      <w:bookmarkStart w:id="798" w:name="_Ref70616471"/>
      <w:bookmarkStart w:id="799" w:name="_Toc90217018"/>
      <w:r w:rsidRPr="0030142B">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33</w:t>
      </w:r>
      <w:r w:rsidR="003373BF">
        <w:rPr>
          <w:noProof/>
        </w:rPr>
        <w:fldChar w:fldCharType="end"/>
      </w:r>
      <w:bookmarkEnd w:id="798"/>
      <w:r w:rsidRPr="0030142B">
        <w:t xml:space="preserve"> Effect of vancomycin and/or methicillin on </w:t>
      </w:r>
      <w:r w:rsidRPr="001572D2">
        <w:rPr>
          <w:i/>
          <w:iCs w:val="0"/>
        </w:rPr>
        <w:t>S. aureus</w:t>
      </w:r>
      <w:r w:rsidRPr="0030142B">
        <w:t xml:space="preserve"> SH1000 </w:t>
      </w:r>
      <w:r w:rsidRPr="00E61A21">
        <w:rPr>
          <w:i/>
        </w:rPr>
        <w:t>tarO</w:t>
      </w:r>
      <w:r w:rsidRPr="0030142B">
        <w:t xml:space="preserve"> </w:t>
      </w:r>
      <w:r w:rsidR="008F352B">
        <w:t>morphology</w:t>
      </w:r>
      <w:r w:rsidRPr="0030142B">
        <w:t>.</w:t>
      </w:r>
      <w:bookmarkEnd w:id="799"/>
    </w:p>
    <w:p w14:paraId="6B3F01D2" w14:textId="52A92C33" w:rsidR="009454B9" w:rsidRPr="0030142B" w:rsidRDefault="009454B9" w:rsidP="0030142B">
      <w:pPr>
        <w:pStyle w:val="NoSpacing"/>
        <w:sectPr w:rsidR="009454B9" w:rsidRPr="0030142B" w:rsidSect="004D0E05">
          <w:pgSz w:w="11906" w:h="16838"/>
          <w:pgMar w:top="1191" w:right="1247" w:bottom="1191" w:left="1247" w:header="709" w:footer="709" w:gutter="0"/>
          <w:cols w:space="708"/>
          <w:titlePg/>
          <w:docGrid w:linePitch="360"/>
        </w:sectPr>
      </w:pPr>
      <w:r w:rsidRPr="0030142B">
        <w:t xml:space="preserve">TEM micrographs of chemically fixed thin sections </w:t>
      </w:r>
      <w:r w:rsidRPr="001572D2">
        <w:rPr>
          <w:i/>
          <w:iCs/>
        </w:rPr>
        <w:t>S. aureus</w:t>
      </w:r>
      <w:r w:rsidRPr="0030142B">
        <w:t xml:space="preserve"> </w:t>
      </w:r>
      <w:r w:rsidRPr="00E61A21">
        <w:rPr>
          <w:i/>
          <w:iCs/>
        </w:rPr>
        <w:t>tarO</w:t>
      </w:r>
      <w:r w:rsidRPr="0030142B">
        <w:t xml:space="preserve"> (A) untreated, treated for 1 h with 10 X MIC (B) methicillin, (C) vancomycin, or (D) vancomycin plus methicillin. High magnification </w:t>
      </w:r>
      <w:r w:rsidR="00EE00B7">
        <w:t>(</w:t>
      </w:r>
      <w:r w:rsidRPr="0030142B">
        <w:t>4800x</w:t>
      </w:r>
      <w:r w:rsidR="00EE00B7">
        <w:t>)</w:t>
      </w:r>
      <w:r w:rsidRPr="0030142B">
        <w:t>, scale bar 1 µm.</w:t>
      </w:r>
      <w:r w:rsidR="00C23BDE" w:rsidRPr="0030142B">
        <w:t xml:space="preserve"> </w:t>
      </w:r>
      <w:r w:rsidR="007227F1">
        <w:t xml:space="preserve">Purple panels represent a zoomed sections with a scale bar of 200 nm. </w:t>
      </w:r>
      <w:r w:rsidR="00872C62">
        <w:t>Red</w:t>
      </w:r>
      <w:r w:rsidR="00C23BDE" w:rsidRPr="0030142B">
        <w:t xml:space="preserve"> arrows indicate areas where the exoplasmic space </w:t>
      </w:r>
      <w:r w:rsidR="00DD3E3E">
        <w:t>is</w:t>
      </w:r>
      <w:r w:rsidR="00C23BDE" w:rsidRPr="0030142B">
        <w:t xml:space="preserve"> expanded. Black arrow heads– </w:t>
      </w:r>
      <w:r w:rsidR="00CD17C2" w:rsidRPr="0030142B">
        <w:t>blebs</w:t>
      </w:r>
      <w:r w:rsidR="00C23BDE" w:rsidRPr="0030142B">
        <w:t>. Whit</w:t>
      </w:r>
      <w:r w:rsidR="00503FE9">
        <w:t>e</w:t>
      </w:r>
      <w:r w:rsidR="00C23BDE" w:rsidRPr="0030142B">
        <w:t xml:space="preserve"> arrow heads– </w:t>
      </w:r>
      <w:r w:rsidR="009855B6" w:rsidRPr="0030142B">
        <w:t>“</w:t>
      </w:r>
      <w:r w:rsidR="00C23BDE" w:rsidRPr="0030142B">
        <w:t>lipid spirals</w:t>
      </w:r>
      <w:r w:rsidR="009855B6" w:rsidRPr="0030142B">
        <w:t>”</w:t>
      </w:r>
      <w:r w:rsidR="00C23BDE" w:rsidRPr="0030142B">
        <w:t>.</w:t>
      </w:r>
    </w:p>
    <w:p w14:paraId="5186374E" w14:textId="77777777" w:rsidR="008375BD" w:rsidRDefault="008375BD" w:rsidP="00C85900">
      <w:pPr>
        <w:pStyle w:val="NoSpacing"/>
        <w:keepNext/>
        <w:jc w:val="center"/>
      </w:pPr>
      <w:r>
        <w:rPr>
          <w:noProof/>
        </w:rPr>
        <w:lastRenderedPageBreak/>
        <w:drawing>
          <wp:inline distT="0" distB="0" distL="0" distR="0" wp14:anchorId="62BE8979" wp14:editId="3E13D646">
            <wp:extent cx="5897679" cy="760516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897679" cy="7605160"/>
                    </a:xfrm>
                    <a:prstGeom prst="rect">
                      <a:avLst/>
                    </a:prstGeom>
                  </pic:spPr>
                </pic:pic>
              </a:graphicData>
            </a:graphic>
          </wp:inline>
        </w:drawing>
      </w:r>
    </w:p>
    <w:p w14:paraId="69932B44" w14:textId="614388D6" w:rsidR="008375BD" w:rsidRDefault="008375BD" w:rsidP="008A2B86">
      <w:pPr>
        <w:pStyle w:val="Caption"/>
      </w:pPr>
      <w:bookmarkStart w:id="800" w:name="_Ref70631626"/>
      <w:bookmarkStart w:id="801" w:name="_Toc90217019"/>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34</w:t>
      </w:r>
      <w:r w:rsidR="003373BF">
        <w:rPr>
          <w:noProof/>
        </w:rPr>
        <w:fldChar w:fldCharType="end"/>
      </w:r>
      <w:bookmarkEnd w:id="800"/>
      <w:r>
        <w:t xml:space="preserve"> Effect of oxacillin and oxacillin plus vancomycin on </w:t>
      </w:r>
      <w:r>
        <w:rPr>
          <w:i/>
        </w:rPr>
        <w:t>S. aureus</w:t>
      </w:r>
      <w:r>
        <w:t xml:space="preserve"> SH1000 </w:t>
      </w:r>
      <w:r>
        <w:rPr>
          <w:i/>
        </w:rPr>
        <w:t>tarO</w:t>
      </w:r>
      <w:r>
        <w:t xml:space="preserve"> </w:t>
      </w:r>
      <w:r w:rsidR="005B17E9">
        <w:t>morphology</w:t>
      </w:r>
      <w:r>
        <w:t>.</w:t>
      </w:r>
      <w:bookmarkEnd w:id="801"/>
    </w:p>
    <w:p w14:paraId="7281A10F" w14:textId="108C2C17" w:rsidR="008375BD" w:rsidRPr="008375BD" w:rsidRDefault="008375BD" w:rsidP="008375BD">
      <w:pPr>
        <w:pStyle w:val="NoSpacing"/>
        <w:sectPr w:rsidR="008375BD" w:rsidRPr="008375BD" w:rsidSect="004D0E05">
          <w:pgSz w:w="11906" w:h="16838"/>
          <w:pgMar w:top="1191" w:right="1247" w:bottom="1191" w:left="1247" w:header="709" w:footer="709" w:gutter="0"/>
          <w:cols w:space="708"/>
          <w:titlePg/>
          <w:docGrid w:linePitch="360"/>
        </w:sectPr>
      </w:pPr>
      <w:r>
        <w:t>TEM</w:t>
      </w:r>
      <w:r w:rsidRPr="008375BD">
        <w:t xml:space="preserve"> </w:t>
      </w:r>
      <w:r>
        <w:t xml:space="preserve">micrographs of chemically fixed thin sections </w:t>
      </w:r>
      <w:r>
        <w:rPr>
          <w:i/>
          <w:iCs/>
        </w:rPr>
        <w:t>S. aureus</w:t>
      </w:r>
      <w:r>
        <w:t xml:space="preserve"> </w:t>
      </w:r>
      <w:r>
        <w:rPr>
          <w:i/>
          <w:iCs/>
        </w:rPr>
        <w:t>tarO</w:t>
      </w:r>
      <w:r>
        <w:rPr>
          <w:b/>
          <w:bCs/>
        </w:rPr>
        <w:t xml:space="preserve"> </w:t>
      </w:r>
      <w:r>
        <w:t xml:space="preserve">treated for 1 h with 10 X MIC </w:t>
      </w:r>
      <w:r>
        <w:rPr>
          <w:b/>
          <w:bCs/>
        </w:rPr>
        <w:t xml:space="preserve">(A) </w:t>
      </w:r>
      <w:r>
        <w:t xml:space="preserve">oxacillin or </w:t>
      </w:r>
      <w:r>
        <w:rPr>
          <w:b/>
          <w:bCs/>
        </w:rPr>
        <w:t>(B)</w:t>
      </w:r>
      <w:r>
        <w:t xml:space="preserve"> vancomycin plus oxacillin. High magnification </w:t>
      </w:r>
      <w:r w:rsidR="00EF2E81">
        <w:t>(</w:t>
      </w:r>
      <w:r>
        <w:t>4800x</w:t>
      </w:r>
      <w:r w:rsidR="00EF2E81">
        <w:t>)</w:t>
      </w:r>
      <w:r>
        <w:t>, scale bar 1 µm.</w:t>
      </w:r>
      <w:r w:rsidRPr="00C23BDE">
        <w:t xml:space="preserve"> </w:t>
      </w:r>
      <w:r w:rsidR="00C15B16">
        <w:t xml:space="preserve">Purple panels represent a zoomed sections with a scale bar of 200 nm. </w:t>
      </w:r>
      <w:r w:rsidR="00D0330B">
        <w:t>Red</w:t>
      </w:r>
      <w:r>
        <w:t xml:space="preserve"> arrows indicate areas where the exoplasmic space </w:t>
      </w:r>
      <w:r w:rsidR="00DD3E3E">
        <w:t>is</w:t>
      </w:r>
      <w:r>
        <w:t xml:space="preserve"> expanded. Black arrow heads– </w:t>
      </w:r>
      <w:r w:rsidR="00CD17C2">
        <w:t>blebs</w:t>
      </w:r>
      <w:r>
        <w:t>. Whit</w:t>
      </w:r>
      <w:r w:rsidR="00464AF6">
        <w:t>e</w:t>
      </w:r>
      <w:r>
        <w:t xml:space="preserve"> arrow heads– </w:t>
      </w:r>
      <w:r w:rsidR="00054A6C">
        <w:t>“</w:t>
      </w:r>
      <w:r>
        <w:t>lipid spirals</w:t>
      </w:r>
      <w:r w:rsidR="00054A6C">
        <w:t>”</w:t>
      </w:r>
      <w:r>
        <w:t>.</w:t>
      </w:r>
    </w:p>
    <w:p w14:paraId="2BB25F67" w14:textId="19BC93DF" w:rsidR="00154FCF" w:rsidRDefault="00154FCF" w:rsidP="006F0EEF">
      <w:pPr>
        <w:pStyle w:val="NoSpacing"/>
        <w:keepNext/>
        <w:jc w:val="center"/>
      </w:pPr>
      <w:r>
        <w:rPr>
          <w:noProof/>
        </w:rPr>
        <w:lastRenderedPageBreak/>
        <w:drawing>
          <wp:inline distT="0" distB="0" distL="0" distR="0" wp14:anchorId="73B715DC" wp14:editId="4030945E">
            <wp:extent cx="5903140" cy="6234545"/>
            <wp:effectExtent l="0" t="0" r="254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16564" cy="6248723"/>
                    </a:xfrm>
                    <a:prstGeom prst="rect">
                      <a:avLst/>
                    </a:prstGeom>
                  </pic:spPr>
                </pic:pic>
              </a:graphicData>
            </a:graphic>
          </wp:inline>
        </w:drawing>
      </w:r>
    </w:p>
    <w:p w14:paraId="467911B5" w14:textId="63EED6E1" w:rsidR="00154FCF" w:rsidRDefault="00154FCF" w:rsidP="008A2B86">
      <w:pPr>
        <w:pStyle w:val="Caption"/>
      </w:pPr>
      <w:bookmarkStart w:id="802" w:name="_Ref70617103"/>
      <w:bookmarkStart w:id="803" w:name="_Toc90217020"/>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35</w:t>
      </w:r>
      <w:r w:rsidR="003373BF">
        <w:rPr>
          <w:noProof/>
        </w:rPr>
        <w:fldChar w:fldCharType="end"/>
      </w:r>
      <w:bookmarkEnd w:id="802"/>
      <w:r>
        <w:t xml:space="preserve"> Effect of methicillin or oxacillin on </w:t>
      </w:r>
      <w:r>
        <w:rPr>
          <w:i/>
        </w:rPr>
        <w:t>S. aureus</w:t>
      </w:r>
      <w:r>
        <w:t xml:space="preserve"> SH1000 </w:t>
      </w:r>
      <w:r>
        <w:rPr>
          <w:i/>
        </w:rPr>
        <w:t>tarO</w:t>
      </w:r>
      <w:r>
        <w:t xml:space="preserve"> morphology and division.</w:t>
      </w:r>
      <w:bookmarkEnd w:id="803"/>
    </w:p>
    <w:p w14:paraId="11875C94" w14:textId="4D1D875D" w:rsidR="00154FCF" w:rsidRDefault="00716301" w:rsidP="00154FCF">
      <w:pPr>
        <w:pStyle w:val="NoSpacing"/>
        <w:sectPr w:rsidR="00154FCF" w:rsidSect="004D0E05">
          <w:pgSz w:w="11906" w:h="16838"/>
          <w:pgMar w:top="1191" w:right="1247" w:bottom="1191" w:left="1247" w:header="709" w:footer="709" w:gutter="0"/>
          <w:cols w:space="708"/>
          <w:titlePg/>
          <w:docGrid w:linePitch="360"/>
        </w:sectPr>
      </w:pPr>
      <w:r>
        <w:t xml:space="preserve">Representative cells from </w:t>
      </w:r>
      <w:r w:rsidR="00154FCF">
        <w:t xml:space="preserve">TEM micrographs of chemically fixed thin sections </w:t>
      </w:r>
      <w:r w:rsidR="00154FCF">
        <w:rPr>
          <w:i/>
          <w:iCs/>
        </w:rPr>
        <w:t>S. aureus</w:t>
      </w:r>
      <w:r>
        <w:t xml:space="preserve"> </w:t>
      </w:r>
      <w:r>
        <w:rPr>
          <w:i/>
          <w:iCs/>
        </w:rPr>
        <w:t>tarO</w:t>
      </w:r>
      <w:r w:rsidR="00154FCF">
        <w:rPr>
          <w:b/>
          <w:bCs/>
        </w:rPr>
        <w:t xml:space="preserve"> </w:t>
      </w:r>
      <w:r w:rsidR="00154FCF">
        <w:t xml:space="preserve">treated for 1 h with 10 X MIC </w:t>
      </w:r>
      <w:r w:rsidR="00154FCF">
        <w:rPr>
          <w:b/>
          <w:bCs/>
        </w:rPr>
        <w:t xml:space="preserve">(A) </w:t>
      </w:r>
      <w:r>
        <w:t>methicillin</w:t>
      </w:r>
      <w:r w:rsidR="00154FCF">
        <w:t xml:space="preserve"> </w:t>
      </w:r>
      <w:r>
        <w:t>or</w:t>
      </w:r>
      <w:r w:rsidR="00154FCF">
        <w:t xml:space="preserve"> </w:t>
      </w:r>
      <w:r w:rsidR="00154FCF">
        <w:rPr>
          <w:b/>
          <w:bCs/>
        </w:rPr>
        <w:t>(B)</w:t>
      </w:r>
      <w:r w:rsidR="00154FCF">
        <w:t xml:space="preserve"> </w:t>
      </w:r>
      <w:r>
        <w:t>oxacillin</w:t>
      </w:r>
      <w:r w:rsidR="00154FCF">
        <w:t xml:space="preserve">. </w:t>
      </w:r>
      <w:r>
        <w:t>Cropped from h</w:t>
      </w:r>
      <w:r w:rsidR="00154FCF">
        <w:t xml:space="preserve">igh magnification </w:t>
      </w:r>
      <w:r w:rsidR="00EF2E81">
        <w:t>(</w:t>
      </w:r>
      <w:r w:rsidR="00154FCF">
        <w:t>4800x</w:t>
      </w:r>
      <w:r w:rsidR="00EF2E81">
        <w:t>)</w:t>
      </w:r>
      <w:r w:rsidR="00154FCF">
        <w:t xml:space="preserve">, scale bar </w:t>
      </w:r>
      <w:r>
        <w:t>200 n</w:t>
      </w:r>
      <w:r w:rsidR="00154FCF">
        <w:t>m. pm– plasma membrane, cw– cell wall, ex– exoplasmic space. No sept</w:t>
      </w:r>
      <w:r w:rsidR="00FA5648">
        <w:t>um</w:t>
      </w:r>
      <w:r w:rsidR="00154FCF">
        <w:softHyphen/>
        <w:t>– dark orange, incomplete sept</w:t>
      </w:r>
      <w:r w:rsidR="00FA5648">
        <w:t>um</w:t>
      </w:r>
      <w:r w:rsidR="00154FCF">
        <w:t>– medium orange, and complete sept</w:t>
      </w:r>
      <w:r w:rsidR="00FA5648">
        <w:t>um</w:t>
      </w:r>
      <w:r w:rsidR="00154FCF">
        <w:t>– light orange.</w:t>
      </w:r>
      <w:r w:rsidR="00154FCF">
        <w:rPr>
          <w:b/>
          <w:bCs/>
        </w:rPr>
        <w:t xml:space="preserve"> </w:t>
      </w:r>
      <w:r w:rsidR="000C4A7C">
        <w:rPr>
          <w:b/>
          <w:bCs/>
        </w:rPr>
        <w:t>(C)</w:t>
      </w:r>
      <w:r w:rsidR="000C4A7C">
        <w:t xml:space="preserve"> Compositional analysis of methicillin treated cells in </w:t>
      </w:r>
      <w:r w:rsidR="000C4A7C" w:rsidRPr="0045645C">
        <w:t>(D)</w:t>
      </w:r>
      <w:r w:rsidR="0045645C">
        <w:t xml:space="preserve"> presenting signs of “plasmolysis”</w:t>
      </w:r>
      <w:r w:rsidR="000C4A7C">
        <w:t>. No sept</w:t>
      </w:r>
      <w:r w:rsidR="00D2465A">
        <w:t>um</w:t>
      </w:r>
      <w:r w:rsidR="000C4A7C">
        <w:t>– dark orange, incomplete sept</w:t>
      </w:r>
      <w:r w:rsidR="00D2465A">
        <w:t>um</w:t>
      </w:r>
      <w:r w:rsidR="000C4A7C">
        <w:t>– medium orange, complete sept</w:t>
      </w:r>
      <w:r w:rsidR="00D2465A">
        <w:t>um</w:t>
      </w:r>
      <w:r w:rsidR="000C4A7C">
        <w:t>– light orange (</w:t>
      </w:r>
      <w:r w:rsidR="000C4A7C">
        <w:rPr>
          <w:i/>
          <w:iCs/>
        </w:rPr>
        <w:t>n </w:t>
      </w:r>
      <w:r w:rsidR="000C4A7C">
        <w:t>= 304).</w:t>
      </w:r>
      <w:r w:rsidR="000C4A7C">
        <w:rPr>
          <w:b/>
          <w:bCs/>
          <w:lang w:val="en-US"/>
        </w:rPr>
        <w:t xml:space="preserve"> </w:t>
      </w:r>
      <w:r w:rsidR="00154FCF">
        <w:rPr>
          <w:b/>
          <w:bCs/>
          <w:lang w:val="en-US"/>
        </w:rPr>
        <w:t>(</w:t>
      </w:r>
      <w:r w:rsidR="000C4A7C">
        <w:rPr>
          <w:b/>
          <w:bCs/>
          <w:lang w:val="en-US"/>
        </w:rPr>
        <w:t>D</w:t>
      </w:r>
      <w:r w:rsidR="00154FCF">
        <w:rPr>
          <w:b/>
          <w:bCs/>
          <w:lang w:val="en-US"/>
        </w:rPr>
        <w:t>)</w:t>
      </w:r>
      <w:r w:rsidR="00154FCF">
        <w:rPr>
          <w:lang w:val="en-US"/>
        </w:rPr>
        <w:t xml:space="preserve"> </w:t>
      </w:r>
      <w:r w:rsidR="00154FCF">
        <w:t>Morphological quantification of the control</w:t>
      </w:r>
      <w:r w:rsidR="00154FCF">
        <w:rPr>
          <w:i/>
          <w:iCs/>
        </w:rPr>
        <w:t xml:space="preserve"> </w:t>
      </w:r>
      <w:r w:rsidR="00154FCF" w:rsidRPr="00570A71">
        <w:t>(</w:t>
      </w:r>
      <w:r w:rsidR="00154FCF">
        <w:t xml:space="preserve">2 biological repeats, </w:t>
      </w:r>
      <w:r w:rsidR="00154FCF">
        <w:rPr>
          <w:i/>
          <w:iCs/>
        </w:rPr>
        <w:t>n</w:t>
      </w:r>
      <w:r w:rsidR="00154FCF">
        <w:t> = </w:t>
      </w:r>
      <w:r w:rsidR="00453629">
        <w:t>1034</w:t>
      </w:r>
      <w:r w:rsidR="00154FCF">
        <w:t>), methicillin (</w:t>
      </w:r>
      <w:r w:rsidR="00453629">
        <w:t>2</w:t>
      </w:r>
      <w:r w:rsidR="00154FCF">
        <w:t xml:space="preserve"> biological repeat, </w:t>
      </w:r>
      <w:r w:rsidR="00154FCF">
        <w:rPr>
          <w:i/>
          <w:iCs/>
        </w:rPr>
        <w:t>n</w:t>
      </w:r>
      <w:r w:rsidR="00154FCF" w:rsidRPr="00D40C1B">
        <w:t> = </w:t>
      </w:r>
      <w:r w:rsidR="00453629">
        <w:t>607</w:t>
      </w:r>
      <w:r w:rsidR="00154FCF">
        <w:t xml:space="preserve">), </w:t>
      </w:r>
      <w:r w:rsidR="00453629">
        <w:t>vancomycin</w:t>
      </w:r>
      <w:r w:rsidR="00154FCF">
        <w:t xml:space="preserve"> (2 biological repeats, </w:t>
      </w:r>
      <w:r w:rsidR="00154FCF">
        <w:rPr>
          <w:i/>
          <w:iCs/>
        </w:rPr>
        <w:t>n</w:t>
      </w:r>
      <w:r w:rsidR="00154FCF">
        <w:t> = </w:t>
      </w:r>
      <w:r w:rsidR="00453629">
        <w:t>1008</w:t>
      </w:r>
      <w:r w:rsidR="00154FCF">
        <w:t xml:space="preserve">), </w:t>
      </w:r>
      <w:r w:rsidR="00453629">
        <w:t>vancomycin</w:t>
      </w:r>
      <w:r w:rsidR="00154FCF">
        <w:t xml:space="preserve"> plus methicillin (2 biological repeats, </w:t>
      </w:r>
      <w:r w:rsidR="00154FCF">
        <w:rPr>
          <w:i/>
          <w:iCs/>
        </w:rPr>
        <w:t>n</w:t>
      </w:r>
      <w:r w:rsidR="00154FCF">
        <w:t> = </w:t>
      </w:r>
      <w:r w:rsidR="00453629">
        <w:t>692</w:t>
      </w:r>
      <w:r w:rsidR="00154FCF">
        <w:t>)</w:t>
      </w:r>
      <w:r w:rsidR="00453629">
        <w:t xml:space="preserve">, oxacillin (2 biological repeats, </w:t>
      </w:r>
      <w:r w:rsidR="00453629">
        <w:rPr>
          <w:i/>
          <w:iCs/>
        </w:rPr>
        <w:t>n</w:t>
      </w:r>
      <w:r w:rsidR="00453629">
        <w:t xml:space="preserve"> = 684), and vancomycin plus oxacillin (2 biological repeats, </w:t>
      </w:r>
      <w:r w:rsidR="00453629">
        <w:rPr>
          <w:i/>
          <w:iCs/>
        </w:rPr>
        <w:t>n</w:t>
      </w:r>
      <w:r w:rsidR="00453629">
        <w:t> = 433),</w:t>
      </w:r>
      <w:r w:rsidR="00154FCF">
        <w:t xml:space="preserve"> as indicated. No sept</w:t>
      </w:r>
      <w:r w:rsidR="00D2465A">
        <w:t>um</w:t>
      </w:r>
      <w:r w:rsidR="00154FCF">
        <w:t>– dark green, incomplete sept</w:t>
      </w:r>
      <w:r w:rsidR="00D2465A">
        <w:t>um</w:t>
      </w:r>
      <w:r w:rsidR="00154FCF">
        <w:t>– medium green, complete sept</w:t>
      </w:r>
      <w:r w:rsidR="00D2465A">
        <w:t>um</w:t>
      </w:r>
      <w:r w:rsidR="00154FCF">
        <w:t xml:space="preserve">– light green, </w:t>
      </w:r>
      <w:r w:rsidR="0045645C">
        <w:t>“plasmolysis”</w:t>
      </w:r>
      <w:r w:rsidR="00154FCF">
        <w:t xml:space="preserve">– orange, </w:t>
      </w:r>
      <w:r w:rsidR="00D2465A">
        <w:t xml:space="preserve">and </w:t>
      </w:r>
      <w:r w:rsidR="00154FCF">
        <w:t xml:space="preserve">growth defects– yellow. </w:t>
      </w:r>
      <w:r w:rsidR="00154FCF">
        <w:rPr>
          <w:b/>
          <w:bCs/>
        </w:rPr>
        <w:t>(</w:t>
      </w:r>
      <w:r w:rsidR="000C4A7C">
        <w:rPr>
          <w:b/>
          <w:bCs/>
        </w:rPr>
        <w:t>E</w:t>
      </w:r>
      <w:r w:rsidR="00154FCF">
        <w:rPr>
          <w:b/>
          <w:bCs/>
        </w:rPr>
        <w:t>)</w:t>
      </w:r>
      <w:r w:rsidR="00154FCF">
        <w:t xml:space="preserve"> Compositional analysis of </w:t>
      </w:r>
      <w:r w:rsidR="000C4A7C">
        <w:t>oxacillin</w:t>
      </w:r>
      <w:r w:rsidR="00154FCF">
        <w:t xml:space="preserve"> treated cells in </w:t>
      </w:r>
      <w:r w:rsidR="00154FCF" w:rsidRPr="0045645C">
        <w:t>(</w:t>
      </w:r>
      <w:r w:rsidR="000C4A7C" w:rsidRPr="0045645C">
        <w:t>D</w:t>
      </w:r>
      <w:r w:rsidR="00154FCF" w:rsidRPr="0045645C">
        <w:t>)</w:t>
      </w:r>
      <w:r w:rsidR="0045645C">
        <w:t xml:space="preserve"> presenting signs of “plasmolysis”</w:t>
      </w:r>
      <w:r w:rsidR="00154FCF">
        <w:t>. No sept</w:t>
      </w:r>
      <w:r w:rsidR="00D2465A">
        <w:t>um</w:t>
      </w:r>
      <w:r w:rsidR="00154FCF">
        <w:t>– dark orange, incomplete sept</w:t>
      </w:r>
      <w:r w:rsidR="00D2465A">
        <w:t>um</w:t>
      </w:r>
      <w:r w:rsidR="00154FCF">
        <w:t>– medium orange, complete sept</w:t>
      </w:r>
      <w:r w:rsidR="00D2465A">
        <w:t>um</w:t>
      </w:r>
      <w:r w:rsidR="00154FCF">
        <w:t>– light orange (</w:t>
      </w:r>
      <w:r w:rsidR="00154FCF">
        <w:rPr>
          <w:i/>
          <w:iCs/>
        </w:rPr>
        <w:t>n </w:t>
      </w:r>
      <w:r w:rsidR="00154FCF">
        <w:t>= </w:t>
      </w:r>
      <w:r w:rsidR="000C4A7C">
        <w:t>502</w:t>
      </w:r>
      <w:r w:rsidR="00154FCF">
        <w:t>).</w:t>
      </w:r>
    </w:p>
    <w:p w14:paraId="5FEA1EC0" w14:textId="13FE089D" w:rsidR="00376163" w:rsidRDefault="00485801" w:rsidP="00485801">
      <w:r>
        <w:lastRenderedPageBreak/>
        <w:t xml:space="preserve">To </w:t>
      </w:r>
      <w:r w:rsidR="00214B2A">
        <w:t>determine</w:t>
      </w:r>
      <w:r>
        <w:t xml:space="preserve"> if </w:t>
      </w:r>
      <w:r w:rsidR="00D00FC9">
        <w:t>the methicillin-associated</w:t>
      </w:r>
      <w:r>
        <w:t xml:space="preserve"> phenotype is caused by an accumulation of lipoteichoic acid</w:t>
      </w:r>
      <w:r w:rsidR="00D00FC9">
        <w:t xml:space="preserve"> (LTA)</w:t>
      </w:r>
      <w:r>
        <w:t xml:space="preserve"> precursors, further analysis was carried out on SH1000 </w:t>
      </w:r>
      <w:r>
        <w:rPr>
          <w:i/>
          <w:iCs/>
        </w:rPr>
        <w:t>ltaS gdpP::kan</w:t>
      </w:r>
      <w:r>
        <w:t xml:space="preserve"> (SJF 5159)</w:t>
      </w:r>
      <w:r w:rsidR="00EC4105">
        <w:t>,</w:t>
      </w:r>
      <w:r>
        <w:t xml:space="preserve"> which lacks </w:t>
      </w:r>
      <w:r w:rsidR="00B00EC0">
        <w:t>LTA</w:t>
      </w:r>
      <w:r w:rsidR="002E69DF">
        <w:t xml:space="preserve"> </w:t>
      </w:r>
      <w:r w:rsidR="002E69DF">
        <w:fldChar w:fldCharType="begin" w:fldLock="1"/>
      </w:r>
      <w:r w:rsidR="00DA0A83">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mendeley":{"formattedCitation":"&lt;sup&gt;[63]&lt;/sup&gt;","plainTextFormattedCitation":"[63]","previouslyFormattedCitation":"&lt;sup&gt;[63]&lt;/sup&gt;"},"properties":{"noteIndex":0},"schema":"https://github.com/citation-style-language/schema/raw/master/csl-citation.json"}</w:instrText>
      </w:r>
      <w:r w:rsidR="002E69DF">
        <w:fldChar w:fldCharType="separate"/>
      </w:r>
      <w:r w:rsidR="00DA0A83" w:rsidRPr="00DA0A83">
        <w:rPr>
          <w:noProof/>
          <w:vertAlign w:val="superscript"/>
        </w:rPr>
        <w:t>[63]</w:t>
      </w:r>
      <w:r w:rsidR="002E69DF">
        <w:fldChar w:fldCharType="end"/>
      </w:r>
      <w:r>
        <w:t>.</w:t>
      </w:r>
      <w:r w:rsidR="000441C9">
        <w:t xml:space="preserve"> </w:t>
      </w:r>
      <w:r w:rsidR="000B4623">
        <w:t>This</w:t>
      </w:r>
      <w:r w:rsidR="00A61EFF">
        <w:t xml:space="preserve"> strain has a decreased susceptibility to </w:t>
      </w:r>
      <w:r w:rsidR="00A61EFF">
        <w:rPr>
          <w:lang w:val="el-GR"/>
        </w:rPr>
        <w:t>β</w:t>
      </w:r>
      <w:r w:rsidR="00A61EFF">
        <w:t>-lactam antibiotics</w:t>
      </w:r>
      <w:r w:rsidR="000B4623">
        <w:t xml:space="preserve"> in comparison to SH1000 (* p = 0.0146, </w:t>
      </w:r>
      <w:r w:rsidR="000B4623">
        <w:rPr>
          <w:highlight w:val="yellow"/>
        </w:rPr>
        <w:fldChar w:fldCharType="begin"/>
      </w:r>
      <w:r w:rsidR="000B4623">
        <w:instrText xml:space="preserve"> REF _Ref70715186 \h </w:instrText>
      </w:r>
      <w:r w:rsidR="000B4623">
        <w:rPr>
          <w:highlight w:val="yellow"/>
        </w:rPr>
      </w:r>
      <w:r w:rsidR="000B4623">
        <w:rPr>
          <w:highlight w:val="yellow"/>
        </w:rPr>
        <w:fldChar w:fldCharType="separate"/>
      </w:r>
      <w:r w:rsidR="00183CC8">
        <w:t xml:space="preserve">Figure </w:t>
      </w:r>
      <w:r w:rsidR="00183CC8">
        <w:rPr>
          <w:noProof/>
        </w:rPr>
        <w:t>5</w:t>
      </w:r>
      <w:r w:rsidR="00183CC8">
        <w:t>.</w:t>
      </w:r>
      <w:r w:rsidR="00183CC8">
        <w:rPr>
          <w:noProof/>
        </w:rPr>
        <w:t>36</w:t>
      </w:r>
      <w:r w:rsidR="000B4623">
        <w:rPr>
          <w:highlight w:val="yellow"/>
        </w:rPr>
        <w:fldChar w:fldCharType="end"/>
      </w:r>
      <w:r w:rsidR="00DE355C">
        <w:t>a,</w:t>
      </w:r>
      <w:r w:rsidR="000B4623">
        <w:t>c)</w:t>
      </w:r>
      <w:r w:rsidR="00DE355C">
        <w:t>.</w:t>
      </w:r>
      <w:r w:rsidR="003145B8">
        <w:t xml:space="preserve"> </w:t>
      </w:r>
      <w:r w:rsidR="0072117F">
        <w:t xml:space="preserve">Methicillin’s mortality </w:t>
      </w:r>
      <w:r w:rsidR="009C50BE">
        <w:t>after 6 h</w:t>
      </w:r>
      <w:r w:rsidR="0072117F">
        <w:t xml:space="preserve"> is </w:t>
      </w:r>
      <w:r w:rsidR="009C50BE">
        <w:t xml:space="preserve">of </w:t>
      </w:r>
      <w:r w:rsidR="0072117F">
        <w:t xml:space="preserve">90.1 ± 5 %, significantly </w:t>
      </w:r>
      <w:r w:rsidR="00B043E7">
        <w:t>lower</w:t>
      </w:r>
      <w:r w:rsidR="0072117F">
        <w:t xml:space="preserve"> than vancomycin’s 97.</w:t>
      </w:r>
      <w:r w:rsidR="00D75126">
        <w:t>5</w:t>
      </w:r>
      <w:r w:rsidR="0072117F">
        <w:t xml:space="preserve"> ± 1 % (* p = 0.0134, </w:t>
      </w:r>
      <w:r w:rsidR="0072117F">
        <w:rPr>
          <w:highlight w:val="yellow"/>
        </w:rPr>
        <w:fldChar w:fldCharType="begin"/>
      </w:r>
      <w:r w:rsidR="0072117F">
        <w:instrText xml:space="preserve"> REF _Ref70715186 \h </w:instrText>
      </w:r>
      <w:r w:rsidR="0072117F">
        <w:rPr>
          <w:highlight w:val="yellow"/>
        </w:rPr>
      </w:r>
      <w:r w:rsidR="0072117F">
        <w:rPr>
          <w:highlight w:val="yellow"/>
        </w:rPr>
        <w:fldChar w:fldCharType="separate"/>
      </w:r>
      <w:r w:rsidR="00183CC8">
        <w:t xml:space="preserve">Figure </w:t>
      </w:r>
      <w:r w:rsidR="00183CC8">
        <w:rPr>
          <w:noProof/>
        </w:rPr>
        <w:t>5</w:t>
      </w:r>
      <w:r w:rsidR="00183CC8">
        <w:t>.</w:t>
      </w:r>
      <w:r w:rsidR="00183CC8">
        <w:rPr>
          <w:noProof/>
        </w:rPr>
        <w:t>36</w:t>
      </w:r>
      <w:r w:rsidR="0072117F">
        <w:rPr>
          <w:highlight w:val="yellow"/>
        </w:rPr>
        <w:fldChar w:fldCharType="end"/>
      </w:r>
      <w:r w:rsidR="0072117F">
        <w:t>a-b).</w:t>
      </w:r>
      <w:r w:rsidR="00356A95">
        <w:t xml:space="preserve"> There is no significant difference between treatment with both antibiotics simultaneously and vancomycin alone.</w:t>
      </w:r>
    </w:p>
    <w:p w14:paraId="6301ABBA" w14:textId="4039B218" w:rsidR="00485801" w:rsidRPr="0015510B" w:rsidRDefault="008472D3" w:rsidP="00485801">
      <w:r>
        <w:t>Morpholog</w:t>
      </w:r>
      <w:r w:rsidR="005638A9">
        <w:t>ical</w:t>
      </w:r>
      <w:r>
        <w:t xml:space="preserve"> quantification showed that on top of the growth defects expected for this strain (</w:t>
      </w:r>
      <w:r w:rsidR="00941FC2" w:rsidRPr="00941FC2">
        <w:t>thickened cell walls, multiple septation events in the same division plane, and clumpin</w:t>
      </w:r>
      <w:r w:rsidR="00941FC2">
        <w:t xml:space="preserve">g– </w:t>
      </w:r>
      <w:r>
        <w:t xml:space="preserve">detailed description </w:t>
      </w:r>
      <w:r w:rsidR="008E0B90">
        <w:t xml:space="preserve">found </w:t>
      </w:r>
      <w:r>
        <w:t xml:space="preserve">in section </w:t>
      </w:r>
      <w:r>
        <w:rPr>
          <w:highlight w:val="yellow"/>
        </w:rPr>
        <w:fldChar w:fldCharType="begin"/>
      </w:r>
      <w:r>
        <w:instrText xml:space="preserve"> REF _Ref71512017 \r \h </w:instrText>
      </w:r>
      <w:r>
        <w:rPr>
          <w:highlight w:val="yellow"/>
        </w:rPr>
      </w:r>
      <w:r>
        <w:rPr>
          <w:highlight w:val="yellow"/>
        </w:rPr>
        <w:fldChar w:fldCharType="separate"/>
      </w:r>
      <w:r w:rsidR="00183CC8">
        <w:t>4.3.2.2</w:t>
      </w:r>
      <w:r>
        <w:rPr>
          <w:highlight w:val="yellow"/>
        </w:rPr>
        <w:fldChar w:fldCharType="end"/>
      </w:r>
      <w:r>
        <w:t xml:space="preserve">), </w:t>
      </w:r>
      <w:r w:rsidR="00E96A42">
        <w:t>the</w:t>
      </w:r>
      <w:r>
        <w:t xml:space="preserve"> further</w:t>
      </w:r>
      <w:r w:rsidR="004D744C">
        <w:t xml:space="preserve"> impaired</w:t>
      </w:r>
      <w:r>
        <w:t xml:space="preserve"> </w:t>
      </w:r>
      <w:r w:rsidR="004C21E5">
        <w:t>antibiotic-induced</w:t>
      </w:r>
      <w:r>
        <w:t xml:space="preserve"> phenotype is </w:t>
      </w:r>
      <w:r w:rsidR="00EA1207">
        <w:t>observed</w:t>
      </w:r>
      <w:r w:rsidR="008E0B90">
        <w:t>.</w:t>
      </w:r>
      <w:r>
        <w:t xml:space="preserve"> ~ 79.1 % of the methicillin treated population present</w:t>
      </w:r>
      <w:r w:rsidR="00EA1207">
        <w:t>s</w:t>
      </w:r>
      <w:r>
        <w:t xml:space="preserve"> </w:t>
      </w:r>
      <w:r w:rsidR="00A417C3">
        <w:t>signs of “plasmolysis”</w:t>
      </w:r>
      <w:r>
        <w:t xml:space="preserve"> (</w:t>
      </w:r>
      <w:r w:rsidR="000E03C6">
        <w:rPr>
          <w:highlight w:val="yellow"/>
        </w:rPr>
        <w:fldChar w:fldCharType="begin"/>
      </w:r>
      <w:r w:rsidR="000E03C6">
        <w:instrText xml:space="preserve"> REF _Ref80698897 \h </w:instrText>
      </w:r>
      <w:r w:rsidR="000E03C6">
        <w:rPr>
          <w:highlight w:val="yellow"/>
        </w:rPr>
      </w:r>
      <w:r w:rsidR="000E03C6">
        <w:rPr>
          <w:highlight w:val="yellow"/>
        </w:rPr>
        <w:fldChar w:fldCharType="separate"/>
      </w:r>
      <w:r w:rsidR="00183CC8">
        <w:t xml:space="preserve">Figure </w:t>
      </w:r>
      <w:r w:rsidR="00183CC8">
        <w:rPr>
          <w:noProof/>
        </w:rPr>
        <w:t>5</w:t>
      </w:r>
      <w:r w:rsidR="00183CC8">
        <w:t>.</w:t>
      </w:r>
      <w:r w:rsidR="00183CC8">
        <w:rPr>
          <w:noProof/>
        </w:rPr>
        <w:t>37</w:t>
      </w:r>
      <w:r w:rsidR="000E03C6">
        <w:rPr>
          <w:highlight w:val="yellow"/>
        </w:rPr>
        <w:fldChar w:fldCharType="end"/>
      </w:r>
      <w:r>
        <w:t xml:space="preserve">). </w:t>
      </w:r>
      <w:r w:rsidR="000441C9">
        <w:t xml:space="preserve">TEM micrographs </w:t>
      </w:r>
      <w:r w:rsidR="00B23DF9">
        <w:t xml:space="preserve">of </w:t>
      </w:r>
      <w:r w:rsidR="00B23DF9">
        <w:rPr>
          <w:i/>
          <w:iCs/>
        </w:rPr>
        <w:t xml:space="preserve">ltaS gdpP::kan </w:t>
      </w:r>
      <w:r w:rsidR="00DA1364" w:rsidRPr="00DA1364">
        <w:t>therefore</w:t>
      </w:r>
      <w:r w:rsidR="00DA1364">
        <w:rPr>
          <w:i/>
          <w:iCs/>
        </w:rPr>
        <w:t xml:space="preserve"> </w:t>
      </w:r>
      <w:r w:rsidR="000441C9">
        <w:t>reveal the same response as those seen with other strains; no expansion of the exoplasm unless treated solely with methicillin (</w:t>
      </w:r>
      <w:r w:rsidR="000E03C6">
        <w:rPr>
          <w:highlight w:val="yellow"/>
        </w:rPr>
        <w:fldChar w:fldCharType="begin"/>
      </w:r>
      <w:r w:rsidR="000E03C6">
        <w:instrText xml:space="preserve"> REF _Ref80698897 \h </w:instrText>
      </w:r>
      <w:r w:rsidR="000E03C6">
        <w:rPr>
          <w:highlight w:val="yellow"/>
        </w:rPr>
      </w:r>
      <w:r w:rsidR="000E03C6">
        <w:rPr>
          <w:highlight w:val="yellow"/>
        </w:rPr>
        <w:fldChar w:fldCharType="separate"/>
      </w:r>
      <w:r w:rsidR="00183CC8">
        <w:t xml:space="preserve">Figure </w:t>
      </w:r>
      <w:r w:rsidR="00183CC8">
        <w:rPr>
          <w:noProof/>
        </w:rPr>
        <w:t>5</w:t>
      </w:r>
      <w:r w:rsidR="00183CC8">
        <w:t>.</w:t>
      </w:r>
      <w:r w:rsidR="00183CC8">
        <w:rPr>
          <w:noProof/>
        </w:rPr>
        <w:t>37</w:t>
      </w:r>
      <w:r w:rsidR="000E03C6">
        <w:rPr>
          <w:highlight w:val="yellow"/>
        </w:rPr>
        <w:fldChar w:fldCharType="end"/>
      </w:r>
      <w:r w:rsidR="007A163D">
        <w:t xml:space="preserve">, </w:t>
      </w:r>
      <w:r w:rsidR="006F5885">
        <w:fldChar w:fldCharType="begin"/>
      </w:r>
      <w:r w:rsidR="006F5885">
        <w:instrText xml:space="preserve"> REF _Ref70702521 \h </w:instrText>
      </w:r>
      <w:r w:rsidR="006F5885">
        <w:fldChar w:fldCharType="separate"/>
      </w:r>
      <w:r w:rsidR="00183CC8">
        <w:t xml:space="preserve">Figure </w:t>
      </w:r>
      <w:r w:rsidR="00183CC8">
        <w:rPr>
          <w:noProof/>
        </w:rPr>
        <w:t>5</w:t>
      </w:r>
      <w:r w:rsidR="00183CC8">
        <w:t>.</w:t>
      </w:r>
      <w:r w:rsidR="00183CC8">
        <w:rPr>
          <w:noProof/>
        </w:rPr>
        <w:t>38</w:t>
      </w:r>
      <w:r w:rsidR="006F5885">
        <w:fldChar w:fldCharType="end"/>
      </w:r>
      <w:r w:rsidR="000441C9">
        <w:t>).</w:t>
      </w:r>
      <w:r w:rsidR="00DF0C0C">
        <w:t xml:space="preserve"> </w:t>
      </w:r>
    </w:p>
    <w:p w14:paraId="12204201" w14:textId="13524AE7" w:rsidR="00986D67" w:rsidRDefault="00553C57" w:rsidP="0011182E">
      <w:r>
        <w:t>Thus</w:t>
      </w:r>
      <w:r w:rsidR="00706409">
        <w:t>, the</w:t>
      </w:r>
      <w:r w:rsidR="00986D67">
        <w:t>se</w:t>
      </w:r>
      <w:r w:rsidR="00706409">
        <w:t xml:space="preserve"> analysis on both </w:t>
      </w:r>
      <w:r w:rsidR="00706409">
        <w:rPr>
          <w:i/>
          <w:iCs/>
        </w:rPr>
        <w:t>tarO</w:t>
      </w:r>
      <w:r w:rsidR="00706409">
        <w:t xml:space="preserve"> and </w:t>
      </w:r>
      <w:r w:rsidR="00706409">
        <w:rPr>
          <w:i/>
          <w:iCs/>
        </w:rPr>
        <w:t>ltaS gdpP::kan</w:t>
      </w:r>
      <w:r w:rsidR="00706409">
        <w:t xml:space="preserve"> </w:t>
      </w:r>
      <w:r w:rsidR="00744B76">
        <w:t>show</w:t>
      </w:r>
      <w:r w:rsidR="00706409">
        <w:t xml:space="preserve"> that</w:t>
      </w:r>
      <w:r w:rsidR="00986D67">
        <w:t>:</w:t>
      </w:r>
    </w:p>
    <w:p w14:paraId="42824292" w14:textId="64A5D92A" w:rsidR="00BB2217" w:rsidRDefault="00986D67" w:rsidP="0059679E">
      <w:pPr>
        <w:pStyle w:val="ListParagraph"/>
        <w:numPr>
          <w:ilvl w:val="0"/>
          <w:numId w:val="26"/>
        </w:numPr>
        <w:spacing w:line="360" w:lineRule="auto"/>
      </w:pPr>
      <w:r>
        <w:t>Neither WTA or LTA</w:t>
      </w:r>
      <w:r w:rsidR="00706409">
        <w:t xml:space="preserve"> are responsible for </w:t>
      </w:r>
      <w:r w:rsidR="00A96E18">
        <w:t>the expansion of the exoplasm</w:t>
      </w:r>
      <w:r w:rsidR="009D2855">
        <w:t>.</w:t>
      </w:r>
      <w:r w:rsidR="00553C57">
        <w:t xml:space="preserve"> </w:t>
      </w:r>
    </w:p>
    <w:p w14:paraId="49890004" w14:textId="77777777" w:rsidR="00C42796" w:rsidRDefault="00C42796" w:rsidP="0059679E">
      <w:pPr>
        <w:pStyle w:val="ListParagraph"/>
        <w:ind w:left="771"/>
      </w:pPr>
    </w:p>
    <w:p w14:paraId="52E813C3" w14:textId="61F1EDED" w:rsidR="00986D67" w:rsidRDefault="00986D67" w:rsidP="0059679E">
      <w:pPr>
        <w:pStyle w:val="ListParagraph"/>
        <w:numPr>
          <w:ilvl w:val="0"/>
          <w:numId w:val="26"/>
        </w:numPr>
        <w:spacing w:line="360" w:lineRule="auto"/>
        <w:sectPr w:rsidR="00986D67" w:rsidSect="004D0E05">
          <w:pgSz w:w="11906" w:h="16838"/>
          <w:pgMar w:top="1191" w:right="1247" w:bottom="1191" w:left="1247" w:header="709" w:footer="709" w:gutter="0"/>
          <w:cols w:space="708"/>
          <w:titlePg/>
          <w:docGrid w:linePitch="360"/>
        </w:sectPr>
      </w:pPr>
      <w:r>
        <w:t>Teichoic acids do not affect the methicillin- or oxacillin-specific phenotype.</w:t>
      </w:r>
    </w:p>
    <w:p w14:paraId="2C4B060B" w14:textId="77777777" w:rsidR="00BB2217" w:rsidRDefault="00BB2217" w:rsidP="00CD172D">
      <w:pPr>
        <w:pStyle w:val="NoSpacing"/>
        <w:keepNext/>
        <w:jc w:val="center"/>
      </w:pPr>
      <w:r>
        <w:rPr>
          <w:noProof/>
        </w:rPr>
        <w:lastRenderedPageBreak/>
        <w:drawing>
          <wp:inline distT="0" distB="0" distL="0" distR="0" wp14:anchorId="594DBD74" wp14:editId="55214314">
            <wp:extent cx="4844677" cy="5421745"/>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863165" cy="5442435"/>
                    </a:xfrm>
                    <a:prstGeom prst="rect">
                      <a:avLst/>
                    </a:prstGeom>
                  </pic:spPr>
                </pic:pic>
              </a:graphicData>
            </a:graphic>
          </wp:inline>
        </w:drawing>
      </w:r>
    </w:p>
    <w:p w14:paraId="5533A48B" w14:textId="34624B5F" w:rsidR="00BB2217" w:rsidRDefault="00BB2217" w:rsidP="008A2B86">
      <w:pPr>
        <w:pStyle w:val="Caption"/>
      </w:pPr>
      <w:bookmarkStart w:id="804" w:name="_Ref70715186"/>
      <w:bookmarkStart w:id="805" w:name="_Toc90217021"/>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36</w:t>
      </w:r>
      <w:r w:rsidR="003373BF">
        <w:rPr>
          <w:noProof/>
        </w:rPr>
        <w:fldChar w:fldCharType="end"/>
      </w:r>
      <w:bookmarkEnd w:id="804"/>
      <w:r>
        <w:t xml:space="preserve"> Effect of vancomycin and/or methicillin on </w:t>
      </w:r>
      <w:r>
        <w:rPr>
          <w:i/>
        </w:rPr>
        <w:t>S. aureus</w:t>
      </w:r>
      <w:r>
        <w:t xml:space="preserve"> </w:t>
      </w:r>
      <w:r>
        <w:rPr>
          <w:i/>
        </w:rPr>
        <w:t>ltaS gdpP::kan</w:t>
      </w:r>
      <w:r>
        <w:t xml:space="preserve"> survival.</w:t>
      </w:r>
      <w:bookmarkEnd w:id="805"/>
    </w:p>
    <w:p w14:paraId="4D56AFFE" w14:textId="76303131" w:rsidR="00D46972" w:rsidRDefault="00BB2217" w:rsidP="00BB2217">
      <w:pPr>
        <w:pStyle w:val="NoSpacing"/>
        <w:sectPr w:rsidR="00D46972" w:rsidSect="004D0E05">
          <w:pgSz w:w="11906" w:h="16838"/>
          <w:pgMar w:top="1191" w:right="1247" w:bottom="1191" w:left="1247" w:header="709" w:footer="709" w:gutter="0"/>
          <w:cols w:space="708"/>
          <w:titlePg/>
          <w:docGrid w:linePitch="360"/>
        </w:sectPr>
      </w:pPr>
      <w:r>
        <w:rPr>
          <w:i/>
          <w:iCs/>
        </w:rPr>
        <w:t>S. aureus</w:t>
      </w:r>
      <w:r>
        <w:t xml:space="preserve"> </w:t>
      </w:r>
      <w:r w:rsidR="00F4279C">
        <w:rPr>
          <w:i/>
          <w:iCs/>
        </w:rPr>
        <w:t>ltaS gdpP::kan</w:t>
      </w:r>
      <w:r>
        <w:t xml:space="preserve"> treated for 1 h with 10 X MIC of methicillin and/or vancomycin</w:t>
      </w:r>
      <w:r w:rsidR="004E60C9">
        <w:t xml:space="preserve"> and its comparison to its parental strain SH1000</w:t>
      </w:r>
      <w:r>
        <w:rPr>
          <w:b/>
          <w:bCs/>
        </w:rPr>
        <w:t>. (A)</w:t>
      </w:r>
      <w:r>
        <w:t xml:space="preserve"> </w:t>
      </w:r>
      <w:r w:rsidRPr="00054E4A">
        <w:t>Normalised</w:t>
      </w:r>
      <w:r>
        <w:rPr>
          <w:lang w:val="en-US"/>
        </w:rPr>
        <w:t xml:space="preserve"> percentage s</w:t>
      </w:r>
      <w:r w:rsidRPr="0080704D">
        <w:rPr>
          <w:lang w:val="en-US"/>
        </w:rPr>
        <w:t xml:space="preserve">urvival of </w:t>
      </w:r>
      <w:r w:rsidR="004E60C9">
        <w:rPr>
          <w:i/>
          <w:iCs/>
          <w:lang w:val="en-US"/>
        </w:rPr>
        <w:t>ltaS gdpP::kan</w:t>
      </w:r>
      <w:r w:rsidRPr="0080704D">
        <w:rPr>
          <w:lang w:val="en-US"/>
        </w:rPr>
        <w:t xml:space="preserve"> cells</w:t>
      </w:r>
      <w:r>
        <w:rPr>
          <w:lang w:val="en-US"/>
        </w:rPr>
        <w:t xml:space="preserve">. Experiment carried out by Dr. Bartlomiej Salamaga. </w:t>
      </w:r>
      <w:r w:rsidR="009B2F66">
        <w:rPr>
          <w:b/>
          <w:bCs/>
          <w:lang w:val="en-US"/>
        </w:rPr>
        <w:t xml:space="preserve">(B) </w:t>
      </w:r>
      <w:r w:rsidR="003A625E" w:rsidRPr="006456D2">
        <w:t xml:space="preserve">Normalised percentage of survival after </w:t>
      </w:r>
      <w:r w:rsidR="00DB4F17">
        <w:t>6</w:t>
      </w:r>
      <w:r w:rsidR="003A625E" w:rsidRPr="006456D2">
        <w:t> h from</w:t>
      </w:r>
      <w:r w:rsidR="003A625E">
        <w:t xml:space="preserve"> the</w:t>
      </w:r>
      <w:r w:rsidR="003A625E" w:rsidRPr="006456D2">
        <w:t xml:space="preserve"> data in (A). Statistical analysis: t-test with Wel</w:t>
      </w:r>
      <w:r w:rsidR="00E15582">
        <w:t>c</w:t>
      </w:r>
      <w:r w:rsidR="003A625E" w:rsidRPr="006456D2">
        <w:t>h</w:t>
      </w:r>
      <w:r w:rsidR="000B568B">
        <w:t>’s</w:t>
      </w:r>
      <w:r w:rsidR="003A625E" w:rsidRPr="006456D2">
        <w:t xml:space="preserve"> correction (</w:t>
      </w:r>
      <w:r w:rsidR="003A625E">
        <w:t xml:space="preserve">methicillin </w:t>
      </w:r>
      <w:r w:rsidR="003A625E" w:rsidRPr="00486B0A">
        <w:rPr>
          <w:i/>
          <w:iCs/>
        </w:rPr>
        <w:t>vs</w:t>
      </w:r>
      <w:r w:rsidR="00486B0A">
        <w:rPr>
          <w:i/>
          <w:iCs/>
        </w:rPr>
        <w:t>.</w:t>
      </w:r>
      <w:r w:rsidR="003A625E">
        <w:t xml:space="preserve"> vancomycin * p = 0.0134</w:t>
      </w:r>
      <w:r w:rsidR="008C3152">
        <w:t>,</w:t>
      </w:r>
      <w:r w:rsidR="003A625E">
        <w:t xml:space="preserve"> methicillin </w:t>
      </w:r>
      <w:r w:rsidR="003A625E" w:rsidRPr="00486B0A">
        <w:rPr>
          <w:i/>
          <w:iCs/>
        </w:rPr>
        <w:t>vs</w:t>
      </w:r>
      <w:r w:rsidR="00486B0A">
        <w:rPr>
          <w:i/>
          <w:iCs/>
        </w:rPr>
        <w:t>.</w:t>
      </w:r>
      <w:r w:rsidR="003A625E">
        <w:t xml:space="preserve"> vancomycin + methicillin * p = 0.0161</w:t>
      </w:r>
      <w:r w:rsidR="00E00AA7">
        <w:t xml:space="preserve">, vancomycin </w:t>
      </w:r>
      <w:r w:rsidR="00E00AA7">
        <w:rPr>
          <w:i/>
          <w:iCs/>
        </w:rPr>
        <w:t>vs.</w:t>
      </w:r>
      <w:r w:rsidR="00E00AA7">
        <w:t xml:space="preserve"> vancomycin + methicillin</w:t>
      </w:r>
      <w:r w:rsidR="007D4560">
        <w:t xml:space="preserve"> </w:t>
      </w:r>
      <w:r w:rsidR="002D528B">
        <w:t>ns</w:t>
      </w:r>
      <w:r w:rsidR="007D4560">
        <w:t xml:space="preserve">– </w:t>
      </w:r>
      <w:r w:rsidR="002D528B">
        <w:t>non-significant p ≥ 0.05</w:t>
      </w:r>
      <w:r w:rsidR="003A625E">
        <w:t>)</w:t>
      </w:r>
      <w:r w:rsidR="009B2F66" w:rsidRPr="009B2F66">
        <w:rPr>
          <w:lang w:val="en-US"/>
        </w:rPr>
        <w:t>.</w:t>
      </w:r>
      <w:r w:rsidR="00DB4F17">
        <w:rPr>
          <w:lang w:val="en-US"/>
        </w:rPr>
        <w:t xml:space="preserve"> </w:t>
      </w:r>
      <w:r w:rsidR="00DB4F17">
        <w:rPr>
          <w:b/>
          <w:bCs/>
          <w:lang w:val="en-US"/>
        </w:rPr>
        <w:t>(C)</w:t>
      </w:r>
      <w:r w:rsidR="00DB4F17">
        <w:rPr>
          <w:lang w:val="en-US"/>
        </w:rPr>
        <w:t xml:space="preserve"> </w:t>
      </w:r>
      <w:r w:rsidR="00C77437">
        <w:rPr>
          <w:lang w:val="en-US"/>
        </w:rPr>
        <w:t xml:space="preserve">Percentage of survival after 6 h treatment with methicillin  and its comparison to its parental strain SH1000. </w:t>
      </w:r>
      <w:r w:rsidR="00C77437" w:rsidRPr="006456D2">
        <w:t>Statistical analysis: t-test with Wel</w:t>
      </w:r>
      <w:r w:rsidR="00C77437">
        <w:t>c</w:t>
      </w:r>
      <w:r w:rsidR="00C77437" w:rsidRPr="006456D2">
        <w:t>h</w:t>
      </w:r>
      <w:r w:rsidR="00C77437">
        <w:t>’s</w:t>
      </w:r>
      <w:r w:rsidR="00C77437" w:rsidRPr="006456D2">
        <w:t xml:space="preserve"> correction (</w:t>
      </w:r>
      <w:r w:rsidR="00C77437">
        <w:t xml:space="preserve">SH1000 </w:t>
      </w:r>
      <w:r w:rsidR="00C77437" w:rsidRPr="00486B0A">
        <w:rPr>
          <w:i/>
          <w:iCs/>
        </w:rPr>
        <w:t>vs</w:t>
      </w:r>
      <w:r w:rsidR="00C77437">
        <w:rPr>
          <w:i/>
          <w:iCs/>
        </w:rPr>
        <w:t>.</w:t>
      </w:r>
      <w:r w:rsidR="00C77437">
        <w:t xml:space="preserve"> </w:t>
      </w:r>
      <w:r w:rsidR="00C77437">
        <w:rPr>
          <w:i/>
          <w:iCs/>
        </w:rPr>
        <w:t>ltaS gdpP::kan</w:t>
      </w:r>
      <w:r w:rsidR="00C77437">
        <w:t xml:space="preserve"> * p = 0.0146)</w:t>
      </w:r>
      <w:r>
        <w:t>.</w:t>
      </w:r>
      <w:r w:rsidR="00DB30AF">
        <w:t xml:space="preserve"> Over 6 biological repeats.</w:t>
      </w:r>
    </w:p>
    <w:p w14:paraId="34595424" w14:textId="77777777" w:rsidR="00D46972" w:rsidRDefault="00D46972" w:rsidP="00D46972">
      <w:pPr>
        <w:pStyle w:val="NoSpacing"/>
        <w:keepNext/>
      </w:pPr>
      <w:r>
        <w:rPr>
          <w:noProof/>
        </w:rPr>
        <w:lastRenderedPageBreak/>
        <w:drawing>
          <wp:inline distT="0" distB="0" distL="0" distR="0" wp14:anchorId="358D9EFE" wp14:editId="051DFA07">
            <wp:extent cx="5904926" cy="4187734"/>
            <wp:effectExtent l="0" t="0" r="635"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04926" cy="4187734"/>
                    </a:xfrm>
                    <a:prstGeom prst="rect">
                      <a:avLst/>
                    </a:prstGeom>
                  </pic:spPr>
                </pic:pic>
              </a:graphicData>
            </a:graphic>
          </wp:inline>
        </w:drawing>
      </w:r>
    </w:p>
    <w:p w14:paraId="610543E3" w14:textId="7BBC2076" w:rsidR="00BB2217" w:rsidRDefault="00D46972" w:rsidP="00D46972">
      <w:pPr>
        <w:pStyle w:val="Caption"/>
      </w:pPr>
      <w:bookmarkStart w:id="806" w:name="_Ref80698897"/>
      <w:bookmarkStart w:id="807" w:name="_Toc90217022"/>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t>.</w:t>
      </w:r>
      <w:r w:rsidR="003373BF">
        <w:fldChar w:fldCharType="begin"/>
      </w:r>
      <w:r w:rsidR="003373BF">
        <w:instrText xml:space="preserve"> SEQ Figure \* ARABIC \s 1 </w:instrText>
      </w:r>
      <w:r w:rsidR="003373BF">
        <w:fldChar w:fldCharType="separate"/>
      </w:r>
      <w:r w:rsidR="00183CC8">
        <w:rPr>
          <w:noProof/>
        </w:rPr>
        <w:t>37</w:t>
      </w:r>
      <w:r w:rsidR="003373BF">
        <w:rPr>
          <w:noProof/>
        </w:rPr>
        <w:fldChar w:fldCharType="end"/>
      </w:r>
      <w:bookmarkEnd w:id="806"/>
      <w:r>
        <w:t xml:space="preserve"> Effect of vancomycin and/or methicillin on </w:t>
      </w:r>
      <w:r>
        <w:rPr>
          <w:i/>
        </w:rPr>
        <w:t>S. aureus</w:t>
      </w:r>
      <w:r>
        <w:t xml:space="preserve"> </w:t>
      </w:r>
      <w:r>
        <w:rPr>
          <w:i/>
        </w:rPr>
        <w:t>ltaS gdpP::kan</w:t>
      </w:r>
      <w:r>
        <w:t xml:space="preserve"> morphology and division.</w:t>
      </w:r>
      <w:bookmarkEnd w:id="807"/>
    </w:p>
    <w:p w14:paraId="220A4437" w14:textId="387C297B" w:rsidR="00C645FF" w:rsidRDefault="00C645FF" w:rsidP="00C645FF">
      <w:pPr>
        <w:pStyle w:val="NoSpacing"/>
        <w:sectPr w:rsidR="00C645FF" w:rsidSect="004D0E05">
          <w:pgSz w:w="11906" w:h="16838"/>
          <w:pgMar w:top="1191" w:right="1247" w:bottom="1191" w:left="1247" w:header="709" w:footer="709" w:gutter="0"/>
          <w:cols w:space="708"/>
          <w:titlePg/>
          <w:docGrid w:linePitch="360"/>
        </w:sectPr>
      </w:pPr>
      <w:r>
        <w:rPr>
          <w:i/>
          <w:iCs/>
        </w:rPr>
        <w:t>S. aureus</w:t>
      </w:r>
      <w:r>
        <w:t xml:space="preserve"> </w:t>
      </w:r>
      <w:r>
        <w:rPr>
          <w:i/>
          <w:iCs/>
        </w:rPr>
        <w:t>ltaS gdpP::kan</w:t>
      </w:r>
      <w:r>
        <w:t xml:space="preserve"> treated for 1 h with 10 X MIC of methicillin and/or vancomycin</w:t>
      </w:r>
      <w:r w:rsidRPr="00F67B07">
        <w:t xml:space="preserve">. </w:t>
      </w:r>
      <w:r>
        <w:rPr>
          <w:b/>
          <w:bCs/>
          <w:lang w:val="en-US"/>
        </w:rPr>
        <w:t>(</w:t>
      </w:r>
      <w:r w:rsidR="00F67B07">
        <w:rPr>
          <w:b/>
          <w:bCs/>
          <w:lang w:val="en-US"/>
        </w:rPr>
        <w:t>A</w:t>
      </w:r>
      <w:r>
        <w:rPr>
          <w:b/>
          <w:bCs/>
          <w:lang w:val="en-US"/>
        </w:rPr>
        <w:t>)</w:t>
      </w:r>
      <w:r>
        <w:rPr>
          <w:lang w:val="en-US"/>
        </w:rPr>
        <w:t xml:space="preserve"> </w:t>
      </w:r>
      <w:r>
        <w:t>Morphological quantification of the control</w:t>
      </w:r>
      <w:r>
        <w:rPr>
          <w:i/>
          <w:iCs/>
        </w:rPr>
        <w:t xml:space="preserve"> </w:t>
      </w:r>
      <w:r w:rsidRPr="00570A71">
        <w:t>(</w:t>
      </w:r>
      <w:r>
        <w:t xml:space="preserve">2 biological repeats, </w:t>
      </w:r>
      <w:r>
        <w:rPr>
          <w:i/>
          <w:iCs/>
        </w:rPr>
        <w:t>n</w:t>
      </w:r>
      <w:r>
        <w:t xml:space="preserve"> = 1467), vancomycin (2 biological repeats, </w:t>
      </w:r>
      <w:r w:rsidRPr="0055451D">
        <w:rPr>
          <w:i/>
          <w:iCs/>
        </w:rPr>
        <w:t>n</w:t>
      </w:r>
      <w:r>
        <w:t xml:space="preserve"> = 1555), </w:t>
      </w:r>
      <w:r w:rsidRPr="0055451D">
        <w:t>methicillin</w:t>
      </w:r>
      <w:r>
        <w:t xml:space="preserve"> (2 biological repeat, </w:t>
      </w:r>
      <w:r>
        <w:rPr>
          <w:i/>
          <w:iCs/>
        </w:rPr>
        <w:t>n</w:t>
      </w:r>
      <w:r w:rsidRPr="00D40C1B">
        <w:t> = </w:t>
      </w:r>
      <w:r>
        <w:t xml:space="preserve">1063), and vancomycin plus methicillin (2 biological repeats, </w:t>
      </w:r>
      <w:r>
        <w:rPr>
          <w:i/>
          <w:iCs/>
        </w:rPr>
        <w:t>n</w:t>
      </w:r>
      <w:r>
        <w:t xml:space="preserve"> = 1116) as indicated. No septum– dark green, incomplete septum– medium green, complete septum– light green, “plasmolysis”– orange, and growth defects– yellow. </w:t>
      </w:r>
      <w:r>
        <w:rPr>
          <w:b/>
          <w:bCs/>
        </w:rPr>
        <w:t>(</w:t>
      </w:r>
      <w:r w:rsidR="00F67B07">
        <w:rPr>
          <w:b/>
          <w:bCs/>
        </w:rPr>
        <w:t>B</w:t>
      </w:r>
      <w:r>
        <w:rPr>
          <w:b/>
          <w:bCs/>
        </w:rPr>
        <w:t>)</w:t>
      </w:r>
      <w:r>
        <w:t xml:space="preserve"> Compositional analysis of methicillin treated cells in </w:t>
      </w:r>
      <w:r w:rsidRPr="0045645C">
        <w:t>(</w:t>
      </w:r>
      <w:r w:rsidR="00F67B07">
        <w:t>A</w:t>
      </w:r>
      <w:r w:rsidRPr="0045645C">
        <w:t>)</w:t>
      </w:r>
      <w:r>
        <w:t xml:space="preserve"> presenting signs of “plasmolysis”. No septum– dark orange; incomplete septum– medium orange; complete septum– light orange; complete + incomplete septa (multiple divisions)– red (</w:t>
      </w:r>
      <w:r>
        <w:rPr>
          <w:i/>
          <w:iCs/>
        </w:rPr>
        <w:t>n </w:t>
      </w:r>
      <w:r>
        <w:t xml:space="preserve">= 842). </w:t>
      </w:r>
      <w:r>
        <w:rPr>
          <w:b/>
          <w:bCs/>
        </w:rPr>
        <w:t>(</w:t>
      </w:r>
      <w:r w:rsidR="00F67B07">
        <w:rPr>
          <w:b/>
          <w:bCs/>
        </w:rPr>
        <w:t>C</w:t>
      </w:r>
      <w:r>
        <w:rPr>
          <w:b/>
          <w:bCs/>
        </w:rPr>
        <w:t>)</w:t>
      </w:r>
      <w:r>
        <w:t xml:space="preserve"> Representative cells from TEM micrographs of chemically fixed thin sections showing the expansion of the exoplasm in detail (“plasmolysis”). Cropped from high magnification (4800x), scale bar 300 nm.</w:t>
      </w:r>
      <w:r w:rsidRPr="004F7116">
        <w:t xml:space="preserve"> </w:t>
      </w:r>
      <w:r>
        <w:t>pm– plasma membrane, cw– cell wall, ex– exoplasmic space. No septum</w:t>
      </w:r>
      <w:r>
        <w:softHyphen/>
        <w:t>– dark orange, incomplete septum– medium orange, and complete septum– light orange.</w:t>
      </w:r>
    </w:p>
    <w:p w14:paraId="4C81BA25" w14:textId="77777777" w:rsidR="00566041" w:rsidRDefault="00566041" w:rsidP="001C7E8A">
      <w:pPr>
        <w:keepNext/>
        <w:jc w:val="center"/>
      </w:pPr>
      <w:r>
        <w:rPr>
          <w:noProof/>
        </w:rPr>
        <w:lastRenderedPageBreak/>
        <w:drawing>
          <wp:inline distT="0" distB="0" distL="0" distR="0" wp14:anchorId="58987A35" wp14:editId="70EE0F5C">
            <wp:extent cx="5892569" cy="7629743"/>
            <wp:effectExtent l="0" t="0" r="635"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892569" cy="7629743"/>
                    </a:xfrm>
                    <a:prstGeom prst="rect">
                      <a:avLst/>
                    </a:prstGeom>
                  </pic:spPr>
                </pic:pic>
              </a:graphicData>
            </a:graphic>
          </wp:inline>
        </w:drawing>
      </w:r>
    </w:p>
    <w:p w14:paraId="61D2069E" w14:textId="0C3F6BF4" w:rsidR="00485801" w:rsidRPr="00566041" w:rsidRDefault="00566041" w:rsidP="008A2B86">
      <w:pPr>
        <w:pStyle w:val="Caption"/>
      </w:pPr>
      <w:bookmarkStart w:id="808" w:name="_Ref70702521"/>
      <w:bookmarkStart w:id="809" w:name="_Toc90217023"/>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38</w:t>
      </w:r>
      <w:r w:rsidR="003373BF">
        <w:rPr>
          <w:noProof/>
        </w:rPr>
        <w:fldChar w:fldCharType="end"/>
      </w:r>
      <w:bookmarkEnd w:id="808"/>
      <w:r>
        <w:t xml:space="preserve"> Effect of vancomycin and/or methicillin on </w:t>
      </w:r>
      <w:r>
        <w:rPr>
          <w:i/>
        </w:rPr>
        <w:t>S. aureus</w:t>
      </w:r>
      <w:r>
        <w:t xml:space="preserve"> </w:t>
      </w:r>
      <w:r>
        <w:rPr>
          <w:i/>
        </w:rPr>
        <w:t>ltaS gdpP::kan</w:t>
      </w:r>
      <w:r>
        <w:t xml:space="preserve"> </w:t>
      </w:r>
      <w:r w:rsidR="00787507">
        <w:t>morphology</w:t>
      </w:r>
      <w:r>
        <w:t>.</w:t>
      </w:r>
      <w:bookmarkEnd w:id="809"/>
    </w:p>
    <w:p w14:paraId="428F7D05" w14:textId="5166087F" w:rsidR="00DE1255" w:rsidRDefault="00566041" w:rsidP="00566041">
      <w:pPr>
        <w:pStyle w:val="NoSpacing"/>
        <w:sectPr w:rsidR="00DE1255" w:rsidSect="004D0E05">
          <w:pgSz w:w="11906" w:h="16838"/>
          <w:pgMar w:top="1191" w:right="1247" w:bottom="1191" w:left="1247" w:header="709" w:footer="709" w:gutter="0"/>
          <w:cols w:space="708"/>
          <w:titlePg/>
          <w:docGrid w:linePitch="360"/>
        </w:sectPr>
      </w:pPr>
      <w:r>
        <w:t>TEM</w:t>
      </w:r>
      <w:r w:rsidRPr="008375BD">
        <w:t xml:space="preserve"> </w:t>
      </w:r>
      <w:r>
        <w:t xml:space="preserve">micrographs of chemically fixed thin sections of </w:t>
      </w:r>
      <w:r>
        <w:rPr>
          <w:i/>
          <w:iCs/>
        </w:rPr>
        <w:t>S. aureus</w:t>
      </w:r>
      <w:r>
        <w:t xml:space="preserve"> </w:t>
      </w:r>
      <w:r>
        <w:rPr>
          <w:i/>
          <w:iCs/>
        </w:rPr>
        <w:t>ltaS gdpP::kan</w:t>
      </w:r>
      <w:r>
        <w:t xml:space="preserve"> </w:t>
      </w:r>
      <w:r>
        <w:rPr>
          <w:b/>
          <w:bCs/>
        </w:rPr>
        <w:t>(A)</w:t>
      </w:r>
      <w:r>
        <w:t xml:space="preserve"> untreated and treated for 1 h with 10 X MIC </w:t>
      </w:r>
      <w:r>
        <w:rPr>
          <w:b/>
          <w:bCs/>
        </w:rPr>
        <w:t xml:space="preserve">(B) </w:t>
      </w:r>
      <w:r>
        <w:t xml:space="preserve">vancomycin, </w:t>
      </w:r>
      <w:r>
        <w:rPr>
          <w:b/>
          <w:bCs/>
        </w:rPr>
        <w:t>(C)</w:t>
      </w:r>
      <w:r>
        <w:t xml:space="preserve"> methicillin, or </w:t>
      </w:r>
      <w:r>
        <w:rPr>
          <w:b/>
          <w:bCs/>
        </w:rPr>
        <w:t>(D)</w:t>
      </w:r>
      <w:r>
        <w:t xml:space="preserve"> vancomycin plus methicillin. Mid magnification </w:t>
      </w:r>
      <w:r w:rsidR="00C816A5">
        <w:t>(</w:t>
      </w:r>
      <w:r>
        <w:t>2900x</w:t>
      </w:r>
      <w:r w:rsidR="00C816A5">
        <w:t>)</w:t>
      </w:r>
      <w:r>
        <w:t xml:space="preserve">, scale bar 1 µm. High magnification </w:t>
      </w:r>
      <w:r w:rsidR="00C816A5">
        <w:t>(</w:t>
      </w:r>
      <w:r>
        <w:t>4800x</w:t>
      </w:r>
      <w:r w:rsidR="00C816A5">
        <w:t>)</w:t>
      </w:r>
      <w:r>
        <w:t>, scale bar 1 µm.</w:t>
      </w:r>
      <w:r w:rsidRPr="00C23BDE">
        <w:t xml:space="preserve"> </w:t>
      </w:r>
      <w:r w:rsidR="00B01DF4">
        <w:t>Red</w:t>
      </w:r>
      <w:r>
        <w:t xml:space="preserve"> arrows indicate areas where the exoplasmic space </w:t>
      </w:r>
      <w:r w:rsidR="006208B8">
        <w:t>is</w:t>
      </w:r>
      <w:r>
        <w:t xml:space="preserve"> expanded.</w:t>
      </w:r>
    </w:p>
    <w:p w14:paraId="69DF5DAE" w14:textId="05E9804F" w:rsidR="00182281" w:rsidRDefault="00287F65" w:rsidP="002C216F">
      <w:pPr>
        <w:pStyle w:val="Heading3"/>
      </w:pPr>
      <w:bookmarkStart w:id="810" w:name="_Toc64276391"/>
      <w:bookmarkStart w:id="811" w:name="_Toc64276695"/>
      <w:bookmarkStart w:id="812" w:name="_Toc64276907"/>
      <w:bookmarkStart w:id="813" w:name="_Ref71894124"/>
      <w:bookmarkStart w:id="814" w:name="_Toc90216909"/>
      <w:r>
        <w:lastRenderedPageBreak/>
        <w:t xml:space="preserve">Methicillin </w:t>
      </w:r>
      <w:r w:rsidR="00992133">
        <w:t>treatment</w:t>
      </w:r>
      <w:r>
        <w:t xml:space="preserve"> leads to p</w:t>
      </w:r>
      <w:r w:rsidR="004B0C7E" w:rsidRPr="005B0F81">
        <w:t>lasmolysis</w:t>
      </w:r>
      <w:bookmarkEnd w:id="810"/>
      <w:bookmarkEnd w:id="811"/>
      <w:bookmarkEnd w:id="812"/>
      <w:bookmarkEnd w:id="813"/>
      <w:r w:rsidR="00F43550">
        <w:t>.</w:t>
      </w:r>
      <w:bookmarkEnd w:id="814"/>
    </w:p>
    <w:p w14:paraId="2396F0D6" w14:textId="35ECFC7A" w:rsidR="00C27B3C" w:rsidRDefault="00C1706D" w:rsidP="00C1706D">
      <w:r>
        <w:t xml:space="preserve">The expansion of the exoplasm seen with methicillin or oxacillin, </w:t>
      </w:r>
      <w:r w:rsidR="00A427AE">
        <w:t>is not</w:t>
      </w:r>
      <w:r>
        <w:t xml:space="preserve"> caused by the physical accumulation of lipid, PG, </w:t>
      </w:r>
      <w:r w:rsidR="00911EBA">
        <w:t>LTA or WTA</w:t>
      </w:r>
      <w:r w:rsidR="002C1FB6">
        <w:t xml:space="preserve"> precursors</w:t>
      </w:r>
      <w:r>
        <w:t xml:space="preserve">. </w:t>
      </w:r>
      <w:r w:rsidR="000012A3">
        <w:t>Comparative</w:t>
      </w:r>
      <w:r>
        <w:t xml:space="preserve"> analysis</w:t>
      </w:r>
      <w:r w:rsidR="00507761">
        <w:t xml:space="preserve"> of methicillin-treated cells</w:t>
      </w:r>
      <w:r>
        <w:t xml:space="preserve"> using cryo-E</w:t>
      </w:r>
      <w:r w:rsidR="000012A3">
        <w:t>M, cryo-ET and TEM</w:t>
      </w:r>
      <w:r>
        <w:t xml:space="preserve"> </w:t>
      </w:r>
      <w:r w:rsidR="0001241A">
        <w:t>indicate</w:t>
      </w:r>
      <w:r w:rsidR="009476C5">
        <w:t>s</w:t>
      </w:r>
      <w:r w:rsidR="0001241A">
        <w:t xml:space="preserve"> </w:t>
      </w:r>
      <w:r>
        <w:t>that this is the result of plasmolysis</w:t>
      </w:r>
      <w:r w:rsidR="00491DB5">
        <w:t xml:space="preserve"> (</w:t>
      </w:r>
      <w:r w:rsidR="00276510">
        <w:rPr>
          <w:highlight w:val="yellow"/>
        </w:rPr>
        <w:fldChar w:fldCharType="begin"/>
      </w:r>
      <w:r w:rsidR="00276510">
        <w:instrText xml:space="preserve"> REF _Ref70951211 \h </w:instrText>
      </w:r>
      <w:r w:rsidR="00276510">
        <w:rPr>
          <w:highlight w:val="yellow"/>
        </w:rPr>
      </w:r>
      <w:r w:rsidR="00276510">
        <w:rPr>
          <w:highlight w:val="yellow"/>
        </w:rPr>
        <w:fldChar w:fldCharType="separate"/>
      </w:r>
      <w:r w:rsidR="00183CC8">
        <w:t xml:space="preserve">Figure </w:t>
      </w:r>
      <w:r w:rsidR="00183CC8">
        <w:rPr>
          <w:noProof/>
        </w:rPr>
        <w:t>5</w:t>
      </w:r>
      <w:r w:rsidR="00183CC8">
        <w:t>.</w:t>
      </w:r>
      <w:r w:rsidR="00183CC8">
        <w:rPr>
          <w:noProof/>
        </w:rPr>
        <w:t>39</w:t>
      </w:r>
      <w:r w:rsidR="00276510">
        <w:rPr>
          <w:highlight w:val="yellow"/>
        </w:rPr>
        <w:fldChar w:fldCharType="end"/>
      </w:r>
      <w:r w:rsidR="00491DB5">
        <w:t>)</w:t>
      </w:r>
      <w:r>
        <w:t>.</w:t>
      </w:r>
      <w:r w:rsidR="0001241A">
        <w:t xml:space="preserve"> Both cryo-EM micrographs of whole cells</w:t>
      </w:r>
      <w:r w:rsidR="002C1FB6">
        <w:t xml:space="preserve"> (</w:t>
      </w:r>
      <w:r w:rsidR="002C1FB6">
        <w:rPr>
          <w:highlight w:val="yellow"/>
        </w:rPr>
        <w:fldChar w:fldCharType="begin"/>
      </w:r>
      <w:r w:rsidR="002C1FB6">
        <w:instrText xml:space="preserve"> REF _Ref70951211 \h </w:instrText>
      </w:r>
      <w:r w:rsidR="002C1FB6">
        <w:rPr>
          <w:highlight w:val="yellow"/>
        </w:rPr>
      </w:r>
      <w:r w:rsidR="002C1FB6">
        <w:rPr>
          <w:highlight w:val="yellow"/>
        </w:rPr>
        <w:fldChar w:fldCharType="separate"/>
      </w:r>
      <w:r w:rsidR="00183CC8">
        <w:t xml:space="preserve">Figure </w:t>
      </w:r>
      <w:r w:rsidR="00183CC8">
        <w:rPr>
          <w:noProof/>
        </w:rPr>
        <w:t>5</w:t>
      </w:r>
      <w:r w:rsidR="00183CC8">
        <w:t>.</w:t>
      </w:r>
      <w:r w:rsidR="00183CC8">
        <w:rPr>
          <w:noProof/>
        </w:rPr>
        <w:t>39</w:t>
      </w:r>
      <w:r w:rsidR="002C1FB6">
        <w:rPr>
          <w:highlight w:val="yellow"/>
        </w:rPr>
        <w:fldChar w:fldCharType="end"/>
      </w:r>
      <w:r w:rsidR="002C1FB6">
        <w:t>a)</w:t>
      </w:r>
      <w:r w:rsidR="0001241A">
        <w:t xml:space="preserve"> and cryo-EM tomograms</w:t>
      </w:r>
      <w:r w:rsidR="002C1FB6">
        <w:t xml:space="preserve"> (</w:t>
      </w:r>
      <w:r w:rsidR="002C1FB6">
        <w:rPr>
          <w:highlight w:val="yellow"/>
        </w:rPr>
        <w:fldChar w:fldCharType="begin"/>
      </w:r>
      <w:r w:rsidR="002C1FB6">
        <w:instrText xml:space="preserve"> REF _Ref70951211 \h </w:instrText>
      </w:r>
      <w:r w:rsidR="002C1FB6">
        <w:rPr>
          <w:highlight w:val="yellow"/>
        </w:rPr>
      </w:r>
      <w:r w:rsidR="002C1FB6">
        <w:rPr>
          <w:highlight w:val="yellow"/>
        </w:rPr>
        <w:fldChar w:fldCharType="separate"/>
      </w:r>
      <w:r w:rsidR="00183CC8">
        <w:t xml:space="preserve">Figure </w:t>
      </w:r>
      <w:r w:rsidR="00183CC8">
        <w:rPr>
          <w:noProof/>
        </w:rPr>
        <w:t>5</w:t>
      </w:r>
      <w:r w:rsidR="00183CC8">
        <w:t>.</w:t>
      </w:r>
      <w:r w:rsidR="00183CC8">
        <w:rPr>
          <w:noProof/>
        </w:rPr>
        <w:t>39</w:t>
      </w:r>
      <w:r w:rsidR="002C1FB6">
        <w:rPr>
          <w:highlight w:val="yellow"/>
        </w:rPr>
        <w:fldChar w:fldCharType="end"/>
      </w:r>
      <w:r w:rsidR="002C1FB6">
        <w:t>b)</w:t>
      </w:r>
      <w:r w:rsidR="0001241A">
        <w:t xml:space="preserve"> </w:t>
      </w:r>
      <w:r w:rsidR="00A31575">
        <w:t>demonstrate</w:t>
      </w:r>
      <w:r w:rsidR="0001241A">
        <w:t xml:space="preserve"> that cells treated with methicillin become electron</w:t>
      </w:r>
      <w:r w:rsidR="004F041B">
        <w:t>-</w:t>
      </w:r>
      <w:r w:rsidR="0001241A">
        <w:t xml:space="preserve">transparent implying that they </w:t>
      </w:r>
      <w:r w:rsidR="006E4F2F">
        <w:t xml:space="preserve">have </w:t>
      </w:r>
      <w:r w:rsidR="00686CD9">
        <w:t>ruptured</w:t>
      </w:r>
      <w:r w:rsidR="0001241A">
        <w:t xml:space="preserve"> and</w:t>
      </w:r>
      <w:r w:rsidR="006E4F2F">
        <w:t xml:space="preserve"> lost their cytoplasmic content result</w:t>
      </w:r>
      <w:r w:rsidR="00857FEB">
        <w:t>ing</w:t>
      </w:r>
      <w:r w:rsidR="006E4F2F">
        <w:t xml:space="preserve"> </w:t>
      </w:r>
      <w:r w:rsidR="00857FEB">
        <w:t>in</w:t>
      </w:r>
      <w:r w:rsidR="006E4F2F">
        <w:t xml:space="preserve"> </w:t>
      </w:r>
      <w:r w:rsidR="0001241A">
        <w:t>plasmolysis.</w:t>
      </w:r>
      <w:r w:rsidR="00C27B3C" w:rsidRPr="00C27B3C">
        <w:t xml:space="preserve"> </w:t>
      </w:r>
      <w:r w:rsidR="00C27B3C">
        <w:t xml:space="preserve">As seen on </w:t>
      </w:r>
      <w:r w:rsidR="009B2840">
        <w:fldChar w:fldCharType="begin"/>
      </w:r>
      <w:r w:rsidR="009B2840">
        <w:instrText xml:space="preserve"> REF _Ref70963503 \h </w:instrText>
      </w:r>
      <w:r w:rsidR="009B2840">
        <w:fldChar w:fldCharType="separate"/>
      </w:r>
      <w:r w:rsidR="00183CC8">
        <w:t xml:space="preserve">Figure </w:t>
      </w:r>
      <w:r w:rsidR="00183CC8">
        <w:rPr>
          <w:noProof/>
        </w:rPr>
        <w:t>5</w:t>
      </w:r>
      <w:r w:rsidR="00183CC8">
        <w:t>.</w:t>
      </w:r>
      <w:r w:rsidR="00183CC8">
        <w:rPr>
          <w:noProof/>
        </w:rPr>
        <w:t>40</w:t>
      </w:r>
      <w:r w:rsidR="009B2840">
        <w:fldChar w:fldCharType="end"/>
      </w:r>
      <w:r w:rsidR="00C27B3C">
        <w:t xml:space="preserve">, many of the cells </w:t>
      </w:r>
      <w:r w:rsidR="00316490">
        <w:t>ruptured</w:t>
      </w:r>
      <w:r w:rsidR="00C27B3C">
        <w:t xml:space="preserve"> at the sept</w:t>
      </w:r>
      <w:r w:rsidR="00926065">
        <w:t>um</w:t>
      </w:r>
      <w:r w:rsidR="00C27B3C">
        <w:t>.</w:t>
      </w:r>
    </w:p>
    <w:p w14:paraId="1E65D90D" w14:textId="333C55F8" w:rsidR="00C27B3C" w:rsidRDefault="00594D2B" w:rsidP="00C1706D">
      <w:r>
        <w:t xml:space="preserve">A detailed </w:t>
      </w:r>
      <w:r w:rsidR="00C724D3">
        <w:t>analysis</w:t>
      </w:r>
      <w:r>
        <w:t xml:space="preserve"> </w:t>
      </w:r>
      <w:r w:rsidR="00C724D3">
        <w:t>of the</w:t>
      </w:r>
      <w:r w:rsidR="00BD3DAE">
        <w:t xml:space="preserve"> </w:t>
      </w:r>
      <w:r>
        <w:t xml:space="preserve">cryo-EM tomogram </w:t>
      </w:r>
      <w:r w:rsidR="00BD3DAE">
        <w:t>tilt series</w:t>
      </w:r>
      <w:r>
        <w:t xml:space="preserve"> shows not only the bulbus septa and expansion of the exoplasm seen with this phenotype in TEM micrographs, but also other membrane invagination</w:t>
      </w:r>
      <w:r w:rsidR="006E4F2F">
        <w:t>s</w:t>
      </w:r>
      <w:r>
        <w:t xml:space="preserve"> and </w:t>
      </w:r>
      <w:r w:rsidR="00A15DE6">
        <w:t>blebs</w:t>
      </w:r>
      <w:r>
        <w:t xml:space="preserve"> (</w:t>
      </w:r>
      <w:r w:rsidR="00BD3DAE">
        <w:fldChar w:fldCharType="begin"/>
      </w:r>
      <w:r w:rsidR="00BD3DAE">
        <w:instrText xml:space="preserve"> REF _Ref70982400 \h </w:instrText>
      </w:r>
      <w:r w:rsidR="00BD3DAE">
        <w:fldChar w:fldCharType="separate"/>
      </w:r>
      <w:r w:rsidR="00183CC8">
        <w:t xml:space="preserve">Figure </w:t>
      </w:r>
      <w:r w:rsidR="00183CC8">
        <w:rPr>
          <w:noProof/>
        </w:rPr>
        <w:t>5</w:t>
      </w:r>
      <w:r w:rsidR="00183CC8">
        <w:t>.</w:t>
      </w:r>
      <w:r w:rsidR="00183CC8">
        <w:rPr>
          <w:noProof/>
        </w:rPr>
        <w:t>41</w:t>
      </w:r>
      <w:r w:rsidR="00BD3DAE">
        <w:fldChar w:fldCharType="end"/>
      </w:r>
      <w:r w:rsidR="00BD3DAE">
        <w:t>a</w:t>
      </w:r>
      <w:r>
        <w:t>).</w:t>
      </w:r>
      <w:r w:rsidR="00BD3DAE">
        <w:t xml:space="preserve"> Despite blebs being harder to spot in chemically fixed thin sections</w:t>
      </w:r>
      <w:r w:rsidR="0052644D">
        <w:t xml:space="preserve"> because of heavily stained samples and the </w:t>
      </w:r>
      <w:r w:rsidR="006E4F2F">
        <w:t>Z-</w:t>
      </w:r>
      <w:r w:rsidR="0052644D">
        <w:t xml:space="preserve">location of the </w:t>
      </w:r>
      <w:r w:rsidR="006E4F2F">
        <w:t xml:space="preserve">cross </w:t>
      </w:r>
      <w:r w:rsidR="0052644D">
        <w:t>section</w:t>
      </w:r>
      <w:r w:rsidR="00BD3DAE">
        <w:t xml:space="preserve">, </w:t>
      </w:r>
      <w:r w:rsidR="000813B2">
        <w:t>they are</w:t>
      </w:r>
      <w:r w:rsidR="0052644D">
        <w:t xml:space="preserve"> </w:t>
      </w:r>
      <w:r w:rsidR="006E4F2F">
        <w:t>visible</w:t>
      </w:r>
      <w:r w:rsidR="0052644D">
        <w:t xml:space="preserve"> in some cells that have lost cytoplasmic content</w:t>
      </w:r>
      <w:r w:rsidR="00547508">
        <w:t>s</w:t>
      </w:r>
      <w:r w:rsidR="0052644D">
        <w:t xml:space="preserve"> (</w:t>
      </w:r>
      <w:r w:rsidR="0052644D">
        <w:fldChar w:fldCharType="begin"/>
      </w:r>
      <w:r w:rsidR="0052644D">
        <w:instrText xml:space="preserve"> REF _Ref70982400 \h </w:instrText>
      </w:r>
      <w:r w:rsidR="0052644D">
        <w:fldChar w:fldCharType="separate"/>
      </w:r>
      <w:r w:rsidR="00183CC8">
        <w:t xml:space="preserve">Figure </w:t>
      </w:r>
      <w:r w:rsidR="00183CC8">
        <w:rPr>
          <w:noProof/>
        </w:rPr>
        <w:t>5</w:t>
      </w:r>
      <w:r w:rsidR="00183CC8">
        <w:t>.</w:t>
      </w:r>
      <w:r w:rsidR="00183CC8">
        <w:rPr>
          <w:noProof/>
        </w:rPr>
        <w:t>41</w:t>
      </w:r>
      <w:r w:rsidR="0052644D">
        <w:fldChar w:fldCharType="end"/>
      </w:r>
      <w:r w:rsidR="0052644D">
        <w:t>b).</w:t>
      </w:r>
      <w:r w:rsidR="00336853">
        <w:t xml:space="preserve"> These blebs </w:t>
      </w:r>
      <w:r w:rsidR="00547508">
        <w:t>are</w:t>
      </w:r>
      <w:r w:rsidR="00336853">
        <w:t xml:space="preserve"> located under the cell wall in the expanded exoplasmic space</w:t>
      </w:r>
      <w:r w:rsidR="006E4F2F">
        <w:t xml:space="preserve"> and </w:t>
      </w:r>
      <w:r w:rsidR="00547508">
        <w:t xml:space="preserve">are </w:t>
      </w:r>
      <w:r w:rsidR="006E4F2F">
        <w:t>another sign of plasmolysis.</w:t>
      </w:r>
    </w:p>
    <w:p w14:paraId="13223583" w14:textId="77777777" w:rsidR="00AF3969" w:rsidRDefault="00AF3969" w:rsidP="00C1706D">
      <w:r>
        <w:t>These results indicate that:</w:t>
      </w:r>
    </w:p>
    <w:p w14:paraId="12648973" w14:textId="6F1B9B11" w:rsidR="00AF3969" w:rsidRDefault="00AF3969" w:rsidP="00120348">
      <w:pPr>
        <w:pStyle w:val="ListParagraph"/>
        <w:numPr>
          <w:ilvl w:val="0"/>
          <w:numId w:val="25"/>
        </w:numPr>
        <w:spacing w:line="360" w:lineRule="auto"/>
      </w:pPr>
      <w:r>
        <w:t>The phenotype observed with methicillin or oxacillin-treated cells corresponds to plasmolysis.</w:t>
      </w:r>
    </w:p>
    <w:p w14:paraId="1118BEC2" w14:textId="77777777" w:rsidR="0079250F" w:rsidRDefault="0079250F" w:rsidP="00120348">
      <w:pPr>
        <w:pStyle w:val="ListParagraph"/>
        <w:ind w:left="720"/>
      </w:pPr>
    </w:p>
    <w:p w14:paraId="6FA1A49F" w14:textId="59373CED" w:rsidR="0079250F" w:rsidRDefault="00AF3969" w:rsidP="00120348">
      <w:pPr>
        <w:pStyle w:val="ListParagraph"/>
        <w:numPr>
          <w:ilvl w:val="0"/>
          <w:numId w:val="25"/>
        </w:numPr>
        <w:spacing w:line="360" w:lineRule="auto"/>
      </w:pPr>
      <w:r>
        <w:t xml:space="preserve">The expansion of the exoplasm results from an influx of </w:t>
      </w:r>
      <w:r w:rsidR="00005DAD">
        <w:t>liquid</w:t>
      </w:r>
      <w:r>
        <w:t>.</w:t>
      </w:r>
    </w:p>
    <w:p w14:paraId="6E773E65" w14:textId="77777777" w:rsidR="0079250F" w:rsidRDefault="0079250F" w:rsidP="00120348">
      <w:pPr>
        <w:pStyle w:val="ListParagraph"/>
        <w:ind w:left="720"/>
      </w:pPr>
    </w:p>
    <w:p w14:paraId="77EF8112" w14:textId="406084F2" w:rsidR="000970B1" w:rsidRDefault="000970B1" w:rsidP="00120348">
      <w:pPr>
        <w:pStyle w:val="ListParagraph"/>
        <w:numPr>
          <w:ilvl w:val="0"/>
          <w:numId w:val="25"/>
        </w:numPr>
        <w:spacing w:line="360" w:lineRule="auto"/>
        <w:sectPr w:rsidR="000970B1" w:rsidSect="004D0E05">
          <w:pgSz w:w="11906" w:h="16838"/>
          <w:pgMar w:top="1191" w:right="1247" w:bottom="1191" w:left="1247" w:header="709" w:footer="709" w:gutter="0"/>
          <w:cols w:space="708"/>
          <w:titlePg/>
          <w:docGrid w:linePitch="360"/>
        </w:sectPr>
      </w:pPr>
      <w:r>
        <w:t>Plasmolysis frequently leads to lysis at the septum.</w:t>
      </w:r>
    </w:p>
    <w:p w14:paraId="695AB413" w14:textId="77777777" w:rsidR="00EE606A" w:rsidRDefault="00EE606A" w:rsidP="0022705B">
      <w:pPr>
        <w:keepNext/>
        <w:jc w:val="center"/>
      </w:pPr>
      <w:r>
        <w:rPr>
          <w:noProof/>
        </w:rPr>
        <w:lastRenderedPageBreak/>
        <w:drawing>
          <wp:inline distT="0" distB="0" distL="0" distR="0" wp14:anchorId="0B67B292" wp14:editId="40721444">
            <wp:extent cx="7254037" cy="49339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7259699" cy="4937801"/>
                    </a:xfrm>
                    <a:prstGeom prst="rect">
                      <a:avLst/>
                    </a:prstGeom>
                  </pic:spPr>
                </pic:pic>
              </a:graphicData>
            </a:graphic>
          </wp:inline>
        </w:drawing>
      </w:r>
    </w:p>
    <w:p w14:paraId="01AD9669" w14:textId="1763DA9C" w:rsidR="000B50D0" w:rsidRDefault="00EE606A" w:rsidP="008A2B86">
      <w:pPr>
        <w:pStyle w:val="Caption"/>
      </w:pPr>
      <w:bookmarkStart w:id="815" w:name="_Ref70951211"/>
      <w:bookmarkStart w:id="816" w:name="_Toc90217024"/>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39</w:t>
      </w:r>
      <w:r w:rsidR="003373BF">
        <w:rPr>
          <w:noProof/>
        </w:rPr>
        <w:fldChar w:fldCharType="end"/>
      </w:r>
      <w:bookmarkEnd w:id="815"/>
      <w:r>
        <w:t xml:space="preserve"> </w:t>
      </w:r>
      <w:r w:rsidR="004A7281">
        <w:t>Cryo-EM, cryo-ET and TEM c</w:t>
      </w:r>
      <w:r>
        <w:t>omparative electron microscopy analysis</w:t>
      </w:r>
      <w:r w:rsidR="004A7281">
        <w:t xml:space="preserve"> of the effect of methicillin on </w:t>
      </w:r>
      <w:r w:rsidR="004A7281">
        <w:rPr>
          <w:i/>
        </w:rPr>
        <w:t>S. aureus</w:t>
      </w:r>
      <w:r w:rsidR="004A7281">
        <w:t xml:space="preserve"> SH1000.</w:t>
      </w:r>
      <w:bookmarkEnd w:id="816"/>
    </w:p>
    <w:p w14:paraId="7B6FF243" w14:textId="29290538" w:rsidR="00B07B13" w:rsidRDefault="00B07B13" w:rsidP="00B07B13">
      <w:pPr>
        <w:pStyle w:val="NoSpacing"/>
        <w:sectPr w:rsidR="00B07B13" w:rsidSect="00B07B13">
          <w:pgSz w:w="16838" w:h="11906" w:orient="landscape"/>
          <w:pgMar w:top="1247" w:right="1191" w:bottom="1247" w:left="1191" w:header="709" w:footer="709" w:gutter="0"/>
          <w:cols w:space="708"/>
          <w:titlePg/>
          <w:docGrid w:linePitch="360"/>
        </w:sectPr>
      </w:pPr>
      <w:r>
        <w:rPr>
          <w:i/>
          <w:iCs/>
        </w:rPr>
        <w:t xml:space="preserve">S. aureus </w:t>
      </w:r>
      <w:r>
        <w:t xml:space="preserve">SH1000 treated for 1 h with 10 X MIC methicillin and analysed by different EM techniques. </w:t>
      </w:r>
      <w:r>
        <w:rPr>
          <w:b/>
          <w:bCs/>
        </w:rPr>
        <w:t>(A)</w:t>
      </w:r>
      <w:r>
        <w:t xml:space="preserve"> Cryo-EM micrographs of vitrified whole cells.</w:t>
      </w:r>
      <w:r w:rsidRPr="00BF4889">
        <w:t xml:space="preserve"> </w:t>
      </w:r>
      <w:r>
        <w:t xml:space="preserve">Scale bar 300 nm. </w:t>
      </w:r>
      <w:r>
        <w:rPr>
          <w:b/>
          <w:bCs/>
        </w:rPr>
        <w:t>(B)</w:t>
      </w:r>
      <w:r>
        <w:t xml:space="preserve"> cryo-EM tomography (cryo-ET) images obtained from the tomogram tilt series. Scale bar 300 nm. </w:t>
      </w:r>
      <w:r>
        <w:rPr>
          <w:b/>
          <w:bCs/>
        </w:rPr>
        <w:t>(A-B)</w:t>
      </w:r>
      <w:r w:rsidRPr="001F795F">
        <w:t xml:space="preserve"> </w:t>
      </w:r>
      <w:r>
        <w:t>Raw data obtained</w:t>
      </w:r>
      <w:r w:rsidR="00952803">
        <w:t>‹</w:t>
      </w:r>
      <w:r>
        <w:t xml:space="preserve"> by Dr. Danyil Grybchuk.</w:t>
      </w:r>
      <w:r w:rsidRPr="003D036E">
        <w:t xml:space="preserve"> </w:t>
      </w:r>
      <w:r>
        <w:rPr>
          <w:b/>
          <w:bCs/>
        </w:rPr>
        <w:t xml:space="preserve">(C) </w:t>
      </w:r>
      <w:r>
        <w:t>Representative ruptured cells from TEM micrographs of chemically fixed thin sections. Scale bar 300 nm.</w:t>
      </w:r>
    </w:p>
    <w:p w14:paraId="073F8F4F" w14:textId="77777777" w:rsidR="00602CCE" w:rsidRDefault="003A2734" w:rsidP="00F26678">
      <w:pPr>
        <w:pStyle w:val="NoSpacing"/>
        <w:keepNext/>
        <w:ind w:left="720" w:hanging="720"/>
        <w:jc w:val="center"/>
      </w:pPr>
      <w:r>
        <w:rPr>
          <w:noProof/>
        </w:rPr>
        <w:lastRenderedPageBreak/>
        <w:drawing>
          <wp:inline distT="0" distB="0" distL="0" distR="0" wp14:anchorId="3CD9EACA" wp14:editId="7C2AA756">
            <wp:extent cx="5037804" cy="8290560"/>
            <wp:effectExtent l="0" t="0" r="4445"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038936" cy="8292423"/>
                    </a:xfrm>
                    <a:prstGeom prst="rect">
                      <a:avLst/>
                    </a:prstGeom>
                  </pic:spPr>
                </pic:pic>
              </a:graphicData>
            </a:graphic>
          </wp:inline>
        </w:drawing>
      </w:r>
    </w:p>
    <w:p w14:paraId="38AC64B2" w14:textId="6038AA90" w:rsidR="0097172D" w:rsidRDefault="00602CCE" w:rsidP="008A2B86">
      <w:pPr>
        <w:pStyle w:val="Caption"/>
      </w:pPr>
      <w:bookmarkStart w:id="817" w:name="_Ref70963503"/>
      <w:bookmarkStart w:id="818" w:name="_Toc90217025"/>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40</w:t>
      </w:r>
      <w:r w:rsidR="003373BF">
        <w:rPr>
          <w:noProof/>
        </w:rPr>
        <w:fldChar w:fldCharType="end"/>
      </w:r>
      <w:bookmarkEnd w:id="817"/>
      <w:r>
        <w:t xml:space="preserve"> TEM micrographs of </w:t>
      </w:r>
      <w:r w:rsidR="00D615FF">
        <w:t>ruptured</w:t>
      </w:r>
      <w:r>
        <w:t xml:space="preserve"> cells of </w:t>
      </w:r>
      <w:r>
        <w:rPr>
          <w:i/>
        </w:rPr>
        <w:t>S. aureus</w:t>
      </w:r>
      <w:r>
        <w:t xml:space="preserve"> treated with methicillin.</w:t>
      </w:r>
      <w:bookmarkEnd w:id="818"/>
    </w:p>
    <w:p w14:paraId="49D87A0E" w14:textId="4ADECCF1" w:rsidR="0096799C" w:rsidRDefault="007F7137" w:rsidP="00602CCE">
      <w:pPr>
        <w:pStyle w:val="NoSpacing"/>
        <w:sectPr w:rsidR="0096799C" w:rsidSect="004D0E05">
          <w:pgSz w:w="11906" w:h="16838"/>
          <w:pgMar w:top="1191" w:right="1247" w:bottom="1191" w:left="1247" w:header="709" w:footer="709" w:gutter="0"/>
          <w:cols w:space="708"/>
          <w:titlePg/>
          <w:docGrid w:linePitch="360"/>
        </w:sectPr>
      </w:pPr>
      <w:r>
        <w:t xml:space="preserve">Representative </w:t>
      </w:r>
      <w:r w:rsidR="00D615FF">
        <w:t>ruptured</w:t>
      </w:r>
      <w:r>
        <w:t xml:space="preserve"> cells from TEM micrographs of chemically fixed thin sections of </w:t>
      </w:r>
      <w:r>
        <w:rPr>
          <w:i/>
          <w:iCs/>
        </w:rPr>
        <w:t>S. aureus</w:t>
      </w:r>
      <w:r>
        <w:t xml:space="preserve"> SH1000</w:t>
      </w:r>
      <w:r w:rsidR="002C2269">
        <w:t xml:space="preserve">. </w:t>
      </w:r>
      <w:r>
        <w:t xml:space="preserve">Scale bar </w:t>
      </w:r>
      <w:r w:rsidR="000D1E0B">
        <w:t>3</w:t>
      </w:r>
      <w:r>
        <w:t>00 nm</w:t>
      </w:r>
      <w:r w:rsidR="00602CCE">
        <w:t>.</w:t>
      </w:r>
    </w:p>
    <w:p w14:paraId="20E2DACC" w14:textId="77777777" w:rsidR="00CD6318" w:rsidRDefault="00CD6318" w:rsidP="00D47394">
      <w:pPr>
        <w:pStyle w:val="NoSpacing"/>
        <w:keepNext/>
        <w:jc w:val="center"/>
      </w:pPr>
      <w:r>
        <w:rPr>
          <w:noProof/>
        </w:rPr>
        <w:lastRenderedPageBreak/>
        <w:drawing>
          <wp:inline distT="0" distB="0" distL="0" distR="0" wp14:anchorId="43B72C09" wp14:editId="25B0BC90">
            <wp:extent cx="5871712" cy="616065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871712" cy="6160654"/>
                    </a:xfrm>
                    <a:prstGeom prst="rect">
                      <a:avLst/>
                    </a:prstGeom>
                  </pic:spPr>
                </pic:pic>
              </a:graphicData>
            </a:graphic>
          </wp:inline>
        </w:drawing>
      </w:r>
    </w:p>
    <w:p w14:paraId="287BB89C" w14:textId="328F87DE" w:rsidR="00602CCE" w:rsidRDefault="00CD6318" w:rsidP="008A2B86">
      <w:pPr>
        <w:pStyle w:val="Caption"/>
      </w:pPr>
      <w:bookmarkStart w:id="819" w:name="_Ref70982400"/>
      <w:bookmarkStart w:id="820" w:name="_Toc90217026"/>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41</w:t>
      </w:r>
      <w:r w:rsidR="003373BF">
        <w:rPr>
          <w:noProof/>
        </w:rPr>
        <w:fldChar w:fldCharType="end"/>
      </w:r>
      <w:bookmarkEnd w:id="819"/>
      <w:r>
        <w:t xml:space="preserve"> Detailed cryo-ET</w:t>
      </w:r>
      <w:r w:rsidR="00B85F1D">
        <w:t xml:space="preserve"> and TEM</w:t>
      </w:r>
      <w:r>
        <w:t xml:space="preserve"> micrographs showing</w:t>
      </w:r>
      <w:r w:rsidR="000C7042">
        <w:t xml:space="preserve"> plasmolysis in methicillin treated </w:t>
      </w:r>
      <w:r w:rsidR="000C7042">
        <w:rPr>
          <w:i/>
        </w:rPr>
        <w:t>S. aureus</w:t>
      </w:r>
      <w:r w:rsidR="000C7042">
        <w:t xml:space="preserve"> SH1000.</w:t>
      </w:r>
      <w:bookmarkEnd w:id="820"/>
    </w:p>
    <w:p w14:paraId="76796D9E" w14:textId="1D3D18D3" w:rsidR="000C7042" w:rsidRPr="000C7042" w:rsidRDefault="007B0BF8" w:rsidP="000C7042">
      <w:pPr>
        <w:pStyle w:val="NoSpacing"/>
        <w:sectPr w:rsidR="000C7042" w:rsidRPr="000C7042" w:rsidSect="004D0E05">
          <w:pgSz w:w="11906" w:h="16838"/>
          <w:pgMar w:top="1191" w:right="1247" w:bottom="1191" w:left="1247" w:header="709" w:footer="709" w:gutter="0"/>
          <w:cols w:space="708"/>
          <w:titlePg/>
          <w:docGrid w:linePitch="360"/>
        </w:sectPr>
      </w:pPr>
      <w:r>
        <w:t xml:space="preserve">Detailed plasmolysis in </w:t>
      </w:r>
      <w:r w:rsidR="00B85F1D">
        <w:t>ruptured</w:t>
      </w:r>
      <w:r>
        <w:t xml:space="preserve"> </w:t>
      </w:r>
      <w:r w:rsidRPr="007B0BF8">
        <w:rPr>
          <w:i/>
          <w:iCs/>
        </w:rPr>
        <w:t>S</w:t>
      </w:r>
      <w:r>
        <w:rPr>
          <w:i/>
          <w:iCs/>
        </w:rPr>
        <w:t xml:space="preserve">. aureus </w:t>
      </w:r>
      <w:r>
        <w:t xml:space="preserve">SH1000 cells treated for 1 h with 10 X MIC methicillin. </w:t>
      </w:r>
      <w:r>
        <w:rPr>
          <w:b/>
          <w:bCs/>
        </w:rPr>
        <w:t xml:space="preserve">(A) </w:t>
      </w:r>
      <w:r>
        <w:t>Cryo-EM tomography (cryo-ET) images obtained from the same tomogram tilt series</w:t>
      </w:r>
      <w:r w:rsidR="00DF3BDA">
        <w:t>. Raw data obtained by Dr.</w:t>
      </w:r>
      <w:r>
        <w:t xml:space="preserve"> </w:t>
      </w:r>
      <w:r w:rsidR="00DF3BDA">
        <w:t>Danyil Gry</w:t>
      </w:r>
      <w:r w:rsidR="000B652A">
        <w:t>b</w:t>
      </w:r>
      <w:r w:rsidR="00DF3BDA">
        <w:t xml:space="preserve">chuk. </w:t>
      </w:r>
      <w:r>
        <w:rPr>
          <w:b/>
          <w:bCs/>
        </w:rPr>
        <w:t>(B)</w:t>
      </w:r>
      <w:r>
        <w:t xml:space="preserve"> TEM micrographs of chemically fixed thin sections. Scale bar 300 nm.</w:t>
      </w:r>
      <w:r w:rsidR="00441805" w:rsidRPr="00441805">
        <w:t xml:space="preserve"> </w:t>
      </w:r>
      <w:r w:rsidR="00441805">
        <w:t>pm– plasma membrane, cw– cell wall, ex– exoplasmic space. Black arrow heads – blebs.</w:t>
      </w:r>
    </w:p>
    <w:p w14:paraId="5619B933" w14:textId="1EA64FA6" w:rsidR="001544CA" w:rsidRDefault="008350AC" w:rsidP="002C216F">
      <w:pPr>
        <w:pStyle w:val="Heading2"/>
      </w:pPr>
      <w:bookmarkStart w:id="821" w:name="_Toc90216910"/>
      <w:r>
        <w:lastRenderedPageBreak/>
        <w:t xml:space="preserve">Are PGH responsible for </w:t>
      </w:r>
      <w:r w:rsidR="00996FB7">
        <w:t>the bactericidal activity of cell wall antibiotics</w:t>
      </w:r>
      <w:r w:rsidR="00AB768C">
        <w:t>?</w:t>
      </w:r>
      <w:bookmarkEnd w:id="821"/>
    </w:p>
    <w:p w14:paraId="6D5AD741" w14:textId="5BD889B4" w:rsidR="001467F3" w:rsidRDefault="00892DC2" w:rsidP="00892DC2">
      <w:r>
        <w:t xml:space="preserve">This study has begun to elucidate the bactericidal mechanism for </w:t>
      </w:r>
      <w:r w:rsidR="007A64A5">
        <w:t>CW</w:t>
      </w:r>
      <w:r>
        <w:t xml:space="preserve"> antibiotics. </w:t>
      </w:r>
      <w:r w:rsidR="000242F5">
        <w:t>It</w:t>
      </w:r>
      <w:r>
        <w:t xml:space="preserve"> has shown differential morphological changes after methicillin or vancomycin treatment. </w:t>
      </w:r>
      <w:r w:rsidRPr="00B65E69">
        <w:t>The plasmolysis observed with methicillin is inhibited by vancomycin</w:t>
      </w:r>
      <w:r w:rsidR="00485D52" w:rsidRPr="00B65E69">
        <w:t xml:space="preserve">, </w:t>
      </w:r>
      <w:r w:rsidR="000242F5">
        <w:t xml:space="preserve">suggesting an additional </w:t>
      </w:r>
      <w:r w:rsidR="000242F5">
        <w:rPr>
          <w:lang w:val="el-GR"/>
        </w:rPr>
        <w:t>β</w:t>
      </w:r>
      <w:r w:rsidR="000242F5">
        <w:t xml:space="preserve">-lactam-specific mode of death on top the </w:t>
      </w:r>
      <w:r w:rsidR="00B65E69">
        <w:t xml:space="preserve">common mechanism of killing bacteria </w:t>
      </w:r>
      <w:r w:rsidR="000242F5">
        <w:t>of</w:t>
      </w:r>
      <w:r w:rsidR="00B65E69">
        <w:t xml:space="preserve"> </w:t>
      </w:r>
      <w:r w:rsidR="000242F5">
        <w:t>bactericidal</w:t>
      </w:r>
      <w:r w:rsidR="00B65E69">
        <w:t xml:space="preserve"> antibiotics</w:t>
      </w:r>
      <w:r w:rsidR="00485D52" w:rsidRPr="00B65E69">
        <w:t>.</w:t>
      </w:r>
      <w:r>
        <w:t xml:space="preserve"> Our model for cell growth </w:t>
      </w:r>
      <w:r w:rsidR="004D3DD8">
        <w:t>(</w:t>
      </w:r>
      <w:r w:rsidR="004D3DD8">
        <w:fldChar w:fldCharType="begin"/>
      </w:r>
      <w:r w:rsidR="004D3DD8">
        <w:instrText xml:space="preserve"> REF _Ref71110058 \h </w:instrText>
      </w:r>
      <w:r w:rsidR="004D3DD8">
        <w:fldChar w:fldCharType="separate"/>
      </w:r>
      <w:r w:rsidR="00183CC8">
        <w:t xml:space="preserve">Figure </w:t>
      </w:r>
      <w:r w:rsidR="00183CC8">
        <w:rPr>
          <w:noProof/>
        </w:rPr>
        <w:t>5</w:t>
      </w:r>
      <w:r w:rsidR="00183CC8">
        <w:t>.</w:t>
      </w:r>
      <w:r w:rsidR="00183CC8">
        <w:rPr>
          <w:noProof/>
        </w:rPr>
        <w:t>1</w:t>
      </w:r>
      <w:r w:rsidR="004D3DD8">
        <w:fldChar w:fldCharType="end"/>
      </w:r>
      <w:r w:rsidR="004D3DD8">
        <w:t xml:space="preserve">) </w:t>
      </w:r>
      <w:r>
        <w:t>suggests that</w:t>
      </w:r>
      <w:r w:rsidR="007A64A5">
        <w:t xml:space="preserve"> bactericidal</w:t>
      </w:r>
      <w:r>
        <w:t xml:space="preserve"> antibiotics will lead to cell death by continued PGH activity in the absence of synthesis. </w:t>
      </w:r>
      <w:r w:rsidR="008065B2">
        <w:t>Thus</w:t>
      </w:r>
      <w:r w:rsidR="006A4CAC">
        <w:t xml:space="preserve">, stressing the importance of both PG synthesis and hydrolysis for </w:t>
      </w:r>
      <w:r w:rsidR="008D3129">
        <w:t xml:space="preserve">balanced </w:t>
      </w:r>
      <w:r w:rsidR="006A4CAC">
        <w:t xml:space="preserve">growth, and the </w:t>
      </w:r>
      <w:r w:rsidR="009506E9">
        <w:t xml:space="preserve">continued </w:t>
      </w:r>
      <w:r w:rsidR="006A4CAC">
        <w:t>role played by PGH in killing in the absence of PG synthesis.</w:t>
      </w:r>
      <w:r w:rsidR="00ED2A74">
        <w:t xml:space="preserve"> </w:t>
      </w:r>
      <w:r w:rsidR="00107C68">
        <w:t xml:space="preserve">As </w:t>
      </w:r>
      <w:r w:rsidR="009252D3">
        <w:t>described</w:t>
      </w:r>
      <w:r w:rsidR="00107C68">
        <w:t xml:space="preserve"> in </w:t>
      </w:r>
      <w:r w:rsidR="00EF5724">
        <w:t>Chapter</w:t>
      </w:r>
      <w:r w:rsidR="00107C68">
        <w:t xml:space="preserve"> 1</w:t>
      </w:r>
      <w:r w:rsidR="00EF5724">
        <w:t>,</w:t>
      </w:r>
      <w:r w:rsidR="00107C68">
        <w:t xml:space="preserve"> there are multiple hydrolases, of which </w:t>
      </w:r>
      <w:r w:rsidR="00C21FF4">
        <w:t>two major enzymes</w:t>
      </w:r>
      <w:r w:rsidR="00107C68">
        <w:t xml:space="preserve"> are </w:t>
      </w:r>
      <w:r w:rsidR="00BC3FF0">
        <w:t>S</w:t>
      </w:r>
      <w:r w:rsidR="00107C68">
        <w:t>agB and Atl, involved in cell growth and scission, respectively</w:t>
      </w:r>
      <w:r w:rsidR="0058736C">
        <w:t xml:space="preserve"> </w:t>
      </w:r>
      <w:r w:rsidR="0058736C">
        <w:fldChar w:fldCharType="begin" w:fldLock="1"/>
      </w:r>
      <w:r w:rsidR="007C6035">
        <w:instrText>ADDIN CSL_CITATION {"citationItems":[{"id":"ITEM-1","itemData":{"DOI":"10.1128/mBio.00660-15","ISSN":"21507511","PMID":"26220963","abstract":"UNLABELLED: Most bacterial cells are enclosed in a single macromolecule of the cell wall polymer, peptidoglycan, which is required for shape determination and maintenance of viability, while peptidoglycan biosynthesis is an important antibiotic target. It is hypothesized that cellular enlargement requires regional expansion of the cell wall through coordinated insertion and hydrolysis of peptidoglycan. Here, a group of (apparent glucosaminidase) peptidoglycan hydrolases are identified that are together required for cell enlargement and correct cellular morphology of Staphylococcus aureus, demonstrating the overall importance of this enzyme activity. These are Atl, SagA, ScaH, and SagB. The major advance here is the explanation of the observed morphological defects in terms of the mechanical and biochemical properties of peptidoglycan. It was shown that cells lacking groups of these hydrolases have increased surface stiffness and, in the absence of SagB, substantially increased glycan chain length. This indicates that, beyond their established roles (for example in cell separation), some hydrolases enable cellular enlargement by making peptidoglycan easier to stretch, providing the first direct evidence demonstrating that cellular enlargement occurs via modulation of the mechanical properties of peptidoglycan.\\n\\nIMPORTANCE: Understanding bacterial growth and division is a fundamental problem, and knowledge in this area underlies the treatment of many infectious diseases. Almost all bacteria are surrounded by a macromolecule of peptidoglycan that encloses the cell and maintains shape, and bacterial cells must increase the size of this molecule in order to enlarge themselves. This requires not only the insertion of new peptidoglycan monomers, a process targeted by antibiotics, including penicillin, but also breakage of existing bonds, a potentially hazardous activity for the cell. Using Staphylococcus aureus, we have identified a set of enzymes that are critical for cellular enlargement. We show that these enzymes are required for normal growth and define the mechanism through which cellular enlargement is accomplished, i.e., by breaking bonds in the peptidoglycan, which reduces the stiffness of the cell wall, enabling it to stretch and expand, a process that is likely to be fundamental to many bacteria.","author":[{"dropping-particle":"","family":"Wheeler","given":"Richard","non-dropping-particle":"","parse-names":false,"suffix":""},{"dropping-particle":"","family":"Turner","given":"Robert D.","non-dropping-particle":"","parse-names":false,"suffix":""},{"dropping-particle":"","family":"Bailey","given":"Richard G.","non-dropping-particle":"","parse-names":false,"suffix":""},{"dropping-particle":"","family":"Salamaga","given":"Bartłomiej","non-dropping-particle":"","parse-names":false,"suffix":""},{"dropping-particle":"","family":"Mesnage","given":"Stéphane","non-dropping-particle":"","parse-names":false,"suffix":""},{"dropping-particle":"","family":"Mohamad","given":"Sharifah A.S.","non-dropping-particle":"","parse-names":false,"suffix":""},{"dropping-particle":"","family":"Hayhurst","given":"Emma J.","non-dropping-particle":"","parse-names":false,"suffix":""},{"dropping-particle":"","family":"Horsburgh","given":"Malcolm","non-dropping-particle":"","parse-names":false,"suffix":""},{"dropping-particle":"","family":"Hobbs","given":"Jamie K.","non-dropping-particle":"","parse-names":false,"suffix":""},{"dropping-particle":"","family":"Foster","given":"Simon J.","non-dropping-particle":"","parse-names":false,"suffix":""}],"container-title":"mBio","id":"ITEM-1","issue":"4","issued":{"date-parts":[["2015"]]},"page":"1-10","title":"Bacterial cell enlargement requires control of cell wall stiffness mediated by peptidoglycan hydrolases","type":"article-journal","volume":"6"},"uris":["http://www.mendeley.com/documents/?uuid=d2ac9efd-feb5-4e30-a1e2-88eccd09b8af"]}],"mendeley":{"formattedCitation":"&lt;sup&gt;[53]&lt;/sup&gt;","plainTextFormattedCitation":"[53]","previouslyFormattedCitation":"&lt;sup&gt;[53]&lt;/sup&gt;"},"properties":{"noteIndex":0},"schema":"https://github.com/citation-style-language/schema/raw/master/csl-citation.json"}</w:instrText>
      </w:r>
      <w:r w:rsidR="0058736C">
        <w:fldChar w:fldCharType="separate"/>
      </w:r>
      <w:r w:rsidR="0058736C" w:rsidRPr="0058736C">
        <w:rPr>
          <w:noProof/>
          <w:vertAlign w:val="superscript"/>
        </w:rPr>
        <w:t>[53]</w:t>
      </w:r>
      <w:r w:rsidR="0058736C">
        <w:fldChar w:fldCharType="end"/>
      </w:r>
      <w:r w:rsidR="00107C68">
        <w:t xml:space="preserve">. </w:t>
      </w:r>
      <w:r w:rsidR="00BC3FF0">
        <w:t>Th</w:t>
      </w:r>
      <w:r w:rsidR="001467F3">
        <w:t>erefore</w:t>
      </w:r>
      <w:r w:rsidR="00BC3FF0">
        <w:t xml:space="preserve">, their involvement in the bactericidal effect </w:t>
      </w:r>
      <w:r w:rsidR="001467F3">
        <w:t xml:space="preserve">of CW antibiotics </w:t>
      </w:r>
      <w:r w:rsidR="00BC3FF0">
        <w:t xml:space="preserve">was </w:t>
      </w:r>
      <w:r w:rsidR="001467F3">
        <w:t>tested further</w:t>
      </w:r>
      <w:r w:rsidR="00F46676">
        <w:t>.</w:t>
      </w:r>
      <w:r w:rsidR="00BC3FF0">
        <w:t xml:space="preserve"> </w:t>
      </w:r>
    </w:p>
    <w:p w14:paraId="671EBEFB" w14:textId="7E09C67A" w:rsidR="0061427E" w:rsidRPr="00E555FD" w:rsidRDefault="00B031D2" w:rsidP="002C216F">
      <w:pPr>
        <w:pStyle w:val="Heading3"/>
      </w:pPr>
      <w:bookmarkStart w:id="822" w:name="_Toc90216911"/>
      <w:r>
        <w:t>The role of</w:t>
      </w:r>
      <w:r w:rsidR="002F676B">
        <w:t xml:space="preserve"> </w:t>
      </w:r>
      <w:r w:rsidR="0031567F">
        <w:t>SagB</w:t>
      </w:r>
      <w:r>
        <w:t xml:space="preserve"> in the bactericidal activity of cell wall antibiotics.</w:t>
      </w:r>
      <w:bookmarkEnd w:id="822"/>
    </w:p>
    <w:p w14:paraId="0A43AA08" w14:textId="5379C635" w:rsidR="00950CF6" w:rsidRDefault="00490665" w:rsidP="0061427E">
      <w:r>
        <w:t>SagB is</w:t>
      </w:r>
      <w:r w:rsidR="009B2CFB">
        <w:t xml:space="preserve"> major membrane </w:t>
      </w:r>
      <w:r>
        <w:t>glucosaminidase</w:t>
      </w:r>
      <w:r w:rsidR="009B2CFB">
        <w:t xml:space="preserve"> involved in cell physiology and growth. Seeing as it is responsible for glycan chain length and cell wall stiffness </w:t>
      </w:r>
      <w:r w:rsidR="009B2CFB">
        <w:fldChar w:fldCharType="begin" w:fldLock="1"/>
      </w:r>
      <w:r w:rsidR="00DA0A83">
        <w:instrText>ADDIN CSL_CITATION {"citationItems":[{"id":"ITEM-1","itemData":{"DOI":"10.1128/mBio.00660-15","ISSN":"21507511","PMID":"26220963","abstract":"UNLABELLED: Most bacterial cells are enclosed in a single macromolecule of the cell wall polymer, peptidoglycan, which is required for shape determination and maintenance of viability, while peptidoglycan biosynthesis is an important antibiotic target. It is hypothesized that cellular enlargement requires regional expansion of the cell wall through coordinated insertion and hydrolysis of peptidoglycan. Here, a group of (apparent glucosaminidase) peptidoglycan hydrolases are identified that are together required for cell enlargement and correct cellular morphology of Staphylococcus aureus, demonstrating the overall importance of this enzyme activity. These are Atl, SagA, ScaH, and SagB. The major advance here is the explanation of the observed morphological defects in terms of the mechanical and biochemical properties of peptidoglycan. It was shown that cells lacking groups of these hydrolases have increased surface stiffness and, in the absence of SagB, substantially increased glycan chain length. This indicates that, beyond their established roles (for example in cell separation), some hydrolases enable cellular enlargement by making peptidoglycan easier to stretch, providing the first direct evidence demonstrating that cellular enlargement occurs via modulation of the mechanical properties of peptidoglycan.\\n\\nIMPORTANCE: Understanding bacterial growth and division is a fundamental problem, and knowledge in this area underlies the treatment of many infectious diseases. Almost all bacteria are surrounded by a macromolecule of peptidoglycan that encloses the cell and maintains shape, and bacterial cells must increase the size of this molecule in order to enlarge themselves. This requires not only the insertion of new peptidoglycan monomers, a process targeted by antibiotics, including penicillin, but also breakage of existing bonds, a potentially hazardous activity for the cell. Using Staphylococcus aureus, we have identified a set of enzymes that are critical for cellular enlargement. We show that these enzymes are required for normal growth and define the mechanism through which cellular enlargement is accomplished, i.e., by breaking bonds in the peptidoglycan, which reduces the stiffness of the cell wall, enabling it to stretch and expand, a process that is likely to be fundamental to many bacteria.","author":[{"dropping-particle":"","family":"Wheeler","given":"Richard","non-dropping-particle":"","parse-names":false,"suffix":""},{"dropping-particle":"","family":"Turner","given":"Robert D.","non-dropping-particle":"","parse-names":false,"suffix":""},{"dropping-particle":"","family":"Bailey","given":"Richard G.","non-dropping-particle":"","parse-names":false,"suffix":""},{"dropping-particle":"","family":"Salamaga","given":"Bartłomiej","non-dropping-particle":"","parse-names":false,"suffix":""},{"dropping-particle":"","family":"Mesnage","given":"Stéphane","non-dropping-particle":"","parse-names":false,"suffix":""},{"dropping-particle":"","family":"Mohamad","given":"Sharifah A.S.","non-dropping-particle":"","parse-names":false,"suffix":""},{"dropping-particle":"","family":"Hayhurst","given":"Emma J.","non-dropping-particle":"","parse-names":false,"suffix":""},{"dropping-particle":"","family":"Horsburgh","given":"Malcolm","non-dropping-particle":"","parse-names":false,"suffix":""},{"dropping-particle":"","family":"Hobbs","given":"Jamie K.","non-dropping-particle":"","parse-names":false,"suffix":""},{"dropping-particle":"","family":"Foster","given":"Simon J.","non-dropping-particle":"","parse-names":false,"suffix":""}],"container-title":"mBio","id":"ITEM-1","issue":"4","issued":{"date-parts":[["2015"]]},"page":"1-10","title":"Bacterial cell enlargement requires control of cell wall stiffness mediated by peptidoglycan hydrolases","type":"article-journal","volume":"6"},"uris":["http://www.mendeley.com/documents/?uuid=d2ac9efd-feb5-4e30-a1e2-88eccd09b8af"]}],"mendeley":{"formattedCitation":"&lt;sup&gt;[53]&lt;/sup&gt;","plainTextFormattedCitation":"[53]","previouslyFormattedCitation":"&lt;sup&gt;[53]&lt;/sup&gt;"},"properties":{"noteIndex":0},"schema":"https://github.com/citation-style-language/schema/raw/master/csl-citation.json"}</w:instrText>
      </w:r>
      <w:r w:rsidR="009B2CFB">
        <w:fldChar w:fldCharType="separate"/>
      </w:r>
      <w:r w:rsidR="00DA0A83" w:rsidRPr="00DA0A83">
        <w:rPr>
          <w:noProof/>
          <w:vertAlign w:val="superscript"/>
        </w:rPr>
        <w:t>[53]</w:t>
      </w:r>
      <w:r w:rsidR="009B2CFB">
        <w:fldChar w:fldCharType="end"/>
      </w:r>
      <w:r w:rsidR="009B2CFB">
        <w:t xml:space="preserve">, together with its suggested involvement in cell size increase in methicillin-treated cells </w:t>
      </w:r>
      <w:r w:rsidR="009B2CFB">
        <w:fldChar w:fldCharType="begin" w:fldLock="1"/>
      </w:r>
      <w:r w:rsidR="00260ACA">
        <w:instrText>ADDIN CSL_CITATION {"citationItems":[{"id":"ITEM-1","itemData":{"author":[{"dropping-particle":"","family":"und zur Mühlen","given":"Milena Louise","non-dropping-particle":"von","parse-names":false,"suffix":""}],"id":"ITEM-1","issued":{"date-parts":[["2019"]]},"publisher":"The University of Sheffield","title":"Life and Death: Cell Wall Antibiotic killing of Staphylococcus aureus","type":"thesis"},"uris":["http://www.mendeley.com/documents/?uuid=940981bd-d042-4bac-9611-160139e29821"]}],"mendeley":{"formattedCitation":"&lt;sup&gt;[71]&lt;/sup&gt;","plainTextFormattedCitation":"[71]","previouslyFormattedCitation":"&lt;sup&gt;[71]&lt;/sup&gt;"},"properties":{"noteIndex":0},"schema":"https://github.com/citation-style-language/schema/raw/master/csl-citation.json"}</w:instrText>
      </w:r>
      <w:r w:rsidR="009B2CFB">
        <w:fldChar w:fldCharType="separate"/>
      </w:r>
      <w:r w:rsidR="00C825F9" w:rsidRPr="00C825F9">
        <w:rPr>
          <w:noProof/>
          <w:vertAlign w:val="superscript"/>
        </w:rPr>
        <w:t>[71]</w:t>
      </w:r>
      <w:r w:rsidR="009B2CFB">
        <w:fldChar w:fldCharType="end"/>
      </w:r>
      <w:r w:rsidR="009B2CFB">
        <w:t xml:space="preserve">, </w:t>
      </w:r>
      <w:r w:rsidR="00066538">
        <w:t>the role of this PGH</w:t>
      </w:r>
      <w:r w:rsidR="00C44FA3">
        <w:t xml:space="preserve"> in the </w:t>
      </w:r>
      <w:r w:rsidR="0036128E">
        <w:t xml:space="preserve">common </w:t>
      </w:r>
      <w:r w:rsidR="00C44FA3">
        <w:t xml:space="preserve">bactericidal activity of </w:t>
      </w:r>
      <w:r w:rsidR="005C57A2">
        <w:t>CW antibiotics</w:t>
      </w:r>
      <w:r w:rsidR="00C44FA3">
        <w:t xml:space="preserve"> </w:t>
      </w:r>
      <w:r w:rsidR="006D1CC4">
        <w:t>was further</w:t>
      </w:r>
      <w:r w:rsidR="009B2CFB">
        <w:t xml:space="preserve"> investigated</w:t>
      </w:r>
      <w:r w:rsidR="00E93772">
        <w:t xml:space="preserve">. </w:t>
      </w:r>
    </w:p>
    <w:p w14:paraId="321A0B61" w14:textId="04EF26FE" w:rsidR="00241D1F" w:rsidRDefault="00E93772" w:rsidP="0061427E">
      <w:r w:rsidRPr="00E12334">
        <w:t>No</w:t>
      </w:r>
      <w:r>
        <w:t xml:space="preserve"> significant difference in the rate or extent of killing</w:t>
      </w:r>
      <w:r w:rsidR="002E6A3C">
        <w:t xml:space="preserve"> with methicillin</w:t>
      </w:r>
      <w:r>
        <w:t xml:space="preserve"> was observed when comparing </w:t>
      </w:r>
      <w:r>
        <w:rPr>
          <w:i/>
          <w:iCs/>
        </w:rPr>
        <w:t>sagB</w:t>
      </w:r>
      <w:r>
        <w:t xml:space="preserve"> </w:t>
      </w:r>
      <w:r w:rsidR="00F226BF">
        <w:t xml:space="preserve">(SJF 4146) </w:t>
      </w:r>
      <w:r>
        <w:t>to SH1000</w:t>
      </w:r>
      <w:r w:rsidR="00E12334">
        <w:t xml:space="preserve"> (</w:t>
      </w:r>
      <w:r w:rsidR="00E12334">
        <w:fldChar w:fldCharType="begin"/>
      </w:r>
      <w:r w:rsidR="00E12334">
        <w:instrText xml:space="preserve"> REF _Ref71063900 \h </w:instrText>
      </w:r>
      <w:r w:rsidR="00E12334">
        <w:fldChar w:fldCharType="separate"/>
      </w:r>
      <w:r w:rsidR="00183CC8">
        <w:t xml:space="preserve">Figure </w:t>
      </w:r>
      <w:r w:rsidR="00183CC8">
        <w:rPr>
          <w:noProof/>
        </w:rPr>
        <w:t>5</w:t>
      </w:r>
      <w:r w:rsidR="00183CC8">
        <w:t>.</w:t>
      </w:r>
      <w:r w:rsidR="00183CC8">
        <w:rPr>
          <w:noProof/>
        </w:rPr>
        <w:t>42</w:t>
      </w:r>
      <w:r w:rsidR="00E12334">
        <w:fldChar w:fldCharType="end"/>
      </w:r>
      <w:r w:rsidR="00E12334">
        <w:t>)</w:t>
      </w:r>
      <w:r w:rsidR="00CC05E8">
        <w:t xml:space="preserve"> </w:t>
      </w:r>
      <w:r w:rsidR="001315FD">
        <w:fldChar w:fldCharType="begin" w:fldLock="1"/>
      </w:r>
      <w:r w:rsidR="004F7E11">
        <w:instrText>ADDIN CSL_CITATION {"citationItems":[{"id":"ITEM-1","itemData":{"DOI":"10.1073/pnas.2106022118","ISSN":"1091-6490","PMID":"34716264","abstract":"Bacterial cell wall peptidoglycan is essential, maintaining both cellular integrity and morphology, in the face of internal turgor pressure. Peptidoglycan synthesis is important, as it is targeted by cell wall antibiotics, including methicillin and vancomycin. Here, we have used the major human pathogen Staphylococcus aureus to elucidate both the cell wall dynamic processes essential for growth (life) and the bactericidal effects of cell wall antibiotics (death) based on the principle of coordinated peptidoglycan synthesis and hydrolysis. The death of S. aureus due to depletion of the essential, two-component and positive regulatory system for peptidoglycan hydrolase activity (WalKR) is prevented by addition of otherwise bactericidal cell wall antibiotics, resulting in stasis. In contrast, cell wall antibiotics kill via the activity of peptidoglycan hydrolases in the absence of concomitant synthesis. Both methicillin and vancomycin treatment lead to the appearance of perforating holes throughout the cell wall due to peptidoglycan hydrolases. Methicillin alone also results in plasmolysis and misshapen septa with the involvement of the major peptidoglycan hydrolase Atl, a process that is inhibited by vancomycin. The bactericidal effect of vancomycin involves the peptidoglycan hydrolase SagB. In the presence of cell wall antibiotics, the inhibition of peptidoglycan hydrolase activity using the inhibitor complestatin results in reduced killing, while, conversely, the deregulation of hydrolase activity via loss of wall teichoic acids increases the death rate. For S. aureus, the independent regulation of cell wall synthesis and hydrolysis can lead to cell growth, death, or stasis, with implications for the development of new control regimes for this important pathogen.","author":[{"dropping-particle":"","family":"Salamaga","given":"Bartłomiej","non-dropping-particle":"","parse-names":false,"suffix":""},{"dropping-particle":"","family":"Kong","given":"Lingyuan","non-dropping-particle":"","parse-names":false,"suffix":""},{"dropping-particle":"","family":"Pasquina-Lemonche","given":"Laia","non-dropping-particle":"","parse-names":false,"suffix":""},{"dropping-particle":"","family":"Lafage","given":"Lucia","non-dropping-particle":"","parse-names":false,"suffix":""},{"dropping-particle":"","family":"Und Zur Muhlen","given":"Milena","non-dropping-particle":"von","parse-names":false,"suffix":""},{"dropping-particle":"","family":"Gibson","given":"Josie F","non-dropping-particle":"","parse-names":false,"suffix":""},{"dropping-particle":"","family":"Grybchuk","given":"Danyil","non-dropping-particle":"","parse-names":false,"suffix":""},{"dropping-particle":"","family":"Tooke","given":"Amy K","non-dropping-particle":"","parse-names":false,"suffix":""},{"dropping-particle":"","family":"Panchal","given":"Viralkumar","non-dropping-particle":"","parse-names":false,"suffix":""},{"dropping-particle":"","family":"Culp","given":"Elizabeth J","non-dropping-particle":"","parse-names":false,"suffix":""},{"dropping-particle":"","family":"Tatham","given":"Elizabeth","non-dropping-particle":"","parse-names":false,"suffix":""},{"dropping-particle":"","family":"O'Kane","given":"Mary E","non-dropping-particle":"","parse-names":false,"suffix":""},{"dropping-particle":"","family":"Catley","given":"Thomas E","non-dropping-particle":"","parse-names":false,"suffix":""},{"dropping-particle":"","family":"Renshaw","given":"Stephen A","non-dropping-particle":"","parse-names":false,"suffix":""},{"dropping-particle":"","family":"Wright","given":"Gerard D","non-dropping-particle":"","parse-names":false,"suffix":""},{"dropping-particle":"","family":"Plevka","given":"Pavel","non-dropping-particle":"","parse-names":false,"suffix":""},{"dropping-particle":"","family":"Bullough","given":"Per A","non-dropping-particle":"","parse-names":false,"suffix":""},{"dropping-particle":"","family":"Han","given":"Aidong","non-dropping-particle":"","parse-names":false,"suffix":""},{"dropping-particle":"","family":"Hobbs","given":"Jamie K","non-dropping-particle":"","parse-names":false,"suffix":""},{"dropping-particle":"","family":"Foster","given":"Simon J","non-dropping-particle":"","parse-names":false,"suffix":""}],"container-title":"Proceedings of the National Academy of Sciences of the United States of America","id":"ITEM-1","issue":"44","issued":{"date-parts":[["2021","11","2"]]},"page":"1-8","publisher":"National Academy of Sciences","title":"Demonstration of the role of cell wall homeostasis in Staphylococcus aureus growth and the action of bactericidal antibiotics.","type":"article-journal","volume":"118"},"uris":["http://www.mendeley.com/documents/?uuid=9f3bf1ae-65de-4943-a7a8-62e0e140e346"]}],"mendeley":{"formattedCitation":"&lt;sup&gt;[247]&lt;/sup&gt;","plainTextFormattedCitation":"[247]","previouslyFormattedCitation":"&lt;sup&gt;[247]&lt;/sup&gt;"},"properties":{"noteIndex":0},"schema":"https://github.com/citation-style-language/schema/raw/master/csl-citation.json"}</w:instrText>
      </w:r>
      <w:r w:rsidR="001315FD">
        <w:fldChar w:fldCharType="separate"/>
      </w:r>
      <w:r w:rsidR="009D34AE" w:rsidRPr="009D34AE">
        <w:rPr>
          <w:noProof/>
          <w:vertAlign w:val="superscript"/>
        </w:rPr>
        <w:t>[247]</w:t>
      </w:r>
      <w:r w:rsidR="001315FD">
        <w:fldChar w:fldCharType="end"/>
      </w:r>
      <w:r>
        <w:t xml:space="preserve">. </w:t>
      </w:r>
      <w:r w:rsidR="003E18EF">
        <w:t>However, when treated with vancomycin</w:t>
      </w:r>
      <w:r w:rsidR="000424D1">
        <w:t xml:space="preserve"> or vancomycin plus methicillin</w:t>
      </w:r>
      <w:r w:rsidR="003E18EF">
        <w:t xml:space="preserve">, </w:t>
      </w:r>
      <w:r w:rsidR="003E18EF" w:rsidRPr="003E18EF">
        <w:rPr>
          <w:i/>
          <w:iCs/>
        </w:rPr>
        <w:t>sagB</w:t>
      </w:r>
      <w:r w:rsidR="003E18EF">
        <w:t xml:space="preserve"> increased its survival compared to its parental strain</w:t>
      </w:r>
      <w:r w:rsidR="00BA4AFE">
        <w:t xml:space="preserve"> (* p = 0.0158)</w:t>
      </w:r>
      <w:r w:rsidR="000424D1">
        <w:t xml:space="preserve"> (</w:t>
      </w:r>
      <w:r w:rsidR="000424D1">
        <w:fldChar w:fldCharType="begin"/>
      </w:r>
      <w:r w:rsidR="000424D1">
        <w:instrText xml:space="preserve"> REF _Ref71063900 \h </w:instrText>
      </w:r>
      <w:r w:rsidR="000424D1">
        <w:fldChar w:fldCharType="separate"/>
      </w:r>
      <w:r w:rsidR="00183CC8">
        <w:t xml:space="preserve">Figure </w:t>
      </w:r>
      <w:r w:rsidR="00183CC8">
        <w:rPr>
          <w:noProof/>
        </w:rPr>
        <w:t>5</w:t>
      </w:r>
      <w:r w:rsidR="00183CC8">
        <w:t>.</w:t>
      </w:r>
      <w:r w:rsidR="00183CC8">
        <w:rPr>
          <w:noProof/>
        </w:rPr>
        <w:t>42</w:t>
      </w:r>
      <w:r w:rsidR="000424D1">
        <w:fldChar w:fldCharType="end"/>
      </w:r>
      <w:r w:rsidR="000424D1">
        <w:t xml:space="preserve">) </w:t>
      </w:r>
      <w:r w:rsidR="001315FD">
        <w:fldChar w:fldCharType="begin" w:fldLock="1"/>
      </w:r>
      <w:r w:rsidR="004F7E11">
        <w:instrText>ADDIN CSL_CITATION {"citationItems":[{"id":"ITEM-1","itemData":{"DOI":"10.1073/pnas.2106022118","ISSN":"1091-6490","PMID":"34716264","abstract":"Bacterial cell wall peptidoglycan is essential, maintaining both cellular integrity and morphology, in the face of internal turgor pressure. Peptidoglycan synthesis is important, as it is targeted by cell wall antibiotics, including methicillin and vancomycin. Here, we have used the major human pathogen Staphylococcus aureus to elucidate both the cell wall dynamic processes essential for growth (life) and the bactericidal effects of cell wall antibiotics (death) based on the principle of coordinated peptidoglycan synthesis and hydrolysis. The death of S. aureus due to depletion of the essential, two-component and positive regulatory system for peptidoglycan hydrolase activity (WalKR) is prevented by addition of otherwise bactericidal cell wall antibiotics, resulting in stasis. In contrast, cell wall antibiotics kill via the activity of peptidoglycan hydrolases in the absence of concomitant synthesis. Both methicillin and vancomycin treatment lead to the appearance of perforating holes throughout the cell wall due to peptidoglycan hydrolases. Methicillin alone also results in plasmolysis and misshapen septa with the involvement of the major peptidoglycan hydrolase Atl, a process that is inhibited by vancomycin. The bactericidal effect of vancomycin involves the peptidoglycan hydrolase SagB. In the presence of cell wall antibiotics, the inhibition of peptidoglycan hydrolase activity using the inhibitor complestatin results in reduced killing, while, conversely, the deregulation of hydrolase activity via loss of wall teichoic acids increases the death rate. For S. aureus, the independent regulation of cell wall synthesis and hydrolysis can lead to cell growth, death, or stasis, with implications for the development of new control regimes for this important pathogen.","author":[{"dropping-particle":"","family":"Salamaga","given":"Bartłomiej","non-dropping-particle":"","parse-names":false,"suffix":""},{"dropping-particle":"","family":"Kong","given":"Lingyuan","non-dropping-particle":"","parse-names":false,"suffix":""},{"dropping-particle":"","family":"Pasquina-Lemonche","given":"Laia","non-dropping-particle":"","parse-names":false,"suffix":""},{"dropping-particle":"","family":"Lafage","given":"Lucia","non-dropping-particle":"","parse-names":false,"suffix":""},{"dropping-particle":"","family":"Und Zur Muhlen","given":"Milena","non-dropping-particle":"von","parse-names":false,"suffix":""},{"dropping-particle":"","family":"Gibson","given":"Josie F","non-dropping-particle":"","parse-names":false,"suffix":""},{"dropping-particle":"","family":"Grybchuk","given":"Danyil","non-dropping-particle":"","parse-names":false,"suffix":""},{"dropping-particle":"","family":"Tooke","given":"Amy K","non-dropping-particle":"","parse-names":false,"suffix":""},{"dropping-particle":"","family":"Panchal","given":"Viralkumar","non-dropping-particle":"","parse-names":false,"suffix":""},{"dropping-particle":"","family":"Culp","given":"Elizabeth J","non-dropping-particle":"","parse-names":false,"suffix":""},{"dropping-particle":"","family":"Tatham","given":"Elizabeth","non-dropping-particle":"","parse-names":false,"suffix":""},{"dropping-particle":"","family":"O'Kane","given":"Mary E","non-dropping-particle":"","parse-names":false,"suffix":""},{"dropping-particle":"","family":"Catley","given":"Thomas E","non-dropping-particle":"","parse-names":false,"suffix":""},{"dropping-particle":"","family":"Renshaw","given":"Stephen A","non-dropping-particle":"","parse-names":false,"suffix":""},{"dropping-particle":"","family":"Wright","given":"Gerard D","non-dropping-particle":"","parse-names":false,"suffix":""},{"dropping-particle":"","family":"Plevka","given":"Pavel","non-dropping-particle":"","parse-names":false,"suffix":""},{"dropping-particle":"","family":"Bullough","given":"Per A","non-dropping-particle":"","parse-names":false,"suffix":""},{"dropping-particle":"","family":"Han","given":"Aidong","non-dropping-particle":"","parse-names":false,"suffix":""},{"dropping-particle":"","family":"Hobbs","given":"Jamie K","non-dropping-particle":"","parse-names":false,"suffix":""},{"dropping-particle":"","family":"Foster","given":"Simon J","non-dropping-particle":"","parse-names":false,"suffix":""}],"container-title":"Proceedings of the National Academy of Sciences of the United States of America","id":"ITEM-1","issue":"44","issued":{"date-parts":[["2021","11","2"]]},"page":"1-8","publisher":"National Academy of Sciences","title":"Demonstration of the role of cell wall homeostasis in Staphylococcus aureus growth and the action of bactericidal antibiotics.","type":"article-journal","volume":"118"},"uris":["http://www.mendeley.com/documents/?uuid=9f3bf1ae-65de-4943-a7a8-62e0e140e346"]}],"mendeley":{"formattedCitation":"&lt;sup&gt;[247]&lt;/sup&gt;","plainTextFormattedCitation":"[247]","previouslyFormattedCitation":"&lt;sup&gt;[247]&lt;/sup&gt;"},"properties":{"noteIndex":0},"schema":"https://github.com/citation-style-language/schema/raw/master/csl-citation.json"}</w:instrText>
      </w:r>
      <w:r w:rsidR="001315FD">
        <w:fldChar w:fldCharType="separate"/>
      </w:r>
      <w:r w:rsidR="009D34AE" w:rsidRPr="009D34AE">
        <w:rPr>
          <w:noProof/>
          <w:vertAlign w:val="superscript"/>
        </w:rPr>
        <w:t>[247]</w:t>
      </w:r>
      <w:r w:rsidR="001315FD">
        <w:fldChar w:fldCharType="end"/>
      </w:r>
      <w:r w:rsidR="003E18EF">
        <w:t xml:space="preserve">. </w:t>
      </w:r>
      <w:r w:rsidR="006E5D36">
        <w:t>Furthermore, the overall mortality of methicillin is still higher on its own</w:t>
      </w:r>
      <w:r w:rsidR="00D22096">
        <w:t xml:space="preserve"> (98.6 ± 1.</w:t>
      </w:r>
      <w:r w:rsidR="00BA4AFE">
        <w:t>6</w:t>
      </w:r>
      <w:r w:rsidR="00D22096">
        <w:t> % after 6 h)</w:t>
      </w:r>
      <w:r w:rsidR="006E5D36">
        <w:t xml:space="preserve">, whilst vancomycin has a similar response to the use of both antibiotics concomitantly </w:t>
      </w:r>
      <w:r w:rsidR="00D22096">
        <w:t>(74.7 ± 1</w:t>
      </w:r>
      <w:r w:rsidR="00BA4AFE">
        <w:t>3</w:t>
      </w:r>
      <w:r w:rsidR="00D22096">
        <w:t>.2</w:t>
      </w:r>
      <w:r w:rsidR="00BA4AFE">
        <w:t>7</w:t>
      </w:r>
      <w:r w:rsidR="00D22096">
        <w:t xml:space="preserve"> % and 69.5 ± 12.2 % after 6 h, respectively) </w:t>
      </w:r>
      <w:r w:rsidR="006E5D36">
        <w:t>(</w:t>
      </w:r>
      <w:r w:rsidR="006E5D36">
        <w:fldChar w:fldCharType="begin"/>
      </w:r>
      <w:r w:rsidR="006E5D36">
        <w:instrText xml:space="preserve"> REF _Ref71063900 \h </w:instrText>
      </w:r>
      <w:r w:rsidR="006E5D36">
        <w:fldChar w:fldCharType="separate"/>
      </w:r>
      <w:r w:rsidR="00183CC8">
        <w:t xml:space="preserve">Figure </w:t>
      </w:r>
      <w:r w:rsidR="00183CC8">
        <w:rPr>
          <w:noProof/>
        </w:rPr>
        <w:t>5</w:t>
      </w:r>
      <w:r w:rsidR="00183CC8">
        <w:t>.</w:t>
      </w:r>
      <w:r w:rsidR="00183CC8">
        <w:rPr>
          <w:noProof/>
        </w:rPr>
        <w:t>42</w:t>
      </w:r>
      <w:r w:rsidR="006E5D36">
        <w:fldChar w:fldCharType="end"/>
      </w:r>
      <w:r w:rsidR="006E5D36">
        <w:t xml:space="preserve">). </w:t>
      </w:r>
    </w:p>
    <w:p w14:paraId="66AF03E0" w14:textId="7E5BD0E7" w:rsidR="00EB2102" w:rsidRDefault="00856FA6" w:rsidP="0061427E">
      <w:r w:rsidRPr="003E18EF">
        <w:t>M</w:t>
      </w:r>
      <w:r w:rsidR="00E93772" w:rsidRPr="003E18EF">
        <w:t>orphologically</w:t>
      </w:r>
      <w:r w:rsidR="007C69EC">
        <w:t>,</w:t>
      </w:r>
      <w:r w:rsidR="00E93772">
        <w:t xml:space="preserve"> the </w:t>
      </w:r>
      <w:r w:rsidR="00E93772">
        <w:rPr>
          <w:i/>
          <w:iCs/>
        </w:rPr>
        <w:t>sagB</w:t>
      </w:r>
      <w:r w:rsidR="00E93772">
        <w:t xml:space="preserve"> mutant showed a response equal to that of SH1000 when treated with </w:t>
      </w:r>
      <w:r w:rsidR="00BE0D52">
        <w:t>methicillin or vancomycin</w:t>
      </w:r>
      <w:r w:rsidR="00E93772">
        <w:t xml:space="preserve">. </w:t>
      </w:r>
      <w:r w:rsidR="003613E7">
        <w:t xml:space="preserve">Even though both antibiotics </w:t>
      </w:r>
      <w:r w:rsidR="00C26B9A">
        <w:t>demonstrate</w:t>
      </w:r>
      <w:r w:rsidR="003613E7">
        <w:t xml:space="preserve"> a reduction of dividing cells (incomplete and complete sept</w:t>
      </w:r>
      <w:r w:rsidR="00237367">
        <w:t>um</w:t>
      </w:r>
      <w:r w:rsidR="003613E7">
        <w:t>;</w:t>
      </w:r>
      <w:r w:rsidR="0038014D">
        <w:t xml:space="preserve"> </w:t>
      </w:r>
      <w:r w:rsidR="0038014D">
        <w:fldChar w:fldCharType="begin"/>
      </w:r>
      <w:r w:rsidR="0038014D">
        <w:instrText xml:space="preserve"> REF _Ref78659688 \h </w:instrText>
      </w:r>
      <w:r w:rsidR="0038014D">
        <w:fldChar w:fldCharType="separate"/>
      </w:r>
      <w:r w:rsidR="00183CC8">
        <w:t xml:space="preserve">Figure </w:t>
      </w:r>
      <w:r w:rsidR="00183CC8">
        <w:rPr>
          <w:noProof/>
        </w:rPr>
        <w:t>5</w:t>
      </w:r>
      <w:r w:rsidR="00183CC8">
        <w:t>.</w:t>
      </w:r>
      <w:r w:rsidR="00183CC8">
        <w:rPr>
          <w:noProof/>
        </w:rPr>
        <w:t>43</w:t>
      </w:r>
      <w:r w:rsidR="0038014D">
        <w:fldChar w:fldCharType="end"/>
      </w:r>
      <w:r w:rsidR="003613E7">
        <w:t>), only methicillin presented signs of plasmolysis (</w:t>
      </w:r>
      <w:r w:rsidR="0038014D">
        <w:fldChar w:fldCharType="begin"/>
      </w:r>
      <w:r w:rsidR="0038014D">
        <w:instrText xml:space="preserve"> REF _Ref78659688 \h </w:instrText>
      </w:r>
      <w:r w:rsidR="0038014D">
        <w:fldChar w:fldCharType="separate"/>
      </w:r>
      <w:r w:rsidR="00183CC8">
        <w:t xml:space="preserve">Figure </w:t>
      </w:r>
      <w:r w:rsidR="00183CC8">
        <w:rPr>
          <w:noProof/>
        </w:rPr>
        <w:t>5</w:t>
      </w:r>
      <w:r w:rsidR="00183CC8">
        <w:t>.</w:t>
      </w:r>
      <w:r w:rsidR="00183CC8">
        <w:rPr>
          <w:noProof/>
        </w:rPr>
        <w:t>43</w:t>
      </w:r>
      <w:r w:rsidR="0038014D">
        <w:fldChar w:fldCharType="end"/>
      </w:r>
      <w:r w:rsidR="003613E7">
        <w:t xml:space="preserve"> and </w:t>
      </w:r>
      <w:r w:rsidR="003613E7">
        <w:fldChar w:fldCharType="begin"/>
      </w:r>
      <w:r w:rsidR="003613E7">
        <w:instrText xml:space="preserve"> REF _Ref71064307 \h </w:instrText>
      </w:r>
      <w:r w:rsidR="003613E7">
        <w:fldChar w:fldCharType="separate"/>
      </w:r>
      <w:r w:rsidR="00183CC8">
        <w:t xml:space="preserve">Figure </w:t>
      </w:r>
      <w:r w:rsidR="00183CC8">
        <w:rPr>
          <w:noProof/>
        </w:rPr>
        <w:t>5</w:t>
      </w:r>
      <w:r w:rsidR="00183CC8">
        <w:t>.</w:t>
      </w:r>
      <w:r w:rsidR="00183CC8">
        <w:rPr>
          <w:noProof/>
        </w:rPr>
        <w:t>44</w:t>
      </w:r>
      <w:r w:rsidR="003613E7">
        <w:fldChar w:fldCharType="end"/>
      </w:r>
      <w:r w:rsidR="003613E7">
        <w:t>).</w:t>
      </w:r>
      <w:r w:rsidR="00870A01">
        <w:t xml:space="preserve"> </w:t>
      </w:r>
      <w:r w:rsidR="00A92F1B">
        <w:t>The percentage of affected cells was similar to that of the wildtype SH1000 (</w:t>
      </w:r>
      <w:r w:rsidR="00870A01">
        <w:t>~ 45.4 %</w:t>
      </w:r>
      <w:r w:rsidR="00A92F1B">
        <w:t>)</w:t>
      </w:r>
      <w:r w:rsidR="00870A01">
        <w:t xml:space="preserve"> and </w:t>
      </w:r>
      <w:r w:rsidR="00A92F1B">
        <w:t>once again</w:t>
      </w:r>
      <w:r w:rsidR="00E00146">
        <w:t>,</w:t>
      </w:r>
      <w:r w:rsidR="00A92F1B">
        <w:t xml:space="preserve"> </w:t>
      </w:r>
      <w:r w:rsidR="00870A01">
        <w:t>the majority of the</w:t>
      </w:r>
      <w:r w:rsidR="00380C7F">
        <w:t>se</w:t>
      </w:r>
      <w:r w:rsidR="00870A01">
        <w:t xml:space="preserve"> corresponded to dividing </w:t>
      </w:r>
      <w:r w:rsidR="00870A01">
        <w:lastRenderedPageBreak/>
        <w:t>cells (</w:t>
      </w:r>
      <w:r w:rsidR="003558F7">
        <w:fldChar w:fldCharType="begin"/>
      </w:r>
      <w:r w:rsidR="003558F7">
        <w:instrText xml:space="preserve"> REF _Ref78659688 \h </w:instrText>
      </w:r>
      <w:r w:rsidR="003558F7">
        <w:fldChar w:fldCharType="separate"/>
      </w:r>
      <w:r w:rsidR="00183CC8">
        <w:t xml:space="preserve">Figure </w:t>
      </w:r>
      <w:r w:rsidR="00183CC8">
        <w:rPr>
          <w:noProof/>
        </w:rPr>
        <w:t>5</w:t>
      </w:r>
      <w:r w:rsidR="00183CC8">
        <w:t>.</w:t>
      </w:r>
      <w:r w:rsidR="00183CC8">
        <w:rPr>
          <w:noProof/>
        </w:rPr>
        <w:t>43</w:t>
      </w:r>
      <w:r w:rsidR="003558F7">
        <w:fldChar w:fldCharType="end"/>
      </w:r>
      <w:r w:rsidR="00870A01">
        <w:t xml:space="preserve">b-c). </w:t>
      </w:r>
      <w:r w:rsidR="009F4485">
        <w:t xml:space="preserve">No difference was observed when </w:t>
      </w:r>
      <w:r w:rsidR="009F4485">
        <w:rPr>
          <w:i/>
          <w:iCs/>
        </w:rPr>
        <w:t>sagB</w:t>
      </w:r>
      <w:r w:rsidR="009F4485">
        <w:t xml:space="preserve"> was compared to SH1000 when treated with both methicillin and vancomycin simultaneously</w:t>
      </w:r>
      <w:r w:rsidR="00906DF4">
        <w:t xml:space="preserve"> (</w:t>
      </w:r>
      <w:r w:rsidR="00906DF4">
        <w:fldChar w:fldCharType="begin"/>
      </w:r>
      <w:r w:rsidR="00906DF4">
        <w:instrText xml:space="preserve"> REF _Ref71064307 \h </w:instrText>
      </w:r>
      <w:r w:rsidR="00906DF4">
        <w:fldChar w:fldCharType="separate"/>
      </w:r>
      <w:r w:rsidR="00183CC8">
        <w:t xml:space="preserve">Figure </w:t>
      </w:r>
      <w:r w:rsidR="00183CC8">
        <w:rPr>
          <w:noProof/>
        </w:rPr>
        <w:t>5</w:t>
      </w:r>
      <w:r w:rsidR="00183CC8">
        <w:t>.</w:t>
      </w:r>
      <w:r w:rsidR="00183CC8">
        <w:rPr>
          <w:noProof/>
        </w:rPr>
        <w:t>44</w:t>
      </w:r>
      <w:r w:rsidR="00906DF4">
        <w:fldChar w:fldCharType="end"/>
      </w:r>
      <w:r w:rsidR="00906DF4">
        <w:t>).</w:t>
      </w:r>
    </w:p>
    <w:p w14:paraId="0368CDDC" w14:textId="72D9B2D8" w:rsidR="00CF05DB" w:rsidRDefault="00EB2102" w:rsidP="0061427E">
      <w:r>
        <w:t xml:space="preserve">These results </w:t>
      </w:r>
      <w:r w:rsidR="00C149E3">
        <w:t>indicate</w:t>
      </w:r>
      <w:r w:rsidR="0009637D">
        <w:t xml:space="preserve"> that</w:t>
      </w:r>
      <w:r w:rsidR="001506C5">
        <w:t>:</w:t>
      </w:r>
    </w:p>
    <w:p w14:paraId="060FAC1F" w14:textId="489233D6" w:rsidR="00950130" w:rsidRDefault="007C69EC" w:rsidP="005A3D55">
      <w:pPr>
        <w:pStyle w:val="ListParagraph"/>
        <w:numPr>
          <w:ilvl w:val="0"/>
          <w:numId w:val="17"/>
        </w:numPr>
        <w:spacing w:line="360" w:lineRule="auto"/>
      </w:pPr>
      <w:r>
        <w:t xml:space="preserve">Morphologically, </w:t>
      </w:r>
      <w:r>
        <w:rPr>
          <w:i/>
          <w:iCs/>
        </w:rPr>
        <w:t>sagB</w:t>
      </w:r>
      <w:r>
        <w:t xml:space="preserve"> resembles SH1000 when treated with CW antibiotics</w:t>
      </w:r>
      <w:r w:rsidR="001B7521">
        <w:t>.</w:t>
      </w:r>
    </w:p>
    <w:p w14:paraId="337E875F" w14:textId="77777777" w:rsidR="00424829" w:rsidRDefault="00424829" w:rsidP="005A3D55">
      <w:pPr>
        <w:pStyle w:val="ListParagraph"/>
        <w:ind w:left="720"/>
      </w:pPr>
    </w:p>
    <w:p w14:paraId="719085CD" w14:textId="7D3646F9" w:rsidR="00424829" w:rsidRDefault="00950130" w:rsidP="005A3D55">
      <w:pPr>
        <w:pStyle w:val="ListParagraph"/>
        <w:numPr>
          <w:ilvl w:val="0"/>
          <w:numId w:val="17"/>
        </w:numPr>
        <w:spacing w:line="360" w:lineRule="auto"/>
      </w:pPr>
      <w:r>
        <w:t>SagB is not responsible for causing plasmolysis in methicillin-treated cells.</w:t>
      </w:r>
    </w:p>
    <w:p w14:paraId="641D250F" w14:textId="77777777" w:rsidR="00A50082" w:rsidRDefault="00A50082" w:rsidP="005A3D55">
      <w:pPr>
        <w:pStyle w:val="ListParagraph"/>
      </w:pPr>
    </w:p>
    <w:p w14:paraId="4A601BF3" w14:textId="698DF687" w:rsidR="00A50082" w:rsidRDefault="007E74FF" w:rsidP="005A3D55">
      <w:pPr>
        <w:pStyle w:val="ListParagraph"/>
        <w:numPr>
          <w:ilvl w:val="0"/>
          <w:numId w:val="17"/>
        </w:numPr>
        <w:spacing w:line="360" w:lineRule="auto"/>
      </w:pPr>
      <w:r>
        <w:t>SagB has a</w:t>
      </w:r>
      <w:r w:rsidR="00FA2388">
        <w:t xml:space="preserve"> major</w:t>
      </w:r>
      <w:r>
        <w:t xml:space="preserve"> role in the bactericidal mechanism of vancomycin but does not have a major role in that of methicillin, as seen by an increased survival</w:t>
      </w:r>
      <w:r w:rsidR="00C86FE5">
        <w:t xml:space="preserve"> of </w:t>
      </w:r>
      <w:r w:rsidR="00C86FE5">
        <w:rPr>
          <w:i/>
          <w:iCs/>
        </w:rPr>
        <w:t xml:space="preserve">sagB </w:t>
      </w:r>
      <w:r w:rsidR="00C86FE5">
        <w:t>treated</w:t>
      </w:r>
      <w:r>
        <w:t xml:space="preserve"> with vancomycin when compared to SH1000.</w:t>
      </w:r>
    </w:p>
    <w:p w14:paraId="306F885D" w14:textId="77777777" w:rsidR="008F652D" w:rsidRDefault="008F652D" w:rsidP="005A3D55">
      <w:pPr>
        <w:pStyle w:val="ListParagraph"/>
      </w:pPr>
    </w:p>
    <w:p w14:paraId="6BCCF212" w14:textId="383BA64B" w:rsidR="008F652D" w:rsidRDefault="008F652D" w:rsidP="005A3D55">
      <w:pPr>
        <w:pStyle w:val="ListParagraph"/>
        <w:numPr>
          <w:ilvl w:val="0"/>
          <w:numId w:val="17"/>
        </w:numPr>
        <w:spacing w:line="360" w:lineRule="auto"/>
      </w:pPr>
      <w:r>
        <w:t xml:space="preserve">SagB appears to be involved in the </w:t>
      </w:r>
      <w:r w:rsidR="00B47317">
        <w:t>bactericidal</w:t>
      </w:r>
      <w:r>
        <w:t xml:space="preserve"> mechanism </w:t>
      </w:r>
      <w:r w:rsidR="00B47317">
        <w:t>common to both vancomycin and methicillin</w:t>
      </w:r>
      <w:r>
        <w:t>.</w:t>
      </w:r>
    </w:p>
    <w:p w14:paraId="559A07D4" w14:textId="340A99E0" w:rsidR="00790654" w:rsidRDefault="00790654" w:rsidP="00CF05DB">
      <w:pPr>
        <w:pStyle w:val="ListParagraph"/>
        <w:numPr>
          <w:ilvl w:val="0"/>
          <w:numId w:val="17"/>
        </w:numPr>
        <w:sectPr w:rsidR="00790654" w:rsidSect="004D0E05">
          <w:pgSz w:w="11906" w:h="16838"/>
          <w:pgMar w:top="1191" w:right="1247" w:bottom="1191" w:left="1247" w:header="709" w:footer="709" w:gutter="0"/>
          <w:cols w:space="708"/>
          <w:titlePg/>
          <w:docGrid w:linePitch="360"/>
        </w:sectPr>
      </w:pPr>
    </w:p>
    <w:p w14:paraId="112B3A31" w14:textId="77777777" w:rsidR="008345D4" w:rsidRDefault="008345D4" w:rsidP="00973E16">
      <w:pPr>
        <w:pStyle w:val="NoSpacing"/>
        <w:keepNext/>
        <w:jc w:val="center"/>
      </w:pPr>
      <w:r>
        <w:rPr>
          <w:noProof/>
        </w:rPr>
        <w:lastRenderedPageBreak/>
        <w:drawing>
          <wp:inline distT="0" distB="0" distL="0" distR="0" wp14:anchorId="77357114" wp14:editId="773850D5">
            <wp:extent cx="5775503" cy="3315854"/>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781294" cy="3319179"/>
                    </a:xfrm>
                    <a:prstGeom prst="rect">
                      <a:avLst/>
                    </a:prstGeom>
                  </pic:spPr>
                </pic:pic>
              </a:graphicData>
            </a:graphic>
          </wp:inline>
        </w:drawing>
      </w:r>
    </w:p>
    <w:p w14:paraId="42642C0A" w14:textId="482C1FAD" w:rsidR="008345D4" w:rsidRDefault="008345D4" w:rsidP="008A2B86">
      <w:pPr>
        <w:pStyle w:val="Caption"/>
      </w:pPr>
      <w:bookmarkStart w:id="823" w:name="_Ref71063900"/>
      <w:bookmarkStart w:id="824" w:name="_Toc90217027"/>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42</w:t>
      </w:r>
      <w:r w:rsidR="003373BF">
        <w:rPr>
          <w:noProof/>
        </w:rPr>
        <w:fldChar w:fldCharType="end"/>
      </w:r>
      <w:bookmarkEnd w:id="823"/>
      <w:r>
        <w:t xml:space="preserve"> Effect of vancomycin and/or methicillin on </w:t>
      </w:r>
      <w:r>
        <w:rPr>
          <w:i/>
        </w:rPr>
        <w:t xml:space="preserve">S. aureus sagB </w:t>
      </w:r>
      <w:r>
        <w:t>survival.</w:t>
      </w:r>
      <w:bookmarkEnd w:id="824"/>
    </w:p>
    <w:p w14:paraId="5922FF72" w14:textId="368FD609" w:rsidR="00DB7014" w:rsidRDefault="008345D4" w:rsidP="008345D4">
      <w:pPr>
        <w:pStyle w:val="NoSpacing"/>
        <w:sectPr w:rsidR="00DB7014" w:rsidSect="004D0E05">
          <w:pgSz w:w="11906" w:h="16838"/>
          <w:pgMar w:top="1191" w:right="1247" w:bottom="1191" w:left="1247" w:header="709" w:footer="709" w:gutter="0"/>
          <w:cols w:space="708"/>
          <w:titlePg/>
          <w:docGrid w:linePitch="360"/>
        </w:sectPr>
      </w:pPr>
      <w:r>
        <w:rPr>
          <w:i/>
          <w:iCs/>
        </w:rPr>
        <w:t>S. aureus</w:t>
      </w:r>
      <w:r>
        <w:t xml:space="preserve"> </w:t>
      </w:r>
      <w:r>
        <w:rPr>
          <w:i/>
          <w:iCs/>
        </w:rPr>
        <w:t>sagB</w:t>
      </w:r>
      <w:r>
        <w:t xml:space="preserve"> treated with 10 X MIC of methicillin and/or vancomycin</w:t>
      </w:r>
      <w:r w:rsidR="005A3CA4">
        <w:t xml:space="preserve"> and its comparison to its parental strain SH1000</w:t>
      </w:r>
      <w:r w:rsidRPr="00945D83">
        <w:t>.</w:t>
      </w:r>
      <w:r>
        <w:rPr>
          <w:b/>
          <w:bCs/>
        </w:rPr>
        <w:t xml:space="preserve"> (A)</w:t>
      </w:r>
      <w:r>
        <w:t xml:space="preserve"> </w:t>
      </w:r>
      <w:r w:rsidRPr="00054E4A">
        <w:t>Normalised</w:t>
      </w:r>
      <w:r>
        <w:rPr>
          <w:lang w:val="en-US"/>
        </w:rPr>
        <w:t xml:space="preserve"> percentage s</w:t>
      </w:r>
      <w:r w:rsidRPr="0080704D">
        <w:rPr>
          <w:lang w:val="en-US"/>
        </w:rPr>
        <w:t>urvival of bacterial cells</w:t>
      </w:r>
      <w:r>
        <w:rPr>
          <w:lang w:val="en-US"/>
        </w:rPr>
        <w:t xml:space="preserve"> (3 biological repeats). Experiment carried out by Dr. Bartlomiej Salamaga. </w:t>
      </w:r>
      <w:r>
        <w:rPr>
          <w:b/>
          <w:bCs/>
          <w:lang w:val="en-US"/>
        </w:rPr>
        <w:t>(B)</w:t>
      </w:r>
      <w:r w:rsidR="007E7224">
        <w:rPr>
          <w:b/>
          <w:bCs/>
          <w:lang w:val="en-US"/>
        </w:rPr>
        <w:t xml:space="preserve"> </w:t>
      </w:r>
      <w:r w:rsidR="007E7224" w:rsidRPr="006456D2">
        <w:t xml:space="preserve">Normalised percentage of survival after </w:t>
      </w:r>
      <w:r w:rsidR="007E7224">
        <w:t>6</w:t>
      </w:r>
      <w:r w:rsidR="007E7224" w:rsidRPr="006456D2">
        <w:t> h</w:t>
      </w:r>
      <w:r w:rsidR="00CB075B">
        <w:t>.</w:t>
      </w:r>
      <w:r w:rsidR="007E7224" w:rsidRPr="006456D2">
        <w:t xml:space="preserve"> Statistical analysis: t-test with Wel</w:t>
      </w:r>
      <w:r w:rsidR="007E7224">
        <w:t>c</w:t>
      </w:r>
      <w:r w:rsidR="007E7224" w:rsidRPr="006456D2">
        <w:t>h</w:t>
      </w:r>
      <w:r w:rsidR="000B568B">
        <w:t>’s</w:t>
      </w:r>
      <w:r w:rsidR="007E7224" w:rsidRPr="006456D2">
        <w:t xml:space="preserve"> correction</w:t>
      </w:r>
      <w:r w:rsidR="008A2729">
        <w:t xml:space="preserve"> </w:t>
      </w:r>
      <w:r w:rsidR="00486B0A">
        <w:t xml:space="preserve">(SH1000 </w:t>
      </w:r>
      <w:r w:rsidR="00486B0A">
        <w:rPr>
          <w:i/>
          <w:iCs/>
        </w:rPr>
        <w:t>vs.</w:t>
      </w:r>
      <w:r w:rsidR="00486B0A">
        <w:t xml:space="preserve"> </w:t>
      </w:r>
      <w:r w:rsidR="005D6315">
        <w:rPr>
          <w:i/>
          <w:iCs/>
        </w:rPr>
        <w:t>sagB</w:t>
      </w:r>
      <w:r w:rsidR="006014C1">
        <w:t xml:space="preserve"> – vancomycin * p = 0.0158</w:t>
      </w:r>
      <w:r w:rsidR="006D4D9B">
        <w:t xml:space="preserve">; methicillin </w:t>
      </w:r>
      <w:r w:rsidR="009014B8">
        <w:t>ns– non-significant p ≥ 0.05</w:t>
      </w:r>
      <w:r w:rsidR="00486B0A">
        <w:t>)</w:t>
      </w:r>
      <w:r w:rsidR="00CB075B">
        <w:t xml:space="preserve"> (6 biological repeats)</w:t>
      </w:r>
      <w:r w:rsidR="00111E01">
        <w:t>.</w:t>
      </w:r>
    </w:p>
    <w:p w14:paraId="2258C401" w14:textId="77777777" w:rsidR="00670517" w:rsidRDefault="00DB7014" w:rsidP="00973E16">
      <w:pPr>
        <w:pStyle w:val="NoSpacing"/>
        <w:keepNext/>
        <w:jc w:val="center"/>
      </w:pPr>
      <w:r>
        <w:rPr>
          <w:noProof/>
        </w:rPr>
        <w:lastRenderedPageBreak/>
        <w:drawing>
          <wp:inline distT="0" distB="0" distL="0" distR="0" wp14:anchorId="4DC7B74B" wp14:editId="5ABECFBA">
            <wp:extent cx="5877241" cy="4387402"/>
            <wp:effectExtent l="0" t="0" r="317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877241" cy="4387402"/>
                    </a:xfrm>
                    <a:prstGeom prst="rect">
                      <a:avLst/>
                    </a:prstGeom>
                  </pic:spPr>
                </pic:pic>
              </a:graphicData>
            </a:graphic>
          </wp:inline>
        </w:drawing>
      </w:r>
    </w:p>
    <w:p w14:paraId="1CC971B3" w14:textId="0AFDE387" w:rsidR="00453714" w:rsidRDefault="00670517" w:rsidP="008A2B86">
      <w:pPr>
        <w:pStyle w:val="Caption"/>
      </w:pPr>
      <w:bookmarkStart w:id="825" w:name="_Ref78659688"/>
      <w:bookmarkStart w:id="826" w:name="_Toc90217028"/>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43</w:t>
      </w:r>
      <w:r w:rsidR="003373BF">
        <w:rPr>
          <w:noProof/>
        </w:rPr>
        <w:fldChar w:fldCharType="end"/>
      </w:r>
      <w:bookmarkEnd w:id="825"/>
      <w:r>
        <w:t xml:space="preserve"> Effect of vancomycin and/or methicillin on </w:t>
      </w:r>
      <w:r>
        <w:rPr>
          <w:i/>
        </w:rPr>
        <w:t xml:space="preserve">S. aureus sagB </w:t>
      </w:r>
      <w:r>
        <w:t>survival morphology and division.</w:t>
      </w:r>
      <w:bookmarkEnd w:id="826"/>
    </w:p>
    <w:p w14:paraId="609F1DE0" w14:textId="4AC89B6C" w:rsidR="00670517" w:rsidRPr="00670517" w:rsidRDefault="00670517" w:rsidP="00670517">
      <w:pPr>
        <w:pStyle w:val="NoSpacing"/>
        <w:sectPr w:rsidR="00670517" w:rsidRPr="00670517" w:rsidSect="004D0E05">
          <w:pgSz w:w="11906" w:h="16838"/>
          <w:pgMar w:top="1191" w:right="1247" w:bottom="1191" w:left="1247" w:header="709" w:footer="709" w:gutter="0"/>
          <w:cols w:space="708"/>
          <w:titlePg/>
          <w:docGrid w:linePitch="360"/>
        </w:sectPr>
      </w:pPr>
      <w:r>
        <w:rPr>
          <w:i/>
          <w:iCs/>
        </w:rPr>
        <w:t>S. aureus</w:t>
      </w:r>
      <w:r>
        <w:t xml:space="preserve"> </w:t>
      </w:r>
      <w:r>
        <w:rPr>
          <w:i/>
          <w:iCs/>
        </w:rPr>
        <w:t>sagB</w:t>
      </w:r>
      <w:r>
        <w:t xml:space="preserve"> treated for 1 h with 10 X MIC of methicillin and/or vancomycin</w:t>
      </w:r>
      <w:r w:rsidRPr="00670517">
        <w:t>.</w:t>
      </w:r>
      <w:r>
        <w:rPr>
          <w:b/>
          <w:bCs/>
        </w:rPr>
        <w:t xml:space="preserve"> </w:t>
      </w:r>
      <w:r>
        <w:rPr>
          <w:b/>
          <w:bCs/>
          <w:lang w:val="en-US"/>
        </w:rPr>
        <w:t>(A)</w:t>
      </w:r>
      <w:r>
        <w:rPr>
          <w:lang w:val="en-US"/>
        </w:rPr>
        <w:t xml:space="preserve"> </w:t>
      </w:r>
      <w:r>
        <w:t>Morphological quantification of the control</w:t>
      </w:r>
      <w:r>
        <w:rPr>
          <w:i/>
          <w:iCs/>
        </w:rPr>
        <w:t xml:space="preserve"> </w:t>
      </w:r>
      <w:r w:rsidRPr="00570A71">
        <w:t>(</w:t>
      </w:r>
      <w:r>
        <w:t xml:space="preserve">2 biological repeats, </w:t>
      </w:r>
      <w:r>
        <w:rPr>
          <w:i/>
          <w:iCs/>
        </w:rPr>
        <w:t>n</w:t>
      </w:r>
      <w:r>
        <w:t xml:space="preserve"> = 1113), methicillin (2 biological repeat, </w:t>
      </w:r>
      <w:r>
        <w:rPr>
          <w:i/>
          <w:iCs/>
        </w:rPr>
        <w:t>n</w:t>
      </w:r>
      <w:r w:rsidRPr="00D40C1B">
        <w:t> = </w:t>
      </w:r>
      <w:r>
        <w:t xml:space="preserve">894), vancomycin (2 biological repeats, </w:t>
      </w:r>
      <w:r>
        <w:rPr>
          <w:i/>
          <w:iCs/>
        </w:rPr>
        <w:t>n</w:t>
      </w:r>
      <w:r>
        <w:t xml:space="preserve"> = 1214), vancomycin plus methicillin (2 biological repeats, </w:t>
      </w:r>
      <w:r>
        <w:rPr>
          <w:i/>
          <w:iCs/>
        </w:rPr>
        <w:t>n</w:t>
      </w:r>
      <w:r>
        <w:t> = 1934), as indicated. No sept</w:t>
      </w:r>
      <w:r w:rsidR="00930327">
        <w:t>um</w:t>
      </w:r>
      <w:r>
        <w:t>– dark green, incomplete sept</w:t>
      </w:r>
      <w:r w:rsidR="00930327">
        <w:t>um</w:t>
      </w:r>
      <w:r>
        <w:t>– medium green, complete sept</w:t>
      </w:r>
      <w:r w:rsidR="00930327">
        <w:t>um</w:t>
      </w:r>
      <w:r>
        <w:t xml:space="preserve">– light green, </w:t>
      </w:r>
      <w:r w:rsidR="00930327">
        <w:t xml:space="preserve">and </w:t>
      </w:r>
      <w:r>
        <w:t xml:space="preserve">plasmolysis– orange. </w:t>
      </w:r>
      <w:r>
        <w:rPr>
          <w:b/>
          <w:bCs/>
        </w:rPr>
        <w:t>(</w:t>
      </w:r>
      <w:r w:rsidR="008E78B4">
        <w:rPr>
          <w:b/>
          <w:bCs/>
        </w:rPr>
        <w:t>B</w:t>
      </w:r>
      <w:r>
        <w:rPr>
          <w:b/>
          <w:bCs/>
        </w:rPr>
        <w:t>)</w:t>
      </w:r>
      <w:r>
        <w:t xml:space="preserve"> Compositional analysis methicillin treated cells in </w:t>
      </w:r>
      <w:r w:rsidRPr="001F5392">
        <w:t>(</w:t>
      </w:r>
      <w:r w:rsidR="00C5332E">
        <w:t>A</w:t>
      </w:r>
      <w:r w:rsidRPr="001F5392">
        <w:t>)</w:t>
      </w:r>
      <w:r>
        <w:t xml:space="preserve"> showing signs of plasmolysis</w:t>
      </w:r>
      <w:r w:rsidRPr="001F5392">
        <w:t>.</w:t>
      </w:r>
      <w:r>
        <w:rPr>
          <w:b/>
          <w:bCs/>
        </w:rPr>
        <w:t xml:space="preserve"> </w:t>
      </w:r>
      <w:r>
        <w:t>No sept</w:t>
      </w:r>
      <w:r w:rsidR="00930327">
        <w:t>um</w:t>
      </w:r>
      <w:r>
        <w:t>– dark orange, incomplete sept</w:t>
      </w:r>
      <w:r w:rsidR="00930327">
        <w:t>um</w:t>
      </w:r>
      <w:r>
        <w:t>– medium orange, complete sept</w:t>
      </w:r>
      <w:r w:rsidR="00930327">
        <w:t>um</w:t>
      </w:r>
      <w:r>
        <w:t>– light orange (</w:t>
      </w:r>
      <w:r>
        <w:rPr>
          <w:i/>
          <w:iCs/>
        </w:rPr>
        <w:t>n </w:t>
      </w:r>
      <w:r>
        <w:t>= 489).</w:t>
      </w:r>
      <w:r w:rsidRPr="00F874D8">
        <w:rPr>
          <w:b/>
          <w:bCs/>
          <w:lang w:val="en-US"/>
        </w:rPr>
        <w:t xml:space="preserve"> </w:t>
      </w:r>
      <w:r>
        <w:rPr>
          <w:b/>
          <w:bCs/>
          <w:lang w:val="en-US"/>
        </w:rPr>
        <w:t>(</w:t>
      </w:r>
      <w:r w:rsidR="009535A4">
        <w:rPr>
          <w:b/>
          <w:bCs/>
          <w:lang w:val="en-US"/>
        </w:rPr>
        <w:t>C</w:t>
      </w:r>
      <w:r>
        <w:rPr>
          <w:b/>
          <w:bCs/>
          <w:lang w:val="en-US"/>
        </w:rPr>
        <w:t xml:space="preserve">) </w:t>
      </w:r>
      <w:r>
        <w:t>Representative cells from TEM micrographs of chemically fixed thin sections for treatments with methicillin. Cropped from high magnification (4800x), scale bar 300 nm. pm– plasma membrane, cw– cell wall, ex– exoplasmic space. No sept</w:t>
      </w:r>
      <w:r w:rsidR="00222FCB">
        <w:t>um</w:t>
      </w:r>
      <w:r>
        <w:t>– dark orange, incomplete sept</w:t>
      </w:r>
      <w:r w:rsidR="00222FCB">
        <w:t>um</w:t>
      </w:r>
      <w:r>
        <w:t>– medium orange, and complete sept</w:t>
      </w:r>
      <w:r w:rsidR="00222FCB">
        <w:t>um</w:t>
      </w:r>
      <w:r>
        <w:t>– light orange</w:t>
      </w:r>
    </w:p>
    <w:p w14:paraId="3B684F84" w14:textId="77777777" w:rsidR="00453714" w:rsidRDefault="00453714" w:rsidP="004C7309">
      <w:pPr>
        <w:keepNext/>
        <w:jc w:val="center"/>
      </w:pPr>
      <w:r>
        <w:rPr>
          <w:noProof/>
        </w:rPr>
        <w:lastRenderedPageBreak/>
        <w:drawing>
          <wp:inline distT="0" distB="0" distL="0" distR="0" wp14:anchorId="498DDEEA" wp14:editId="0DEDC668">
            <wp:extent cx="5867739" cy="768465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867739" cy="7684654"/>
                    </a:xfrm>
                    <a:prstGeom prst="rect">
                      <a:avLst/>
                    </a:prstGeom>
                  </pic:spPr>
                </pic:pic>
              </a:graphicData>
            </a:graphic>
          </wp:inline>
        </w:drawing>
      </w:r>
    </w:p>
    <w:p w14:paraId="21919827" w14:textId="4902A883" w:rsidR="0061427E" w:rsidRDefault="00453714" w:rsidP="008A2B86">
      <w:pPr>
        <w:pStyle w:val="Caption"/>
      </w:pPr>
      <w:bookmarkStart w:id="827" w:name="_Ref71064307"/>
      <w:bookmarkStart w:id="828" w:name="_Toc90217029"/>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44</w:t>
      </w:r>
      <w:r w:rsidR="003373BF">
        <w:rPr>
          <w:noProof/>
        </w:rPr>
        <w:fldChar w:fldCharType="end"/>
      </w:r>
      <w:bookmarkEnd w:id="827"/>
      <w:r>
        <w:t xml:space="preserve"> Effect of vancomycin and/or methicillin on </w:t>
      </w:r>
      <w:r>
        <w:rPr>
          <w:i/>
        </w:rPr>
        <w:t>S. aureus</w:t>
      </w:r>
      <w:r>
        <w:t xml:space="preserve"> </w:t>
      </w:r>
      <w:r>
        <w:rPr>
          <w:i/>
        </w:rPr>
        <w:t>sagB</w:t>
      </w:r>
      <w:r>
        <w:t xml:space="preserve"> phenotype.</w:t>
      </w:r>
      <w:bookmarkEnd w:id="828"/>
    </w:p>
    <w:p w14:paraId="2E711F69" w14:textId="0ABDCCFB" w:rsidR="00453714" w:rsidRDefault="00B1234F" w:rsidP="00453714">
      <w:pPr>
        <w:pStyle w:val="NoSpacing"/>
        <w:sectPr w:rsidR="00453714" w:rsidSect="004D0E05">
          <w:pgSz w:w="11906" w:h="16838"/>
          <w:pgMar w:top="1191" w:right="1247" w:bottom="1191" w:left="1247" w:header="709" w:footer="709" w:gutter="0"/>
          <w:cols w:space="708"/>
          <w:titlePg/>
          <w:docGrid w:linePitch="360"/>
        </w:sectPr>
      </w:pPr>
      <w:r>
        <w:t>TEM</w:t>
      </w:r>
      <w:r w:rsidRPr="008375BD">
        <w:t xml:space="preserve"> </w:t>
      </w:r>
      <w:r>
        <w:t xml:space="preserve">micrographs of chemically fixed thin sections of </w:t>
      </w:r>
      <w:r>
        <w:rPr>
          <w:i/>
          <w:iCs/>
        </w:rPr>
        <w:t>S. aureus</w:t>
      </w:r>
      <w:r>
        <w:t xml:space="preserve"> </w:t>
      </w:r>
      <w:r>
        <w:rPr>
          <w:i/>
          <w:iCs/>
        </w:rPr>
        <w:t>sagB</w:t>
      </w:r>
      <w:r>
        <w:t xml:space="preserve"> </w:t>
      </w:r>
      <w:r>
        <w:rPr>
          <w:b/>
          <w:bCs/>
        </w:rPr>
        <w:t>(A)</w:t>
      </w:r>
      <w:r>
        <w:t xml:space="preserve"> untreated and treated for 1 h with 10 X MIC </w:t>
      </w:r>
      <w:r>
        <w:rPr>
          <w:b/>
          <w:bCs/>
        </w:rPr>
        <w:t xml:space="preserve">(B) </w:t>
      </w:r>
      <w:r>
        <w:t xml:space="preserve">vancomycin, </w:t>
      </w:r>
      <w:r>
        <w:rPr>
          <w:b/>
          <w:bCs/>
        </w:rPr>
        <w:t>(C)</w:t>
      </w:r>
      <w:r>
        <w:t xml:space="preserve"> methicillin, or </w:t>
      </w:r>
      <w:r>
        <w:rPr>
          <w:b/>
          <w:bCs/>
        </w:rPr>
        <w:t>(D)</w:t>
      </w:r>
      <w:r>
        <w:t xml:space="preserve"> vancomycin plus methicillin. High magnification </w:t>
      </w:r>
      <w:r w:rsidR="00596800">
        <w:t>(</w:t>
      </w:r>
      <w:r>
        <w:t>4800x</w:t>
      </w:r>
      <w:r w:rsidR="00596800">
        <w:t>)</w:t>
      </w:r>
      <w:r>
        <w:t>, scale bar 1 µm.</w:t>
      </w:r>
      <w:r w:rsidRPr="00C23BDE">
        <w:t xml:space="preserve"> </w:t>
      </w:r>
      <w:r w:rsidR="008C79C0">
        <w:t>Red</w:t>
      </w:r>
      <w:r>
        <w:t xml:space="preserve"> arrows indicate signs of plasmolysis</w:t>
      </w:r>
      <w:r w:rsidR="00453714">
        <w:t>.</w:t>
      </w:r>
    </w:p>
    <w:p w14:paraId="2B63F725" w14:textId="2E56E5CB" w:rsidR="00182281" w:rsidRDefault="00946A2F" w:rsidP="002C216F">
      <w:pPr>
        <w:pStyle w:val="Heading3"/>
      </w:pPr>
      <w:bookmarkStart w:id="829" w:name="_Toc64276394"/>
      <w:bookmarkStart w:id="830" w:name="_Toc64276698"/>
      <w:bookmarkStart w:id="831" w:name="_Toc64276910"/>
      <w:bookmarkStart w:id="832" w:name="_Toc90216912"/>
      <w:r>
        <w:lastRenderedPageBreak/>
        <w:t>The role of</w:t>
      </w:r>
      <w:r w:rsidR="004B0C7E" w:rsidRPr="005B0F81">
        <w:t xml:space="preserve"> </w:t>
      </w:r>
      <w:r w:rsidR="00287F65" w:rsidRPr="00287F65">
        <w:t>Atl</w:t>
      </w:r>
      <w:r w:rsidR="004B0C7E" w:rsidRPr="005B0F81">
        <w:t xml:space="preserve"> </w:t>
      </w:r>
      <w:bookmarkEnd w:id="829"/>
      <w:bookmarkEnd w:id="830"/>
      <w:bookmarkEnd w:id="831"/>
      <w:r>
        <w:t>in the bactericidal effect of antibiotics</w:t>
      </w:r>
      <w:r w:rsidR="009903CC">
        <w:t>.</w:t>
      </w:r>
      <w:bookmarkEnd w:id="832"/>
    </w:p>
    <w:p w14:paraId="4D966CC6" w14:textId="7A3ECB7C" w:rsidR="00A95A74" w:rsidRPr="00A95A74" w:rsidRDefault="00E73F94" w:rsidP="0098713B">
      <w:r>
        <w:t xml:space="preserve">The major </w:t>
      </w:r>
      <w:r>
        <w:rPr>
          <w:i/>
          <w:iCs/>
        </w:rPr>
        <w:t xml:space="preserve">S. </w:t>
      </w:r>
      <w:r w:rsidRPr="00E73F94">
        <w:rPr>
          <w:i/>
          <w:iCs/>
        </w:rPr>
        <w:t>aureus</w:t>
      </w:r>
      <w:r>
        <w:rPr>
          <w:i/>
          <w:iCs/>
        </w:rPr>
        <w:t xml:space="preserve"> </w:t>
      </w:r>
      <w:r>
        <w:t>PGH Atl</w:t>
      </w:r>
      <w:r w:rsidR="00D675A1">
        <w:t xml:space="preserve"> is</w:t>
      </w:r>
      <w:r>
        <w:t xml:space="preserve"> </w:t>
      </w:r>
      <w:r w:rsidR="00A14B91">
        <w:t>involved in</w:t>
      </w:r>
      <w:r w:rsidR="0017560C">
        <w:t xml:space="preserve"> general</w:t>
      </w:r>
      <w:r w:rsidR="00A14B91">
        <w:t xml:space="preserve"> lysis and septal </w:t>
      </w:r>
      <w:r w:rsidR="00921EE9">
        <w:t>separation</w:t>
      </w:r>
      <w:r w:rsidR="00A14B91">
        <w:t xml:space="preserve">, </w:t>
      </w:r>
      <w:r w:rsidR="00D675A1">
        <w:t xml:space="preserve">also its activity has been shown </w:t>
      </w:r>
      <w:r>
        <w:t xml:space="preserve">to be </w:t>
      </w:r>
      <w:r w:rsidR="00D675A1">
        <w:t xml:space="preserve">directly </w:t>
      </w:r>
      <w:r>
        <w:t xml:space="preserve">inhibited by </w:t>
      </w:r>
      <w:r w:rsidR="000F4E11">
        <w:t>v</w:t>
      </w:r>
      <w:r>
        <w:t>ancomycin</w:t>
      </w:r>
      <w:r w:rsidR="00F15517">
        <w:t xml:space="preserve"> </w:t>
      </w:r>
      <w:r w:rsidR="00004968">
        <w:fldChar w:fldCharType="begin" w:fldLock="1"/>
      </w:r>
      <w:r w:rsidR="0058736C">
        <w:instrText>ADDIN CSL_CITATION {"citationItems":[{"id":"ITEM-1","itemData":{"DOI":"10.1021/ja2039979","ISSN":"00027863","abstract":"Vancomycin is a potent glycopeptide antibiotic that has evolved to specifically bind to the D-Ala-D-Ala dipeptide termini of nascent peptidoglycans. Although this mode of action is well established, several studies indicate that vancomycin and analogues exploit noncanonical target sites. In order to address all vancomycin targets in clinically relevant Staphylococcus aureus and Enterococcus faecalis strains we developed a series of small-molecule photoaffinity probes based on vancomycin. Proteomic profiling revealed the specific labeling of two previously unknown vancomycin targets that are likely to contribute to its antibiotic activity. The specific inhibition of the major staphylococcal autolysin Atl confirms previous observations that vancomycin alters S. aureus cell morphology by interaction with the autolytic machinery. Moreover, in E. faecalis the vancomycin photoprobe specifically binds to an ABC transporter protein, which likely impedes the uptake of essential nutrients such as sugars and peptides. The labeling of these two prominent membrane targets in living cells reveals a thus far unexplored mode of vancomycin binding and inhibition that could allow a rational design of variants with improved activity.","author":[{"dropping-particle":"","family":"Eirich","given":"Jürgen","non-dropping-particle":"","parse-names":false,"suffix":""},{"dropping-particle":"","family":"Orth","given":"Ronald","non-dropping-particle":"","parse-names":false,"suffix":""},{"dropping-particle":"","family":"Sieber","given":"Stephan A.","non-dropping-particle":"","parse-names":false,"suffix":""}],"container-title":"Journal of the American Chemical Society","id":"ITEM-1","issue":"31","issued":{"date-parts":[["2011"]]},"page":"12144-12153","title":"Unraveling the protein targets of vancomycin in living S. aureus and E. faecalis cells","type":"article-journal","volume":"133"},"uris":["http://www.mendeley.com/documents/?uuid=b5a1c03f-3b64-47f4-92eb-579d1863b51f"]},{"id":"ITEM-2","itemData":{"DOI":"10.1111/j.1574-6968.2006.00281.x","ISSN":"03781097","PMID":"16734789","abstract":"The major autolysin of Staphylococcus aureus (AtlA) and of Staphylococcus epidermidis (AtlE) are well-studied enzymes. Here we created an atlA deletion mutant in S. aureus that formed large cell clusters and was biofilm-negative. In electron micrographs, the mutant cells were distinguished by rough outer cell surface. The mutant could be complemented using the atlE gene from S. epidermidis. To study the role of the repetitive sequences of atlE, we expressed in Escherichia coli the amidase domain encoded by the gene, carrying no repeat regions (amiE) or two repeat regions (amiE-R1,2), or the three repeat regions alone (R1,2,3) as N-terminal His-tag fusion proteins. Only slight differences in the cell wall lytic activity between AmiE and AmiE-R1,2 were observed. The repetitive sequences exhibit a good binding affinity to isolated peptidoglycan and might contribute to the targeting of the amidase to the substrate. AmiE and AmiE-R1,2 have a broad substrate specificity as shown by similar activities with peptidoglycan lacking wall teichoic acid, O-acetylation, or both. As the amidase activity of AtlA and AtlE has not been proved biochemically, we used purified AmiE-R1,2 to determine the exact peptidoglycan cleavage site. We provide the first evidence that the amidase indeed cleaves the amide bond between N-acetyl muramic acid and l-alanine. © 2006 Federation of European Microbiological Societies Published by Blackwell Publishing Ltd. All rights reserved.","author":[{"dropping-particle":"","family":"Biswas","given":"Raja","non-dropping-particle":"","parse-names":false,"suffix":""},{"dropping-particle":"","family":"Voggu","given":"Lalitha","non-dropping-particle":"","parse-names":false,"suffix":""},{"dropping-particle":"","family":"Simon","given":"Uwe Karsten","non-dropping-particle":"","parse-names":false,"suffix":""},{"dropping-particle":"","family":"Hentschel","given":"Petra","non-dropping-particle":"","parse-names":false,"suffix":""},{"dropping-particle":"","family":"Thumm","given":"Günther","non-dropping-particle":"","parse-names":false,"suffix":""},{"dropping-particle":"","family":"Götz","given":"Friedrich","non-dropping-particle":"","parse-names":false,"suffix":""}],"container-title":"FEMS Microbiology Letters","id":"ITEM-2","issue":"2","issued":{"date-parts":[["2006"]]},"page":"260-268","title":"Activity of the major staphylococcal autolysin Atl","type":"article-journal","volume":"259"},"uris":["http://www.mendeley.com/documents/?uuid=a2a445f5-7b60-4fbd-8ad7-de77d5fa750e"]},{"id":"ITEM-3","itemData":{"DOI":"10.1073/pnas.92.1.285","ISSN":"00278424","PMID":"7816834","abstract":"The Tn551 insertion site of the autolysis-deficient Staphylococcus aureus mutant RUSAL2 was cloned and used to identify the autolysis gene atl in the parent strain, RN450. The open reading frame for atl was 3768 bp in length, encoding a deduced protein of 1256 amino acids and molecular size of 137,381 Da. The atl gene product is a bifunctional protein that has an amidase domain and an endo-β-N-acetylglucosaminidase domain which must undergo proteolytic processing to generate the two extracellular lyric enzymes found in the culture broth of S. aureus.","author":[{"dropping-particle":"","family":"Oshida","given":"Tadahiro","non-dropping-particle":"","parse-names":false,"suffix":""},{"dropping-particle":"","family":"Sugai","given":"Motoyuki","non-dropping-particle":"","parse-names":false,"suffix":""},{"dropping-particle":"","family":"Komatsuzawa","given":"Hitoshi","non-dropping-particle":"","parse-names":false,"suffix":""},{"dropping-particle":"","family":"Hong","given":"Yeong Man","non-dropping-particle":"","parse-names":false,"suffix":""},{"dropping-particle":"","family":"Suginaka","given":"Hidekazu","non-dropping-particle":"","parse-names":false,"suffix":""},{"dropping-particle":"","family":"Tomasz","given":"Alexander","non-dropping-particle":"","parse-names":false,"suffix":""}],"container-title":"Proceedings of the National Academy of Sciences of the United States of America","id":"ITEM-3","issue":"1","issued":{"date-parts":[["1995"]]},"page":"285-289","title":"A Staphylococcus aureus autolysin that has an N-acetylmuramoyl-L-alanine amidase domain and an endo-β-N-acetylglucosaminidase domain: Cloning, sequence analysis, and characterization","type":"article-journal","volume":"92"},"uris":["http://www.mendeley.com/documents/?uuid=8be6e18b-817c-43a9-8b7f-e4ce35a834f6"]}],"mendeley":{"formattedCitation":"&lt;sup&gt;[55,57,199]&lt;/sup&gt;","plainTextFormattedCitation":"[55,57,199]","previouslyFormattedCitation":"&lt;sup&gt;[55,57,199]&lt;/sup&gt;"},"properties":{"noteIndex":0},"schema":"https://github.com/citation-style-language/schema/raw/master/csl-citation.json"}</w:instrText>
      </w:r>
      <w:r w:rsidR="00004968">
        <w:fldChar w:fldCharType="separate"/>
      </w:r>
      <w:r w:rsidR="002659E5" w:rsidRPr="002659E5">
        <w:rPr>
          <w:noProof/>
          <w:vertAlign w:val="superscript"/>
        </w:rPr>
        <w:t>[55,57,199]</w:t>
      </w:r>
      <w:r w:rsidR="00004968">
        <w:fldChar w:fldCharType="end"/>
      </w:r>
      <w:r>
        <w:t xml:space="preserve">. </w:t>
      </w:r>
      <w:r w:rsidR="00A95A74">
        <w:t>The role of Atl in the bactericidal mechanism of</w:t>
      </w:r>
      <w:r w:rsidR="003778B9" w:rsidRPr="003778B9">
        <w:t xml:space="preserve"> </w:t>
      </w:r>
      <w:r w:rsidR="009324ED">
        <w:t>cell wall</w:t>
      </w:r>
      <w:r w:rsidR="00A95A74">
        <w:t xml:space="preserve"> antibiotics was therefore tested with the mutant strain </w:t>
      </w:r>
      <w:r w:rsidR="00A95A74">
        <w:rPr>
          <w:i/>
          <w:iCs/>
        </w:rPr>
        <w:t>atl</w:t>
      </w:r>
      <w:r w:rsidR="00A95A74">
        <w:t xml:space="preserve"> (SJF 5255).</w:t>
      </w:r>
    </w:p>
    <w:p w14:paraId="2125A657" w14:textId="654F3C76" w:rsidR="00D80B26" w:rsidRDefault="001C4E88" w:rsidP="008E4E94">
      <w:r>
        <w:t>After 6 h</w:t>
      </w:r>
      <w:r w:rsidR="009A75CD">
        <w:t xml:space="preserve"> of treatment</w:t>
      </w:r>
      <w:r>
        <w:t xml:space="preserve">, </w:t>
      </w:r>
      <w:r w:rsidR="006662CE">
        <w:rPr>
          <w:i/>
          <w:iCs/>
        </w:rPr>
        <w:t xml:space="preserve">atl </w:t>
      </w:r>
      <w:r w:rsidR="006662CE">
        <w:t xml:space="preserve">treated with </w:t>
      </w:r>
      <w:r w:rsidR="006662CE" w:rsidRPr="006662CE">
        <w:t>methicillin</w:t>
      </w:r>
      <w:r w:rsidR="009A75CD">
        <w:t xml:space="preserve"> or vancomycin present</w:t>
      </w:r>
      <w:r w:rsidR="00F90EE0">
        <w:t>s</w:t>
      </w:r>
      <w:r>
        <w:t xml:space="preserve"> </w:t>
      </w:r>
      <w:r w:rsidR="00535293">
        <w:t>90.5</w:t>
      </w:r>
      <w:r>
        <w:t> ± </w:t>
      </w:r>
      <w:r w:rsidR="00535293">
        <w:t>4</w:t>
      </w:r>
      <w:r>
        <w:t>.</w:t>
      </w:r>
      <w:r w:rsidR="00535293">
        <w:t>4</w:t>
      </w:r>
      <w:r>
        <w:t> %</w:t>
      </w:r>
      <w:r w:rsidR="006662CE">
        <w:t xml:space="preserve"> </w:t>
      </w:r>
      <w:r w:rsidR="009A75CD">
        <w:t>and</w:t>
      </w:r>
      <w:r>
        <w:t xml:space="preserve"> 8</w:t>
      </w:r>
      <w:r w:rsidR="00535293">
        <w:t>9</w:t>
      </w:r>
      <w:r>
        <w:t>.</w:t>
      </w:r>
      <w:r w:rsidR="00535293">
        <w:t>4</w:t>
      </w:r>
      <w:r>
        <w:t> ± </w:t>
      </w:r>
      <w:r w:rsidR="00535293">
        <w:t>6</w:t>
      </w:r>
      <w:r>
        <w:t>.</w:t>
      </w:r>
      <w:r w:rsidR="00535293">
        <w:t>8</w:t>
      </w:r>
      <w:r>
        <w:t> %</w:t>
      </w:r>
      <w:r w:rsidR="009A75CD">
        <w:t xml:space="preserve"> of cell death, respectively (</w:t>
      </w:r>
      <w:r w:rsidR="009A75CD">
        <w:fldChar w:fldCharType="begin"/>
      </w:r>
      <w:r w:rsidR="009A75CD">
        <w:instrText xml:space="preserve"> REF _Ref71115042 \h  \* MERGEFORMAT </w:instrText>
      </w:r>
      <w:r w:rsidR="009A75CD">
        <w:fldChar w:fldCharType="separate"/>
      </w:r>
      <w:r w:rsidR="00183CC8">
        <w:t xml:space="preserve">Figure </w:t>
      </w:r>
      <w:r w:rsidR="00183CC8">
        <w:rPr>
          <w:noProof/>
        </w:rPr>
        <w:t>5.45</w:t>
      </w:r>
      <w:r w:rsidR="009A75CD">
        <w:fldChar w:fldCharType="end"/>
      </w:r>
      <w:r w:rsidR="009A75CD">
        <w:t xml:space="preserve">). </w:t>
      </w:r>
      <w:r w:rsidR="009A75CD" w:rsidRPr="00E96308">
        <w:t xml:space="preserve">Although </w:t>
      </w:r>
      <w:r w:rsidR="00921CF6" w:rsidRPr="00E96308">
        <w:rPr>
          <w:i/>
          <w:iCs/>
        </w:rPr>
        <w:t>atl</w:t>
      </w:r>
      <w:r w:rsidR="00921CF6" w:rsidRPr="00E96308">
        <w:t xml:space="preserve"> </w:t>
      </w:r>
      <w:r w:rsidR="009A75CD" w:rsidRPr="00E96308">
        <w:t>had increased survival</w:t>
      </w:r>
      <w:r w:rsidR="00921CF6" w:rsidRPr="00E96308">
        <w:t xml:space="preserve"> </w:t>
      </w:r>
      <w:r w:rsidR="00CA014C" w:rsidRPr="00E96308">
        <w:t>following</w:t>
      </w:r>
      <w:r w:rsidR="00921CF6" w:rsidRPr="00E96308">
        <w:t xml:space="preserve"> all antibiotic treatments</w:t>
      </w:r>
      <w:r w:rsidR="00CA014C" w:rsidRPr="00E96308">
        <w:t xml:space="preserve"> when</w:t>
      </w:r>
      <w:r w:rsidR="009A75CD" w:rsidRPr="00E96308">
        <w:t xml:space="preserve"> </w:t>
      </w:r>
      <w:r w:rsidR="006662CE" w:rsidRPr="00E96308">
        <w:t>compared to the wildtype</w:t>
      </w:r>
      <w:r w:rsidR="009A75CD" w:rsidRPr="00E96308">
        <w:t>, only</w:t>
      </w:r>
      <w:r w:rsidR="00104BC1" w:rsidRPr="00E96308">
        <w:t xml:space="preserve"> </w:t>
      </w:r>
      <w:r w:rsidR="00D05F58" w:rsidRPr="00E96308">
        <w:t xml:space="preserve">treatment with </w:t>
      </w:r>
      <w:r w:rsidR="00104BC1" w:rsidRPr="00E96308">
        <w:t>methicillin</w:t>
      </w:r>
      <w:r w:rsidR="006662CE" w:rsidRPr="00E96308">
        <w:t xml:space="preserve"> </w:t>
      </w:r>
      <w:r w:rsidR="009A75CD" w:rsidRPr="00E96308">
        <w:t>showed a significant improvement</w:t>
      </w:r>
      <w:r w:rsidR="007B32B4">
        <w:t xml:space="preserve"> (** p = 0.007)</w:t>
      </w:r>
      <w:r w:rsidR="00B16186">
        <w:t xml:space="preserve"> </w:t>
      </w:r>
      <w:r w:rsidR="009A75CD">
        <w:t>(</w:t>
      </w:r>
      <w:r w:rsidR="006662CE">
        <w:fldChar w:fldCharType="begin"/>
      </w:r>
      <w:r w:rsidR="006662CE">
        <w:instrText xml:space="preserve"> REF _Ref71115042 \h  \* MERGEFORMAT </w:instrText>
      </w:r>
      <w:r w:rsidR="006662CE">
        <w:fldChar w:fldCharType="separate"/>
      </w:r>
      <w:r w:rsidR="00183CC8">
        <w:t xml:space="preserve">Figure </w:t>
      </w:r>
      <w:r w:rsidR="00183CC8">
        <w:rPr>
          <w:noProof/>
        </w:rPr>
        <w:t>5.45</w:t>
      </w:r>
      <w:r w:rsidR="006662CE">
        <w:fldChar w:fldCharType="end"/>
      </w:r>
      <w:r w:rsidR="006662CE">
        <w:t>)</w:t>
      </w:r>
      <w:r w:rsidR="00D03362">
        <w:t xml:space="preserve"> </w:t>
      </w:r>
      <w:r w:rsidR="00D03362">
        <w:fldChar w:fldCharType="begin" w:fldLock="1"/>
      </w:r>
      <w:r w:rsidR="004F7E11">
        <w:instrText>ADDIN CSL_CITATION {"citationItems":[{"id":"ITEM-1","itemData":{"DOI":"10.1073/pnas.2106022118","ISSN":"1091-6490","PMID":"34716264","abstract":"Bacterial cell wall peptidoglycan is essential, maintaining both cellular integrity and morphology, in the face of internal turgor pressure. Peptidoglycan synthesis is important, as it is targeted by cell wall antibiotics, including methicillin and vancomycin. Here, we have used the major human pathogen Staphylococcus aureus to elucidate both the cell wall dynamic processes essential for growth (life) and the bactericidal effects of cell wall antibiotics (death) based on the principle of coordinated peptidoglycan synthesis and hydrolysis. The death of S. aureus due to depletion of the essential, two-component and positive regulatory system for peptidoglycan hydrolase activity (WalKR) is prevented by addition of otherwise bactericidal cell wall antibiotics, resulting in stasis. In contrast, cell wall antibiotics kill via the activity of peptidoglycan hydrolases in the absence of concomitant synthesis. Both methicillin and vancomycin treatment lead to the appearance of perforating holes throughout the cell wall due to peptidoglycan hydrolases. Methicillin alone also results in plasmolysis and misshapen septa with the involvement of the major peptidoglycan hydrolase Atl, a process that is inhibited by vancomycin. The bactericidal effect of vancomycin involves the peptidoglycan hydrolase SagB. In the presence of cell wall antibiotics, the inhibition of peptidoglycan hydrolase activity using the inhibitor complestatin results in reduced killing, while, conversely, the deregulation of hydrolase activity via loss of wall teichoic acids increases the death rate. For S. aureus, the independent regulation of cell wall synthesis and hydrolysis can lead to cell growth, death, or stasis, with implications for the development of new control regimes for this important pathogen.","author":[{"dropping-particle":"","family":"Salamaga","given":"Bartłomiej","non-dropping-particle":"","parse-names":false,"suffix":""},{"dropping-particle":"","family":"Kong","given":"Lingyuan","non-dropping-particle":"","parse-names":false,"suffix":""},{"dropping-particle":"","family":"Pasquina-Lemonche","given":"Laia","non-dropping-particle":"","parse-names":false,"suffix":""},{"dropping-particle":"","family":"Lafage","given":"Lucia","non-dropping-particle":"","parse-names":false,"suffix":""},{"dropping-particle":"","family":"Und Zur Muhlen","given":"Milena","non-dropping-particle":"von","parse-names":false,"suffix":""},{"dropping-particle":"","family":"Gibson","given":"Josie F","non-dropping-particle":"","parse-names":false,"suffix":""},{"dropping-particle":"","family":"Grybchuk","given":"Danyil","non-dropping-particle":"","parse-names":false,"suffix":""},{"dropping-particle":"","family":"Tooke","given":"Amy K","non-dropping-particle":"","parse-names":false,"suffix":""},{"dropping-particle":"","family":"Panchal","given":"Viralkumar","non-dropping-particle":"","parse-names":false,"suffix":""},{"dropping-particle":"","family":"Culp","given":"Elizabeth J","non-dropping-particle":"","parse-names":false,"suffix":""},{"dropping-particle":"","family":"Tatham","given":"Elizabeth","non-dropping-particle":"","parse-names":false,"suffix":""},{"dropping-particle":"","family":"O'Kane","given":"Mary E","non-dropping-particle":"","parse-names":false,"suffix":""},{"dropping-particle":"","family":"Catley","given":"Thomas E","non-dropping-particle":"","parse-names":false,"suffix":""},{"dropping-particle":"","family":"Renshaw","given":"Stephen A","non-dropping-particle":"","parse-names":false,"suffix":""},{"dropping-particle":"","family":"Wright","given":"Gerard D","non-dropping-particle":"","parse-names":false,"suffix":""},{"dropping-particle":"","family":"Plevka","given":"Pavel","non-dropping-particle":"","parse-names":false,"suffix":""},{"dropping-particle":"","family":"Bullough","given":"Per A","non-dropping-particle":"","parse-names":false,"suffix":""},{"dropping-particle":"","family":"Han","given":"Aidong","non-dropping-particle":"","parse-names":false,"suffix":""},{"dropping-particle":"","family":"Hobbs","given":"Jamie K","non-dropping-particle":"","parse-names":false,"suffix":""},{"dropping-particle":"","family":"Foster","given":"Simon J","non-dropping-particle":"","parse-names":false,"suffix":""}],"container-title":"Proceedings of the National Academy of Sciences of the United States of America","id":"ITEM-1","issue":"44","issued":{"date-parts":[["2021","11","2"]]},"page":"1-8","publisher":"National Academy of Sciences","title":"Demonstration of the role of cell wall homeostasis in Staphylococcus aureus growth and the action of bactericidal antibiotics.","type":"article-journal","volume":"118"},"uris":["http://www.mendeley.com/documents/?uuid=9f3bf1ae-65de-4943-a7a8-62e0e140e346"]}],"mendeley":{"formattedCitation":"&lt;sup&gt;[247]&lt;/sup&gt;","plainTextFormattedCitation":"[247]","previouslyFormattedCitation":"&lt;sup&gt;[247]&lt;/sup&gt;"},"properties":{"noteIndex":0},"schema":"https://github.com/citation-style-language/schema/raw/master/csl-citation.json"}</w:instrText>
      </w:r>
      <w:r w:rsidR="00D03362">
        <w:fldChar w:fldCharType="separate"/>
      </w:r>
      <w:r w:rsidR="009D34AE" w:rsidRPr="009D34AE">
        <w:rPr>
          <w:noProof/>
          <w:vertAlign w:val="superscript"/>
        </w:rPr>
        <w:t>[247]</w:t>
      </w:r>
      <w:r w:rsidR="00D03362">
        <w:fldChar w:fldCharType="end"/>
      </w:r>
      <w:r w:rsidR="006662CE">
        <w:t>.</w:t>
      </w:r>
    </w:p>
    <w:p w14:paraId="0D57782A" w14:textId="688D495A" w:rsidR="00E23719" w:rsidRPr="00E23719" w:rsidRDefault="00D35E49" w:rsidP="008E4E94">
      <w:r>
        <w:t xml:space="preserve">TEM micrographs of </w:t>
      </w:r>
      <w:r>
        <w:rPr>
          <w:i/>
          <w:iCs/>
        </w:rPr>
        <w:t>atl</w:t>
      </w:r>
      <w:r>
        <w:t xml:space="preserve"> </w:t>
      </w:r>
      <w:r w:rsidR="00A82BE1">
        <w:t>(</w:t>
      </w:r>
      <w:r w:rsidR="00BA3E1D">
        <w:fldChar w:fldCharType="begin"/>
      </w:r>
      <w:r w:rsidR="00BA3E1D">
        <w:instrText xml:space="preserve"> REF _Ref70943018 \h </w:instrText>
      </w:r>
      <w:r w:rsidR="00BA3E1D">
        <w:fldChar w:fldCharType="separate"/>
      </w:r>
      <w:r w:rsidR="00183CC8">
        <w:t xml:space="preserve">Figure </w:t>
      </w:r>
      <w:r w:rsidR="00183CC8">
        <w:rPr>
          <w:noProof/>
        </w:rPr>
        <w:t>5</w:t>
      </w:r>
      <w:r w:rsidR="00183CC8">
        <w:t>.</w:t>
      </w:r>
      <w:r w:rsidR="00183CC8">
        <w:rPr>
          <w:noProof/>
        </w:rPr>
        <w:t>46</w:t>
      </w:r>
      <w:r w:rsidR="00BA3E1D">
        <w:fldChar w:fldCharType="end"/>
      </w:r>
      <w:r w:rsidR="00BA3E1D">
        <w:t>a</w:t>
      </w:r>
      <w:r w:rsidR="00A82BE1">
        <w:t xml:space="preserve">) </w:t>
      </w:r>
      <w:r>
        <w:t>showed the already described fuzzy appearance of the cell wall</w:t>
      </w:r>
      <w:r w:rsidR="00947AA4">
        <w:t xml:space="preserve"> surface</w:t>
      </w:r>
      <w:r>
        <w:fldChar w:fldCharType="begin" w:fldLock="1"/>
      </w:r>
      <w:r w:rsidR="00DA0A83">
        <w:instrText>ADDIN CSL_CITATION {"citationItems":[{"id":"ITEM-1","itemData":{"DOI":"10.1128/jb.177.19.5723-5725.1995","ISSN":"00219193","PMID":"7559367","abstract":"The gene encoding the major autolysin of Staphylococcus aureus 8325/4 has been cloned, sequenced, and insertionally inactivated. The three-domain, 137,384-Da protein has a C-terminal glucosaminidase active site and is involved in cell separation, generalized cell lysis, and release of wall material at the cell surface. Expression occurs throughout growth and is stimulated by low temperatures and in the presence of 1 M NaCl.","author":[{"dropping-particle":"","family":"Foster","given":"S. J.","non-dropping-particle":"","parse-names":false,"suffix":""}],"container-title":"Journal of Bacteriology","id":"ITEM-1","issue":"19","issued":{"date-parts":[["1995"]]},"page":"5723-5725","title":"Molecular characterization and functional analysis of the major autolysin of Staphylococcus aureus 8325/4","type":"article-journal","volume":"177"},"uris":["http://www.mendeley.com/documents/?uuid=c57e09ba-65b7-4e33-881f-19de2085ac4a"]}],"mendeley":{"formattedCitation":"&lt;sup&gt;[54]&lt;/sup&gt;","plainTextFormattedCitation":"[54]","previouslyFormattedCitation":"&lt;sup&gt;[54]&lt;/sup&gt;"},"properties":{"noteIndex":0},"schema":"https://github.com/citation-style-language/schema/raw/master/csl-citation.json"}</w:instrText>
      </w:r>
      <w:r>
        <w:fldChar w:fldCharType="separate"/>
      </w:r>
      <w:r w:rsidR="00DA0A83" w:rsidRPr="00DA0A83">
        <w:rPr>
          <w:noProof/>
          <w:vertAlign w:val="superscript"/>
        </w:rPr>
        <w:t>[54]</w:t>
      </w:r>
      <w:r>
        <w:fldChar w:fldCharType="end"/>
      </w:r>
      <w:r w:rsidR="00947AA4">
        <w:t>, which results from lack of PG hydrolysis and release.</w:t>
      </w:r>
      <w:r w:rsidR="00511E4C">
        <w:t xml:space="preserve"> This surface appearance </w:t>
      </w:r>
      <w:r w:rsidR="00872551">
        <w:t>is</w:t>
      </w:r>
      <w:r w:rsidR="00511E4C">
        <w:t xml:space="preserve"> more aggravated when treated with </w:t>
      </w:r>
      <w:r w:rsidR="00BB6816">
        <w:t>vancomycin, methicillin</w:t>
      </w:r>
      <w:r w:rsidR="002756E6">
        <w:t xml:space="preserve">, </w:t>
      </w:r>
      <w:r w:rsidR="00BB6816">
        <w:t>oxacillin</w:t>
      </w:r>
      <w:r w:rsidR="002756E6">
        <w:t xml:space="preserve"> or either </w:t>
      </w:r>
      <w:r w:rsidR="002756E6">
        <w:rPr>
          <w:lang w:val="el-GR"/>
        </w:rPr>
        <w:t>β</w:t>
      </w:r>
      <w:r w:rsidR="002756E6">
        <w:t>-lactam combined with vancomycin</w:t>
      </w:r>
      <w:r w:rsidR="00511E4C">
        <w:t xml:space="preserve"> (</w:t>
      </w:r>
      <w:r w:rsidR="00511E4C">
        <w:fldChar w:fldCharType="begin"/>
      </w:r>
      <w:r w:rsidR="00511E4C">
        <w:instrText xml:space="preserve"> REF _Ref70943018 \h </w:instrText>
      </w:r>
      <w:r w:rsidR="008E4E94">
        <w:instrText xml:space="preserve"> \* MERGEFORMAT </w:instrText>
      </w:r>
      <w:r w:rsidR="00511E4C">
        <w:fldChar w:fldCharType="separate"/>
      </w:r>
      <w:r w:rsidR="00183CC8">
        <w:t xml:space="preserve">Figure </w:t>
      </w:r>
      <w:r w:rsidR="00183CC8">
        <w:rPr>
          <w:noProof/>
        </w:rPr>
        <w:t>5.46</w:t>
      </w:r>
      <w:r w:rsidR="00511E4C">
        <w:fldChar w:fldCharType="end"/>
      </w:r>
      <w:r w:rsidR="00511E4C">
        <w:t>b-d</w:t>
      </w:r>
      <w:r w:rsidR="002248F5">
        <w:t xml:space="preserve">, </w:t>
      </w:r>
      <w:r w:rsidR="002248F5">
        <w:fldChar w:fldCharType="begin"/>
      </w:r>
      <w:r w:rsidR="002248F5">
        <w:instrText xml:space="preserve"> REF _Ref70945675 \h </w:instrText>
      </w:r>
      <w:r w:rsidR="002248F5">
        <w:fldChar w:fldCharType="separate"/>
      </w:r>
      <w:r w:rsidR="00183CC8">
        <w:t xml:space="preserve">Figure </w:t>
      </w:r>
      <w:r w:rsidR="00183CC8">
        <w:rPr>
          <w:noProof/>
        </w:rPr>
        <w:t>5</w:t>
      </w:r>
      <w:r w:rsidR="00183CC8">
        <w:t>.</w:t>
      </w:r>
      <w:r w:rsidR="00183CC8">
        <w:rPr>
          <w:noProof/>
        </w:rPr>
        <w:t>47</w:t>
      </w:r>
      <w:r w:rsidR="002248F5">
        <w:fldChar w:fldCharType="end"/>
      </w:r>
      <w:r w:rsidR="00511E4C">
        <w:t>)</w:t>
      </w:r>
      <w:r w:rsidR="00C94B86">
        <w:t>.</w:t>
      </w:r>
      <w:r w:rsidR="00872551">
        <w:t xml:space="preserve"> The</w:t>
      </w:r>
      <w:r w:rsidR="00C94B86">
        <w:t xml:space="preserve"> </w:t>
      </w:r>
      <w:r w:rsidR="00AD038E">
        <w:rPr>
          <w:i/>
          <w:iCs/>
        </w:rPr>
        <w:t>a</w:t>
      </w:r>
      <w:r w:rsidR="00E23719">
        <w:rPr>
          <w:i/>
          <w:iCs/>
        </w:rPr>
        <w:t>tl</w:t>
      </w:r>
      <w:r w:rsidR="00AD038E">
        <w:t xml:space="preserve"> mutant</w:t>
      </w:r>
      <w:r w:rsidR="00E23719">
        <w:t xml:space="preserve"> </w:t>
      </w:r>
      <w:r w:rsidR="002756E6">
        <w:t>also</w:t>
      </w:r>
      <w:r w:rsidR="00E23719">
        <w:t xml:space="preserve"> </w:t>
      </w:r>
      <w:r w:rsidR="00361131">
        <w:t>showed</w:t>
      </w:r>
      <w:r w:rsidR="00E23719">
        <w:t xml:space="preserve"> a reduction of dividing cells</w:t>
      </w:r>
      <w:r w:rsidR="002756E6">
        <w:t xml:space="preserve"> when treated with these antibiotics</w:t>
      </w:r>
      <w:r w:rsidR="00E23719">
        <w:t xml:space="preserve"> (incomplete and complete sept</w:t>
      </w:r>
      <w:r w:rsidR="00D37DE7">
        <w:t>um</w:t>
      </w:r>
      <w:r w:rsidR="008E4E94">
        <w:t xml:space="preserve">; </w:t>
      </w:r>
      <w:r w:rsidR="008E4E94">
        <w:fldChar w:fldCharType="begin"/>
      </w:r>
      <w:r w:rsidR="008E4E94">
        <w:instrText xml:space="preserve"> REF _Ref71216745 \h </w:instrText>
      </w:r>
      <w:r w:rsidR="008E4E94">
        <w:fldChar w:fldCharType="separate"/>
      </w:r>
      <w:r w:rsidR="00183CC8">
        <w:t xml:space="preserve">Figure </w:t>
      </w:r>
      <w:r w:rsidR="00183CC8">
        <w:rPr>
          <w:noProof/>
        </w:rPr>
        <w:t>5</w:t>
      </w:r>
      <w:r w:rsidR="00183CC8">
        <w:t>.</w:t>
      </w:r>
      <w:r w:rsidR="00183CC8">
        <w:rPr>
          <w:noProof/>
        </w:rPr>
        <w:t>48</w:t>
      </w:r>
      <w:r w:rsidR="008E4E94">
        <w:fldChar w:fldCharType="end"/>
      </w:r>
      <w:r w:rsidR="002248F5">
        <w:t>c-e</w:t>
      </w:r>
      <w:r w:rsidR="00E23719">
        <w:t>)</w:t>
      </w:r>
      <w:r w:rsidR="00377B0E">
        <w:t>.</w:t>
      </w:r>
    </w:p>
    <w:p w14:paraId="0015B58C" w14:textId="6C38DAE4" w:rsidR="00194F10" w:rsidRDefault="00D808A8" w:rsidP="008E4E94">
      <w:r>
        <w:t>TEM micrographs of</w:t>
      </w:r>
      <w:r w:rsidR="00A777FC">
        <w:t xml:space="preserve"> </w:t>
      </w:r>
      <w:r w:rsidR="00A777FC">
        <w:rPr>
          <w:i/>
          <w:iCs/>
        </w:rPr>
        <w:t>atl</w:t>
      </w:r>
      <w:r w:rsidR="00A777FC">
        <w:t xml:space="preserve"> treated with</w:t>
      </w:r>
      <w:r>
        <w:t xml:space="preserve"> methicillin </w:t>
      </w:r>
      <w:r w:rsidR="00815D71">
        <w:t>or oxacillin</w:t>
      </w:r>
      <w:r>
        <w:t xml:space="preserve"> show signs of plasmolysis (</w:t>
      </w:r>
      <w:r w:rsidR="00067FD3">
        <w:fldChar w:fldCharType="begin"/>
      </w:r>
      <w:r w:rsidR="00067FD3">
        <w:instrText xml:space="preserve"> REF _Ref70943018 \h </w:instrText>
      </w:r>
      <w:r w:rsidR="008E4E94">
        <w:instrText xml:space="preserve"> \* MERGEFORMAT </w:instrText>
      </w:r>
      <w:r w:rsidR="00067FD3">
        <w:fldChar w:fldCharType="separate"/>
      </w:r>
      <w:r w:rsidR="00183CC8">
        <w:t xml:space="preserve">Figure </w:t>
      </w:r>
      <w:r w:rsidR="00183CC8">
        <w:rPr>
          <w:noProof/>
        </w:rPr>
        <w:t>5.46</w:t>
      </w:r>
      <w:r w:rsidR="00067FD3">
        <w:fldChar w:fldCharType="end"/>
      </w:r>
      <w:r w:rsidR="00067FD3">
        <w:t>,</w:t>
      </w:r>
      <w:r w:rsidR="004151FB">
        <w:t xml:space="preserve"> </w:t>
      </w:r>
      <w:r w:rsidR="004151FB">
        <w:fldChar w:fldCharType="begin"/>
      </w:r>
      <w:r w:rsidR="004151FB">
        <w:instrText xml:space="preserve"> REF _Ref70945675 \h </w:instrText>
      </w:r>
      <w:r w:rsidR="008E4E94">
        <w:instrText xml:space="preserve"> \* MERGEFORMAT </w:instrText>
      </w:r>
      <w:r w:rsidR="004151FB">
        <w:fldChar w:fldCharType="separate"/>
      </w:r>
      <w:r w:rsidR="00183CC8">
        <w:t xml:space="preserve">Figure </w:t>
      </w:r>
      <w:r w:rsidR="00183CC8">
        <w:rPr>
          <w:noProof/>
        </w:rPr>
        <w:t>5.47</w:t>
      </w:r>
      <w:r w:rsidR="004151FB">
        <w:fldChar w:fldCharType="end"/>
      </w:r>
      <w:r w:rsidR="004151FB">
        <w:t xml:space="preserve">, </w:t>
      </w:r>
      <w:r w:rsidR="008E4E94">
        <w:t xml:space="preserve">and </w:t>
      </w:r>
      <w:r w:rsidR="008E4E94">
        <w:fldChar w:fldCharType="begin"/>
      </w:r>
      <w:r w:rsidR="008E4E94">
        <w:instrText xml:space="preserve"> REF _Ref71216745 \h </w:instrText>
      </w:r>
      <w:r w:rsidR="008E4E94">
        <w:fldChar w:fldCharType="separate"/>
      </w:r>
      <w:r w:rsidR="00183CC8">
        <w:t xml:space="preserve">Figure </w:t>
      </w:r>
      <w:r w:rsidR="00183CC8">
        <w:rPr>
          <w:noProof/>
        </w:rPr>
        <w:t>5</w:t>
      </w:r>
      <w:r w:rsidR="00183CC8">
        <w:t>.</w:t>
      </w:r>
      <w:r w:rsidR="00183CC8">
        <w:rPr>
          <w:noProof/>
        </w:rPr>
        <w:t>48</w:t>
      </w:r>
      <w:r w:rsidR="008E4E94">
        <w:fldChar w:fldCharType="end"/>
      </w:r>
      <w:r>
        <w:t xml:space="preserve">). Similarly to its parental strain, </w:t>
      </w:r>
      <w:r>
        <w:rPr>
          <w:i/>
          <w:iCs/>
        </w:rPr>
        <w:t xml:space="preserve">atl </w:t>
      </w:r>
      <w:r w:rsidR="00194F10">
        <w:t xml:space="preserve">has a higher percentage of its population </w:t>
      </w:r>
      <w:r w:rsidR="00FA37B5">
        <w:t>with</w:t>
      </w:r>
      <w:r w:rsidR="00194F10">
        <w:t xml:space="preserve"> visible signs of plasmolysis </w:t>
      </w:r>
      <w:r w:rsidR="000C753D">
        <w:t xml:space="preserve">when treated </w:t>
      </w:r>
      <w:r w:rsidR="00194F10">
        <w:t>with oxacillin (~ 67 %) than with methicillin (~ 64.1 %)</w:t>
      </w:r>
      <w:r w:rsidR="00F46813">
        <w:t xml:space="preserve"> (</w:t>
      </w:r>
      <w:r w:rsidR="008E4E94">
        <w:fldChar w:fldCharType="begin"/>
      </w:r>
      <w:r w:rsidR="008E4E94">
        <w:instrText xml:space="preserve"> REF _Ref71216745 \h </w:instrText>
      </w:r>
      <w:r w:rsidR="008E4E94">
        <w:fldChar w:fldCharType="separate"/>
      </w:r>
      <w:r w:rsidR="00183CC8">
        <w:t xml:space="preserve">Figure </w:t>
      </w:r>
      <w:r w:rsidR="00183CC8">
        <w:rPr>
          <w:noProof/>
        </w:rPr>
        <w:t>5</w:t>
      </w:r>
      <w:r w:rsidR="00183CC8">
        <w:t>.</w:t>
      </w:r>
      <w:r w:rsidR="00183CC8">
        <w:rPr>
          <w:noProof/>
        </w:rPr>
        <w:t>48</w:t>
      </w:r>
      <w:r w:rsidR="008E4E94">
        <w:fldChar w:fldCharType="end"/>
      </w:r>
      <w:r w:rsidR="003F2B3F">
        <w:t>c-e</w:t>
      </w:r>
      <w:r w:rsidR="00F46813">
        <w:t xml:space="preserve">). </w:t>
      </w:r>
      <w:r w:rsidR="00AD224F">
        <w:t>Both</w:t>
      </w:r>
      <w:r w:rsidR="005661C3">
        <w:t xml:space="preserve"> </w:t>
      </w:r>
      <w:r w:rsidR="00F46813">
        <w:t xml:space="preserve">populations </w:t>
      </w:r>
      <w:r w:rsidR="00C90801">
        <w:t>re</w:t>
      </w:r>
      <w:r w:rsidR="00F46813">
        <w:t xml:space="preserve">present </w:t>
      </w:r>
      <w:r w:rsidR="00AD224F">
        <w:t>most of</w:t>
      </w:r>
      <w:r w:rsidR="00F46813">
        <w:t xml:space="preserve"> its affected cells in a dividing stage with incomplete sept</w:t>
      </w:r>
      <w:r w:rsidR="005C01AE">
        <w:t>um</w:t>
      </w:r>
      <w:r w:rsidR="00F46813">
        <w:t xml:space="preserve"> (</w:t>
      </w:r>
      <w:r w:rsidR="008E4E94">
        <w:fldChar w:fldCharType="begin"/>
      </w:r>
      <w:r w:rsidR="008E4E94">
        <w:instrText xml:space="preserve"> REF _Ref71216745 \h </w:instrText>
      </w:r>
      <w:r w:rsidR="008E4E94">
        <w:fldChar w:fldCharType="separate"/>
      </w:r>
      <w:r w:rsidR="00183CC8">
        <w:t xml:space="preserve">Figure </w:t>
      </w:r>
      <w:r w:rsidR="00183CC8">
        <w:rPr>
          <w:noProof/>
        </w:rPr>
        <w:t>5</w:t>
      </w:r>
      <w:r w:rsidR="00183CC8">
        <w:t>.</w:t>
      </w:r>
      <w:r w:rsidR="00183CC8">
        <w:rPr>
          <w:noProof/>
        </w:rPr>
        <w:t>48</w:t>
      </w:r>
      <w:r w:rsidR="008E4E94">
        <w:fldChar w:fldCharType="end"/>
      </w:r>
      <w:r w:rsidR="004022E4">
        <w:t>c</w:t>
      </w:r>
      <w:r w:rsidR="00F46813">
        <w:t xml:space="preserve">, </w:t>
      </w:r>
      <w:r w:rsidR="004022E4">
        <w:t>e</w:t>
      </w:r>
      <w:r w:rsidR="00F46813">
        <w:t>).</w:t>
      </w:r>
    </w:p>
    <w:p w14:paraId="4EC6E36B" w14:textId="77777777" w:rsidR="0017560C" w:rsidRDefault="0017560C" w:rsidP="0017560C">
      <w:r>
        <w:t>These results indicate that:</w:t>
      </w:r>
    </w:p>
    <w:p w14:paraId="3F0F5F8E" w14:textId="642D4F32" w:rsidR="0017560C" w:rsidRDefault="000738AA" w:rsidP="009A2556">
      <w:pPr>
        <w:pStyle w:val="ListParagraph"/>
        <w:numPr>
          <w:ilvl w:val="0"/>
          <w:numId w:val="17"/>
        </w:numPr>
        <w:spacing w:line="360" w:lineRule="auto"/>
      </w:pPr>
      <w:r>
        <w:t xml:space="preserve">Atl plays an important role in the bactericidal mechanism of </w:t>
      </w:r>
      <w:r w:rsidR="004A662B">
        <w:rPr>
          <w:lang w:val="el-GR"/>
        </w:rPr>
        <w:t>β</w:t>
      </w:r>
      <w:r w:rsidR="004A662B">
        <w:t xml:space="preserve">-lactam </w:t>
      </w:r>
      <w:r>
        <w:t>antibiotics, as seen by the reduction in the rate of killing with methicillin compared to the wild type.</w:t>
      </w:r>
    </w:p>
    <w:p w14:paraId="6EA2405A" w14:textId="77777777" w:rsidR="00A2431B" w:rsidRDefault="00A2431B" w:rsidP="009A2556">
      <w:pPr>
        <w:pStyle w:val="ListParagraph"/>
        <w:ind w:left="720"/>
      </w:pPr>
    </w:p>
    <w:p w14:paraId="35A1A9E1" w14:textId="179FD097" w:rsidR="00B3163F" w:rsidRDefault="0017560C" w:rsidP="009A2556">
      <w:pPr>
        <w:pStyle w:val="ListParagraph"/>
        <w:numPr>
          <w:ilvl w:val="0"/>
          <w:numId w:val="17"/>
        </w:numPr>
        <w:spacing w:line="360" w:lineRule="auto"/>
        <w:sectPr w:rsidR="00B3163F" w:rsidSect="004D0E05">
          <w:pgSz w:w="11906" w:h="16838"/>
          <w:pgMar w:top="1191" w:right="1247" w:bottom="1191" w:left="1247" w:header="709" w:footer="709" w:gutter="0"/>
          <w:cols w:space="708"/>
          <w:titlePg/>
          <w:docGrid w:linePitch="360"/>
        </w:sectPr>
      </w:pPr>
      <w:r>
        <w:t>Atl is not responsible for causing plasmolysis in methicillin- or oxacillin-treated cells.</w:t>
      </w:r>
    </w:p>
    <w:p w14:paraId="15FEDF34" w14:textId="77777777" w:rsidR="00B3163F" w:rsidRDefault="00B3163F" w:rsidP="00B3163F">
      <w:pPr>
        <w:pStyle w:val="NoSpacing"/>
        <w:keepNext/>
        <w:jc w:val="center"/>
      </w:pPr>
      <w:r>
        <w:rPr>
          <w:noProof/>
        </w:rPr>
        <w:lastRenderedPageBreak/>
        <w:drawing>
          <wp:inline distT="0" distB="0" distL="0" distR="0" wp14:anchorId="1BC5ED4E" wp14:editId="170D9159">
            <wp:extent cx="5800862" cy="3084945"/>
            <wp:effectExtent l="0" t="0" r="3175"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27" cstate="print">
                      <a:extLst>
                        <a:ext uri="{28A0092B-C50C-407E-A947-70E740481C1C}">
                          <a14:useLocalDpi xmlns:a14="http://schemas.microsoft.com/office/drawing/2010/main" val="0"/>
                        </a:ext>
                      </a:extLst>
                    </a:blip>
                    <a:srcRect l="267" r="267"/>
                    <a:stretch>
                      <a:fillRect/>
                    </a:stretch>
                  </pic:blipFill>
                  <pic:spPr bwMode="auto">
                    <a:xfrm>
                      <a:off x="0" y="0"/>
                      <a:ext cx="5807652" cy="3088556"/>
                    </a:xfrm>
                    <a:prstGeom prst="rect">
                      <a:avLst/>
                    </a:prstGeom>
                    <a:ln>
                      <a:noFill/>
                    </a:ln>
                    <a:extLst>
                      <a:ext uri="{53640926-AAD7-44D8-BBD7-CCE9431645EC}">
                        <a14:shadowObscured xmlns:a14="http://schemas.microsoft.com/office/drawing/2010/main"/>
                      </a:ext>
                    </a:extLst>
                  </pic:spPr>
                </pic:pic>
              </a:graphicData>
            </a:graphic>
          </wp:inline>
        </w:drawing>
      </w:r>
    </w:p>
    <w:p w14:paraId="6DC585C9" w14:textId="5E81405B" w:rsidR="00B3163F" w:rsidRDefault="00B3163F" w:rsidP="008A2B86">
      <w:pPr>
        <w:pStyle w:val="Caption"/>
      </w:pPr>
      <w:bookmarkStart w:id="833" w:name="_Ref71115042"/>
      <w:bookmarkStart w:id="834" w:name="_Toc90217030"/>
      <w:r>
        <w:t xml:space="preserve">Figure </w:t>
      </w:r>
      <w:r w:rsidR="003373BF">
        <w:fldChar w:fldCharType="begin"/>
      </w:r>
      <w:r w:rsidR="003373BF">
        <w:instrText xml:space="preserve"> STYLEREF</w:instrText>
      </w:r>
      <w:r w:rsidR="003373BF">
        <w:instrText xml:space="preserve">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45</w:t>
      </w:r>
      <w:r w:rsidR="003373BF">
        <w:rPr>
          <w:noProof/>
        </w:rPr>
        <w:fldChar w:fldCharType="end"/>
      </w:r>
      <w:bookmarkEnd w:id="833"/>
      <w:r>
        <w:t xml:space="preserve"> Effect of vancomycin and/or methicillin on </w:t>
      </w:r>
      <w:r>
        <w:rPr>
          <w:i/>
        </w:rPr>
        <w:t>S. aureus</w:t>
      </w:r>
      <w:r>
        <w:t xml:space="preserve"> SH1000 </w:t>
      </w:r>
      <w:r>
        <w:rPr>
          <w:i/>
        </w:rPr>
        <w:t>atl</w:t>
      </w:r>
      <w:r>
        <w:t xml:space="preserve"> survival.</w:t>
      </w:r>
      <w:bookmarkEnd w:id="834"/>
    </w:p>
    <w:p w14:paraId="4DAA5D31" w14:textId="1DC5E445" w:rsidR="00B3163F" w:rsidRPr="00EF4262" w:rsidRDefault="00B3163F" w:rsidP="00B3163F">
      <w:pPr>
        <w:pStyle w:val="NoSpacing"/>
        <w:sectPr w:rsidR="00B3163F" w:rsidRPr="00EF4262" w:rsidSect="004D0E05">
          <w:pgSz w:w="11906" w:h="16838"/>
          <w:pgMar w:top="1191" w:right="1247" w:bottom="1191" w:left="1247" w:header="709" w:footer="709" w:gutter="0"/>
          <w:cols w:space="708"/>
          <w:titlePg/>
          <w:docGrid w:linePitch="360"/>
        </w:sectPr>
      </w:pPr>
      <w:r>
        <w:rPr>
          <w:i/>
          <w:iCs/>
        </w:rPr>
        <w:t>S. aureus</w:t>
      </w:r>
      <w:r>
        <w:t xml:space="preserve"> </w:t>
      </w:r>
      <w:r w:rsidRPr="00470B13">
        <w:rPr>
          <w:i/>
          <w:iCs/>
        </w:rPr>
        <w:t>atl</w:t>
      </w:r>
      <w:r>
        <w:t xml:space="preserve"> treated with 10 X MIC of methicillin and/or vancomycin</w:t>
      </w:r>
      <w:r w:rsidR="00D22F7F">
        <w:t xml:space="preserve"> and its comparison to its parental strain SH1000</w:t>
      </w:r>
      <w:r>
        <w:rPr>
          <w:b/>
          <w:bCs/>
        </w:rPr>
        <w:t>. (A)</w:t>
      </w:r>
      <w:r>
        <w:t xml:space="preserve"> </w:t>
      </w:r>
      <w:r w:rsidRPr="00054E4A">
        <w:t>Normalised</w:t>
      </w:r>
      <w:r>
        <w:rPr>
          <w:lang w:val="en-US"/>
        </w:rPr>
        <w:t xml:space="preserve"> percentage s</w:t>
      </w:r>
      <w:r w:rsidRPr="0080704D">
        <w:rPr>
          <w:lang w:val="en-US"/>
        </w:rPr>
        <w:t>urvival of bacterial cells</w:t>
      </w:r>
      <w:r>
        <w:rPr>
          <w:lang w:val="en-US"/>
        </w:rPr>
        <w:t xml:space="preserve"> (3 biological repeats). Experiment carried out by Dr. Bartlomiej Salamaga</w:t>
      </w:r>
      <w:r>
        <w:t>.</w:t>
      </w:r>
      <w:r w:rsidR="00E53D03">
        <w:t xml:space="preserve"> </w:t>
      </w:r>
      <w:r w:rsidR="00E53D03">
        <w:rPr>
          <w:b/>
          <w:bCs/>
          <w:lang w:val="en-US"/>
        </w:rPr>
        <w:t xml:space="preserve">(B) </w:t>
      </w:r>
      <w:r w:rsidR="00E53D03" w:rsidRPr="006456D2">
        <w:t xml:space="preserve">Normalised percentage of survival after </w:t>
      </w:r>
      <w:r w:rsidR="00E53D03">
        <w:t>6</w:t>
      </w:r>
      <w:r w:rsidR="00E53D03" w:rsidRPr="006456D2">
        <w:t> h</w:t>
      </w:r>
      <w:r w:rsidR="00CB075B">
        <w:t>.</w:t>
      </w:r>
      <w:r w:rsidR="00F81102">
        <w:t xml:space="preserve"> </w:t>
      </w:r>
      <w:r w:rsidR="00E53D03" w:rsidRPr="006456D2">
        <w:t>Statistical analysis: t-test with Wel</w:t>
      </w:r>
      <w:r w:rsidR="00E53D03">
        <w:t>c</w:t>
      </w:r>
      <w:r w:rsidR="00E53D03" w:rsidRPr="006456D2">
        <w:t>h</w:t>
      </w:r>
      <w:r w:rsidR="000B568B">
        <w:t>’s</w:t>
      </w:r>
      <w:r w:rsidR="00E53D03" w:rsidRPr="006456D2">
        <w:t xml:space="preserve"> correction</w:t>
      </w:r>
      <w:r w:rsidR="00111E01">
        <w:t xml:space="preserve"> </w:t>
      </w:r>
      <w:r w:rsidR="00111E01" w:rsidRPr="006456D2">
        <w:t>(</w:t>
      </w:r>
      <w:r w:rsidR="00111E01">
        <w:t xml:space="preserve">SH1000 </w:t>
      </w:r>
      <w:r w:rsidR="00111E01" w:rsidRPr="00486B0A">
        <w:rPr>
          <w:i/>
          <w:iCs/>
        </w:rPr>
        <w:t>vs</w:t>
      </w:r>
      <w:r w:rsidR="00486B0A">
        <w:rPr>
          <w:i/>
          <w:iCs/>
        </w:rPr>
        <w:t>.</w:t>
      </w:r>
      <w:r w:rsidR="00111E01" w:rsidRPr="00A935B7">
        <w:rPr>
          <w:i/>
          <w:iCs/>
        </w:rPr>
        <w:t xml:space="preserve"> atl</w:t>
      </w:r>
      <w:r w:rsidR="00B51513">
        <w:rPr>
          <w:i/>
          <w:iCs/>
        </w:rPr>
        <w:t xml:space="preserve"> </w:t>
      </w:r>
      <w:r w:rsidR="00B51513">
        <w:t>–</w:t>
      </w:r>
      <w:r w:rsidR="00111E01">
        <w:t xml:space="preserve"> methicillin ** p = 0.00</w:t>
      </w:r>
      <w:r w:rsidR="00CF6890">
        <w:t>77</w:t>
      </w:r>
      <w:r w:rsidR="0017575C">
        <w:t>, – vancomycin ns, non-significant p ≥ 0.05</w:t>
      </w:r>
      <w:r w:rsidR="00111E01">
        <w:t>)</w:t>
      </w:r>
      <w:r w:rsidR="00F81102">
        <w:t xml:space="preserve"> (6 biological repeats)</w:t>
      </w:r>
      <w:r w:rsidR="00111E01" w:rsidRPr="009B2F66">
        <w:rPr>
          <w:lang w:val="en-US"/>
        </w:rPr>
        <w:t>.</w:t>
      </w:r>
    </w:p>
    <w:p w14:paraId="43364E07" w14:textId="77777777" w:rsidR="00CF0C07" w:rsidRDefault="00CF0C07" w:rsidP="007808C6">
      <w:pPr>
        <w:keepNext/>
        <w:jc w:val="center"/>
      </w:pPr>
      <w:r>
        <w:rPr>
          <w:noProof/>
        </w:rPr>
        <w:lastRenderedPageBreak/>
        <w:drawing>
          <wp:inline distT="0" distB="0" distL="0" distR="0" wp14:anchorId="792DC978" wp14:editId="0CF58D88">
            <wp:extent cx="5885974" cy="77216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885974" cy="7721600"/>
                    </a:xfrm>
                    <a:prstGeom prst="rect">
                      <a:avLst/>
                    </a:prstGeom>
                  </pic:spPr>
                </pic:pic>
              </a:graphicData>
            </a:graphic>
          </wp:inline>
        </w:drawing>
      </w:r>
    </w:p>
    <w:p w14:paraId="4F8EC650" w14:textId="7FF23462" w:rsidR="00D35E49" w:rsidRDefault="00CF0C07" w:rsidP="008A2B86">
      <w:pPr>
        <w:pStyle w:val="Caption"/>
      </w:pPr>
      <w:bookmarkStart w:id="835" w:name="_Ref70943018"/>
      <w:bookmarkStart w:id="836" w:name="_Toc90217031"/>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46</w:t>
      </w:r>
      <w:r w:rsidR="003373BF">
        <w:rPr>
          <w:noProof/>
        </w:rPr>
        <w:fldChar w:fldCharType="end"/>
      </w:r>
      <w:bookmarkEnd w:id="835"/>
      <w:r>
        <w:t xml:space="preserve"> Effect of vancomycin and/or methicillin on </w:t>
      </w:r>
      <w:r>
        <w:rPr>
          <w:i/>
        </w:rPr>
        <w:t>S. aureus atl</w:t>
      </w:r>
      <w:r w:rsidR="00287A34">
        <w:t xml:space="preserve"> morphology</w:t>
      </w:r>
      <w:r>
        <w:t>.</w:t>
      </w:r>
      <w:bookmarkEnd w:id="836"/>
    </w:p>
    <w:p w14:paraId="23A4551D" w14:textId="4E4F54D7" w:rsidR="00EF4262" w:rsidRDefault="001E3F64" w:rsidP="008659B1">
      <w:pPr>
        <w:pStyle w:val="NoSpacing"/>
        <w:sectPr w:rsidR="00EF4262" w:rsidSect="004D0E05">
          <w:pgSz w:w="11906" w:h="16838"/>
          <w:pgMar w:top="1191" w:right="1247" w:bottom="1191" w:left="1247" w:header="709" w:footer="709" w:gutter="0"/>
          <w:cols w:space="708"/>
          <w:titlePg/>
          <w:docGrid w:linePitch="360"/>
        </w:sectPr>
      </w:pPr>
      <w:r>
        <w:t>TEM</w:t>
      </w:r>
      <w:r w:rsidRPr="008375BD">
        <w:t xml:space="preserve"> </w:t>
      </w:r>
      <w:r>
        <w:t xml:space="preserve">micrographs of chemically fixed thin sections of </w:t>
      </w:r>
      <w:r>
        <w:rPr>
          <w:i/>
          <w:iCs/>
        </w:rPr>
        <w:t>S. aureus</w:t>
      </w:r>
      <w:r>
        <w:t xml:space="preserve"> </w:t>
      </w:r>
      <w:r w:rsidRPr="001E3F64">
        <w:rPr>
          <w:i/>
          <w:iCs/>
        </w:rPr>
        <w:t>atl</w:t>
      </w:r>
      <w:r>
        <w:t xml:space="preserve"> </w:t>
      </w:r>
      <w:r>
        <w:rPr>
          <w:b/>
          <w:bCs/>
        </w:rPr>
        <w:t>(A)</w:t>
      </w:r>
      <w:r>
        <w:t xml:space="preserve"> untreated and treated for 1 h with 10 X MIC </w:t>
      </w:r>
      <w:r>
        <w:rPr>
          <w:b/>
          <w:bCs/>
        </w:rPr>
        <w:t xml:space="preserve">(B) </w:t>
      </w:r>
      <w:r>
        <w:t xml:space="preserve">vancomycin, </w:t>
      </w:r>
      <w:r>
        <w:rPr>
          <w:b/>
          <w:bCs/>
        </w:rPr>
        <w:t>(C)</w:t>
      </w:r>
      <w:r>
        <w:t xml:space="preserve"> methicillin, or </w:t>
      </w:r>
      <w:r>
        <w:rPr>
          <w:b/>
          <w:bCs/>
        </w:rPr>
        <w:t>(D)</w:t>
      </w:r>
      <w:r>
        <w:t xml:space="preserve"> vancomycin plus methicillin. </w:t>
      </w:r>
      <w:r w:rsidR="000E221C">
        <w:t>High</w:t>
      </w:r>
      <w:r>
        <w:t xml:space="preserve"> magnification </w:t>
      </w:r>
      <w:r w:rsidR="003D6F9A">
        <w:t>(</w:t>
      </w:r>
      <w:r w:rsidR="000E221C">
        <w:t>48</w:t>
      </w:r>
      <w:r>
        <w:t>00x</w:t>
      </w:r>
      <w:r w:rsidR="003D6F9A">
        <w:t>)</w:t>
      </w:r>
      <w:r>
        <w:t>, scale bar 1 µm.</w:t>
      </w:r>
      <w:r w:rsidRPr="00C23BDE">
        <w:t xml:space="preserve"> </w:t>
      </w:r>
      <w:r w:rsidR="00ED4A1F">
        <w:t>Red</w:t>
      </w:r>
      <w:r>
        <w:t xml:space="preserve"> arrows indicate areas where the exoplasmic space </w:t>
      </w:r>
      <w:r w:rsidR="00EF6E89">
        <w:t>is</w:t>
      </w:r>
      <w:r>
        <w:t xml:space="preserve"> expanded</w:t>
      </w:r>
      <w:r w:rsidR="00470B13">
        <w:t xml:space="preserve"> (plasmolysis)</w:t>
      </w:r>
      <w:r w:rsidR="000E221C">
        <w:t>.</w:t>
      </w:r>
    </w:p>
    <w:p w14:paraId="0B625E2C" w14:textId="77777777" w:rsidR="0022707E" w:rsidRDefault="0022707E" w:rsidP="00C3069A">
      <w:pPr>
        <w:pStyle w:val="NoSpacing"/>
        <w:keepNext/>
        <w:jc w:val="center"/>
      </w:pPr>
      <w:r>
        <w:rPr>
          <w:noProof/>
        </w:rPr>
        <w:lastRenderedPageBreak/>
        <w:drawing>
          <wp:inline distT="0" distB="0" distL="0" distR="0" wp14:anchorId="2D7B9CD1" wp14:editId="7DDC82DF">
            <wp:extent cx="5900985" cy="3837633"/>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00985" cy="3837633"/>
                    </a:xfrm>
                    <a:prstGeom prst="rect">
                      <a:avLst/>
                    </a:prstGeom>
                  </pic:spPr>
                </pic:pic>
              </a:graphicData>
            </a:graphic>
          </wp:inline>
        </w:drawing>
      </w:r>
    </w:p>
    <w:p w14:paraId="57C371C2" w14:textId="1B3E469F" w:rsidR="0022707E" w:rsidRDefault="0022707E" w:rsidP="008A2B86">
      <w:pPr>
        <w:pStyle w:val="Caption"/>
      </w:pPr>
      <w:bookmarkStart w:id="837" w:name="_Ref70945675"/>
      <w:bookmarkStart w:id="838" w:name="_Toc90217032"/>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47</w:t>
      </w:r>
      <w:r w:rsidR="003373BF">
        <w:rPr>
          <w:noProof/>
        </w:rPr>
        <w:fldChar w:fldCharType="end"/>
      </w:r>
      <w:bookmarkEnd w:id="837"/>
      <w:r>
        <w:t xml:space="preserve"> Effect of oxacillin and vancomycin on </w:t>
      </w:r>
      <w:r>
        <w:rPr>
          <w:i/>
        </w:rPr>
        <w:t>S. aureus atl</w:t>
      </w:r>
      <w:r>
        <w:t xml:space="preserve"> </w:t>
      </w:r>
      <w:r w:rsidR="00E877FC">
        <w:t>morphology</w:t>
      </w:r>
      <w:r>
        <w:t>.</w:t>
      </w:r>
      <w:bookmarkEnd w:id="838"/>
    </w:p>
    <w:p w14:paraId="30C09FE6" w14:textId="0D79F760" w:rsidR="004151FB" w:rsidRDefault="00AA7327" w:rsidP="0022707E">
      <w:pPr>
        <w:pStyle w:val="NoSpacing"/>
        <w:sectPr w:rsidR="004151FB" w:rsidSect="004D0E05">
          <w:pgSz w:w="11906" w:h="16838"/>
          <w:pgMar w:top="1191" w:right="1247" w:bottom="1191" w:left="1247" w:header="709" w:footer="709" w:gutter="0"/>
          <w:cols w:space="708"/>
          <w:titlePg/>
          <w:docGrid w:linePitch="360"/>
        </w:sectPr>
      </w:pPr>
      <w:r>
        <w:t>TEM</w:t>
      </w:r>
      <w:r w:rsidRPr="008375BD">
        <w:t xml:space="preserve"> </w:t>
      </w:r>
      <w:r>
        <w:t xml:space="preserve">micrographs of chemically fixed thin sections of </w:t>
      </w:r>
      <w:r>
        <w:rPr>
          <w:i/>
          <w:iCs/>
        </w:rPr>
        <w:t>S. aureus</w:t>
      </w:r>
      <w:r>
        <w:t xml:space="preserve"> </w:t>
      </w:r>
      <w:r w:rsidRPr="001E3F64">
        <w:rPr>
          <w:i/>
          <w:iCs/>
        </w:rPr>
        <w:t>atl</w:t>
      </w:r>
      <w:r>
        <w:t xml:space="preserve"> treated for 1 h with 10 X MIC </w:t>
      </w:r>
      <w:r>
        <w:rPr>
          <w:b/>
          <w:bCs/>
        </w:rPr>
        <w:t xml:space="preserve">(A) </w:t>
      </w:r>
      <w:r>
        <w:t xml:space="preserve">oxacillin or </w:t>
      </w:r>
      <w:r>
        <w:rPr>
          <w:b/>
          <w:bCs/>
        </w:rPr>
        <w:t>(B)</w:t>
      </w:r>
      <w:r>
        <w:t xml:space="preserve"> vancomycin plus oxacillin. High magnification </w:t>
      </w:r>
      <w:r w:rsidR="008E1486">
        <w:t>(</w:t>
      </w:r>
      <w:r>
        <w:t>4800x</w:t>
      </w:r>
      <w:r w:rsidR="008E1486">
        <w:t>)</w:t>
      </w:r>
      <w:r>
        <w:t>, scale bar 1 µm.</w:t>
      </w:r>
      <w:r w:rsidRPr="00C23BDE">
        <w:t xml:space="preserve"> </w:t>
      </w:r>
      <w:r w:rsidR="000C19C5">
        <w:t>Red</w:t>
      </w:r>
      <w:r>
        <w:t xml:space="preserve"> arrows indicate areas where the exoplasmic space </w:t>
      </w:r>
      <w:r w:rsidR="0059525D">
        <w:t>is</w:t>
      </w:r>
      <w:r>
        <w:t xml:space="preserve"> expanded (plasmolysis</w:t>
      </w:r>
      <w:r w:rsidR="004151FB">
        <w:t>).</w:t>
      </w:r>
    </w:p>
    <w:p w14:paraId="42E06DF8" w14:textId="77777777" w:rsidR="00DE2E72" w:rsidRDefault="009E54D2" w:rsidP="00E17098">
      <w:pPr>
        <w:pStyle w:val="Caption"/>
        <w:jc w:val="center"/>
      </w:pPr>
      <w:r>
        <w:rPr>
          <w:noProof/>
        </w:rPr>
        <w:lastRenderedPageBreak/>
        <w:drawing>
          <wp:inline distT="0" distB="0" distL="0" distR="0" wp14:anchorId="2DDC6FB6" wp14:editId="39148253">
            <wp:extent cx="5902222" cy="6044199"/>
            <wp:effectExtent l="0" t="0" r="381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02222" cy="6044199"/>
                    </a:xfrm>
                    <a:prstGeom prst="rect">
                      <a:avLst/>
                    </a:prstGeom>
                  </pic:spPr>
                </pic:pic>
              </a:graphicData>
            </a:graphic>
          </wp:inline>
        </w:drawing>
      </w:r>
      <w:bookmarkStart w:id="839" w:name="_Ref70944730"/>
    </w:p>
    <w:p w14:paraId="6346A6B7" w14:textId="482F5A22" w:rsidR="008659B1" w:rsidRDefault="004C0336" w:rsidP="008A2B86">
      <w:pPr>
        <w:pStyle w:val="Caption"/>
      </w:pPr>
      <w:bookmarkStart w:id="840" w:name="_Ref71216745"/>
      <w:bookmarkStart w:id="841" w:name="_Toc90217033"/>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48</w:t>
      </w:r>
      <w:r w:rsidR="003373BF">
        <w:rPr>
          <w:noProof/>
        </w:rPr>
        <w:fldChar w:fldCharType="end"/>
      </w:r>
      <w:bookmarkEnd w:id="839"/>
      <w:bookmarkEnd w:id="840"/>
      <w:r>
        <w:t xml:space="preserve"> Effect of vancomycin, oxacillin and methicillin on </w:t>
      </w:r>
      <w:r>
        <w:rPr>
          <w:i/>
        </w:rPr>
        <w:t>S. aureus atl</w:t>
      </w:r>
      <w:r>
        <w:t xml:space="preserve"> survival and morphology.</w:t>
      </w:r>
      <w:bookmarkEnd w:id="841"/>
    </w:p>
    <w:p w14:paraId="13D6E784" w14:textId="10DF0562" w:rsidR="000C0686" w:rsidRDefault="00470B13" w:rsidP="00470B13">
      <w:pPr>
        <w:pStyle w:val="NoSpacing"/>
        <w:sectPr w:rsidR="000C0686" w:rsidSect="004D0E05">
          <w:pgSz w:w="11906" w:h="16838"/>
          <w:pgMar w:top="1191" w:right="1247" w:bottom="1191" w:left="1247" w:header="709" w:footer="709" w:gutter="0"/>
          <w:cols w:space="708"/>
          <w:titlePg/>
          <w:docGrid w:linePitch="360"/>
        </w:sectPr>
      </w:pPr>
      <w:r>
        <w:rPr>
          <w:i/>
          <w:iCs/>
        </w:rPr>
        <w:t>S. aureus</w:t>
      </w:r>
      <w:r>
        <w:t xml:space="preserve"> </w:t>
      </w:r>
      <w:r w:rsidRPr="00470B13">
        <w:rPr>
          <w:i/>
          <w:iCs/>
        </w:rPr>
        <w:t>atl</w:t>
      </w:r>
      <w:r>
        <w:t xml:space="preserve"> </w:t>
      </w:r>
      <w:r w:rsidR="00C565DE">
        <w:t xml:space="preserve">was </w:t>
      </w:r>
      <w:r>
        <w:t>treated for 1 h with 10 X MIC of</w:t>
      </w:r>
      <w:r w:rsidR="005A3423">
        <w:t xml:space="preserve"> the indicated antibiotics</w:t>
      </w:r>
      <w:r>
        <w:rPr>
          <w:b/>
          <w:bCs/>
        </w:rPr>
        <w:t xml:space="preserve">. </w:t>
      </w:r>
      <w:r>
        <w:rPr>
          <w:b/>
          <w:bCs/>
          <w:lang w:val="en-US"/>
        </w:rPr>
        <w:t>(</w:t>
      </w:r>
      <w:r w:rsidR="005A3423">
        <w:rPr>
          <w:b/>
          <w:bCs/>
          <w:lang w:val="en-US"/>
        </w:rPr>
        <w:t>A</w:t>
      </w:r>
      <w:r>
        <w:rPr>
          <w:b/>
          <w:bCs/>
          <w:lang w:val="en-US"/>
        </w:rPr>
        <w:t>-</w:t>
      </w:r>
      <w:r w:rsidR="005A3423">
        <w:rPr>
          <w:b/>
          <w:bCs/>
          <w:lang w:val="en-US"/>
        </w:rPr>
        <w:t>B</w:t>
      </w:r>
      <w:r>
        <w:rPr>
          <w:b/>
          <w:bCs/>
          <w:lang w:val="en-US"/>
        </w:rPr>
        <w:t xml:space="preserve">) </w:t>
      </w:r>
      <w:r>
        <w:t xml:space="preserve">Representative cells from TEM micrographs of chemically fixed thin sections for treatments with </w:t>
      </w:r>
      <w:r>
        <w:rPr>
          <w:b/>
          <w:bCs/>
        </w:rPr>
        <w:t>(</w:t>
      </w:r>
      <w:r w:rsidR="00390AF3">
        <w:rPr>
          <w:b/>
          <w:bCs/>
        </w:rPr>
        <w:t>A</w:t>
      </w:r>
      <w:r>
        <w:rPr>
          <w:b/>
          <w:bCs/>
        </w:rPr>
        <w:t xml:space="preserve">) </w:t>
      </w:r>
      <w:r>
        <w:t xml:space="preserve">methicillin or </w:t>
      </w:r>
      <w:r>
        <w:rPr>
          <w:b/>
          <w:bCs/>
        </w:rPr>
        <w:t>(</w:t>
      </w:r>
      <w:r w:rsidR="00390AF3">
        <w:rPr>
          <w:b/>
          <w:bCs/>
        </w:rPr>
        <w:t>B</w:t>
      </w:r>
      <w:r>
        <w:rPr>
          <w:b/>
          <w:bCs/>
        </w:rPr>
        <w:t>)</w:t>
      </w:r>
      <w:r>
        <w:t xml:space="preserve"> oxacillin. Cropped from high magnification </w:t>
      </w:r>
      <w:r w:rsidR="00390AF3">
        <w:t>(</w:t>
      </w:r>
      <w:r>
        <w:t>4800x</w:t>
      </w:r>
      <w:r w:rsidR="00390AF3">
        <w:t>)</w:t>
      </w:r>
      <w:r>
        <w:t xml:space="preserve">, scale bar </w:t>
      </w:r>
      <w:r w:rsidR="00EA38EC">
        <w:t>3</w:t>
      </w:r>
      <w:r>
        <w:t>00 nm. pm– plasma membrane, cw– cell wall, ex– exoplasmic space. No sept</w:t>
      </w:r>
      <w:r w:rsidR="00E17098">
        <w:t>um</w:t>
      </w:r>
      <w:r>
        <w:softHyphen/>
        <w:t>– dark orange, incomplete sept</w:t>
      </w:r>
      <w:r w:rsidR="00E17098">
        <w:t>um</w:t>
      </w:r>
      <w:r>
        <w:t>– medium orange, and complete sept</w:t>
      </w:r>
      <w:r w:rsidR="00E17098">
        <w:t>um</w:t>
      </w:r>
      <w:r>
        <w:t>– light orange.</w:t>
      </w:r>
      <w:r>
        <w:rPr>
          <w:b/>
          <w:bCs/>
        </w:rPr>
        <w:t xml:space="preserve"> (</w:t>
      </w:r>
      <w:r w:rsidR="005A3423">
        <w:rPr>
          <w:b/>
          <w:bCs/>
        </w:rPr>
        <w:t>C</w:t>
      </w:r>
      <w:r>
        <w:rPr>
          <w:b/>
          <w:bCs/>
        </w:rPr>
        <w:t>)</w:t>
      </w:r>
      <w:r w:rsidR="00EA38EC">
        <w:t xml:space="preserve"> </w:t>
      </w:r>
      <w:r>
        <w:t xml:space="preserve">Compositional analysis of methicillin treated cells in </w:t>
      </w:r>
      <w:r w:rsidRPr="00345D4D">
        <w:t>(</w:t>
      </w:r>
      <w:r w:rsidR="005A3423" w:rsidRPr="00345D4D">
        <w:t>D</w:t>
      </w:r>
      <w:r w:rsidR="00EA38EC" w:rsidRPr="00345D4D">
        <w:t>)</w:t>
      </w:r>
      <w:r w:rsidR="00345D4D">
        <w:t xml:space="preserve"> showing signs of plasmolysis</w:t>
      </w:r>
      <w:r w:rsidR="00EA38EC" w:rsidRPr="00345D4D">
        <w:t>.</w:t>
      </w:r>
      <w:r w:rsidR="00EA38EC">
        <w:rPr>
          <w:b/>
          <w:bCs/>
        </w:rPr>
        <w:t xml:space="preserve"> </w:t>
      </w:r>
      <w:r>
        <w:t>No sept</w:t>
      </w:r>
      <w:r w:rsidR="00E17098">
        <w:t>um</w:t>
      </w:r>
      <w:r>
        <w:t>– dark orange, incomplete sept</w:t>
      </w:r>
      <w:r w:rsidR="00E17098">
        <w:t>um</w:t>
      </w:r>
      <w:r>
        <w:t>– medium orange, complete sept</w:t>
      </w:r>
      <w:r w:rsidR="00E17098">
        <w:t>um</w:t>
      </w:r>
      <w:r>
        <w:t>– light orange (</w:t>
      </w:r>
      <w:r>
        <w:rPr>
          <w:i/>
          <w:iCs/>
        </w:rPr>
        <w:t>n </w:t>
      </w:r>
      <w:r>
        <w:t>= </w:t>
      </w:r>
      <w:r w:rsidR="00456159">
        <w:t>489</w:t>
      </w:r>
      <w:r>
        <w:t>).</w:t>
      </w:r>
      <w:r>
        <w:rPr>
          <w:b/>
          <w:bCs/>
          <w:lang w:val="en-US"/>
        </w:rPr>
        <w:t xml:space="preserve"> (</w:t>
      </w:r>
      <w:r w:rsidR="005A3423">
        <w:rPr>
          <w:b/>
          <w:bCs/>
          <w:lang w:val="en-US"/>
        </w:rPr>
        <w:t>D</w:t>
      </w:r>
      <w:r>
        <w:rPr>
          <w:b/>
          <w:bCs/>
          <w:lang w:val="en-US"/>
        </w:rPr>
        <w:t>)</w:t>
      </w:r>
      <w:r>
        <w:rPr>
          <w:lang w:val="en-US"/>
        </w:rPr>
        <w:t xml:space="preserve"> </w:t>
      </w:r>
      <w:r>
        <w:t>Morphological quantification of the control</w:t>
      </w:r>
      <w:r>
        <w:rPr>
          <w:i/>
          <w:iCs/>
        </w:rPr>
        <w:t xml:space="preserve"> </w:t>
      </w:r>
      <w:r w:rsidRPr="00570A71">
        <w:t>(</w:t>
      </w:r>
      <w:r w:rsidR="00552785">
        <w:t>3</w:t>
      </w:r>
      <w:r>
        <w:t xml:space="preserve"> biological repeats, </w:t>
      </w:r>
      <w:r>
        <w:rPr>
          <w:i/>
          <w:iCs/>
        </w:rPr>
        <w:t>n</w:t>
      </w:r>
      <w:r>
        <w:t> = </w:t>
      </w:r>
      <w:r w:rsidR="00AE556E">
        <w:t>1498</w:t>
      </w:r>
      <w:r>
        <w:t xml:space="preserve">), methicillin (2 biological repeat, </w:t>
      </w:r>
      <w:r>
        <w:rPr>
          <w:i/>
          <w:iCs/>
        </w:rPr>
        <w:t>n</w:t>
      </w:r>
      <w:r w:rsidRPr="00D40C1B">
        <w:t> = </w:t>
      </w:r>
      <w:r w:rsidR="00AE556E">
        <w:t>763</w:t>
      </w:r>
      <w:r>
        <w:t xml:space="preserve">), vancomycin (2 biological repeats, </w:t>
      </w:r>
      <w:r>
        <w:rPr>
          <w:i/>
          <w:iCs/>
        </w:rPr>
        <w:t>n</w:t>
      </w:r>
      <w:r>
        <w:t> = </w:t>
      </w:r>
      <w:r w:rsidR="00AE556E">
        <w:t>909</w:t>
      </w:r>
      <w:r>
        <w:t xml:space="preserve">), vancomycin plus methicillin (2 biological repeats, </w:t>
      </w:r>
      <w:r>
        <w:rPr>
          <w:i/>
          <w:iCs/>
        </w:rPr>
        <w:t>n</w:t>
      </w:r>
      <w:r>
        <w:t> = </w:t>
      </w:r>
      <w:r w:rsidR="00AE556E">
        <w:t>910</w:t>
      </w:r>
      <w:r>
        <w:t xml:space="preserve">), oxacillin (2 biological repeats, </w:t>
      </w:r>
      <w:r>
        <w:rPr>
          <w:i/>
          <w:iCs/>
        </w:rPr>
        <w:t>n</w:t>
      </w:r>
      <w:r>
        <w:t> = </w:t>
      </w:r>
      <w:r w:rsidR="00AE556E">
        <w:t>703</w:t>
      </w:r>
      <w:r>
        <w:t xml:space="preserve">), and vancomycin plus oxacillin (2 biological repeats, </w:t>
      </w:r>
      <w:r>
        <w:rPr>
          <w:i/>
          <w:iCs/>
        </w:rPr>
        <w:t>n</w:t>
      </w:r>
      <w:r>
        <w:t> = </w:t>
      </w:r>
      <w:r w:rsidR="00AE556E">
        <w:t>704</w:t>
      </w:r>
      <w:r>
        <w:t>), as indicated. No sept</w:t>
      </w:r>
      <w:r w:rsidR="00E17098">
        <w:t>um</w:t>
      </w:r>
      <w:r>
        <w:t>– dark green, incomplete sept</w:t>
      </w:r>
      <w:r w:rsidR="00E17098">
        <w:t>um</w:t>
      </w:r>
      <w:r>
        <w:t>– medium green, complete sept</w:t>
      </w:r>
      <w:r w:rsidR="00E17098">
        <w:t>um</w:t>
      </w:r>
      <w:r>
        <w:t xml:space="preserve">– light green, </w:t>
      </w:r>
      <w:r w:rsidR="00345D4D">
        <w:t>plasmolysis</w:t>
      </w:r>
      <w:r>
        <w:t xml:space="preserve">– orange, </w:t>
      </w:r>
      <w:r w:rsidR="00E17098">
        <w:t xml:space="preserve">and </w:t>
      </w:r>
      <w:r>
        <w:t xml:space="preserve">growth defects– yellow. </w:t>
      </w:r>
      <w:r>
        <w:rPr>
          <w:b/>
          <w:bCs/>
        </w:rPr>
        <w:t>(</w:t>
      </w:r>
      <w:r w:rsidR="005A3423">
        <w:rPr>
          <w:b/>
          <w:bCs/>
        </w:rPr>
        <w:t>E</w:t>
      </w:r>
      <w:r>
        <w:rPr>
          <w:b/>
          <w:bCs/>
        </w:rPr>
        <w:t>)</w:t>
      </w:r>
      <w:r>
        <w:t xml:space="preserve"> Compositional analysis oxacillin treated cells in</w:t>
      </w:r>
      <w:r w:rsidRPr="00345D4D">
        <w:t xml:space="preserve"> (D)</w:t>
      </w:r>
      <w:r w:rsidR="00345D4D">
        <w:t xml:space="preserve"> showing signs of plasmolysis</w:t>
      </w:r>
      <w:r>
        <w:t>. No sept</w:t>
      </w:r>
      <w:r w:rsidR="00E17098">
        <w:t>um</w:t>
      </w:r>
      <w:r>
        <w:t>– dark orange, incomplete sept</w:t>
      </w:r>
      <w:r w:rsidR="00E17098">
        <w:t>um</w:t>
      </w:r>
      <w:r>
        <w:t>– medium orange, complete sept</w:t>
      </w:r>
      <w:r w:rsidR="00E17098">
        <w:t>um</w:t>
      </w:r>
      <w:r>
        <w:t>– light orange (</w:t>
      </w:r>
      <w:r>
        <w:rPr>
          <w:i/>
          <w:iCs/>
        </w:rPr>
        <w:t>n </w:t>
      </w:r>
      <w:r>
        <w:t>= </w:t>
      </w:r>
      <w:r w:rsidR="00456159">
        <w:t>471).</w:t>
      </w:r>
    </w:p>
    <w:p w14:paraId="367C720B" w14:textId="56BA7443" w:rsidR="000C0686" w:rsidRDefault="001A59BE" w:rsidP="00C32D36">
      <w:pPr>
        <w:pStyle w:val="Heading2"/>
      </w:pPr>
      <w:bookmarkStart w:id="842" w:name="_Toc90216913"/>
      <w:r>
        <w:lastRenderedPageBreak/>
        <w:t>The role of cell wall homeostasis in life and death</w:t>
      </w:r>
      <w:r w:rsidR="009903CC">
        <w:t>.</w:t>
      </w:r>
      <w:bookmarkEnd w:id="842"/>
    </w:p>
    <w:p w14:paraId="0D8635C1" w14:textId="179FC3E3" w:rsidR="004A4695" w:rsidRDefault="001A59BE" w:rsidP="000C0686">
      <w:r>
        <w:t>Our model for cell wall homeostasis</w:t>
      </w:r>
      <w:r w:rsidR="001F778D">
        <w:t xml:space="preserve"> (</w:t>
      </w:r>
      <w:r w:rsidR="001F778D">
        <w:fldChar w:fldCharType="begin"/>
      </w:r>
      <w:r w:rsidR="001F778D">
        <w:instrText xml:space="preserve"> REF _Ref71110058 \h </w:instrText>
      </w:r>
      <w:r w:rsidR="001F778D">
        <w:fldChar w:fldCharType="separate"/>
      </w:r>
      <w:r w:rsidR="00183CC8">
        <w:t xml:space="preserve">Figure </w:t>
      </w:r>
      <w:r w:rsidR="00183CC8">
        <w:rPr>
          <w:noProof/>
        </w:rPr>
        <w:t>5</w:t>
      </w:r>
      <w:r w:rsidR="00183CC8">
        <w:t>.</w:t>
      </w:r>
      <w:r w:rsidR="00183CC8">
        <w:rPr>
          <w:noProof/>
        </w:rPr>
        <w:t>1</w:t>
      </w:r>
      <w:r w:rsidR="001F778D">
        <w:fldChar w:fldCharType="end"/>
      </w:r>
      <w:r w:rsidR="001F778D">
        <w:t>)</w:t>
      </w:r>
      <w:r>
        <w:t xml:space="preserve"> proposes that loss of PG synthesis with continued hydrolysis will lead to death a</w:t>
      </w:r>
      <w:r w:rsidR="00AA29AF">
        <w:t>nd i</w:t>
      </w:r>
      <w:r>
        <w:t>s supported by our cell wall antibiotic data</w:t>
      </w:r>
      <w:r w:rsidR="001F778D">
        <w:t>.</w:t>
      </w:r>
      <w:r>
        <w:t xml:space="preserve"> The paradox of this is that loss of P</w:t>
      </w:r>
      <w:r w:rsidR="00EF7968">
        <w:t>G</w:t>
      </w:r>
      <w:r>
        <w:t xml:space="preserve"> hydrolysis with continued synthesis will also result in death and that loss of both phenomena will lead to stasis. Thus, we sought to test </w:t>
      </w:r>
      <w:r w:rsidR="00582A58">
        <w:t>this hypothesis</w:t>
      </w:r>
      <w:r w:rsidR="00A10D7C">
        <w:t xml:space="preserve"> with a WalKR-depleted strain</w:t>
      </w:r>
      <w:r>
        <w:t xml:space="preserve">. WalKR </w:t>
      </w:r>
      <w:r w:rsidR="00A10D7C">
        <w:t xml:space="preserve">is a two-component signal transduction system that </w:t>
      </w:r>
      <w:r>
        <w:t xml:space="preserve">has previously been shown to be an essential positive regulator of </w:t>
      </w:r>
      <w:r w:rsidR="00A10D7C">
        <w:t xml:space="preserve">nine putative </w:t>
      </w:r>
      <w:r>
        <w:t>PGH</w:t>
      </w:r>
      <w:r w:rsidR="00A10D7C">
        <w:t>:</w:t>
      </w:r>
      <w:r w:rsidR="00A10D7C" w:rsidRPr="00A10D7C">
        <w:t xml:space="preserve"> </w:t>
      </w:r>
      <w:r w:rsidR="00A10D7C">
        <w:t xml:space="preserve">ScaB, ScaC, ScaD (SsaA), ScaE, ScaJ, SceD, Atl, IsaA, and LytM (for detail on hydrolases, see section </w:t>
      </w:r>
      <w:r w:rsidR="00A10D7C">
        <w:rPr>
          <w:highlight w:val="yellow"/>
        </w:rPr>
        <w:fldChar w:fldCharType="begin"/>
      </w:r>
      <w:r w:rsidR="00A10D7C">
        <w:instrText xml:space="preserve"> REF _Ref76139660 \r \h </w:instrText>
      </w:r>
      <w:r w:rsidR="00A10D7C">
        <w:rPr>
          <w:highlight w:val="yellow"/>
        </w:rPr>
      </w:r>
      <w:r w:rsidR="00A10D7C">
        <w:rPr>
          <w:highlight w:val="yellow"/>
        </w:rPr>
        <w:fldChar w:fldCharType="separate"/>
      </w:r>
      <w:r w:rsidR="00183CC8">
        <w:t>1.4.3</w:t>
      </w:r>
      <w:r w:rsidR="00A10D7C">
        <w:rPr>
          <w:highlight w:val="yellow"/>
        </w:rPr>
        <w:fldChar w:fldCharType="end"/>
      </w:r>
      <w:r w:rsidR="00A10D7C">
        <w:t xml:space="preserve">) </w:t>
      </w:r>
      <w:r w:rsidR="00A10D7C">
        <w:fldChar w:fldCharType="begin" w:fldLock="1"/>
      </w:r>
      <w:r w:rsidR="00260ACA">
        <w:instrText>ADDIN CSL_CITATION {"citationItems":[{"id":"ITEM-1","itemData":{"DOI":"10.1128/JB.186.4.1175-1181.2004","ISSN":"00219193","PMID":"14762013","abstract":"The YycG/YycF essential two-component system (TCS), originally identified in Bacillus subtilis, is very highly conserved and appears to be specific to low-G+C gram-positive bacteria, including several pathogens such as Staphylococcus aureus. By studying growth of S. aureus cells where the yyc operon is controlled by an isopropyl-β-D-thiogalactopyranoside (IPTG)-inducible promoter, we have shown that this system is essential in S. aureus during growth at 37°C and that starvation for the YycG/YycF regulatory system leads to cell death. During a previous study of the YycG/YycF TCS of B. subtilis, we defined a potential YycF consensus recognition sequence, consisting of two hexanucleotide direct repeats, separated by five nucleotides [5′TGT(A/T)A(A/T/C)-N5-TGT (A/T)A(A/T/C)-3′]. A detailed DNA motif analysis of the S. aureus genome indicates that there are potentially 12 genes preceded by this sequence, 5 of which are involved in virulence. An in vitro approach was undertaken to determine which of these genes are controlled by YycF. The YycG and YycF proteins of S. aureus were overproduced in Escherichia coli and purified. Autophosphorylation of the YycG kinase and phosphotransfer to YycF were shown in vitro. Gel mobility shift and DNase I footprinting assays were used to show direct binding in vitro of purified YycF to the promoter region of the ssaA gene, encoding a major antigen and previously suggested to be controlled by YycF. YycF was also shown to bind specifically to the promoter regions of two genes, encoding the IsaA antigen and the LytM peptidoglycan hydrolase, in agreement with the proposed role of this system in controlling virulence and cell wall metabolism.","author":[{"dropping-particle":"","family":"Dubrac","given":"Sarah","non-dropping-particle":"","parse-names":false,"suffix":""},{"dropping-particle":"","family":"Msadek","given":"Tarek","non-dropping-particle":"","parse-names":false,"suffix":""}],"container-title":"Journal of Bacteriology","id":"ITEM-1","issue":"4","issued":{"date-parts":[["2004"]]},"page":"1175-1181","title":"Identification of Genes Controlled by the Essential YycG/YycF Two-Component System of Staphylococcus aureus","type":"article-journal","volume":"186"},"uris":["http://www.mendeley.com/documents/?uuid=7cb412eb-2f5c-48de-afa7-5a183d0ddbb2"]},{"id":"ITEM-2","itemData":{"DOI":"10.1128/JB.00645-07","ISSN":"00219193","PMID":"17827301","abstract":"The highly conserved WalK/WalR (also known as YycG/YycF) two-component system is specific to low-G+C gram-positive bacteria. While this system is essential for cell viability, both the nature of its regulon and its physiological role have remained mostly uncharacterized. We observed that, unexpectedly, Staphylococcus aureus cell death induced by WalKR depletion was not followed by lysis. We show that WalKR positively controls autolytic activity, in particular that of the two major S. aureus autolysins, AtIA and LytM. By using our previously characterized consensus WalR binding site and carefully reexamining the genome annotations, we identified nine genes potentially belonging to the WalKR regulon that appeared to be involved in S. aureus cell wall degradation. Expression of all of these genes was positively controlled by WalKR levels in the cell, leading to high resistance to Triton X-100-induced lysis when the cells were starved for WalKR. Cells lacking WalKR were also more resistant to lysostaphin-induced lysis, suggesting modifications in cell wall structure. Indeed, lowered levels of WalKR led to a significant decrease in peptidoglycan biosynthesis and turnover and to cell wall modifications, which included increased peptidoglycan cross-linking and glycan chain length. We also demonstrated a direct relationship between WalKR levels and the ability to form biofilms. This is the first example in S. aureus of a regulatory system positively controlling autolysin synthesis and biofilm formation. Taken together, our results now define this signal transduction pathway as a master regulatory system for cell wall metabolism, which we have accordingly renamed WalK/WalR to reflect its true function. Copyright © 2007, American Society for Microbiology. All Rights Reserved.","author":[{"dropping-particle":"","family":"Dubrac","given":"Sarah","non-dropping-particle":"","parse-names":false,"suffix":""},{"dropping-particle":"","family":"Boneca","given":"Ivo Gomperts","non-dropping-particle":"","parse-names":false,"suffix":""},{"dropping-particle":"","family":"Poupel","given":"Olivier","non-dropping-particle":"","parse-names":false,"suffix":""},{"dropping-particle":"","family":"Msadek","given":"Tarek","non-dropping-particle":"","parse-names":false,"suffix":""}],"container-title":"Journal of Bacteriology","id":"ITEM-2","issue":"22","issued":{"date-parts":[["2007"]]},"page":"8257-8269","title":"New insights into the WalK/WalR (YycG/YycF) essential signal transduction pathway reveal a major role in controlling cell wall metabolism and biofilm formation in Staphylococcus aureus","type":"article-journal","volume":"189"},"uris":["http://www.mendeley.com/documents/?uuid=431c38bd-4d2a-4665-b3f6-4bcab6d86817"]}],"mendeley":{"formattedCitation":"&lt;sup&gt;[74,75]&lt;/sup&gt;","plainTextFormattedCitation":"[74,75]","previouslyFormattedCitation":"&lt;sup&gt;[74,75]&lt;/sup&gt;"},"properties":{"noteIndex":0},"schema":"https://github.com/citation-style-language/schema/raw/master/csl-citation.json"}</w:instrText>
      </w:r>
      <w:r w:rsidR="00A10D7C">
        <w:fldChar w:fldCharType="separate"/>
      </w:r>
      <w:r w:rsidR="00C825F9" w:rsidRPr="00C825F9">
        <w:rPr>
          <w:noProof/>
          <w:vertAlign w:val="superscript"/>
        </w:rPr>
        <w:t>[74,75]</w:t>
      </w:r>
      <w:r w:rsidR="00A10D7C">
        <w:fldChar w:fldCharType="end"/>
      </w:r>
      <w:r w:rsidR="00A10D7C">
        <w:t xml:space="preserve">. Therefore, it </w:t>
      </w:r>
      <w:r>
        <w:t xml:space="preserve">provides a possible approach to address the combined role of PG synthesis and hydrolysis in cellular physiology. </w:t>
      </w:r>
      <w:r w:rsidR="000C0686">
        <w:t xml:space="preserve">The </w:t>
      </w:r>
      <w:r w:rsidR="00386B95">
        <w:t>chosen</w:t>
      </w:r>
      <w:r w:rsidR="000C0686">
        <w:t xml:space="preserve"> </w:t>
      </w:r>
      <w:r w:rsidR="000C0686" w:rsidRPr="00BD2972">
        <w:rPr>
          <w:i/>
          <w:iCs/>
        </w:rPr>
        <w:t>walKR</w:t>
      </w:r>
      <w:r w:rsidR="000C0686">
        <w:t xml:space="preserve"> (SJF 5356) </w:t>
      </w:r>
      <w:r w:rsidR="00386B95">
        <w:t xml:space="preserve">mutant </w:t>
      </w:r>
      <w:r w:rsidR="00E44DF2">
        <w:t>has a conditiona</w:t>
      </w:r>
      <w:r w:rsidR="004A4695">
        <w:t>l</w:t>
      </w:r>
      <w:r w:rsidR="00E44DF2">
        <w:t xml:space="preserve"> lethal construct under the control of the </w:t>
      </w:r>
      <w:r w:rsidR="000C0686">
        <w:t>IPTG-inducible promoter (P</w:t>
      </w:r>
      <w:r w:rsidR="000C0686" w:rsidRPr="00EC3510">
        <w:rPr>
          <w:vertAlign w:val="subscript"/>
        </w:rPr>
        <w:t>spac</w:t>
      </w:r>
      <w:r w:rsidR="000C0686">
        <w:t>)</w:t>
      </w:r>
      <w:r w:rsidR="004A4695">
        <w:t>.</w:t>
      </w:r>
      <w:r w:rsidR="000C0686">
        <w:t xml:space="preserve"> </w:t>
      </w:r>
      <w:r w:rsidR="006B3ABB">
        <w:t xml:space="preserve">Thus, in the presence of IPTG the cells are able to grow and divide, while, given the essentiality of WalKR, in the absence of </w:t>
      </w:r>
      <w:r w:rsidR="00D75126">
        <w:t>I</w:t>
      </w:r>
      <w:r w:rsidR="006B3ABB">
        <w:t>PTG they are not.</w:t>
      </w:r>
    </w:p>
    <w:p w14:paraId="5F2FE796" w14:textId="7C6B341A" w:rsidR="000C0686" w:rsidRDefault="000C0686" w:rsidP="000C0686">
      <w:r>
        <w:t xml:space="preserve"> </w:t>
      </w:r>
      <w:r w:rsidRPr="00BD2972">
        <w:t>As</w:t>
      </w:r>
      <w:r>
        <w:t xml:space="preserve"> previously described </w:t>
      </w:r>
      <w:r>
        <w:fldChar w:fldCharType="begin" w:fldLock="1"/>
      </w:r>
      <w:r w:rsidR="00260ACA">
        <w:instrText>ADDIN CSL_CITATION {"citationItems":[{"id":"ITEM-1","itemData":{"DOI":"10.1371/journal.pone.0017054","ISSN":"19326203","PMID":"21386961","abstract":"The WalKR two-component system is essential for viability of Staphylococcus aureus, a major pathogen. We have shown that WalKR acts as the master controller of peptidoglycan metabolism, yet none of the identified regulon genes explain its requirement for cell viability. Transmission electron micrographs revealed cell wall thickening and aberrant division septa in the absence of WalKR, suggesting its requirement may be linked to its role in coordinating cell wall metabolism and cell division. We therefore tested whether uncoupling autolysin gene expression from WalKR-dependent regulation could compensate for its essential nature. Uncoupled expression of genes encoding lytic transglycosylases or amidases did not restore growth to a WalKR-depleted strain. We identified only two WalKR-regulon genes whose expression restored cell viability in the absence of WalKR: lytM and ssaA. Neither of these two genes are essential under our conditions and a ΔlytM ΔssaA mutant does not present any growth defect. LytM is a glycyl-glycyl endopeptidase, hydrolyzing the pentaglycine interpeptide crossbridge, and SsaA belongs to the CHAP amidase family, members of which such as LysK and LytA have been shown to have D-alanyl-glycyl endopeptidase activity, cleaving between the crossbridge and the stem peptide. Taken together, our results strongly suggest that peptidoglycan crosslinking relaxation through crossbridge hydrolysis plays a crucial role in the essential requirement of the WalKR system for cell viability. © 2011 Delaune et al.","author":[{"dropping-particle":"","family":"Delaune","given":"Aurelia","non-dropping-particle":"","parse-names":false,"suffix":""},{"dropping-particle":"","family":"Poupel","given":"Olivier","non-dropping-particle":"","parse-names":false,"suffix":""},{"dropping-particle":"","family":"Mallet","given":"Adeline","non-dropping-particle":"","parse-names":false,"suffix":""},{"dropping-particle":"","family":"Coic","given":"Yves Marie","non-dropping-particle":"","parse-names":false,"suffix":""},{"dropping-particle":"","family":"Msadek","given":"Tarek","non-dropping-particle":"","parse-names":false,"suffix":""},{"dropping-particle":"","family":"Dubrac","given":"Sarah","non-dropping-particle":"","parse-names":false,"suffix":""}],"container-title":"PLoS ONE","id":"ITEM-1","issue":"2","issued":{"date-parts":[["2011"]]},"title":"Peptidoglycan crosslinking relaxation plays an important role in staphylococcus aureus walkr-dependent cell viability","type":"article-journal","volume":"6"},"uris":["http://www.mendeley.com/documents/?uuid=211eea7d-ecb4-46df-88e6-d8c2a638da3f"]}],"mendeley":{"formattedCitation":"&lt;sup&gt;[78]&lt;/sup&gt;","plainTextFormattedCitation":"[78]","previouslyFormattedCitation":"&lt;sup&gt;[78]&lt;/sup&gt;"},"properties":{"noteIndex":0},"schema":"https://github.com/citation-style-language/schema/raw/master/csl-citation.json"}</w:instrText>
      </w:r>
      <w:r>
        <w:fldChar w:fldCharType="separate"/>
      </w:r>
      <w:r w:rsidR="00C825F9" w:rsidRPr="00C825F9">
        <w:rPr>
          <w:noProof/>
          <w:vertAlign w:val="superscript"/>
        </w:rPr>
        <w:t>[78]</w:t>
      </w:r>
      <w:r>
        <w:fldChar w:fldCharType="end"/>
      </w:r>
      <w:r>
        <w:t>, W</w:t>
      </w:r>
      <w:r w:rsidRPr="00BC67AF">
        <w:t>alKR</w:t>
      </w:r>
      <w:r>
        <w:t xml:space="preserve"> is essential and its depletion</w:t>
      </w:r>
      <w:r w:rsidR="00E916E8">
        <w:t xml:space="preserve"> by the absence of IPTG</w:t>
      </w:r>
      <w:r>
        <w:t xml:space="preserve"> leads to a &gt; 9</w:t>
      </w:r>
      <w:r w:rsidR="00590ECC">
        <w:t>9</w:t>
      </w:r>
      <w:r>
        <w:t xml:space="preserve"> % death within 3 h </w:t>
      </w:r>
      <w:r w:rsidR="00725359">
        <w:t>(** p = 0.0031 )</w:t>
      </w:r>
      <w:r>
        <w:t>(</w:t>
      </w:r>
      <w:r>
        <w:rPr>
          <w:highlight w:val="yellow"/>
        </w:rPr>
        <w:fldChar w:fldCharType="begin"/>
      </w:r>
      <w:r>
        <w:instrText xml:space="preserve"> REF _Ref71028199 \h </w:instrText>
      </w:r>
      <w:r>
        <w:rPr>
          <w:highlight w:val="yellow"/>
        </w:rPr>
        <w:instrText xml:space="preserve"> \* MERGEFORMAT </w:instrText>
      </w:r>
      <w:r>
        <w:rPr>
          <w:highlight w:val="yellow"/>
        </w:rPr>
      </w:r>
      <w:r>
        <w:rPr>
          <w:highlight w:val="yellow"/>
        </w:rPr>
        <w:fldChar w:fldCharType="separate"/>
      </w:r>
      <w:r w:rsidR="00183CC8">
        <w:t xml:space="preserve">Figure </w:t>
      </w:r>
      <w:r w:rsidR="00183CC8">
        <w:rPr>
          <w:noProof/>
        </w:rPr>
        <w:t>5.49</w:t>
      </w:r>
      <w:r>
        <w:rPr>
          <w:highlight w:val="yellow"/>
        </w:rPr>
        <w:fldChar w:fldCharType="end"/>
      </w:r>
      <w:r>
        <w:t>a</w:t>
      </w:r>
      <w:r w:rsidR="00D24563">
        <w:t>-b</w:t>
      </w:r>
      <w:r>
        <w:t>)</w:t>
      </w:r>
      <w:r w:rsidR="00567695">
        <w:t xml:space="preserve"> </w:t>
      </w:r>
      <w:r w:rsidR="00567695">
        <w:fldChar w:fldCharType="begin" w:fldLock="1"/>
      </w:r>
      <w:r w:rsidR="004F7E11">
        <w:instrText>ADDIN CSL_CITATION {"citationItems":[{"id":"ITEM-1","itemData":{"DOI":"10.1073/pnas.2106022118","ISSN":"1091-6490","PMID":"34716264","abstract":"Bacterial cell wall peptidoglycan is essential, maintaining both cellular integrity and morphology, in the face of internal turgor pressure. Peptidoglycan synthesis is important, as it is targeted by cell wall antibiotics, including methicillin and vancomycin. Here, we have used the major human pathogen Staphylococcus aureus to elucidate both the cell wall dynamic processes essential for growth (life) and the bactericidal effects of cell wall antibiotics (death) based on the principle of coordinated peptidoglycan synthesis and hydrolysis. The death of S. aureus due to depletion of the essential, two-component and positive regulatory system for peptidoglycan hydrolase activity (WalKR) is prevented by addition of otherwise bactericidal cell wall antibiotics, resulting in stasis. In contrast, cell wall antibiotics kill via the activity of peptidoglycan hydrolases in the absence of concomitant synthesis. Both methicillin and vancomycin treatment lead to the appearance of perforating holes throughout the cell wall due to peptidoglycan hydrolases. Methicillin alone also results in plasmolysis and misshapen septa with the involvement of the major peptidoglycan hydrolase Atl, a process that is inhibited by vancomycin. The bactericidal effect of vancomycin involves the peptidoglycan hydrolase SagB. In the presence of cell wall antibiotics, the inhibition of peptidoglycan hydrolase activity using the inhibitor complestatin results in reduced killing, while, conversely, the deregulation of hydrolase activity via loss of wall teichoic acids increases the death rate. For S. aureus, the independent regulation of cell wall synthesis and hydrolysis can lead to cell growth, death, or stasis, with implications for the development of new control regimes for this important pathogen.","author":[{"dropping-particle":"","family":"Salamaga","given":"Bartłomiej","non-dropping-particle":"","parse-names":false,"suffix":""},{"dropping-particle":"","family":"Kong","given":"Lingyuan","non-dropping-particle":"","parse-names":false,"suffix":""},{"dropping-particle":"","family":"Pasquina-Lemonche","given":"Laia","non-dropping-particle":"","parse-names":false,"suffix":""},{"dropping-particle":"","family":"Lafage","given":"Lucia","non-dropping-particle":"","parse-names":false,"suffix":""},{"dropping-particle":"","family":"Und Zur Muhlen","given":"Milena","non-dropping-particle":"von","parse-names":false,"suffix":""},{"dropping-particle":"","family":"Gibson","given":"Josie F","non-dropping-particle":"","parse-names":false,"suffix":""},{"dropping-particle":"","family":"Grybchuk","given":"Danyil","non-dropping-particle":"","parse-names":false,"suffix":""},{"dropping-particle":"","family":"Tooke","given":"Amy K","non-dropping-particle":"","parse-names":false,"suffix":""},{"dropping-particle":"","family":"Panchal","given":"Viralkumar","non-dropping-particle":"","parse-names":false,"suffix":""},{"dropping-particle":"","family":"Culp","given":"Elizabeth J","non-dropping-particle":"","parse-names":false,"suffix":""},{"dropping-particle":"","family":"Tatham","given":"Elizabeth","non-dropping-particle":"","parse-names":false,"suffix":""},{"dropping-particle":"","family":"O'Kane","given":"Mary E","non-dropping-particle":"","parse-names":false,"suffix":""},{"dropping-particle":"","family":"Catley","given":"Thomas E","non-dropping-particle":"","parse-names":false,"suffix":""},{"dropping-particle":"","family":"Renshaw","given":"Stephen A","non-dropping-particle":"","parse-names":false,"suffix":""},{"dropping-particle":"","family":"Wright","given":"Gerard D","non-dropping-particle":"","parse-names":false,"suffix":""},{"dropping-particle":"","family":"Plevka","given":"Pavel","non-dropping-particle":"","parse-names":false,"suffix":""},{"dropping-particle":"","family":"Bullough","given":"Per A","non-dropping-particle":"","parse-names":false,"suffix":""},{"dropping-particle":"","family":"Han","given":"Aidong","non-dropping-particle":"","parse-names":false,"suffix":""},{"dropping-particle":"","family":"Hobbs","given":"Jamie K","non-dropping-particle":"","parse-names":false,"suffix":""},{"dropping-particle":"","family":"Foster","given":"Simon J","non-dropping-particle":"","parse-names":false,"suffix":""}],"container-title":"Proceedings of the National Academy of Sciences of the United States of America","id":"ITEM-1","issue":"44","issued":{"date-parts":[["2021","11","2"]]},"page":"1-8","publisher":"National Academy of Sciences","title":"Demonstration of the role of cell wall homeostasis in Staphylococcus aureus growth and the action of bactericidal antibiotics.","type":"article-journal","volume":"118"},"uris":["http://www.mendeley.com/documents/?uuid=9f3bf1ae-65de-4943-a7a8-62e0e140e346"]}],"mendeley":{"formattedCitation":"&lt;sup&gt;[247]&lt;/sup&gt;","plainTextFormattedCitation":"[247]","previouslyFormattedCitation":"&lt;sup&gt;[247]&lt;/sup&gt;"},"properties":{"noteIndex":0},"schema":"https://github.com/citation-style-language/schema/raw/master/csl-citation.json"}</w:instrText>
      </w:r>
      <w:r w:rsidR="00567695">
        <w:fldChar w:fldCharType="separate"/>
      </w:r>
      <w:r w:rsidR="009D34AE" w:rsidRPr="009D34AE">
        <w:rPr>
          <w:noProof/>
          <w:vertAlign w:val="superscript"/>
        </w:rPr>
        <w:t>[247]</w:t>
      </w:r>
      <w:r w:rsidR="00567695">
        <w:fldChar w:fldCharType="end"/>
      </w:r>
      <w:r>
        <w:t>. T</w:t>
      </w:r>
      <w:r w:rsidRPr="00E02ADB">
        <w:t>ransmission</w:t>
      </w:r>
      <w:r>
        <w:t xml:space="preserve"> electron micrographs </w:t>
      </w:r>
      <w:r w:rsidRPr="00A062F7">
        <w:t>showed</w:t>
      </w:r>
      <w:r>
        <w:t xml:space="preserve"> growth defects</w:t>
      </w:r>
      <w:r w:rsidR="005A4206">
        <w:t>,</w:t>
      </w:r>
      <w:r>
        <w:t xml:space="preserve"> </w:t>
      </w:r>
      <w:r w:rsidR="005A4206">
        <w:t>such as</w:t>
      </w:r>
      <w:r>
        <w:t xml:space="preserve"> thicker cell walls, cell aggregated and aberrant cell division (</w:t>
      </w:r>
      <w:r>
        <w:rPr>
          <w:highlight w:val="yellow"/>
        </w:rPr>
        <w:fldChar w:fldCharType="begin"/>
      </w:r>
      <w:r>
        <w:instrText xml:space="preserve"> REF _Ref71028199 \h </w:instrText>
      </w:r>
      <w:r>
        <w:rPr>
          <w:highlight w:val="yellow"/>
        </w:rPr>
        <w:instrText xml:space="preserve"> \* MERGEFORMAT </w:instrText>
      </w:r>
      <w:r>
        <w:rPr>
          <w:highlight w:val="yellow"/>
        </w:rPr>
      </w:r>
      <w:r>
        <w:rPr>
          <w:highlight w:val="yellow"/>
        </w:rPr>
        <w:fldChar w:fldCharType="separate"/>
      </w:r>
      <w:r w:rsidR="00183CC8">
        <w:t xml:space="preserve">Figure </w:t>
      </w:r>
      <w:r w:rsidR="00183CC8">
        <w:rPr>
          <w:noProof/>
        </w:rPr>
        <w:t>5.49</w:t>
      </w:r>
      <w:r>
        <w:rPr>
          <w:highlight w:val="yellow"/>
        </w:rPr>
        <w:fldChar w:fldCharType="end"/>
      </w:r>
      <w:r>
        <w:t>c)</w:t>
      </w:r>
      <w:r w:rsidR="005A4206">
        <w:t>,</w:t>
      </w:r>
      <w:r>
        <w:t xml:space="preserve"> in ~ 57.6 % of the population (</w:t>
      </w:r>
      <w:r>
        <w:fldChar w:fldCharType="begin"/>
      </w:r>
      <w:r>
        <w:instrText xml:space="preserve"> REF _Ref71028199 \h  \* MERGEFORMAT </w:instrText>
      </w:r>
      <w:r>
        <w:fldChar w:fldCharType="separate"/>
      </w:r>
      <w:r w:rsidR="00183CC8">
        <w:t xml:space="preserve">Figure </w:t>
      </w:r>
      <w:r w:rsidR="00183CC8">
        <w:rPr>
          <w:noProof/>
        </w:rPr>
        <w:t>5.49</w:t>
      </w:r>
      <w:r>
        <w:fldChar w:fldCharType="end"/>
      </w:r>
      <w:r>
        <w:t xml:space="preserve">d). </w:t>
      </w:r>
    </w:p>
    <w:p w14:paraId="52BF8CD1" w14:textId="395A5533" w:rsidR="00CC0826" w:rsidRDefault="000C0686" w:rsidP="000C0686">
      <w:r>
        <w:t xml:space="preserve">When treated with vancomycin or methicillin, </w:t>
      </w:r>
      <w:r>
        <w:rPr>
          <w:i/>
          <w:iCs/>
        </w:rPr>
        <w:t>walKR</w:t>
      </w:r>
      <w:r>
        <w:t xml:space="preserve"> depleted cells show a </w:t>
      </w:r>
      <w:r w:rsidR="009B3EBF">
        <w:t xml:space="preserve">significant </w:t>
      </w:r>
      <w:r>
        <w:t xml:space="preserve">reduction in cell death </w:t>
      </w:r>
      <w:r w:rsidR="009B3EBF">
        <w:t xml:space="preserve">after 3 h </w:t>
      </w:r>
      <w:r w:rsidR="009B3EBF" w:rsidRPr="006456D2">
        <w:t>(</w:t>
      </w:r>
      <w:r w:rsidR="009B3EBF">
        <w:t>vancomycin ** p = 0.0069, methicillin ** p = 0.0063</w:t>
      </w:r>
      <w:r w:rsidR="005B6F65">
        <w:t>)</w:t>
      </w:r>
      <w:r w:rsidR="009B3EBF">
        <w:t xml:space="preserve"> </w:t>
      </w:r>
      <w:r>
        <w:t>(</w:t>
      </w:r>
      <w:r w:rsidR="00AD7114">
        <w:fldChar w:fldCharType="begin"/>
      </w:r>
      <w:r w:rsidR="00AD7114">
        <w:instrText xml:space="preserve"> REF _Ref78755520 \h </w:instrText>
      </w:r>
      <w:r w:rsidR="00AD7114">
        <w:fldChar w:fldCharType="separate"/>
      </w:r>
      <w:r w:rsidR="00183CC8">
        <w:t xml:space="preserve">Figure </w:t>
      </w:r>
      <w:r w:rsidR="00183CC8">
        <w:rPr>
          <w:noProof/>
        </w:rPr>
        <w:t>5</w:t>
      </w:r>
      <w:r w:rsidR="00183CC8">
        <w:t>.</w:t>
      </w:r>
      <w:r w:rsidR="00183CC8">
        <w:rPr>
          <w:noProof/>
        </w:rPr>
        <w:t>50</w:t>
      </w:r>
      <w:r w:rsidR="00AD7114">
        <w:fldChar w:fldCharType="end"/>
      </w:r>
      <w:r w:rsidR="00AD7114">
        <w:t>a-b</w:t>
      </w:r>
      <w:r>
        <w:t>)</w:t>
      </w:r>
      <w:r w:rsidR="00567695">
        <w:t xml:space="preserve"> </w:t>
      </w:r>
      <w:r w:rsidR="00567695">
        <w:fldChar w:fldCharType="begin" w:fldLock="1"/>
      </w:r>
      <w:r w:rsidR="004F7E11">
        <w:instrText>ADDIN CSL_CITATION {"citationItems":[{"id":"ITEM-1","itemData":{"DOI":"10.1073/pnas.2106022118","ISSN":"1091-6490","PMID":"34716264","abstract":"Bacterial cell wall peptidoglycan is essential, maintaining both cellular integrity and morphology, in the face of internal turgor pressure. Peptidoglycan synthesis is important, as it is targeted by cell wall antibiotics, including methicillin and vancomycin. Here, we have used the major human pathogen Staphylococcus aureus to elucidate both the cell wall dynamic processes essential for growth (life) and the bactericidal effects of cell wall antibiotics (death) based on the principle of coordinated peptidoglycan synthesis and hydrolysis. The death of S. aureus due to depletion of the essential, two-component and positive regulatory system for peptidoglycan hydrolase activity (WalKR) is prevented by addition of otherwise bactericidal cell wall antibiotics, resulting in stasis. In contrast, cell wall antibiotics kill via the activity of peptidoglycan hydrolases in the absence of concomitant synthesis. Both methicillin and vancomycin treatment lead to the appearance of perforating holes throughout the cell wall due to peptidoglycan hydrolases. Methicillin alone also results in plasmolysis and misshapen septa with the involvement of the major peptidoglycan hydrolase Atl, a process that is inhibited by vancomycin. The bactericidal effect of vancomycin involves the peptidoglycan hydrolase SagB. In the presence of cell wall antibiotics, the inhibition of peptidoglycan hydrolase activity using the inhibitor complestatin results in reduced killing, while, conversely, the deregulation of hydrolase activity via loss of wall teichoic acids increases the death rate. For S. aureus, the independent regulation of cell wall synthesis and hydrolysis can lead to cell growth, death, or stasis, with implications for the development of new control regimes for this important pathogen.","author":[{"dropping-particle":"","family":"Salamaga","given":"Bartłomiej","non-dropping-particle":"","parse-names":false,"suffix":""},{"dropping-particle":"","family":"Kong","given":"Lingyuan","non-dropping-particle":"","parse-names":false,"suffix":""},{"dropping-particle":"","family":"Pasquina-Lemonche","given":"Laia","non-dropping-particle":"","parse-names":false,"suffix":""},{"dropping-particle":"","family":"Lafage","given":"Lucia","non-dropping-particle":"","parse-names":false,"suffix":""},{"dropping-particle":"","family":"Und Zur Muhlen","given":"Milena","non-dropping-particle":"von","parse-names":false,"suffix":""},{"dropping-particle":"","family":"Gibson","given":"Josie F","non-dropping-particle":"","parse-names":false,"suffix":""},{"dropping-particle":"","family":"Grybchuk","given":"Danyil","non-dropping-particle":"","parse-names":false,"suffix":""},{"dropping-particle":"","family":"Tooke","given":"Amy K","non-dropping-particle":"","parse-names":false,"suffix":""},{"dropping-particle":"","family":"Panchal","given":"Viralkumar","non-dropping-particle":"","parse-names":false,"suffix":""},{"dropping-particle":"","family":"Culp","given":"Elizabeth J","non-dropping-particle":"","parse-names":false,"suffix":""},{"dropping-particle":"","family":"Tatham","given":"Elizabeth","non-dropping-particle":"","parse-names":false,"suffix":""},{"dropping-particle":"","family":"O'Kane","given":"Mary E","non-dropping-particle":"","parse-names":false,"suffix":""},{"dropping-particle":"","family":"Catley","given":"Thomas E","non-dropping-particle":"","parse-names":false,"suffix":""},{"dropping-particle":"","family":"Renshaw","given":"Stephen A","non-dropping-particle":"","parse-names":false,"suffix":""},{"dropping-particle":"","family":"Wright","given":"Gerard D","non-dropping-particle":"","parse-names":false,"suffix":""},{"dropping-particle":"","family":"Plevka","given":"Pavel","non-dropping-particle":"","parse-names":false,"suffix":""},{"dropping-particle":"","family":"Bullough","given":"Per A","non-dropping-particle":"","parse-names":false,"suffix":""},{"dropping-particle":"","family":"Han","given":"Aidong","non-dropping-particle":"","parse-names":false,"suffix":""},{"dropping-particle":"","family":"Hobbs","given":"Jamie K","non-dropping-particle":"","parse-names":false,"suffix":""},{"dropping-particle":"","family":"Foster","given":"Simon J","non-dropping-particle":"","parse-names":false,"suffix":""}],"container-title":"Proceedings of the National Academy of Sciences of the United States of America","id":"ITEM-1","issue":"44","issued":{"date-parts":[["2021","11","2"]]},"page":"1-8","publisher":"National Academy of Sciences","title":"Demonstration of the role of cell wall homeostasis in Staphylococcus aureus growth and the action of bactericidal antibiotics.","type":"article-journal","volume":"118"},"uris":["http://www.mendeley.com/documents/?uuid=9f3bf1ae-65de-4943-a7a8-62e0e140e346"]}],"mendeley":{"formattedCitation":"&lt;sup&gt;[247]&lt;/sup&gt;","plainTextFormattedCitation":"[247]","previouslyFormattedCitation":"&lt;sup&gt;[247]&lt;/sup&gt;"},"properties":{"noteIndex":0},"schema":"https://github.com/citation-style-language/schema/raw/master/csl-citation.json"}</w:instrText>
      </w:r>
      <w:r w:rsidR="00567695">
        <w:fldChar w:fldCharType="separate"/>
      </w:r>
      <w:r w:rsidR="009D34AE" w:rsidRPr="009D34AE">
        <w:rPr>
          <w:noProof/>
          <w:vertAlign w:val="superscript"/>
        </w:rPr>
        <w:t>[247]</w:t>
      </w:r>
      <w:r w:rsidR="00567695">
        <w:fldChar w:fldCharType="end"/>
      </w:r>
      <w:r>
        <w:t>. Moreover, it shows a considerable decrease in the percentage of the population presenting growth defects (</w:t>
      </w:r>
      <w:r w:rsidR="00A966E6">
        <w:fldChar w:fldCharType="begin"/>
      </w:r>
      <w:r w:rsidR="00A966E6">
        <w:instrText xml:space="preserve"> REF _Ref78755621 \h </w:instrText>
      </w:r>
      <w:r w:rsidR="00A966E6">
        <w:fldChar w:fldCharType="separate"/>
      </w:r>
      <w:r w:rsidR="00183CC8">
        <w:t xml:space="preserve">Figure </w:t>
      </w:r>
      <w:r w:rsidR="00183CC8">
        <w:rPr>
          <w:noProof/>
        </w:rPr>
        <w:t>5</w:t>
      </w:r>
      <w:r w:rsidR="00183CC8">
        <w:t>.</w:t>
      </w:r>
      <w:r w:rsidR="00183CC8">
        <w:rPr>
          <w:noProof/>
        </w:rPr>
        <w:t>51</w:t>
      </w:r>
      <w:r w:rsidR="00A966E6">
        <w:fldChar w:fldCharType="end"/>
      </w:r>
      <w:r>
        <w:t>); with ~ 57.6 % of the control group reduced to ~ 2.2 % and ~ 2.8 % for vancomycin and methicillin respectively. Once more, clear signs of plasmolysis were observed solely with methicillin and addition of both antibiotics together showed a similar morphology to that of vancomycin alone</w:t>
      </w:r>
      <w:r w:rsidR="008F0EEF">
        <w:t xml:space="preserve"> (</w:t>
      </w:r>
      <w:r w:rsidR="008F0EEF">
        <w:fldChar w:fldCharType="begin"/>
      </w:r>
      <w:r w:rsidR="008F0EEF">
        <w:instrText xml:space="preserve"> REF _Ref78755621 \h </w:instrText>
      </w:r>
      <w:r w:rsidR="008F0EEF">
        <w:fldChar w:fldCharType="separate"/>
      </w:r>
      <w:r w:rsidR="00183CC8">
        <w:t xml:space="preserve">Figure </w:t>
      </w:r>
      <w:r w:rsidR="00183CC8">
        <w:rPr>
          <w:noProof/>
        </w:rPr>
        <w:t>5</w:t>
      </w:r>
      <w:r w:rsidR="00183CC8">
        <w:t>.</w:t>
      </w:r>
      <w:r w:rsidR="00183CC8">
        <w:rPr>
          <w:noProof/>
        </w:rPr>
        <w:t>51</w:t>
      </w:r>
      <w:r w:rsidR="008F0EEF">
        <w:fldChar w:fldCharType="end"/>
      </w:r>
      <w:r w:rsidR="008F0EEF">
        <w:t xml:space="preserve">, </w:t>
      </w:r>
      <w:r w:rsidR="008F0EEF">
        <w:fldChar w:fldCharType="begin"/>
      </w:r>
      <w:r w:rsidR="008F0EEF">
        <w:instrText xml:space="preserve"> REF _Ref71018905 \h </w:instrText>
      </w:r>
      <w:r w:rsidR="008F0EEF">
        <w:fldChar w:fldCharType="separate"/>
      </w:r>
      <w:r w:rsidR="00183CC8">
        <w:t xml:space="preserve">Figure </w:t>
      </w:r>
      <w:r w:rsidR="00183CC8">
        <w:rPr>
          <w:noProof/>
        </w:rPr>
        <w:t>5</w:t>
      </w:r>
      <w:r w:rsidR="00183CC8">
        <w:t>.</w:t>
      </w:r>
      <w:r w:rsidR="00183CC8">
        <w:rPr>
          <w:noProof/>
        </w:rPr>
        <w:t>52</w:t>
      </w:r>
      <w:r w:rsidR="008F0EEF">
        <w:fldChar w:fldCharType="end"/>
      </w:r>
      <w:r w:rsidR="008F0EEF">
        <w:t>)</w:t>
      </w:r>
      <w:r>
        <w:t xml:space="preserve">. </w:t>
      </w:r>
    </w:p>
    <w:p w14:paraId="4304E511" w14:textId="2DD49093" w:rsidR="00894BF5" w:rsidRDefault="00894BF5" w:rsidP="000C0686"/>
    <w:p w14:paraId="4EBB113F" w14:textId="7991806A" w:rsidR="00894BF5" w:rsidRDefault="00894BF5" w:rsidP="000C0686"/>
    <w:p w14:paraId="5DF85D3D" w14:textId="1C1DDB62" w:rsidR="00894BF5" w:rsidRDefault="00894BF5" w:rsidP="000C0686"/>
    <w:p w14:paraId="4075F97F" w14:textId="77777777" w:rsidR="00894BF5" w:rsidRDefault="00894BF5" w:rsidP="000C0686"/>
    <w:p w14:paraId="0CCFE22B" w14:textId="70F5AE80" w:rsidR="002C1753" w:rsidRDefault="00E94F1B" w:rsidP="000C0686">
      <w:r>
        <w:lastRenderedPageBreak/>
        <w:t>These results demonstrate that</w:t>
      </w:r>
      <w:r w:rsidR="002C1753">
        <w:t>:</w:t>
      </w:r>
    </w:p>
    <w:p w14:paraId="6186B027" w14:textId="58DFA316" w:rsidR="006D37B4" w:rsidRDefault="0024623F" w:rsidP="009A2556">
      <w:pPr>
        <w:pStyle w:val="ListParagraph"/>
        <w:numPr>
          <w:ilvl w:val="0"/>
          <w:numId w:val="16"/>
        </w:numPr>
        <w:spacing w:line="360" w:lineRule="auto"/>
      </w:pPr>
      <w:r>
        <w:t>PGH are needed for growth</w:t>
      </w:r>
      <w:r w:rsidR="0002453F">
        <w:t xml:space="preserve">, as shown by the survival curves and the percentage of growth defects in </w:t>
      </w:r>
      <w:r w:rsidR="00974606" w:rsidRPr="00974606">
        <w:rPr>
          <w:i/>
          <w:iCs/>
        </w:rPr>
        <w:t>w</w:t>
      </w:r>
      <w:r w:rsidR="0002453F" w:rsidRPr="00974606">
        <w:rPr>
          <w:i/>
          <w:iCs/>
        </w:rPr>
        <w:t>alKR</w:t>
      </w:r>
      <w:r w:rsidR="0002453F">
        <w:t xml:space="preserve"> OFF</w:t>
      </w:r>
      <w:r w:rsidR="00F918AF">
        <w:t>.</w:t>
      </w:r>
    </w:p>
    <w:p w14:paraId="3C7A23ED" w14:textId="77777777" w:rsidR="006D37B4" w:rsidRDefault="006D37B4" w:rsidP="009A2556">
      <w:pPr>
        <w:pStyle w:val="ListParagraph"/>
        <w:ind w:left="720"/>
      </w:pPr>
    </w:p>
    <w:p w14:paraId="14E41347" w14:textId="7B8D9E93" w:rsidR="008418E8" w:rsidRDefault="008418E8" w:rsidP="009A2556">
      <w:pPr>
        <w:pStyle w:val="ListParagraph"/>
        <w:numPr>
          <w:ilvl w:val="0"/>
          <w:numId w:val="16"/>
        </w:numPr>
        <w:spacing w:line="360" w:lineRule="auto"/>
      </w:pPr>
      <w:r>
        <w:t>Lack of both PG synthesis and hydrolysis leads to stasis</w:t>
      </w:r>
      <w:r w:rsidR="00B96742">
        <w:t xml:space="preserve">, as seen by the survival curves and phenotype recovery in </w:t>
      </w:r>
      <w:r w:rsidR="00974606" w:rsidRPr="00974606">
        <w:rPr>
          <w:i/>
          <w:iCs/>
        </w:rPr>
        <w:t>w</w:t>
      </w:r>
      <w:r w:rsidR="00B96742" w:rsidRPr="00974606">
        <w:rPr>
          <w:i/>
          <w:iCs/>
        </w:rPr>
        <w:t>alKR</w:t>
      </w:r>
      <w:r w:rsidR="00B96742">
        <w:t xml:space="preserve"> OFF treated with</w:t>
      </w:r>
      <w:r w:rsidR="000C7AB3">
        <w:t xml:space="preserve"> v</w:t>
      </w:r>
      <w:r w:rsidR="00B96742">
        <w:t>ancomycin.</w:t>
      </w:r>
    </w:p>
    <w:p w14:paraId="0F5FC4FF" w14:textId="77777777" w:rsidR="000C7AB3" w:rsidRDefault="000C7AB3" w:rsidP="009A2556">
      <w:pPr>
        <w:pStyle w:val="ListParagraph"/>
      </w:pPr>
    </w:p>
    <w:p w14:paraId="3BB7A5C8" w14:textId="20BF31F1" w:rsidR="000C7AB3" w:rsidRDefault="00B216B6" w:rsidP="009A2556">
      <w:pPr>
        <w:pStyle w:val="ListParagraph"/>
        <w:numPr>
          <w:ilvl w:val="0"/>
          <w:numId w:val="16"/>
        </w:numPr>
        <w:spacing w:line="360" w:lineRule="auto"/>
      </w:pPr>
      <w:r>
        <w:t>Methicillin</w:t>
      </w:r>
      <w:r w:rsidR="000C7AB3">
        <w:t xml:space="preserve"> still leads to plasmolysis in </w:t>
      </w:r>
      <w:r w:rsidR="00974606" w:rsidRPr="00974606">
        <w:rPr>
          <w:i/>
          <w:iCs/>
        </w:rPr>
        <w:t>w</w:t>
      </w:r>
      <w:r w:rsidR="000C7AB3" w:rsidRPr="00974606">
        <w:rPr>
          <w:i/>
          <w:iCs/>
        </w:rPr>
        <w:t>alKR</w:t>
      </w:r>
      <w:r w:rsidR="000C7AB3">
        <w:t xml:space="preserve"> OFF cells.</w:t>
      </w:r>
    </w:p>
    <w:p w14:paraId="2BD2FDD6" w14:textId="77777777" w:rsidR="00192DF4" w:rsidRDefault="00192DF4" w:rsidP="009A2556">
      <w:pPr>
        <w:pStyle w:val="ListParagraph"/>
      </w:pPr>
    </w:p>
    <w:p w14:paraId="61EBBD88" w14:textId="0C156E81" w:rsidR="00192DF4" w:rsidRDefault="00192DF4" w:rsidP="009A2556">
      <w:pPr>
        <w:pStyle w:val="ListParagraph"/>
        <w:numPr>
          <w:ilvl w:val="0"/>
          <w:numId w:val="16"/>
        </w:numPr>
        <w:spacing w:line="360" w:lineRule="auto"/>
      </w:pPr>
      <w:r>
        <w:t>Our model for cell wall homeostasis in life and death (</w:t>
      </w:r>
      <w:r>
        <w:fldChar w:fldCharType="begin"/>
      </w:r>
      <w:r>
        <w:instrText xml:space="preserve"> REF _Ref71110058 \h </w:instrText>
      </w:r>
      <w:r>
        <w:fldChar w:fldCharType="separate"/>
      </w:r>
      <w:r w:rsidR="00183CC8">
        <w:t xml:space="preserve">Figure </w:t>
      </w:r>
      <w:r w:rsidR="00183CC8">
        <w:rPr>
          <w:noProof/>
        </w:rPr>
        <w:t>5</w:t>
      </w:r>
      <w:r w:rsidR="00183CC8">
        <w:t>.</w:t>
      </w:r>
      <w:r w:rsidR="00183CC8">
        <w:rPr>
          <w:noProof/>
        </w:rPr>
        <w:t>1</w:t>
      </w:r>
      <w:r>
        <w:fldChar w:fldCharType="end"/>
      </w:r>
      <w:r>
        <w:t>) is further confirmed.</w:t>
      </w:r>
    </w:p>
    <w:p w14:paraId="2749CE64" w14:textId="77777777" w:rsidR="008418E8" w:rsidRDefault="008418E8" w:rsidP="008418E8"/>
    <w:p w14:paraId="4BD44C4B" w14:textId="0E8CF7BF" w:rsidR="000C0686" w:rsidRDefault="000C0686" w:rsidP="000C0686">
      <w:pPr>
        <w:rPr>
          <w:highlight w:val="yellow"/>
        </w:rPr>
        <w:sectPr w:rsidR="000C0686" w:rsidSect="004D0E05">
          <w:pgSz w:w="11906" w:h="16838"/>
          <w:pgMar w:top="1191" w:right="1247" w:bottom="1191" w:left="1247" w:header="709" w:footer="709" w:gutter="0"/>
          <w:cols w:space="708"/>
          <w:titlePg/>
          <w:docGrid w:linePitch="360"/>
        </w:sectPr>
      </w:pPr>
    </w:p>
    <w:p w14:paraId="2A7FBB2E" w14:textId="77777777" w:rsidR="000C0686" w:rsidRDefault="000C0686" w:rsidP="000C0686">
      <w:pPr>
        <w:pStyle w:val="NoSpacing"/>
        <w:keepNext/>
        <w:jc w:val="center"/>
      </w:pPr>
      <w:r>
        <w:rPr>
          <w:noProof/>
        </w:rPr>
        <w:lastRenderedPageBreak/>
        <w:drawing>
          <wp:inline distT="0" distB="0" distL="0" distR="0" wp14:anchorId="3239442D" wp14:editId="06C9A82D">
            <wp:extent cx="5881536" cy="398970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00770" cy="4002752"/>
                    </a:xfrm>
                    <a:prstGeom prst="rect">
                      <a:avLst/>
                    </a:prstGeom>
                  </pic:spPr>
                </pic:pic>
              </a:graphicData>
            </a:graphic>
          </wp:inline>
        </w:drawing>
      </w:r>
    </w:p>
    <w:p w14:paraId="013C96B3" w14:textId="076F2B95" w:rsidR="000C0686" w:rsidRDefault="000C0686" w:rsidP="008A2B86">
      <w:pPr>
        <w:pStyle w:val="Caption"/>
      </w:pPr>
      <w:bookmarkStart w:id="843" w:name="_Ref71028199"/>
      <w:bookmarkStart w:id="844" w:name="_Toc90217034"/>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49</w:t>
      </w:r>
      <w:r w:rsidR="003373BF">
        <w:rPr>
          <w:noProof/>
        </w:rPr>
        <w:fldChar w:fldCharType="end"/>
      </w:r>
      <w:bookmarkEnd w:id="843"/>
      <w:r>
        <w:t xml:space="preserve"> Effect of </w:t>
      </w:r>
      <w:r w:rsidR="00D97E43">
        <w:t>the depletion of WalKR</w:t>
      </w:r>
      <w:r>
        <w:t xml:space="preserve"> </w:t>
      </w:r>
      <w:r w:rsidR="00D97E43">
        <w:t xml:space="preserve">on </w:t>
      </w:r>
      <w:r>
        <w:rPr>
          <w:i/>
        </w:rPr>
        <w:t>S. aureus</w:t>
      </w:r>
      <w:r>
        <w:t xml:space="preserve"> survival and morphology.</w:t>
      </w:r>
      <w:bookmarkEnd w:id="844"/>
    </w:p>
    <w:p w14:paraId="2C724014" w14:textId="060B7D8D" w:rsidR="00F351E8" w:rsidRPr="00E22BD5" w:rsidRDefault="008704DB" w:rsidP="000C0686">
      <w:pPr>
        <w:pStyle w:val="NoSpacing"/>
        <w:rPr>
          <w:b/>
          <w:bCs/>
        </w:rPr>
        <w:sectPr w:rsidR="00F351E8" w:rsidRPr="00E22BD5" w:rsidSect="004D0E05">
          <w:pgSz w:w="11906" w:h="16838"/>
          <w:pgMar w:top="1191" w:right="1247" w:bottom="1191" w:left="1247" w:header="709" w:footer="709" w:gutter="0"/>
          <w:cols w:space="708"/>
          <w:titlePg/>
          <w:docGrid w:linePitch="360"/>
        </w:sectPr>
      </w:pPr>
      <w:r>
        <w:rPr>
          <w:b/>
          <w:bCs/>
        </w:rPr>
        <w:t xml:space="preserve">(A) </w:t>
      </w:r>
      <w:r w:rsidR="000C0686" w:rsidRPr="00054E4A">
        <w:t>Normalised</w:t>
      </w:r>
      <w:r w:rsidR="000C0686">
        <w:rPr>
          <w:lang w:val="en-US"/>
        </w:rPr>
        <w:t xml:space="preserve"> percentage s</w:t>
      </w:r>
      <w:r w:rsidR="000C0686" w:rsidRPr="0080704D">
        <w:rPr>
          <w:lang w:val="en-US"/>
        </w:rPr>
        <w:t xml:space="preserve">urvival of </w:t>
      </w:r>
      <w:r w:rsidR="003A6C07">
        <w:rPr>
          <w:i/>
          <w:iCs/>
        </w:rPr>
        <w:t>S. aureus</w:t>
      </w:r>
      <w:r w:rsidR="003A6C07">
        <w:t xml:space="preserve"> </w:t>
      </w:r>
      <w:r w:rsidR="003A6C07" w:rsidRPr="00D31579">
        <w:rPr>
          <w:i/>
          <w:iCs/>
        </w:rPr>
        <w:t>walKR</w:t>
      </w:r>
      <w:r w:rsidR="003A6C07">
        <w:t xml:space="preserve"> </w:t>
      </w:r>
      <w:r w:rsidR="000C0686" w:rsidRPr="0080704D">
        <w:rPr>
          <w:lang w:val="en-US"/>
        </w:rPr>
        <w:t>cells</w:t>
      </w:r>
      <w:r w:rsidR="000C0686">
        <w:rPr>
          <w:lang w:val="en-US"/>
        </w:rPr>
        <w:t xml:space="preserve"> with</w:t>
      </w:r>
      <w:r w:rsidR="003A6C07">
        <w:rPr>
          <w:lang w:val="en-US"/>
        </w:rPr>
        <w:t xml:space="preserve"> and without</w:t>
      </w:r>
      <w:r w:rsidR="0031006A">
        <w:rPr>
          <w:lang w:val="en-US"/>
        </w:rPr>
        <w:t xml:space="preserve"> the</w:t>
      </w:r>
      <w:r w:rsidR="003A6C07">
        <w:rPr>
          <w:lang w:val="en-US"/>
        </w:rPr>
        <w:t xml:space="preserve"> IPTG inducer, and its comparison to the SH1000 parental strain</w:t>
      </w:r>
      <w:r w:rsidR="000C0686">
        <w:rPr>
          <w:lang w:val="en-US"/>
        </w:rPr>
        <w:t xml:space="preserve"> </w:t>
      </w:r>
      <w:r w:rsidR="003A6C07">
        <w:rPr>
          <w:lang w:val="en-US"/>
        </w:rPr>
        <w:t>(</w:t>
      </w:r>
      <w:r w:rsidR="000C0686">
        <w:rPr>
          <w:lang w:val="en-US"/>
        </w:rPr>
        <w:t>6 biological repeats). Experiment carried out by Dr. Bartlomiej Salamaga.</w:t>
      </w:r>
      <w:r w:rsidR="00D24963">
        <w:rPr>
          <w:lang w:val="en-US"/>
        </w:rPr>
        <w:t xml:space="preserve"> </w:t>
      </w:r>
      <w:r w:rsidR="00D24963">
        <w:rPr>
          <w:b/>
          <w:bCs/>
          <w:lang w:val="en-US"/>
        </w:rPr>
        <w:t>(B)</w:t>
      </w:r>
      <w:r w:rsidR="00D24963" w:rsidRPr="00D24963">
        <w:t xml:space="preserve"> </w:t>
      </w:r>
      <w:r w:rsidR="00D24963" w:rsidRPr="006456D2">
        <w:t xml:space="preserve">Normalised percentage of survival after </w:t>
      </w:r>
      <w:r w:rsidR="00D24963">
        <w:t>3</w:t>
      </w:r>
      <w:r w:rsidR="00D24963" w:rsidRPr="006456D2">
        <w:t xml:space="preserve"> h </w:t>
      </w:r>
      <w:r w:rsidR="00D24963">
        <w:t xml:space="preserve">of growth, </w:t>
      </w:r>
      <w:r w:rsidR="00D24963" w:rsidRPr="006456D2">
        <w:t>from</w:t>
      </w:r>
      <w:r w:rsidR="00D24963">
        <w:t xml:space="preserve"> the</w:t>
      </w:r>
      <w:r w:rsidR="00D24963" w:rsidRPr="006456D2">
        <w:t xml:space="preserve"> data in (A). Statistical analysis: t-test with Wel</w:t>
      </w:r>
      <w:r w:rsidR="00D24963">
        <w:t>c</w:t>
      </w:r>
      <w:r w:rsidR="00D24963" w:rsidRPr="006456D2">
        <w:t>h</w:t>
      </w:r>
      <w:r w:rsidR="000B568B">
        <w:t>’s</w:t>
      </w:r>
      <w:r w:rsidR="00D24963" w:rsidRPr="006456D2">
        <w:t xml:space="preserve"> correction</w:t>
      </w:r>
      <w:r w:rsidR="00D24963">
        <w:t xml:space="preserve"> </w:t>
      </w:r>
      <w:r w:rsidR="00D24963" w:rsidRPr="006456D2">
        <w:t>(</w:t>
      </w:r>
      <w:r w:rsidR="00D24963">
        <w:t xml:space="preserve">SH1000 </w:t>
      </w:r>
      <w:r w:rsidR="00D24963" w:rsidRPr="00486B0A">
        <w:rPr>
          <w:i/>
          <w:iCs/>
        </w:rPr>
        <w:t>vs</w:t>
      </w:r>
      <w:r w:rsidR="00D24963">
        <w:rPr>
          <w:i/>
          <w:iCs/>
        </w:rPr>
        <w:t>.</w:t>
      </w:r>
      <w:r w:rsidR="00D24963">
        <w:t xml:space="preserve"> </w:t>
      </w:r>
      <w:r w:rsidR="00D24963">
        <w:rPr>
          <w:i/>
          <w:iCs/>
        </w:rPr>
        <w:t>walKR</w:t>
      </w:r>
      <w:r w:rsidR="00D24963">
        <w:t xml:space="preserve"> OFF * p = 0.0129</w:t>
      </w:r>
      <w:r w:rsidR="00061772">
        <w:t xml:space="preserve">; </w:t>
      </w:r>
      <w:r w:rsidR="00D24963">
        <w:t xml:space="preserve"> </w:t>
      </w:r>
      <w:r w:rsidR="00D24963">
        <w:rPr>
          <w:i/>
          <w:iCs/>
        </w:rPr>
        <w:t xml:space="preserve">walKR </w:t>
      </w:r>
      <w:r w:rsidR="00D24963">
        <w:t xml:space="preserve">ON </w:t>
      </w:r>
      <w:r w:rsidR="00D24963">
        <w:rPr>
          <w:i/>
          <w:iCs/>
        </w:rPr>
        <w:t xml:space="preserve">vs. </w:t>
      </w:r>
      <w:r w:rsidR="00D24963">
        <w:t>OFF</w:t>
      </w:r>
      <w:r w:rsidR="00377532">
        <w:t xml:space="preserve"> </w:t>
      </w:r>
      <w:r w:rsidR="00D24963">
        <w:t>** p = 0.003</w:t>
      </w:r>
      <w:r w:rsidR="00377532">
        <w:t>1</w:t>
      </w:r>
      <w:r w:rsidR="00061772">
        <w:t xml:space="preserve">; </w:t>
      </w:r>
      <w:r w:rsidR="00061772">
        <w:rPr>
          <w:i/>
          <w:iCs/>
        </w:rPr>
        <w:t>walKR</w:t>
      </w:r>
      <w:r w:rsidR="00061772">
        <w:t xml:space="preserve"> ON </w:t>
      </w:r>
      <w:r w:rsidR="00061772">
        <w:rPr>
          <w:i/>
          <w:iCs/>
        </w:rPr>
        <w:t>vs.</w:t>
      </w:r>
      <w:r w:rsidR="00061772">
        <w:t xml:space="preserve"> SH1000 non-significant p ≥ 0.05 )</w:t>
      </w:r>
      <w:r w:rsidR="006B5119">
        <w:t>.</w:t>
      </w:r>
      <w:r w:rsidR="000C0686">
        <w:rPr>
          <w:lang w:val="en-US"/>
        </w:rPr>
        <w:t xml:space="preserve"> </w:t>
      </w:r>
      <w:r w:rsidR="000C0686">
        <w:rPr>
          <w:b/>
          <w:bCs/>
          <w:lang w:val="en-US"/>
        </w:rPr>
        <w:t>(</w:t>
      </w:r>
      <w:r w:rsidR="00E22BD5" w:rsidRPr="00E22BD5">
        <w:rPr>
          <w:b/>
          <w:bCs/>
          <w:lang w:val="en-US"/>
        </w:rPr>
        <w:t>C</w:t>
      </w:r>
      <w:r w:rsidR="000C0686">
        <w:rPr>
          <w:b/>
          <w:bCs/>
          <w:lang w:val="en-US"/>
        </w:rPr>
        <w:t>)</w:t>
      </w:r>
      <w:r w:rsidR="000C0686">
        <w:rPr>
          <w:lang w:val="en-US"/>
        </w:rPr>
        <w:t xml:space="preserve"> Representative TEM micrographs of </w:t>
      </w:r>
      <w:r w:rsidR="000C0686">
        <w:rPr>
          <w:i/>
          <w:iCs/>
          <w:lang w:val="en-US"/>
        </w:rPr>
        <w:t>walKR</w:t>
      </w:r>
      <w:r w:rsidR="000C0686">
        <w:rPr>
          <w:lang w:val="en-US"/>
        </w:rPr>
        <w:t xml:space="preserve"> with and without IPTG. High magnification </w:t>
      </w:r>
      <w:r w:rsidR="00134446">
        <w:rPr>
          <w:lang w:val="en-US"/>
        </w:rPr>
        <w:t>(</w:t>
      </w:r>
      <w:r w:rsidR="000C0686">
        <w:rPr>
          <w:lang w:val="en-US"/>
        </w:rPr>
        <w:t>4800x</w:t>
      </w:r>
      <w:r w:rsidR="00134446">
        <w:rPr>
          <w:lang w:val="en-US"/>
        </w:rPr>
        <w:t>)</w:t>
      </w:r>
      <w:r w:rsidR="000C0686">
        <w:rPr>
          <w:lang w:val="en-US"/>
        </w:rPr>
        <w:t>, scale bar 1 µm</w:t>
      </w:r>
      <w:r w:rsidR="00F351E8">
        <w:t>.</w:t>
      </w:r>
      <w:r w:rsidR="00E22BD5">
        <w:t xml:space="preserve"> </w:t>
      </w:r>
      <w:r w:rsidR="00E22BD5">
        <w:rPr>
          <w:b/>
          <w:bCs/>
        </w:rPr>
        <w:t>(D)</w:t>
      </w:r>
      <w:r w:rsidR="00F12634">
        <w:rPr>
          <w:b/>
          <w:bCs/>
        </w:rPr>
        <w:t xml:space="preserve"> </w:t>
      </w:r>
      <w:r w:rsidR="00F12634">
        <w:t xml:space="preserve">Morphological quantification of </w:t>
      </w:r>
      <w:r w:rsidR="00F12634" w:rsidRPr="00D31579">
        <w:rPr>
          <w:i/>
          <w:iCs/>
        </w:rPr>
        <w:t>walKR</w:t>
      </w:r>
      <w:r w:rsidR="00F12634">
        <w:t xml:space="preserve"> ON– with IPTG</w:t>
      </w:r>
      <w:r w:rsidR="00F12634">
        <w:rPr>
          <w:i/>
          <w:iCs/>
        </w:rPr>
        <w:t xml:space="preserve"> </w:t>
      </w:r>
      <w:r w:rsidR="00F12634" w:rsidRPr="00570A71">
        <w:t>(</w:t>
      </w:r>
      <w:r w:rsidR="00F12634">
        <w:t xml:space="preserve">2 biological repeats, </w:t>
      </w:r>
      <w:r w:rsidR="00F12634">
        <w:rPr>
          <w:i/>
          <w:iCs/>
        </w:rPr>
        <w:t>n</w:t>
      </w:r>
      <w:r w:rsidR="00F12634">
        <w:t xml:space="preserve"> = 824), </w:t>
      </w:r>
      <w:r w:rsidR="00F12634" w:rsidRPr="00D31579">
        <w:rPr>
          <w:i/>
          <w:iCs/>
        </w:rPr>
        <w:t>walKR</w:t>
      </w:r>
      <w:r w:rsidR="00F12634">
        <w:t xml:space="preserve"> OFF– without IPTG (2 biological repeats, </w:t>
      </w:r>
      <w:r w:rsidR="00F12634">
        <w:rPr>
          <w:i/>
          <w:iCs/>
        </w:rPr>
        <w:t>n</w:t>
      </w:r>
      <w:r w:rsidR="00F12634">
        <w:t xml:space="preserve"> = 856), and its comparison to SH1000 </w:t>
      </w:r>
      <w:r w:rsidR="00ED5B25" w:rsidRPr="00570A71">
        <w:t>(</w:t>
      </w:r>
      <w:r w:rsidR="00ED5B25">
        <w:t xml:space="preserve">2 biological repeats, </w:t>
      </w:r>
      <w:r w:rsidR="00ED5B25">
        <w:rPr>
          <w:i/>
          <w:iCs/>
        </w:rPr>
        <w:t>n</w:t>
      </w:r>
      <w:r w:rsidR="00ED5B25">
        <w:t> = 905).</w:t>
      </w:r>
      <w:r w:rsidR="00ED5B25" w:rsidRPr="00ED5B25">
        <w:t xml:space="preserve"> </w:t>
      </w:r>
      <w:r w:rsidR="00ED5B25">
        <w:t>No sept</w:t>
      </w:r>
      <w:r w:rsidR="001174F2">
        <w:t>um</w:t>
      </w:r>
      <w:r w:rsidR="00ED5B25">
        <w:t>– dark green, incomplete sept</w:t>
      </w:r>
      <w:r w:rsidR="001174F2">
        <w:t>um</w:t>
      </w:r>
      <w:r w:rsidR="00ED5B25">
        <w:t>– medium green, complete sept</w:t>
      </w:r>
      <w:r w:rsidR="001174F2">
        <w:t>um</w:t>
      </w:r>
      <w:r w:rsidR="00ED5B25">
        <w:t>– light green, plasmolysis– orange, and growth defects– yellow.</w:t>
      </w:r>
    </w:p>
    <w:p w14:paraId="1E4EB70D" w14:textId="77777777" w:rsidR="00F351E8" w:rsidRDefault="00F351E8" w:rsidP="00E01199">
      <w:pPr>
        <w:pStyle w:val="NoSpacing"/>
        <w:keepNext/>
        <w:jc w:val="center"/>
      </w:pPr>
      <w:r>
        <w:rPr>
          <w:noProof/>
        </w:rPr>
        <w:lastRenderedPageBreak/>
        <w:drawing>
          <wp:inline distT="0" distB="0" distL="0" distR="0" wp14:anchorId="73BE7610" wp14:editId="22DFF974">
            <wp:extent cx="5910688" cy="4341091"/>
            <wp:effectExtent l="0" t="0" r="0" b="2540"/>
            <wp:docPr id="127" name="Picture 127"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Chart, diagram&#10;&#10;Description automatically generated"/>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23039" cy="4350162"/>
                    </a:xfrm>
                    <a:prstGeom prst="rect">
                      <a:avLst/>
                    </a:prstGeom>
                  </pic:spPr>
                </pic:pic>
              </a:graphicData>
            </a:graphic>
          </wp:inline>
        </w:drawing>
      </w:r>
    </w:p>
    <w:p w14:paraId="4CD12565" w14:textId="3E857D85" w:rsidR="00F351E8" w:rsidRDefault="00F351E8" w:rsidP="008A2B86">
      <w:pPr>
        <w:pStyle w:val="Caption"/>
      </w:pPr>
      <w:bookmarkStart w:id="845" w:name="_Ref78755520"/>
      <w:bookmarkStart w:id="846" w:name="_Toc90217035"/>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50</w:t>
      </w:r>
      <w:r w:rsidR="003373BF">
        <w:rPr>
          <w:noProof/>
        </w:rPr>
        <w:fldChar w:fldCharType="end"/>
      </w:r>
      <w:bookmarkEnd w:id="845"/>
      <w:r w:rsidR="00E425B2">
        <w:t xml:space="preserve"> Effect of vancomycin and/or methicillin on </w:t>
      </w:r>
      <w:r w:rsidR="00E425B2">
        <w:rPr>
          <w:i/>
        </w:rPr>
        <w:t>S. aureus</w:t>
      </w:r>
      <w:r w:rsidR="00E425B2">
        <w:t xml:space="preserve"> </w:t>
      </w:r>
      <w:r w:rsidR="00E425B2" w:rsidRPr="00D31579">
        <w:rPr>
          <w:i/>
        </w:rPr>
        <w:t>walKR</w:t>
      </w:r>
      <w:r w:rsidR="00E425B2">
        <w:t xml:space="preserve"> survival.</w:t>
      </w:r>
      <w:bookmarkEnd w:id="846"/>
    </w:p>
    <w:p w14:paraId="343E47FB" w14:textId="2D784AF5" w:rsidR="00F351E8" w:rsidRDefault="00086F7E" w:rsidP="000C0686">
      <w:pPr>
        <w:pStyle w:val="NoSpacing"/>
        <w:sectPr w:rsidR="00F351E8" w:rsidSect="004D0E05">
          <w:pgSz w:w="11906" w:h="16838"/>
          <w:pgMar w:top="1191" w:right="1247" w:bottom="1191" w:left="1247" w:header="709" w:footer="709" w:gutter="0"/>
          <w:cols w:space="708"/>
          <w:titlePg/>
          <w:docGrid w:linePitch="360"/>
        </w:sectPr>
      </w:pPr>
      <w:r>
        <w:rPr>
          <w:i/>
          <w:iCs/>
        </w:rPr>
        <w:t>S. aureus</w:t>
      </w:r>
      <w:r>
        <w:t xml:space="preserve"> </w:t>
      </w:r>
      <w:r w:rsidRPr="00D31579">
        <w:rPr>
          <w:i/>
          <w:iCs/>
        </w:rPr>
        <w:t>walKR</w:t>
      </w:r>
      <w:r>
        <w:t xml:space="preserve"> treated with 10 X MIC of methicillin and/or vancomycin</w:t>
      </w:r>
      <w:r>
        <w:rPr>
          <w:b/>
          <w:bCs/>
        </w:rPr>
        <w:t>.</w:t>
      </w:r>
      <w:r>
        <w:t xml:space="preserve"> </w:t>
      </w:r>
      <w:r w:rsidR="00D53CAE">
        <w:t xml:space="preserve">The </w:t>
      </w:r>
      <w:r w:rsidR="00D53CAE">
        <w:rPr>
          <w:i/>
          <w:iCs/>
        </w:rPr>
        <w:t>w</w:t>
      </w:r>
      <w:r w:rsidRPr="00D31579">
        <w:rPr>
          <w:i/>
          <w:iCs/>
        </w:rPr>
        <w:t>alKR</w:t>
      </w:r>
      <w:r>
        <w:t xml:space="preserve"> OFF corresponds to the removal of the inducer </w:t>
      </w:r>
      <w:r w:rsidR="00D67C5A">
        <w:t>(</w:t>
      </w:r>
      <w:r>
        <w:t>IPTG</w:t>
      </w:r>
      <w:r w:rsidR="00D67C5A">
        <w:t>) for</w:t>
      </w:r>
      <w:r>
        <w:t xml:space="preserve"> this conditional lethal strain. </w:t>
      </w:r>
      <w:r w:rsidRPr="00054E4A">
        <w:t>Normalised</w:t>
      </w:r>
      <w:r>
        <w:rPr>
          <w:lang w:val="en-US"/>
        </w:rPr>
        <w:t xml:space="preserve"> percentage s</w:t>
      </w:r>
      <w:r w:rsidRPr="0080704D">
        <w:rPr>
          <w:lang w:val="en-US"/>
        </w:rPr>
        <w:t>urvival of bacterial cells</w:t>
      </w:r>
      <w:r>
        <w:rPr>
          <w:lang w:val="en-US"/>
        </w:rPr>
        <w:t xml:space="preserve"> with </w:t>
      </w:r>
      <w:r>
        <w:rPr>
          <w:b/>
          <w:bCs/>
          <w:lang w:val="en-US"/>
        </w:rPr>
        <w:t>(A)</w:t>
      </w:r>
      <w:r>
        <w:rPr>
          <w:lang w:val="en-US"/>
        </w:rPr>
        <w:t xml:space="preserve"> vancomycin (3 biological repeats) or </w:t>
      </w:r>
      <w:r>
        <w:rPr>
          <w:b/>
          <w:bCs/>
          <w:lang w:val="en-US"/>
        </w:rPr>
        <w:t>(B)</w:t>
      </w:r>
      <w:r>
        <w:rPr>
          <w:lang w:val="en-US"/>
        </w:rPr>
        <w:t xml:space="preserve"> methicillin (6 biological repeats). Experiment carried out by Dr. Bartlomiej Salamaga. </w:t>
      </w:r>
      <w:r>
        <w:rPr>
          <w:b/>
          <w:bCs/>
          <w:lang w:val="en-US"/>
        </w:rPr>
        <w:t>(C</w:t>
      </w:r>
      <w:r w:rsidR="005D44DB">
        <w:rPr>
          <w:b/>
          <w:bCs/>
          <w:lang w:val="en-US"/>
        </w:rPr>
        <w:t>-D</w:t>
      </w:r>
      <w:r>
        <w:rPr>
          <w:b/>
          <w:bCs/>
          <w:lang w:val="en-US"/>
        </w:rPr>
        <w:t>)</w:t>
      </w:r>
      <w:r>
        <w:rPr>
          <w:lang w:val="en-US"/>
        </w:rPr>
        <w:t xml:space="preserve"> </w:t>
      </w:r>
      <w:r w:rsidR="005D44DB" w:rsidRPr="006456D2">
        <w:t xml:space="preserve">Normalised percentage of survival after </w:t>
      </w:r>
      <w:r w:rsidR="005D44DB">
        <w:t>3</w:t>
      </w:r>
      <w:r w:rsidR="005D44DB" w:rsidRPr="006456D2">
        <w:t xml:space="preserve"> h </w:t>
      </w:r>
      <w:r w:rsidR="005D44DB">
        <w:t xml:space="preserve">of treatment with </w:t>
      </w:r>
      <w:r w:rsidR="005D44DB">
        <w:rPr>
          <w:b/>
          <w:bCs/>
        </w:rPr>
        <w:t>(C)</w:t>
      </w:r>
      <w:r w:rsidR="005D44DB">
        <w:t xml:space="preserve"> vancomycin and </w:t>
      </w:r>
      <w:r w:rsidR="005D44DB">
        <w:rPr>
          <w:b/>
          <w:bCs/>
        </w:rPr>
        <w:t>(B)</w:t>
      </w:r>
      <w:r w:rsidR="005D44DB">
        <w:t xml:space="preserve"> methicillin, </w:t>
      </w:r>
      <w:r w:rsidR="005D44DB" w:rsidRPr="006456D2">
        <w:t>from</w:t>
      </w:r>
      <w:r w:rsidR="005D44DB">
        <w:t xml:space="preserve"> the</w:t>
      </w:r>
      <w:r w:rsidR="005D44DB" w:rsidRPr="006456D2">
        <w:t xml:space="preserve"> data in (A)</w:t>
      </w:r>
      <w:r w:rsidR="005D44DB">
        <w:t xml:space="preserve"> and (B), respectively</w:t>
      </w:r>
      <w:r w:rsidR="005D44DB" w:rsidRPr="006456D2">
        <w:t xml:space="preserve">. </w:t>
      </w:r>
      <w:r w:rsidR="007C7B57">
        <w:t xml:space="preserve">(C-D) </w:t>
      </w:r>
      <w:r w:rsidR="005D44DB" w:rsidRPr="006456D2">
        <w:t>Statistical analysis: t-test with Wel</w:t>
      </w:r>
      <w:r w:rsidR="005D44DB">
        <w:t>c</w:t>
      </w:r>
      <w:r w:rsidR="005D44DB" w:rsidRPr="006456D2">
        <w:t>h</w:t>
      </w:r>
      <w:r w:rsidR="000B568B">
        <w:t>’s</w:t>
      </w:r>
      <w:r w:rsidR="005D44DB" w:rsidRPr="006456D2">
        <w:t xml:space="preserve"> correction</w:t>
      </w:r>
      <w:r w:rsidR="005D44DB">
        <w:t xml:space="preserve"> </w:t>
      </w:r>
      <w:r w:rsidR="005D44DB" w:rsidRPr="006456D2">
        <w:t>(</w:t>
      </w:r>
      <w:r w:rsidR="007C7B57" w:rsidRPr="007C7B57">
        <w:rPr>
          <w:i/>
          <w:iCs/>
        </w:rPr>
        <w:t>walKR</w:t>
      </w:r>
      <w:r w:rsidR="007C7B57">
        <w:t xml:space="preserve"> OFF </w:t>
      </w:r>
      <w:r w:rsidR="007C7B57">
        <w:rPr>
          <w:i/>
          <w:iCs/>
        </w:rPr>
        <w:t>vs.</w:t>
      </w:r>
      <w:r w:rsidR="007C7B57">
        <w:t xml:space="preserve"> </w:t>
      </w:r>
      <w:r w:rsidR="006F1FD2">
        <w:rPr>
          <w:i/>
          <w:iCs/>
        </w:rPr>
        <w:t xml:space="preserve">walKR </w:t>
      </w:r>
      <w:r w:rsidR="006F1FD2">
        <w:t xml:space="preserve">OFF </w:t>
      </w:r>
      <w:r w:rsidR="00073111" w:rsidRPr="007C7B57">
        <w:t>vancomycin</w:t>
      </w:r>
      <w:r w:rsidR="005D44DB">
        <w:t xml:space="preserve"> ** p = 0.00</w:t>
      </w:r>
      <w:r w:rsidR="00BB1741">
        <w:t>6</w:t>
      </w:r>
      <w:r w:rsidR="00222FEA">
        <w:t>9</w:t>
      </w:r>
      <w:r w:rsidR="005C20DC">
        <w:t xml:space="preserve">; </w:t>
      </w:r>
      <w:r w:rsidR="005D44DB">
        <w:t xml:space="preserve"> </w:t>
      </w:r>
      <w:r w:rsidR="007C7B57">
        <w:rPr>
          <w:i/>
          <w:iCs/>
        </w:rPr>
        <w:t xml:space="preserve">walKR </w:t>
      </w:r>
      <w:r w:rsidR="007C7B57">
        <w:t xml:space="preserve">OFF </w:t>
      </w:r>
      <w:r w:rsidR="007C7B57">
        <w:rPr>
          <w:i/>
          <w:iCs/>
        </w:rPr>
        <w:t xml:space="preserve">vs. </w:t>
      </w:r>
      <w:r w:rsidR="006F1FD2">
        <w:rPr>
          <w:i/>
          <w:iCs/>
        </w:rPr>
        <w:t xml:space="preserve">walKR </w:t>
      </w:r>
      <w:r w:rsidR="006F1FD2">
        <w:t xml:space="preserve">OFF </w:t>
      </w:r>
      <w:r w:rsidR="00073111">
        <w:t>methicillin</w:t>
      </w:r>
      <w:r w:rsidR="005D44DB">
        <w:t xml:space="preserve"> ** p = 0.0</w:t>
      </w:r>
      <w:r w:rsidR="00BB1741">
        <w:t>063</w:t>
      </w:r>
      <w:r w:rsidR="005C20DC">
        <w:t xml:space="preserve">; </w:t>
      </w:r>
      <w:r w:rsidR="005C20DC">
        <w:rPr>
          <w:i/>
          <w:iCs/>
        </w:rPr>
        <w:t xml:space="preserve">walKR </w:t>
      </w:r>
      <w:r w:rsidR="005C20DC">
        <w:t xml:space="preserve">ON </w:t>
      </w:r>
      <w:r w:rsidR="005C20DC">
        <w:rPr>
          <w:i/>
          <w:iCs/>
        </w:rPr>
        <w:t xml:space="preserve">vs. </w:t>
      </w:r>
      <w:r w:rsidR="006F1FD2">
        <w:rPr>
          <w:i/>
          <w:iCs/>
        </w:rPr>
        <w:t xml:space="preserve">walKR </w:t>
      </w:r>
      <w:r w:rsidR="006F1FD2">
        <w:t xml:space="preserve">OFF </w:t>
      </w:r>
      <w:r w:rsidR="005C20DC">
        <w:t xml:space="preserve">vancomycin non-significant p ≥ 0.05; </w:t>
      </w:r>
      <w:r w:rsidR="005C20DC">
        <w:rPr>
          <w:i/>
          <w:iCs/>
        </w:rPr>
        <w:t xml:space="preserve">walKR </w:t>
      </w:r>
      <w:r w:rsidR="005C20DC">
        <w:t xml:space="preserve">ON </w:t>
      </w:r>
      <w:r w:rsidR="005C20DC">
        <w:rPr>
          <w:i/>
          <w:iCs/>
        </w:rPr>
        <w:t xml:space="preserve">vs. </w:t>
      </w:r>
      <w:r w:rsidR="006F1FD2">
        <w:rPr>
          <w:i/>
          <w:iCs/>
        </w:rPr>
        <w:t xml:space="preserve">walKR </w:t>
      </w:r>
      <w:r w:rsidR="006F1FD2">
        <w:t xml:space="preserve">OFF </w:t>
      </w:r>
      <w:r w:rsidR="005C20DC">
        <w:t>methicillin non-significant p ≥ 0.05)</w:t>
      </w:r>
      <w:r w:rsidR="000C0686">
        <w:t>.</w:t>
      </w:r>
    </w:p>
    <w:p w14:paraId="7072E47D" w14:textId="77777777" w:rsidR="00F351E8" w:rsidRDefault="00F351E8" w:rsidP="0095136F">
      <w:pPr>
        <w:pStyle w:val="NoSpacing"/>
        <w:keepNext/>
        <w:jc w:val="center"/>
      </w:pPr>
      <w:r>
        <w:rPr>
          <w:noProof/>
        </w:rPr>
        <w:lastRenderedPageBreak/>
        <w:drawing>
          <wp:inline distT="0" distB="0" distL="0" distR="0" wp14:anchorId="73C452BA" wp14:editId="54EBADF6">
            <wp:extent cx="5845236" cy="4941454"/>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855261" cy="4949929"/>
                    </a:xfrm>
                    <a:prstGeom prst="rect">
                      <a:avLst/>
                    </a:prstGeom>
                  </pic:spPr>
                </pic:pic>
              </a:graphicData>
            </a:graphic>
          </wp:inline>
        </w:drawing>
      </w:r>
    </w:p>
    <w:p w14:paraId="700C02F2" w14:textId="16EEC126" w:rsidR="000C0686" w:rsidRDefault="00F351E8" w:rsidP="008A2B86">
      <w:pPr>
        <w:pStyle w:val="Caption"/>
      </w:pPr>
      <w:bookmarkStart w:id="847" w:name="_Ref78755621"/>
      <w:bookmarkStart w:id="848" w:name="_Toc90217036"/>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51</w:t>
      </w:r>
      <w:r w:rsidR="003373BF">
        <w:rPr>
          <w:noProof/>
        </w:rPr>
        <w:fldChar w:fldCharType="end"/>
      </w:r>
      <w:bookmarkEnd w:id="847"/>
      <w:r w:rsidR="002A5E40">
        <w:t xml:space="preserve"> Effect of vancomycin and/or methicillin on </w:t>
      </w:r>
      <w:r w:rsidR="002A5E40">
        <w:rPr>
          <w:i/>
        </w:rPr>
        <w:t>S. aureus</w:t>
      </w:r>
      <w:r w:rsidR="002A5E40">
        <w:t xml:space="preserve"> </w:t>
      </w:r>
      <w:r w:rsidR="002A5E40" w:rsidRPr="00D31579">
        <w:rPr>
          <w:i/>
        </w:rPr>
        <w:t>walKR</w:t>
      </w:r>
      <w:r w:rsidR="002A5E40">
        <w:t xml:space="preserve"> morphology.</w:t>
      </w:r>
      <w:bookmarkEnd w:id="848"/>
    </w:p>
    <w:p w14:paraId="0C6E1358" w14:textId="28402691" w:rsidR="00F351E8" w:rsidRPr="00F351E8" w:rsidRDefault="00F351E8" w:rsidP="00F351E8">
      <w:pPr>
        <w:pStyle w:val="NoSpacing"/>
        <w:sectPr w:rsidR="00F351E8" w:rsidRPr="00F351E8" w:rsidSect="004D0E05">
          <w:pgSz w:w="11906" w:h="16838"/>
          <w:pgMar w:top="1191" w:right="1247" w:bottom="1191" w:left="1247" w:header="709" w:footer="709" w:gutter="0"/>
          <w:cols w:space="708"/>
          <w:titlePg/>
          <w:docGrid w:linePitch="360"/>
        </w:sectPr>
      </w:pPr>
      <w:r>
        <w:rPr>
          <w:i/>
          <w:iCs/>
        </w:rPr>
        <w:t>S. aureus</w:t>
      </w:r>
      <w:r>
        <w:t xml:space="preserve"> </w:t>
      </w:r>
      <w:r w:rsidRPr="00D31579">
        <w:rPr>
          <w:i/>
          <w:iCs/>
        </w:rPr>
        <w:t>walKR</w:t>
      </w:r>
      <w:r>
        <w:t xml:space="preserve"> treated for 3 h with 10 X MIC of methicillin and/or vancomycin</w:t>
      </w:r>
      <w:r>
        <w:rPr>
          <w:b/>
          <w:bCs/>
        </w:rPr>
        <w:t>.</w:t>
      </w:r>
      <w:r>
        <w:t xml:space="preserve"> </w:t>
      </w:r>
      <w:r w:rsidRPr="00D31579">
        <w:rPr>
          <w:i/>
          <w:iCs/>
        </w:rPr>
        <w:t>WalKR</w:t>
      </w:r>
      <w:r>
        <w:t xml:space="preserve"> OFF corresponds to the removal of the inducer IPTG on this conditional lethal strain. </w:t>
      </w:r>
      <w:r>
        <w:rPr>
          <w:b/>
          <w:bCs/>
          <w:lang w:val="en-US"/>
        </w:rPr>
        <w:t>(A)</w:t>
      </w:r>
      <w:r>
        <w:rPr>
          <w:lang w:val="en-US"/>
        </w:rPr>
        <w:t xml:space="preserve"> </w:t>
      </w:r>
      <w:r>
        <w:t xml:space="preserve">Morphological quantification of the </w:t>
      </w:r>
      <w:r w:rsidR="00D33492">
        <w:t xml:space="preserve">control </w:t>
      </w:r>
      <w:r w:rsidR="00D33492" w:rsidRPr="00D31579">
        <w:rPr>
          <w:i/>
          <w:iCs/>
        </w:rPr>
        <w:t>walKR</w:t>
      </w:r>
      <w:r w:rsidR="00D33492">
        <w:t xml:space="preserve"> ON with IPTG</w:t>
      </w:r>
      <w:r w:rsidR="00D33492">
        <w:rPr>
          <w:i/>
          <w:iCs/>
        </w:rPr>
        <w:t xml:space="preserve"> </w:t>
      </w:r>
      <w:r w:rsidR="00D33492" w:rsidRPr="00570A71">
        <w:t>(</w:t>
      </w:r>
      <w:r w:rsidR="00D33492">
        <w:t xml:space="preserve">2 biological repeats, </w:t>
      </w:r>
      <w:r w:rsidR="00D33492">
        <w:rPr>
          <w:i/>
          <w:iCs/>
        </w:rPr>
        <w:t>n</w:t>
      </w:r>
      <w:r w:rsidR="00D33492">
        <w:t xml:space="preserve"> = 824), </w:t>
      </w:r>
      <w:r>
        <w:t xml:space="preserve">control </w:t>
      </w:r>
      <w:r w:rsidRPr="00D31579">
        <w:rPr>
          <w:i/>
          <w:iCs/>
        </w:rPr>
        <w:t>walKR</w:t>
      </w:r>
      <w:r>
        <w:t xml:space="preserve"> OFF without IPTG (2 biological repeats, </w:t>
      </w:r>
      <w:r>
        <w:rPr>
          <w:i/>
          <w:iCs/>
        </w:rPr>
        <w:t>n</w:t>
      </w:r>
      <w:r>
        <w:t xml:space="preserve"> = 856), </w:t>
      </w:r>
      <w:r w:rsidRPr="00D31579">
        <w:rPr>
          <w:i/>
          <w:iCs/>
        </w:rPr>
        <w:t>walKR</w:t>
      </w:r>
      <w:r>
        <w:t xml:space="preserve"> OFF with vancomycin (2 biological repeats, </w:t>
      </w:r>
      <w:r w:rsidRPr="0055451D">
        <w:rPr>
          <w:i/>
          <w:iCs/>
        </w:rPr>
        <w:t>n</w:t>
      </w:r>
      <w:r>
        <w:t xml:space="preserve"> = 826), </w:t>
      </w:r>
      <w:r w:rsidRPr="00D31579">
        <w:rPr>
          <w:i/>
          <w:iCs/>
        </w:rPr>
        <w:t>walKR</w:t>
      </w:r>
      <w:r>
        <w:t xml:space="preserve"> OFF with </w:t>
      </w:r>
      <w:r w:rsidRPr="0055451D">
        <w:t>methicillin</w:t>
      </w:r>
      <w:r>
        <w:t xml:space="preserve"> (2 biological repeat, </w:t>
      </w:r>
      <w:r>
        <w:rPr>
          <w:i/>
          <w:iCs/>
        </w:rPr>
        <w:t>n</w:t>
      </w:r>
      <w:r w:rsidRPr="00D40C1B">
        <w:t> = </w:t>
      </w:r>
      <w:r>
        <w:t xml:space="preserve">1063), and </w:t>
      </w:r>
      <w:r w:rsidRPr="00D31579">
        <w:rPr>
          <w:i/>
          <w:iCs/>
        </w:rPr>
        <w:t>walKR</w:t>
      </w:r>
      <w:r>
        <w:t xml:space="preserve"> OFF with vancomycin plus methicillin (2 biological repeats, </w:t>
      </w:r>
      <w:r>
        <w:rPr>
          <w:i/>
          <w:iCs/>
        </w:rPr>
        <w:t>n</w:t>
      </w:r>
      <w:r>
        <w:t> = 470) as indicated. No sept</w:t>
      </w:r>
      <w:r w:rsidR="00AC2171">
        <w:t>um</w:t>
      </w:r>
      <w:r>
        <w:t>– dark green, incomplete sept</w:t>
      </w:r>
      <w:r w:rsidR="00AC2171">
        <w:t>um</w:t>
      </w:r>
      <w:r>
        <w:t>– medium green, complete sept</w:t>
      </w:r>
      <w:r w:rsidR="00AC2171">
        <w:t>um</w:t>
      </w:r>
      <w:r>
        <w:t xml:space="preserve">– light green, plasmolysis– orange, and growth defects– yellow. </w:t>
      </w:r>
      <w:r>
        <w:rPr>
          <w:b/>
          <w:bCs/>
        </w:rPr>
        <w:t>(</w:t>
      </w:r>
      <w:r w:rsidR="00032269">
        <w:rPr>
          <w:b/>
          <w:bCs/>
        </w:rPr>
        <w:t>B</w:t>
      </w:r>
      <w:r>
        <w:rPr>
          <w:b/>
          <w:bCs/>
        </w:rPr>
        <w:t>)</w:t>
      </w:r>
      <w:r>
        <w:t xml:space="preserve"> Representative cells from TEM micrographs of chemically fixed thin sections showing signs of plasmolysis. Cropped from high magnification (4800x), scale bar 300 nm.</w:t>
      </w:r>
      <w:r w:rsidRPr="004F7116">
        <w:t xml:space="preserve"> </w:t>
      </w:r>
      <w:r>
        <w:t>pm– plasma membrane, cw– cell wall, ex– exoplasmic space</w:t>
      </w:r>
      <w:r w:rsidR="00032269">
        <w:t>.</w:t>
      </w:r>
    </w:p>
    <w:p w14:paraId="75E8C0ED" w14:textId="77777777" w:rsidR="000C0686" w:rsidRDefault="000C0686" w:rsidP="000A52EC">
      <w:pPr>
        <w:keepNext/>
        <w:jc w:val="center"/>
      </w:pPr>
      <w:r>
        <w:rPr>
          <w:noProof/>
        </w:rPr>
        <w:lastRenderedPageBreak/>
        <w:drawing>
          <wp:inline distT="0" distB="0" distL="0" distR="0" wp14:anchorId="47F5ECC3" wp14:editId="74F76E3F">
            <wp:extent cx="5941636" cy="7765207"/>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1636" cy="7765207"/>
                    </a:xfrm>
                    <a:prstGeom prst="rect">
                      <a:avLst/>
                    </a:prstGeom>
                  </pic:spPr>
                </pic:pic>
              </a:graphicData>
            </a:graphic>
          </wp:inline>
        </w:drawing>
      </w:r>
    </w:p>
    <w:p w14:paraId="7D3E4502" w14:textId="5D4D533A" w:rsidR="000C0686" w:rsidRDefault="000C0686" w:rsidP="008A2B86">
      <w:pPr>
        <w:pStyle w:val="Caption"/>
      </w:pPr>
      <w:bookmarkStart w:id="849" w:name="_Ref71018905"/>
      <w:bookmarkStart w:id="850" w:name="_Toc90217037"/>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w:instrText>
      </w:r>
      <w:r w:rsidR="003373BF">
        <w:instrText xml:space="preserve">SEQ Figure \* ARABIC \s 1 </w:instrText>
      </w:r>
      <w:r w:rsidR="003373BF">
        <w:fldChar w:fldCharType="separate"/>
      </w:r>
      <w:r w:rsidR="00183CC8">
        <w:rPr>
          <w:noProof/>
        </w:rPr>
        <w:t>52</w:t>
      </w:r>
      <w:r w:rsidR="003373BF">
        <w:rPr>
          <w:noProof/>
        </w:rPr>
        <w:fldChar w:fldCharType="end"/>
      </w:r>
      <w:bookmarkEnd w:id="849"/>
      <w:r>
        <w:t xml:space="preserve"> Effect of vancomycin and/or methicillin on </w:t>
      </w:r>
      <w:r>
        <w:rPr>
          <w:i/>
        </w:rPr>
        <w:t>S. aureus</w:t>
      </w:r>
      <w:r>
        <w:t xml:space="preserve"> </w:t>
      </w:r>
      <w:r w:rsidRPr="00072422">
        <w:rPr>
          <w:i/>
        </w:rPr>
        <w:t>walKR</w:t>
      </w:r>
      <w:r>
        <w:t xml:space="preserve"> mutant phenotype.</w:t>
      </w:r>
      <w:bookmarkEnd w:id="850"/>
    </w:p>
    <w:p w14:paraId="15DE6400" w14:textId="5EE72AAD" w:rsidR="00EA43B8" w:rsidRDefault="000C0686" w:rsidP="000C0686">
      <w:pPr>
        <w:pStyle w:val="NoSpacing"/>
        <w:sectPr w:rsidR="00EA43B8" w:rsidSect="004D0E05">
          <w:pgSz w:w="11906" w:h="16838"/>
          <w:pgMar w:top="1191" w:right="1247" w:bottom="1191" w:left="1247" w:header="709" w:footer="709" w:gutter="0"/>
          <w:cols w:space="708"/>
          <w:titlePg/>
          <w:docGrid w:linePitch="360"/>
        </w:sectPr>
      </w:pPr>
      <w:r>
        <w:t>TEM</w:t>
      </w:r>
      <w:r w:rsidRPr="008375BD">
        <w:t xml:space="preserve"> </w:t>
      </w:r>
      <w:r>
        <w:t xml:space="preserve">micrographs of chemically fixed thin sections of </w:t>
      </w:r>
      <w:r>
        <w:rPr>
          <w:i/>
          <w:iCs/>
        </w:rPr>
        <w:t>S. aureus</w:t>
      </w:r>
      <w:r>
        <w:t xml:space="preserve"> </w:t>
      </w:r>
      <w:r w:rsidRPr="00072422">
        <w:rPr>
          <w:i/>
          <w:iCs/>
        </w:rPr>
        <w:t>walKR</w:t>
      </w:r>
      <w:r>
        <w:t xml:space="preserve"> without the inducer IPTG. </w:t>
      </w:r>
      <w:r>
        <w:rPr>
          <w:b/>
          <w:bCs/>
        </w:rPr>
        <w:t>(A)</w:t>
      </w:r>
      <w:r>
        <w:t xml:space="preserve"> untreated and treated for 3 h with 10 X MIC </w:t>
      </w:r>
      <w:r>
        <w:rPr>
          <w:b/>
          <w:bCs/>
        </w:rPr>
        <w:t xml:space="preserve">(B) </w:t>
      </w:r>
      <w:r>
        <w:t xml:space="preserve">vancomycin, </w:t>
      </w:r>
      <w:r>
        <w:rPr>
          <w:b/>
          <w:bCs/>
        </w:rPr>
        <w:t>(C)</w:t>
      </w:r>
      <w:r>
        <w:t xml:space="preserve"> methicillin, or </w:t>
      </w:r>
      <w:r>
        <w:rPr>
          <w:b/>
          <w:bCs/>
        </w:rPr>
        <w:t>(D)</w:t>
      </w:r>
      <w:r>
        <w:t xml:space="preserve"> vancomycin plus methicillin. High magnification </w:t>
      </w:r>
      <w:r w:rsidR="00231540">
        <w:t>(</w:t>
      </w:r>
      <w:r>
        <w:t>4800x</w:t>
      </w:r>
      <w:r w:rsidR="00231540">
        <w:t>)</w:t>
      </w:r>
      <w:r>
        <w:t>, scale bar 1 µm.</w:t>
      </w:r>
      <w:r w:rsidRPr="00C23BDE">
        <w:t xml:space="preserve"> </w:t>
      </w:r>
      <w:r>
        <w:t xml:space="preserve">Black arrows indicate areas where the exoplasmic space </w:t>
      </w:r>
      <w:r w:rsidR="00CF1BE1">
        <w:t>is</w:t>
      </w:r>
      <w:r>
        <w:t xml:space="preserve"> expanded.</w:t>
      </w:r>
    </w:p>
    <w:p w14:paraId="518E337E" w14:textId="366A7D55" w:rsidR="00182281" w:rsidRPr="00182281" w:rsidRDefault="00AC3211" w:rsidP="00B615F2">
      <w:pPr>
        <w:pStyle w:val="Heading2"/>
      </w:pPr>
      <w:bookmarkStart w:id="851" w:name="_Toc90216914"/>
      <w:r w:rsidRPr="00B615F2">
        <w:lastRenderedPageBreak/>
        <w:t>Discussion</w:t>
      </w:r>
      <w:r w:rsidR="009903CC">
        <w:t>.</w:t>
      </w:r>
      <w:bookmarkEnd w:id="851"/>
    </w:p>
    <w:p w14:paraId="3604EA37" w14:textId="46BA7055" w:rsidR="00CE0F1B" w:rsidRDefault="00BB4D05" w:rsidP="00052004">
      <w:r>
        <w:t xml:space="preserve">The natural progression of the cell cycle for </w:t>
      </w:r>
      <w:r>
        <w:rPr>
          <w:i/>
          <w:iCs/>
        </w:rPr>
        <w:t>S. aureus</w:t>
      </w:r>
      <w:r>
        <w:t xml:space="preserve"> can be seen in</w:t>
      </w:r>
      <w:r w:rsidR="00C2780B">
        <w:t xml:space="preserve"> the schematic</w:t>
      </w:r>
      <w:r>
        <w:t xml:space="preserve"> </w:t>
      </w:r>
      <w:r>
        <w:fldChar w:fldCharType="begin"/>
      </w:r>
      <w:r>
        <w:instrText xml:space="preserve"> REF _Ref71106928 \h </w:instrText>
      </w:r>
      <w:r>
        <w:fldChar w:fldCharType="separate"/>
      </w:r>
      <w:r w:rsidR="00183CC8" w:rsidRPr="00E6620C">
        <w:t xml:space="preserve">Figure </w:t>
      </w:r>
      <w:r w:rsidR="00183CC8">
        <w:rPr>
          <w:noProof/>
        </w:rPr>
        <w:t>5</w:t>
      </w:r>
      <w:r w:rsidR="00183CC8">
        <w:t>.</w:t>
      </w:r>
      <w:r w:rsidR="00183CC8">
        <w:rPr>
          <w:noProof/>
        </w:rPr>
        <w:t>53</w:t>
      </w:r>
      <w:r>
        <w:fldChar w:fldCharType="end"/>
      </w:r>
      <w:r w:rsidR="00E23FCF">
        <w:t xml:space="preserve"> (black arrows), together with the effect of</w:t>
      </w:r>
      <w:r>
        <w:t xml:space="preserve"> </w:t>
      </w:r>
      <w:r w:rsidR="00E23FCF">
        <w:t>t</w:t>
      </w:r>
      <w:r w:rsidR="00981E53">
        <w:t xml:space="preserve">he addition of supra-MIC levels of </w:t>
      </w:r>
      <w:r w:rsidR="009E572F">
        <w:t xml:space="preserve">the </w:t>
      </w:r>
      <w:r w:rsidR="00981E53">
        <w:t xml:space="preserve">cell wall antibiotics </w:t>
      </w:r>
      <w:r w:rsidR="009E572F">
        <w:t>β</w:t>
      </w:r>
      <w:r w:rsidR="009E572F" w:rsidRPr="009E572F">
        <w:t>-</w:t>
      </w:r>
      <w:r w:rsidR="009E572F">
        <w:t>lactam</w:t>
      </w:r>
      <w:r w:rsidR="00E23FCF">
        <w:t xml:space="preserve"> (red arrows)</w:t>
      </w:r>
      <w:r w:rsidR="00AE0481">
        <w:t xml:space="preserve"> </w:t>
      </w:r>
      <w:r w:rsidR="00981E53">
        <w:t>or vancomycin</w:t>
      </w:r>
      <w:r w:rsidR="00AE0481">
        <w:t xml:space="preserve"> (alone or combined with β</w:t>
      </w:r>
      <w:r w:rsidR="00AE0481" w:rsidRPr="009E572F">
        <w:t>-</w:t>
      </w:r>
      <w:r w:rsidR="00AE0481">
        <w:t xml:space="preserve">lactams, </w:t>
      </w:r>
      <w:r w:rsidR="00E23FCF">
        <w:t xml:space="preserve">blue arrows). </w:t>
      </w:r>
      <w:r w:rsidR="00275B4D">
        <w:t>This model summarises the morphological changes observed w</w:t>
      </w:r>
      <w:r w:rsidR="004D6FD0">
        <w:t xml:space="preserve">hen treating </w:t>
      </w:r>
      <w:r w:rsidR="004D6FD0">
        <w:rPr>
          <w:i/>
          <w:iCs/>
        </w:rPr>
        <w:t xml:space="preserve">S. aureus </w:t>
      </w:r>
      <w:r w:rsidR="00275B4D">
        <w:t>with these bactericidal antibiotics.</w:t>
      </w:r>
      <w:r w:rsidR="004D6FD0">
        <w:t xml:space="preserve"> Below we</w:t>
      </w:r>
      <w:r w:rsidR="00E40E60">
        <w:t xml:space="preserve"> </w:t>
      </w:r>
      <w:r w:rsidR="004D6FD0">
        <w:t>discuss these changes</w:t>
      </w:r>
      <w:r w:rsidR="00DA6CB6">
        <w:t xml:space="preserve">, </w:t>
      </w:r>
      <w:r w:rsidR="004D6FD0">
        <w:t xml:space="preserve">the disruption </w:t>
      </w:r>
      <w:r w:rsidR="00DA6CB6">
        <w:t>caused to</w:t>
      </w:r>
      <w:r w:rsidR="004D6FD0">
        <w:t xml:space="preserve"> PG homeostasis</w:t>
      </w:r>
      <w:r w:rsidR="00DA6CB6">
        <w:t xml:space="preserve">, and how it </w:t>
      </w:r>
      <w:r w:rsidR="004D6FD0">
        <w:t>lead</w:t>
      </w:r>
      <w:r w:rsidR="006B666A">
        <w:t>s</w:t>
      </w:r>
      <w:r w:rsidR="004D6FD0">
        <w:t xml:space="preserve"> to antibiotic-induced death.</w:t>
      </w:r>
    </w:p>
    <w:p w14:paraId="26E89C99" w14:textId="37B121CD" w:rsidR="00CE0F1B" w:rsidRPr="005B0356" w:rsidRDefault="00D82C7E" w:rsidP="00052004">
      <w:r>
        <w:t xml:space="preserve">Cell wall antibiotics inhibit PG </w:t>
      </w:r>
      <w:r w:rsidR="00B16186">
        <w:t>synthesis and</w:t>
      </w:r>
      <w:r>
        <w:t xml:space="preserve"> </w:t>
      </w:r>
      <w:r w:rsidR="00981E53">
        <w:t>result in a</w:t>
      </w:r>
      <w:r w:rsidR="00CE0F1B">
        <w:t xml:space="preserve"> decrease of dividing cells and increase of cells without sept</w:t>
      </w:r>
      <w:r w:rsidR="00FA5648">
        <w:t xml:space="preserve">um </w:t>
      </w:r>
      <w:r w:rsidR="00CE0F1B">
        <w:t>(</w:t>
      </w:r>
      <w:r w:rsidR="0066446D">
        <w:fldChar w:fldCharType="begin"/>
      </w:r>
      <w:r w:rsidR="0066446D">
        <w:instrText xml:space="preserve"> REF _Ref76388632 \h </w:instrText>
      </w:r>
      <w:r w:rsidR="0066446D">
        <w:fldChar w:fldCharType="separate"/>
      </w:r>
      <w:r w:rsidR="00183CC8">
        <w:t xml:space="preserve">Figure </w:t>
      </w:r>
      <w:r w:rsidR="00183CC8">
        <w:rPr>
          <w:noProof/>
        </w:rPr>
        <w:t>5</w:t>
      </w:r>
      <w:r w:rsidR="00183CC8">
        <w:t>.</w:t>
      </w:r>
      <w:r w:rsidR="00183CC8">
        <w:rPr>
          <w:noProof/>
        </w:rPr>
        <w:t>5</w:t>
      </w:r>
      <w:r w:rsidR="0066446D">
        <w:fldChar w:fldCharType="end"/>
      </w:r>
      <w:r w:rsidR="00CE0F1B">
        <w:t>)</w:t>
      </w:r>
      <w:r w:rsidR="00E83558">
        <w:t>.</w:t>
      </w:r>
      <w:r w:rsidR="00981E53">
        <w:t xml:space="preserve"> </w:t>
      </w:r>
      <w:r w:rsidR="0002581C">
        <w:t>One hour after the addition of antibiotics, the number</w:t>
      </w:r>
      <w:r w:rsidR="00475932">
        <w:t xml:space="preserve"> of </w:t>
      </w:r>
      <w:r w:rsidR="0002581C">
        <w:t xml:space="preserve">methicillin-treated </w:t>
      </w:r>
      <w:r w:rsidR="00475932">
        <w:t xml:space="preserve">cells with </w:t>
      </w:r>
      <w:r w:rsidR="00FA5648">
        <w:t xml:space="preserve">a </w:t>
      </w:r>
      <w:r w:rsidR="00475932">
        <w:t>complete sept</w:t>
      </w:r>
      <w:r w:rsidR="00FA5648">
        <w:t>um</w:t>
      </w:r>
      <w:r w:rsidR="00475932">
        <w:t xml:space="preserve"> falls</w:t>
      </w:r>
      <w:r w:rsidR="00181776">
        <w:t xml:space="preserve"> </w:t>
      </w:r>
      <w:r w:rsidR="0002581C">
        <w:t>significantly</w:t>
      </w:r>
      <w:r w:rsidR="0061470D">
        <w:t xml:space="preserve"> (</w:t>
      </w:r>
      <w:r w:rsidR="0066446D">
        <w:fldChar w:fldCharType="begin"/>
      </w:r>
      <w:r w:rsidR="0066446D">
        <w:instrText xml:space="preserve"> REF _Ref76388632 \h </w:instrText>
      </w:r>
      <w:r w:rsidR="0066446D">
        <w:fldChar w:fldCharType="separate"/>
      </w:r>
      <w:r w:rsidR="00183CC8">
        <w:t xml:space="preserve">Figure </w:t>
      </w:r>
      <w:r w:rsidR="00183CC8">
        <w:rPr>
          <w:noProof/>
        </w:rPr>
        <w:t>5</w:t>
      </w:r>
      <w:r w:rsidR="00183CC8">
        <w:t>.</w:t>
      </w:r>
      <w:r w:rsidR="00183CC8">
        <w:rPr>
          <w:noProof/>
        </w:rPr>
        <w:t>5</w:t>
      </w:r>
      <w:r w:rsidR="0066446D">
        <w:fldChar w:fldCharType="end"/>
      </w:r>
      <w:r w:rsidR="0061470D">
        <w:t>)</w:t>
      </w:r>
      <w:r w:rsidR="00181776">
        <w:t>,</w:t>
      </w:r>
      <w:r w:rsidR="00475932">
        <w:t xml:space="preserve"> </w:t>
      </w:r>
      <w:r w:rsidR="00181776">
        <w:t xml:space="preserve">which </w:t>
      </w:r>
      <w:r w:rsidR="00B54CC8">
        <w:t>could</w:t>
      </w:r>
      <w:r w:rsidR="00181776">
        <w:t xml:space="preserve"> be explained by the autolysin </w:t>
      </w:r>
      <w:r w:rsidR="00475932">
        <w:t>Atl</w:t>
      </w:r>
      <w:r w:rsidR="00CE0F1B">
        <w:t xml:space="preserve"> </w:t>
      </w:r>
      <w:r w:rsidR="00181776">
        <w:t>continuing</w:t>
      </w:r>
      <w:r w:rsidR="00CE0F1B">
        <w:t xml:space="preserve"> cell separation, </w:t>
      </w:r>
      <w:r w:rsidR="00475932">
        <w:t>and thus leading to an increase of cells with no sept</w:t>
      </w:r>
      <w:r w:rsidR="00FA5648">
        <w:t>um</w:t>
      </w:r>
      <w:r w:rsidR="00475932">
        <w:t xml:space="preserve">. </w:t>
      </w:r>
      <w:r w:rsidR="00CE0F1B">
        <w:t xml:space="preserve">Vancomycin’s </w:t>
      </w:r>
      <w:r w:rsidR="00181776">
        <w:t>inhibition of Atl</w:t>
      </w:r>
      <w:r w:rsidR="00E433E9">
        <w:t xml:space="preserve"> </w:t>
      </w:r>
      <w:r w:rsidR="00E433E9">
        <w:fldChar w:fldCharType="begin" w:fldLock="1"/>
      </w:r>
      <w:r w:rsidR="0058736C">
        <w:instrText>ADDIN CSL_CITATION {"citationItems":[{"id":"ITEM-1","itemData":{"DOI":"10.1021/ja2039979","ISSN":"00027863","abstract":"Vancomycin is a potent glycopeptide antibiotic that has evolved to specifically bind to the D-Ala-D-Ala dipeptide termini of nascent peptidoglycans. Although this mode of action is well established, several studies indicate that vancomycin and analogues exploit noncanonical target sites. In order to address all vancomycin targets in clinically relevant Staphylococcus aureus and Enterococcus faecalis strains we developed a series of small-molecule photoaffinity probes based on vancomycin. Proteomic profiling revealed the specific labeling of two previously unknown vancomycin targets that are likely to contribute to its antibiotic activity. The specific inhibition of the major staphylococcal autolysin Atl confirms previous observations that vancomycin alters S. aureus cell morphology by interaction with the autolytic machinery. Moreover, in E. faecalis the vancomycin photoprobe specifically binds to an ABC transporter protein, which likely impedes the uptake of essential nutrients such as sugars and peptides. The labeling of these two prominent membrane targets in living cells reveals a thus far unexplored mode of vancomycin binding and inhibition that could allow a rational design of variants with improved activity.","author":[{"dropping-particle":"","family":"Eirich","given":"Jürgen","non-dropping-particle":"","parse-names":false,"suffix":""},{"dropping-particle":"","family":"Orth","given":"Ronald","non-dropping-particle":"","parse-names":false,"suffix":""},{"dropping-particle":"","family":"Sieber","given":"Stephan A.","non-dropping-particle":"","parse-names":false,"suffix":""}],"container-title":"Journal of the American Chemical Society","id":"ITEM-1","issue":"31","issued":{"date-parts":[["2011"]]},"page":"12144-12153","title":"Unraveling the protein targets of vancomycin in living S. aureus and E. faecalis cells","type":"article-journal","volume":"133"},"uris":["http://www.mendeley.com/documents/?uuid=b5a1c03f-3b64-47f4-92eb-579d1863b51f"]}],"mendeley":{"formattedCitation":"&lt;sup&gt;[199]&lt;/sup&gt;","plainTextFormattedCitation":"[199]","previouslyFormattedCitation":"&lt;sup&gt;[199]&lt;/sup&gt;"},"properties":{"noteIndex":0},"schema":"https://github.com/citation-style-language/schema/raw/master/csl-citation.json"}</w:instrText>
      </w:r>
      <w:r w:rsidR="00E433E9">
        <w:fldChar w:fldCharType="separate"/>
      </w:r>
      <w:r w:rsidR="002659E5" w:rsidRPr="002659E5">
        <w:rPr>
          <w:noProof/>
          <w:vertAlign w:val="superscript"/>
        </w:rPr>
        <w:t>[199]</w:t>
      </w:r>
      <w:r w:rsidR="00E433E9">
        <w:fldChar w:fldCharType="end"/>
      </w:r>
      <w:r w:rsidR="00181776">
        <w:t xml:space="preserve"> </w:t>
      </w:r>
      <w:r w:rsidR="0022465E">
        <w:t>and potentially other PGH demonstrates</w:t>
      </w:r>
      <w:r w:rsidR="00181776">
        <w:t xml:space="preserve"> why </w:t>
      </w:r>
      <w:r w:rsidR="00700A72">
        <w:t>cells treated with this antibiotic</w:t>
      </w:r>
      <w:r w:rsidR="00181776">
        <w:t xml:space="preserve"> do not follow the same profile</w:t>
      </w:r>
      <w:r w:rsidR="00182CF8">
        <w:t xml:space="preserve"> as methicillin-treated cells</w:t>
      </w:r>
      <w:r w:rsidR="00181776">
        <w:t xml:space="preserve">. </w:t>
      </w:r>
    </w:p>
    <w:p w14:paraId="79C00562" w14:textId="65F4E465" w:rsidR="007962F5" w:rsidRDefault="00AA2A0A" w:rsidP="00052004">
      <w:pPr>
        <w:sectPr w:rsidR="007962F5" w:rsidSect="004D0E05">
          <w:pgSz w:w="11906" w:h="16838"/>
          <w:pgMar w:top="1191" w:right="1247" w:bottom="1191" w:left="1247" w:header="709" w:footer="709" w:gutter="0"/>
          <w:cols w:space="708"/>
          <w:titlePg/>
          <w:docGrid w:linePitch="360"/>
        </w:sectPr>
      </w:pPr>
      <w:r>
        <w:t xml:space="preserve">All antibiotics </w:t>
      </w:r>
      <w:r w:rsidR="00E8727E">
        <w:t>led</w:t>
      </w:r>
      <w:r>
        <w:t xml:space="preserve"> </w:t>
      </w:r>
      <w:r w:rsidR="00156D6E">
        <w:t xml:space="preserve">to </w:t>
      </w:r>
      <w:r>
        <w:t>a</w:t>
      </w:r>
      <w:r w:rsidR="008365E2">
        <w:t xml:space="preserve"> significant</w:t>
      </w:r>
      <w:r>
        <w:t xml:space="preserve"> increase in cell volume (</w:t>
      </w:r>
      <w:r w:rsidR="00983280">
        <w:fldChar w:fldCharType="begin"/>
      </w:r>
      <w:r w:rsidR="00983280">
        <w:instrText xml:space="preserve"> REF _Ref76382959 \h </w:instrText>
      </w:r>
      <w:r w:rsidR="00983280">
        <w:fldChar w:fldCharType="separate"/>
      </w:r>
      <w:r w:rsidR="00183CC8">
        <w:t xml:space="preserve">Figure </w:t>
      </w:r>
      <w:r w:rsidR="00183CC8">
        <w:rPr>
          <w:noProof/>
        </w:rPr>
        <w:t>5</w:t>
      </w:r>
      <w:r w:rsidR="00183CC8">
        <w:t>.</w:t>
      </w:r>
      <w:r w:rsidR="00183CC8">
        <w:rPr>
          <w:noProof/>
        </w:rPr>
        <w:t>6</w:t>
      </w:r>
      <w:r w:rsidR="00983280">
        <w:fldChar w:fldCharType="end"/>
      </w:r>
      <w:r>
        <w:t>)</w:t>
      </w:r>
      <w:r w:rsidR="00E8727E">
        <w:t xml:space="preserve"> and CW morphological changes. These comprised</w:t>
      </w:r>
      <w:r w:rsidR="00220BE0">
        <w:t xml:space="preserve"> </w:t>
      </w:r>
      <w:r>
        <w:t>a reduction in cell wall thickness (</w:t>
      </w:r>
      <w:r w:rsidR="00220BE0">
        <w:fldChar w:fldCharType="begin"/>
      </w:r>
      <w:r w:rsidR="00220BE0">
        <w:instrText xml:space="preserve"> REF _Ref69653684 \h </w:instrText>
      </w:r>
      <w:r w:rsidR="00220BE0">
        <w:fldChar w:fldCharType="separate"/>
      </w:r>
      <w:r w:rsidR="00183CC8">
        <w:t xml:space="preserve">Figure </w:t>
      </w:r>
      <w:r w:rsidR="00183CC8">
        <w:rPr>
          <w:noProof/>
        </w:rPr>
        <w:t>5</w:t>
      </w:r>
      <w:r w:rsidR="00183CC8">
        <w:t>.</w:t>
      </w:r>
      <w:r w:rsidR="00183CC8">
        <w:rPr>
          <w:noProof/>
        </w:rPr>
        <w:t>9</w:t>
      </w:r>
      <w:r w:rsidR="00220BE0">
        <w:fldChar w:fldCharType="end"/>
      </w:r>
      <w:r>
        <w:t>)</w:t>
      </w:r>
      <w:r w:rsidR="00220BE0">
        <w:t xml:space="preserve"> paired with a fuzzy appearance </w:t>
      </w:r>
      <w:r w:rsidR="00F443F2">
        <w:t>of</w:t>
      </w:r>
      <w:r w:rsidR="00051D44">
        <w:t xml:space="preserve"> surface of</w:t>
      </w:r>
      <w:r w:rsidR="00220BE0">
        <w:t xml:space="preserve"> the cell wall (</w:t>
      </w:r>
      <w:r w:rsidR="00220BE0">
        <w:fldChar w:fldCharType="begin"/>
      </w:r>
      <w:r w:rsidR="00220BE0">
        <w:instrText xml:space="preserve"> REF _Ref69032566 \h </w:instrText>
      </w:r>
      <w:r w:rsidR="00220BE0">
        <w:fldChar w:fldCharType="separate"/>
      </w:r>
      <w:r w:rsidR="00183CC8">
        <w:t xml:space="preserve">Figure </w:t>
      </w:r>
      <w:r w:rsidR="00183CC8">
        <w:rPr>
          <w:noProof/>
        </w:rPr>
        <w:t>5</w:t>
      </w:r>
      <w:r w:rsidR="00183CC8">
        <w:t>.</w:t>
      </w:r>
      <w:r w:rsidR="00183CC8">
        <w:rPr>
          <w:noProof/>
        </w:rPr>
        <w:t>10</w:t>
      </w:r>
      <w:r w:rsidR="00220BE0">
        <w:fldChar w:fldCharType="end"/>
      </w:r>
      <w:r w:rsidR="003163EC">
        <w:t>) (</w:t>
      </w:r>
      <w:r w:rsidR="00F32E0D">
        <w:t xml:space="preserve">grey in </w:t>
      </w:r>
      <w:r w:rsidR="00F32E0D">
        <w:fldChar w:fldCharType="begin"/>
      </w:r>
      <w:r w:rsidR="00F32E0D">
        <w:instrText xml:space="preserve"> REF _Ref71106928 \h </w:instrText>
      </w:r>
      <w:r w:rsidR="00F32E0D">
        <w:fldChar w:fldCharType="separate"/>
      </w:r>
      <w:r w:rsidR="00183CC8" w:rsidRPr="00E6620C">
        <w:t xml:space="preserve">Figure </w:t>
      </w:r>
      <w:r w:rsidR="00183CC8">
        <w:rPr>
          <w:noProof/>
        </w:rPr>
        <w:t>5</w:t>
      </w:r>
      <w:r w:rsidR="00183CC8">
        <w:t>.</w:t>
      </w:r>
      <w:r w:rsidR="00183CC8">
        <w:rPr>
          <w:noProof/>
        </w:rPr>
        <w:t>53</w:t>
      </w:r>
      <w:r w:rsidR="00F32E0D">
        <w:fldChar w:fldCharType="end"/>
      </w:r>
      <w:r w:rsidR="00220BE0">
        <w:t>)</w:t>
      </w:r>
      <w:r w:rsidR="00051D44">
        <w:t>.</w:t>
      </w:r>
      <w:r w:rsidR="00220BE0">
        <w:t xml:space="preserve"> </w:t>
      </w:r>
      <w:r w:rsidR="006576F1">
        <w:t xml:space="preserve">This is </w:t>
      </w:r>
      <w:r w:rsidR="00220BE0">
        <w:t xml:space="preserve">characteristic of </w:t>
      </w:r>
      <w:r w:rsidR="006576F1">
        <w:t>the continued action of PGH</w:t>
      </w:r>
      <w:r w:rsidR="00122CDD">
        <w:t xml:space="preserve"> affecting the cell wall architecture, appearance, and eventua</w:t>
      </w:r>
      <w:r w:rsidR="001F6910">
        <w:t>l</w:t>
      </w:r>
      <w:r w:rsidR="00122CDD">
        <w:t>l</w:t>
      </w:r>
      <w:r w:rsidR="001F6910">
        <w:t>y</w:t>
      </w:r>
      <w:r w:rsidR="00122CDD">
        <w:t xml:space="preserve"> leading to cell death (</w:t>
      </w:r>
      <w:r w:rsidR="00476B09">
        <w:fldChar w:fldCharType="begin"/>
      </w:r>
      <w:r w:rsidR="00476B09">
        <w:instrText xml:space="preserve"> REF _Ref71110058 \h </w:instrText>
      </w:r>
      <w:r w:rsidR="00476B09">
        <w:fldChar w:fldCharType="separate"/>
      </w:r>
      <w:r w:rsidR="00183CC8">
        <w:t xml:space="preserve">Figure </w:t>
      </w:r>
      <w:r w:rsidR="00183CC8">
        <w:rPr>
          <w:noProof/>
        </w:rPr>
        <w:t>5</w:t>
      </w:r>
      <w:r w:rsidR="00183CC8">
        <w:t>.</w:t>
      </w:r>
      <w:r w:rsidR="00183CC8">
        <w:rPr>
          <w:noProof/>
        </w:rPr>
        <w:t>1</w:t>
      </w:r>
      <w:r w:rsidR="00476B09">
        <w:fldChar w:fldCharType="end"/>
      </w:r>
      <w:r w:rsidR="00122CDD">
        <w:t>)</w:t>
      </w:r>
      <w:r w:rsidR="006576F1">
        <w:t>.</w:t>
      </w:r>
      <w:r w:rsidR="00F32E0D">
        <w:t xml:space="preserve"> Vancomycin does not show any further morphological changes before general lysis and cell death, however methicillin</w:t>
      </w:r>
      <w:r w:rsidR="00ED7A24">
        <w:t xml:space="preserve"> and oxacillin</w:t>
      </w:r>
      <w:r w:rsidR="00F32E0D">
        <w:t xml:space="preserve"> show</w:t>
      </w:r>
      <w:r w:rsidR="00A91477">
        <w:t>ed</w:t>
      </w:r>
      <w:r w:rsidR="00F32E0D">
        <w:t xml:space="preserve"> an expansion of the exoplasm</w:t>
      </w:r>
      <w:r w:rsidR="00A641C5">
        <w:t xml:space="preserve"> and the appearance of bulbous septa</w:t>
      </w:r>
      <w:r w:rsidR="00F32E0D">
        <w:t xml:space="preserve"> (</w:t>
      </w:r>
      <w:r w:rsidR="00564B14">
        <w:t>s</w:t>
      </w:r>
      <w:r w:rsidR="00A641C5">
        <w:t xml:space="preserve">ection </w:t>
      </w:r>
      <w:r w:rsidR="00A641C5">
        <w:fldChar w:fldCharType="begin"/>
      </w:r>
      <w:r w:rsidR="00A641C5">
        <w:instrText xml:space="preserve"> REF _Ref71115584 \r \h </w:instrText>
      </w:r>
      <w:r w:rsidR="00A641C5">
        <w:fldChar w:fldCharType="separate"/>
      </w:r>
      <w:r w:rsidR="00183CC8">
        <w:t>5.3</w:t>
      </w:r>
      <w:r w:rsidR="00A641C5">
        <w:fldChar w:fldCharType="end"/>
      </w:r>
      <w:r w:rsidR="00ED7A24">
        <w:t xml:space="preserve"> and</w:t>
      </w:r>
      <w:r w:rsidR="00590362">
        <w:t xml:space="preserve"> </w:t>
      </w:r>
      <w:r w:rsidR="00590362">
        <w:fldChar w:fldCharType="begin"/>
      </w:r>
      <w:r w:rsidR="00590362">
        <w:instrText xml:space="preserve"> REF _Ref76285689 \r \h </w:instrText>
      </w:r>
      <w:r w:rsidR="00590362">
        <w:fldChar w:fldCharType="separate"/>
      </w:r>
      <w:r w:rsidR="00183CC8">
        <w:t>5.4</w:t>
      </w:r>
      <w:r w:rsidR="00590362">
        <w:fldChar w:fldCharType="end"/>
      </w:r>
      <w:r w:rsidR="00A641C5">
        <w:t xml:space="preserve">, </w:t>
      </w:r>
      <w:r w:rsidR="00F32E0D">
        <w:t xml:space="preserve">pink in </w:t>
      </w:r>
      <w:r w:rsidR="00F32E0D">
        <w:fldChar w:fldCharType="begin"/>
      </w:r>
      <w:r w:rsidR="00F32E0D">
        <w:instrText xml:space="preserve"> REF _Ref71106928 \h </w:instrText>
      </w:r>
      <w:r w:rsidR="00F32E0D">
        <w:fldChar w:fldCharType="separate"/>
      </w:r>
      <w:r w:rsidR="00183CC8" w:rsidRPr="00E6620C">
        <w:t xml:space="preserve">Figure </w:t>
      </w:r>
      <w:r w:rsidR="00183CC8">
        <w:rPr>
          <w:noProof/>
        </w:rPr>
        <w:t>5</w:t>
      </w:r>
      <w:r w:rsidR="00183CC8">
        <w:t>.</w:t>
      </w:r>
      <w:r w:rsidR="00183CC8">
        <w:rPr>
          <w:noProof/>
        </w:rPr>
        <w:t>53</w:t>
      </w:r>
      <w:r w:rsidR="00F32E0D">
        <w:fldChar w:fldCharType="end"/>
      </w:r>
      <w:r w:rsidR="00F32E0D">
        <w:t>)</w:t>
      </w:r>
      <w:r w:rsidR="00ED7A24">
        <w:t>.</w:t>
      </w:r>
      <w:r w:rsidR="00B15E09">
        <w:t xml:space="preserve"> </w:t>
      </w:r>
      <w:r w:rsidR="00237218">
        <w:t xml:space="preserve">The micrographs obtained </w:t>
      </w:r>
      <w:r w:rsidR="00FF2629">
        <w:t>from</w:t>
      </w:r>
      <w:r w:rsidR="00237218">
        <w:t xml:space="preserve"> methicillin-treated cells were reminiscent of plasmolysis</w:t>
      </w:r>
      <w:r w:rsidR="00474CF2">
        <w:t>, as</w:t>
      </w:r>
      <w:r w:rsidR="00237218">
        <w:t xml:space="preserve"> observed </w:t>
      </w:r>
      <w:r w:rsidR="00474CF2">
        <w:t>in</w:t>
      </w:r>
      <w:r w:rsidR="00237218">
        <w:t xml:space="preserve"> SH1000</w:t>
      </w:r>
      <w:r w:rsidR="00474CF2">
        <w:t xml:space="preserve"> cells</w:t>
      </w:r>
      <w:r w:rsidR="00237218">
        <w:t xml:space="preserve"> treated with </w:t>
      </w:r>
      <w:r w:rsidR="00FF2629">
        <w:t xml:space="preserve">high concentration of </w:t>
      </w:r>
      <w:r w:rsidR="00237218">
        <w:t>NaCl</w:t>
      </w:r>
      <w:r w:rsidR="00BC6B0F">
        <w:t xml:space="preserve"> present</w:t>
      </w:r>
      <w:r w:rsidR="00474CF2">
        <w:t>ing</w:t>
      </w:r>
      <w:r w:rsidR="00BC6B0F">
        <w:t xml:space="preserve"> blebs in the exoplasm and expansion of the exoplasmic space</w:t>
      </w:r>
      <w:r w:rsidR="00237218">
        <w:t xml:space="preserve"> </w:t>
      </w:r>
      <w:r w:rsidR="0031734B">
        <w:t>(</w:t>
      </w:r>
      <w:r w:rsidR="0031734B">
        <w:rPr>
          <w:highlight w:val="yellow"/>
        </w:rPr>
        <w:fldChar w:fldCharType="begin"/>
      </w:r>
      <w:r w:rsidR="0031734B">
        <w:instrText xml:space="preserve"> REF _Ref77856133 \h </w:instrText>
      </w:r>
      <w:r w:rsidR="0031734B">
        <w:rPr>
          <w:highlight w:val="yellow"/>
        </w:rPr>
      </w:r>
      <w:r w:rsidR="0031734B">
        <w:rPr>
          <w:highlight w:val="yellow"/>
        </w:rPr>
        <w:fldChar w:fldCharType="separate"/>
      </w:r>
      <w:r w:rsidR="00183CC8">
        <w:t xml:space="preserve">Supplementary Figure </w:t>
      </w:r>
      <w:r w:rsidR="00183CC8">
        <w:rPr>
          <w:noProof/>
        </w:rPr>
        <w:t>12</w:t>
      </w:r>
      <w:r w:rsidR="0031734B">
        <w:rPr>
          <w:highlight w:val="yellow"/>
        </w:rPr>
        <w:fldChar w:fldCharType="end"/>
      </w:r>
      <w:r w:rsidR="0031734B">
        <w:t xml:space="preserve"> and</w:t>
      </w:r>
      <w:r w:rsidR="0037588C">
        <w:t xml:space="preserve"> </w:t>
      </w:r>
      <w:r w:rsidR="0031734B">
        <w:rPr>
          <w:highlight w:val="yellow"/>
        </w:rPr>
        <w:fldChar w:fldCharType="begin"/>
      </w:r>
      <w:r w:rsidR="0031734B">
        <w:instrText xml:space="preserve"> REF _Ref77856144 \h </w:instrText>
      </w:r>
      <w:r w:rsidR="0031734B">
        <w:rPr>
          <w:highlight w:val="yellow"/>
        </w:rPr>
      </w:r>
      <w:r w:rsidR="0031734B">
        <w:rPr>
          <w:highlight w:val="yellow"/>
        </w:rPr>
        <w:fldChar w:fldCharType="separate"/>
      </w:r>
      <w:r w:rsidR="00183CC8">
        <w:t xml:space="preserve">Supplementary Figure </w:t>
      </w:r>
      <w:r w:rsidR="00183CC8">
        <w:rPr>
          <w:noProof/>
        </w:rPr>
        <w:t>13</w:t>
      </w:r>
      <w:r w:rsidR="0031734B">
        <w:rPr>
          <w:highlight w:val="yellow"/>
        </w:rPr>
        <w:fldChar w:fldCharType="end"/>
      </w:r>
      <w:r w:rsidR="00474CF2">
        <w:t>)</w:t>
      </w:r>
      <w:r w:rsidR="00237218">
        <w:t xml:space="preserve">. Therefore, </w:t>
      </w:r>
      <w:r w:rsidR="007C4E6C">
        <w:t>it was</w:t>
      </w:r>
      <w:r w:rsidR="00237218">
        <w:t xml:space="preserve"> suspected that methicillin and oxacillin were plasmolysing cells. </w:t>
      </w:r>
      <w:r w:rsidR="00B15E09">
        <w:t>Vancomycin’s slower mortality rate</w:t>
      </w:r>
      <w:r w:rsidR="004413D4">
        <w:t xml:space="preserve"> (</w:t>
      </w:r>
      <w:r w:rsidR="004413D4">
        <w:fldChar w:fldCharType="begin"/>
      </w:r>
      <w:r w:rsidR="004413D4">
        <w:instrText xml:space="preserve"> REF _Ref68881389 \h </w:instrText>
      </w:r>
      <w:r w:rsidR="004413D4">
        <w:fldChar w:fldCharType="separate"/>
      </w:r>
      <w:r w:rsidR="00183CC8">
        <w:t xml:space="preserve">Figure </w:t>
      </w:r>
      <w:r w:rsidR="00183CC8">
        <w:rPr>
          <w:noProof/>
        </w:rPr>
        <w:t>5</w:t>
      </w:r>
      <w:r w:rsidR="00183CC8">
        <w:t>.</w:t>
      </w:r>
      <w:r w:rsidR="00183CC8">
        <w:rPr>
          <w:noProof/>
        </w:rPr>
        <w:t>4</w:t>
      </w:r>
      <w:r w:rsidR="004413D4">
        <w:fldChar w:fldCharType="end"/>
      </w:r>
      <w:r w:rsidR="004413D4">
        <w:t>)</w:t>
      </w:r>
      <w:r w:rsidR="00B15E09">
        <w:t xml:space="preserve"> does not seem to be correlated with </w:t>
      </w:r>
      <w:r w:rsidR="00441D81">
        <w:t xml:space="preserve">a </w:t>
      </w:r>
      <w:r w:rsidR="00B15E09">
        <w:t>dela</w:t>
      </w:r>
      <w:r w:rsidR="00441D81">
        <w:t>y</w:t>
      </w:r>
      <w:r w:rsidR="00B15E09">
        <w:t xml:space="preserve"> in showing signs of </w:t>
      </w:r>
      <w:r w:rsidR="004405EF">
        <w:t>plasmolysis</w:t>
      </w:r>
      <w:r w:rsidR="00B15E09">
        <w:t xml:space="preserve">, as no significant signs of an expanded exoplasm </w:t>
      </w:r>
      <w:r w:rsidR="00B16186">
        <w:t>were</w:t>
      </w:r>
      <w:r w:rsidR="00B15E09">
        <w:t xml:space="preserve"> found after 1, 2, nor 3 h of </w:t>
      </w:r>
      <w:r w:rsidR="00E8727E">
        <w:t xml:space="preserve">exposure </w:t>
      </w:r>
      <w:r w:rsidR="00441D81">
        <w:t>(</w:t>
      </w:r>
      <w:r w:rsidR="00441D81">
        <w:fldChar w:fldCharType="begin"/>
      </w:r>
      <w:r w:rsidR="00441D81">
        <w:instrText xml:space="preserve"> REF _Ref71581049 \h </w:instrText>
      </w:r>
      <w:r w:rsidR="00441D81">
        <w:fldChar w:fldCharType="separate"/>
      </w:r>
      <w:r w:rsidR="00183CC8">
        <w:t xml:space="preserve">Figure </w:t>
      </w:r>
      <w:r w:rsidR="00183CC8">
        <w:rPr>
          <w:noProof/>
        </w:rPr>
        <w:t>5</w:t>
      </w:r>
      <w:r w:rsidR="00183CC8">
        <w:t>.</w:t>
      </w:r>
      <w:r w:rsidR="00183CC8">
        <w:rPr>
          <w:noProof/>
        </w:rPr>
        <w:t>17</w:t>
      </w:r>
      <w:r w:rsidR="00441D81">
        <w:fldChar w:fldCharType="end"/>
      </w:r>
      <w:r w:rsidR="006A7898">
        <w:t xml:space="preserve"> and </w:t>
      </w:r>
      <w:r w:rsidR="006A7898">
        <w:fldChar w:fldCharType="begin"/>
      </w:r>
      <w:r w:rsidR="006A7898">
        <w:instrText xml:space="preserve"> REF _Ref78307323 \h </w:instrText>
      </w:r>
      <w:r w:rsidR="006A7898">
        <w:fldChar w:fldCharType="separate"/>
      </w:r>
      <w:r w:rsidR="00183CC8">
        <w:t xml:space="preserve">Figure </w:t>
      </w:r>
      <w:r w:rsidR="00183CC8">
        <w:rPr>
          <w:noProof/>
        </w:rPr>
        <w:t>5</w:t>
      </w:r>
      <w:r w:rsidR="00183CC8">
        <w:t>.</w:t>
      </w:r>
      <w:r w:rsidR="00183CC8">
        <w:rPr>
          <w:noProof/>
        </w:rPr>
        <w:t>18</w:t>
      </w:r>
      <w:r w:rsidR="006A7898">
        <w:fldChar w:fldCharType="end"/>
      </w:r>
      <w:r w:rsidR="00441D81">
        <w:t>)</w:t>
      </w:r>
      <w:r w:rsidR="00B15E09">
        <w:t>.</w:t>
      </w:r>
      <w:r w:rsidR="00753955">
        <w:t xml:space="preserve"> This indicates that only β</w:t>
      </w:r>
      <w:r w:rsidR="00753955" w:rsidRPr="00F7064B">
        <w:t>-</w:t>
      </w:r>
      <w:r w:rsidR="00753955">
        <w:t>lactams lead to plasmolysis.</w:t>
      </w:r>
    </w:p>
    <w:p w14:paraId="569B7364" w14:textId="77777777" w:rsidR="007962F5" w:rsidRDefault="007962F5" w:rsidP="007962F5">
      <w:pPr>
        <w:keepNext/>
        <w:jc w:val="center"/>
      </w:pPr>
      <w:r>
        <w:rPr>
          <w:noProof/>
        </w:rPr>
        <w:lastRenderedPageBreak/>
        <w:drawing>
          <wp:inline distT="0" distB="0" distL="0" distR="0" wp14:anchorId="07459B55" wp14:editId="1464C1D5">
            <wp:extent cx="5352248" cy="7573776"/>
            <wp:effectExtent l="0" t="0" r="0" b="0"/>
            <wp:docPr id="34" name="Picture 34"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calendar&#10;&#10;Description automatically generated"/>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370155" cy="7599115"/>
                    </a:xfrm>
                    <a:prstGeom prst="rect">
                      <a:avLst/>
                    </a:prstGeom>
                  </pic:spPr>
                </pic:pic>
              </a:graphicData>
            </a:graphic>
          </wp:inline>
        </w:drawing>
      </w:r>
    </w:p>
    <w:p w14:paraId="24A6A7A9" w14:textId="09B46678" w:rsidR="007962F5" w:rsidRPr="00E6620C" w:rsidRDefault="007962F5" w:rsidP="007962F5">
      <w:pPr>
        <w:pStyle w:val="Caption"/>
      </w:pPr>
      <w:bookmarkStart w:id="852" w:name="_Ref71106928"/>
      <w:bookmarkStart w:id="853" w:name="_Toc90217038"/>
      <w:r w:rsidRPr="00E6620C">
        <w:t xml:space="preserve">Figure </w:t>
      </w:r>
      <w:fldSimple w:instr=" STYLEREF 1 \s ">
        <w:r w:rsidR="00183CC8">
          <w:rPr>
            <w:noProof/>
          </w:rPr>
          <w:t>5</w:t>
        </w:r>
      </w:fldSimple>
      <w:r>
        <w:t>.</w:t>
      </w:r>
      <w:fldSimple w:instr=" SEQ Figure \* ARABIC \s 1 ">
        <w:r w:rsidR="00183CC8">
          <w:rPr>
            <w:noProof/>
          </w:rPr>
          <w:t>53</w:t>
        </w:r>
      </w:fldSimple>
      <w:bookmarkEnd w:id="852"/>
      <w:r w:rsidRPr="00E6620C">
        <w:t xml:space="preserve"> Schematic representation of </w:t>
      </w:r>
      <w:r w:rsidRPr="001572D2">
        <w:rPr>
          <w:i/>
          <w:iCs w:val="0"/>
        </w:rPr>
        <w:t>S. aureus</w:t>
      </w:r>
      <w:r w:rsidRPr="00E6620C">
        <w:t xml:space="preserve"> growth, division and the effect of cell wall antibiotics on its morphology.</w:t>
      </w:r>
      <w:bookmarkEnd w:id="853"/>
    </w:p>
    <w:p w14:paraId="287ABA30" w14:textId="77777777" w:rsidR="007962F5" w:rsidRPr="00DA0A56" w:rsidRDefault="007962F5" w:rsidP="007962F5">
      <w:pPr>
        <w:pStyle w:val="NoSpacing"/>
      </w:pPr>
      <w:r w:rsidRPr="00DA0A56">
        <w:t xml:space="preserve">Black arrows– cell cycle of </w:t>
      </w:r>
      <w:r w:rsidRPr="001572D2">
        <w:rPr>
          <w:i/>
          <w:iCs/>
        </w:rPr>
        <w:t>S. aureus</w:t>
      </w:r>
      <w:r w:rsidRPr="00DA0A56">
        <w:t xml:space="preserve"> with normal growth and division</w:t>
      </w:r>
      <w:r>
        <w:t xml:space="preserve"> (top to bottom)</w:t>
      </w:r>
      <w:r w:rsidRPr="00DA0A56">
        <w:t xml:space="preserve">. Red arrows– effect of the addition of supra-MIC levels of methicillin or oxacillin on the morphology of </w:t>
      </w:r>
      <w:r w:rsidRPr="001572D2">
        <w:rPr>
          <w:i/>
          <w:iCs/>
        </w:rPr>
        <w:t>S. aureus</w:t>
      </w:r>
      <w:r w:rsidRPr="00DA0A56">
        <w:t>. Blue arrows– effect of the addition of supra-MIC levels of vancomycin</w:t>
      </w:r>
      <w:r>
        <w:t xml:space="preserve"> alone</w:t>
      </w:r>
      <w:r w:rsidRPr="00DA0A56">
        <w:t xml:space="preserve"> </w:t>
      </w:r>
      <w:r>
        <w:t>or combined with</w:t>
      </w:r>
      <w:r w:rsidRPr="00002764">
        <w:t xml:space="preserve"> </w:t>
      </w:r>
      <w:r>
        <w:rPr>
          <w:lang w:val="el-GR"/>
        </w:rPr>
        <w:t>β</w:t>
      </w:r>
      <w:r>
        <w:t>-lactams</w:t>
      </w:r>
      <w:r w:rsidRPr="00DA0A56">
        <w:t xml:space="preserve"> </w:t>
      </w:r>
      <w:r>
        <w:t>(</w:t>
      </w:r>
      <w:r w:rsidRPr="00DA0A56">
        <w:t>methicillin o</w:t>
      </w:r>
      <w:r>
        <w:t>r</w:t>
      </w:r>
      <w:r w:rsidRPr="00DA0A56">
        <w:t xml:space="preserve"> oxacillin</w:t>
      </w:r>
      <w:r>
        <w:t>)</w:t>
      </w:r>
      <w:r w:rsidRPr="00DA0A56">
        <w:t xml:space="preserve"> on the morphology of </w:t>
      </w:r>
      <w:r w:rsidRPr="001572D2">
        <w:rPr>
          <w:i/>
          <w:iCs/>
        </w:rPr>
        <w:t>S. aureus</w:t>
      </w:r>
      <w:r w:rsidRPr="00DA0A56">
        <w:t>. Yellow– cytoplasm, Pink– exoplasm, Grey– cell wall.</w:t>
      </w:r>
    </w:p>
    <w:p w14:paraId="1F4392ED" w14:textId="47EFC960" w:rsidR="00D25DA7" w:rsidRDefault="00D25DA7" w:rsidP="00D25DA7">
      <w:r>
        <w:lastRenderedPageBreak/>
        <w:t xml:space="preserve">WTA and LTA lacking strains showed a higher percentage of </w:t>
      </w:r>
      <w:r w:rsidR="000A7AA7">
        <w:t>plasmolysed</w:t>
      </w:r>
      <w:r>
        <w:t xml:space="preserve"> cells </w:t>
      </w:r>
      <w:r w:rsidR="00AF0D1E">
        <w:t>and an increased death rate in the presence of antibiotics</w:t>
      </w:r>
      <w:r w:rsidR="004A4899">
        <w:t xml:space="preserve"> than the wildtype</w:t>
      </w:r>
      <w:r w:rsidR="00AF0D1E">
        <w:t xml:space="preserve"> </w:t>
      </w:r>
      <w:r>
        <w:t>(</w:t>
      </w:r>
      <w:r w:rsidR="004A4899">
        <w:fldChar w:fldCharType="begin"/>
      </w:r>
      <w:r w:rsidR="004A4899">
        <w:instrText xml:space="preserve"> REF _Ref69156560 \h </w:instrText>
      </w:r>
      <w:r w:rsidR="004A4899">
        <w:fldChar w:fldCharType="separate"/>
      </w:r>
      <w:r w:rsidR="00183CC8">
        <w:t xml:space="preserve">Figure </w:t>
      </w:r>
      <w:r w:rsidR="00183CC8">
        <w:rPr>
          <w:noProof/>
        </w:rPr>
        <w:t>5</w:t>
      </w:r>
      <w:r w:rsidR="00183CC8">
        <w:t>.</w:t>
      </w:r>
      <w:r w:rsidR="00183CC8">
        <w:rPr>
          <w:noProof/>
        </w:rPr>
        <w:t>16</w:t>
      </w:r>
      <w:r w:rsidR="004A4899">
        <w:fldChar w:fldCharType="end"/>
      </w:r>
      <w:r w:rsidR="004A4899">
        <w:t xml:space="preserve">, </w:t>
      </w:r>
      <w:r>
        <w:fldChar w:fldCharType="begin"/>
      </w:r>
      <w:r>
        <w:instrText xml:space="preserve"> REF _Ref70617103 \h </w:instrText>
      </w:r>
      <w:r>
        <w:fldChar w:fldCharType="separate"/>
      </w:r>
      <w:r w:rsidR="00183CC8">
        <w:t xml:space="preserve">Figure </w:t>
      </w:r>
      <w:r w:rsidR="00183CC8">
        <w:rPr>
          <w:noProof/>
        </w:rPr>
        <w:t>5</w:t>
      </w:r>
      <w:r w:rsidR="00183CC8">
        <w:t>.</w:t>
      </w:r>
      <w:r w:rsidR="00183CC8">
        <w:rPr>
          <w:noProof/>
        </w:rPr>
        <w:t>35</w:t>
      </w:r>
      <w:r>
        <w:fldChar w:fldCharType="end"/>
      </w:r>
      <w:r>
        <w:t xml:space="preserve"> and </w:t>
      </w:r>
      <w:r w:rsidR="00F918AF">
        <w:rPr>
          <w:highlight w:val="yellow"/>
        </w:rPr>
        <w:fldChar w:fldCharType="begin"/>
      </w:r>
      <w:r w:rsidR="00F918AF">
        <w:instrText xml:space="preserve"> REF _Ref80698897 \h </w:instrText>
      </w:r>
      <w:r w:rsidR="00F918AF">
        <w:rPr>
          <w:highlight w:val="yellow"/>
        </w:rPr>
      </w:r>
      <w:r w:rsidR="00F918AF">
        <w:rPr>
          <w:highlight w:val="yellow"/>
        </w:rPr>
        <w:fldChar w:fldCharType="separate"/>
      </w:r>
      <w:r w:rsidR="00183CC8">
        <w:t xml:space="preserve">Figure </w:t>
      </w:r>
      <w:r w:rsidR="00183CC8">
        <w:rPr>
          <w:noProof/>
        </w:rPr>
        <w:t>5</w:t>
      </w:r>
      <w:r w:rsidR="00183CC8">
        <w:t>.</w:t>
      </w:r>
      <w:r w:rsidR="00183CC8">
        <w:rPr>
          <w:noProof/>
        </w:rPr>
        <w:t>37</w:t>
      </w:r>
      <w:r w:rsidR="00F918AF">
        <w:rPr>
          <w:highlight w:val="yellow"/>
        </w:rPr>
        <w:fldChar w:fldCharType="end"/>
      </w:r>
      <w:r>
        <w:t>)</w:t>
      </w:r>
      <w:r w:rsidR="00777C4F">
        <w:t xml:space="preserve">, with the exception of the </w:t>
      </w:r>
      <w:r w:rsidR="00777C4F">
        <w:rPr>
          <w:i/>
          <w:iCs/>
        </w:rPr>
        <w:t>ltaS gdpP</w:t>
      </w:r>
      <w:r w:rsidR="009718C8">
        <w:rPr>
          <w:i/>
          <w:iCs/>
        </w:rPr>
        <w:t>::kan</w:t>
      </w:r>
      <w:r w:rsidR="00777C4F">
        <w:rPr>
          <w:i/>
          <w:iCs/>
        </w:rPr>
        <w:t xml:space="preserve"> </w:t>
      </w:r>
      <w:r w:rsidR="00777C4F">
        <w:t xml:space="preserve">mutant’s diminished susceptibility to </w:t>
      </w:r>
      <w:r w:rsidR="00777C4F">
        <w:rPr>
          <w:lang w:val="el-GR"/>
        </w:rPr>
        <w:t>β</w:t>
      </w:r>
      <w:r w:rsidR="00777C4F">
        <w:t>-lactams</w:t>
      </w:r>
      <w:r w:rsidR="00706C6D">
        <w:t>, most likely</w:t>
      </w:r>
      <w:r w:rsidR="00777C4F">
        <w:t xml:space="preserve"> due to </w:t>
      </w:r>
      <w:r w:rsidR="007C6035">
        <w:t>the</w:t>
      </w:r>
      <w:r w:rsidR="00777C4F">
        <w:t xml:space="preserve"> suppressor mutation in </w:t>
      </w:r>
      <w:r w:rsidR="00777C4F">
        <w:rPr>
          <w:i/>
          <w:iCs/>
        </w:rPr>
        <w:t xml:space="preserve">gdpP </w:t>
      </w:r>
      <w:r>
        <w:t>(</w:t>
      </w:r>
      <w:r>
        <w:fldChar w:fldCharType="begin"/>
      </w:r>
      <w:r>
        <w:instrText xml:space="preserve"> REF _Ref70673173 \h </w:instrText>
      </w:r>
      <w:r>
        <w:fldChar w:fldCharType="separate"/>
      </w:r>
      <w:r w:rsidR="00183CC8">
        <w:t xml:space="preserve">Figure </w:t>
      </w:r>
      <w:r w:rsidR="00183CC8">
        <w:rPr>
          <w:noProof/>
        </w:rPr>
        <w:t>5</w:t>
      </w:r>
      <w:r w:rsidR="00183CC8">
        <w:t>.</w:t>
      </w:r>
      <w:r w:rsidR="00183CC8">
        <w:rPr>
          <w:noProof/>
        </w:rPr>
        <w:t>32</w:t>
      </w:r>
      <w:r>
        <w:fldChar w:fldCharType="end"/>
      </w:r>
      <w:r>
        <w:t xml:space="preserve"> and </w:t>
      </w:r>
      <w:r>
        <w:fldChar w:fldCharType="begin"/>
      </w:r>
      <w:r>
        <w:instrText xml:space="preserve"> REF _Ref70715186 \h </w:instrText>
      </w:r>
      <w:r>
        <w:fldChar w:fldCharType="separate"/>
      </w:r>
      <w:r w:rsidR="00183CC8">
        <w:t xml:space="preserve">Figure </w:t>
      </w:r>
      <w:r w:rsidR="00183CC8">
        <w:rPr>
          <w:noProof/>
        </w:rPr>
        <w:t>5</w:t>
      </w:r>
      <w:r w:rsidR="00183CC8">
        <w:t>.</w:t>
      </w:r>
      <w:r w:rsidR="00183CC8">
        <w:rPr>
          <w:noProof/>
        </w:rPr>
        <w:t>36</w:t>
      </w:r>
      <w:r>
        <w:fldChar w:fldCharType="end"/>
      </w:r>
      <w:r>
        <w:t>)</w:t>
      </w:r>
      <w:r w:rsidR="00565457">
        <w:t xml:space="preserve"> </w:t>
      </w:r>
      <w:r w:rsidR="00565457">
        <w:fldChar w:fldCharType="begin" w:fldLock="1"/>
      </w:r>
      <w:r w:rsidR="004F7E11">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stress","type":"article-journal","volume":"7"},"uris":["http://www.mendeley.com/documents/?uuid=6999529d-9f41-47d1-a708-ec2e7a140162"]},{"id":"ITEM-2","itemData":{"DOI":"10.1128/AAC.05148-11","ISSN":"00664804","PMID":"21986827","abstract":"The genetic basis of tolerance to inhibitors of peptidoglycan biosynthesis in Staphylococcus aureus was investigated by generating tolerant mutants in vitro and characterizing them by comparative genome sequencing. Two independently selected tolerant mutants harbored nonsynonymous mutations in gdpP, a gene encoding a putative membrane-located signaling protein. Insertional inactivation of gdpP also conferred tolerance. Our findings further implicate altered signal transduction as a route to antibiotic tolerance in S. aureus. Copyright © 2012, American Society for Microbiology. All Rights Reserved.","author":[{"dropping-particle":"","family":"Griffiths","given":"J. M.","non-dropping-particle":"","parse-names":false,"suffix":""},{"dropping-particle":"","family":"O'Neill","given":"A. J.","non-dropping-particle":"","parse-names":false,"suffix":""}],"container-title":"Antimicrobial Agents and Chemotherapy","id":"ITEM-2","issue":"1","issued":{"date-parts":[["2012","1"]]},"page":"579-581","publisher":"American Society for Microbiology (ASM)","title":"Loss of function of the GdpP protein leads to joint β-lactam/ glycopeptide tolerance in Staphylococcus aureus","type":"article-journal","volume":"56"},"uris":["http://www.mendeley.com/documents/?uuid=c6d3e68f-1b85-39ec-9033-4ed4236d2eea"]},{"id":"ITEM-3","itemData":{"DOI":"10.1074/jbc.M116.747709","ISSN":"1083351X","PMID":"27834680","abstract":"Nucleotide signaling networks are key to facilitate alterations in gene expression, protein function, and enzyme activity in response to diverse stimuli. Cyclic di-adenosine monophosphate (c-di-AMP) is an important secondary messenger molecule produced by the human pathogen Staphylococcus aureus and is involved in regulating a number of physiological processes including potassium transport. S. aureus must ensure tight control over its cellular levels as both high levels of the dinucleotide and its absence result in a number of detrimental phenotypes. Here we show that in addition to the membrane-bound Asp-His-His and Asp-His-His-associated (DHH/DHHA1) domain-containing phosphodiesterase (PDE) GdpP, S. aureus produces a second cytoplasmic DHH/DHHA1 PDE Pde2. Although capable of hydrolyzing c-di-AMP, Pde2 preferentially converts linear 5′-phosphadenylyl-adenosine (pApA) to AMP. Using a pde2 mutant strain, pApA was detected for the first time in S. aureus, leading us to speculate that this dinucleotide may have a regulatory role under certain conditions. Moreover, pApA is involved in a feedback inhibition loop that limits GdpP-dependent c-di-AMP hydrolysis. Another protein linked to the regulation of c-di-AMP levels in bacteria is the predicted regulator protein YbbR. Here, it is shown that a ybbR mutant S. aureus strain has increased acid sensitivity that can be bypassed by the acquisition of mutations in a number of genes, including the gene coding for the diadenylate cyclase DacA. We further show that c-di-AMP levels are slightly elevated in the ybbR suppressor strains tested as compared with the wild-type strain. With this, we not only identified a new role for YbbR in acid stress resistance in S. aureus but also provide further insight into how c-di-AMP levels impact acid tolerance in this organism.","author":[{"dropping-particle":"","family":"Bowman","given":"Lisa","non-dropping-particle":"","parse-names":false,"suffix":""},{"dropping-particle":"","family":"Zeden","given":"Merve S.","non-dropping-particle":"","parse-names":false,"suffix":""},{"dropping-particle":"","family":"Schuster","given":"Christopher F.","non-dropping-particle":"","parse-names":false,"suffix":""},{"dropping-particle":"","family":"Kaever","given":"Volkhard","non-dropping-particle":"","parse-names":false,"suffix":""},{"dropping-particle":"","family":"Gründling","given":"Angelika","non-dropping-particle":"","parse-names":false,"suffix":""}],"container-title":"Journal of Biological Chemistry","id":"ITEM-3","issue":"53","issued":{"date-parts":[["2016"]]},"page":"26970-26986","title":"New insights into the cyclic di-adenosine monophosphate (c-di-AMP) degradation pathway and the requirement of the cyclic dinucleotide for acid stress resistance in Staphylococcus aureu","type":"article-journal","volume":"291"},"uris":["http://www.mendeley.com/documents/?uuid=39878c46-c304-3fc1-8a78-c895c0290891"]},{"id":"ITEM-4","itemData":{"DOI":"10.1371/journal.pone.0073512","ISSN":"19326203","PMID":"24013956","abstract":"Faster growing and more virulent strains of methicillin resistant Staphylococcus aureus (MRSA) are increasingly displacing highly resistant MRSA. Elevated fitness in these MRSA is often accompanied by decreased and heterogeneous levels of methicillin resistance; however, the mechanisms for this phenomenon are not yet fully understood. Whole genome sequencing was used to investigate the genetic basis of this apparent correlation, in an isogenic MRSA strain pair that differed in methicillin resistance levels and fitness, with respect to growth rate. Sequencing revealed only one single nucleotide polymorphism (SNP) in the diadenylate cyclase gene dacA in the faster growing but less resistant strain. Diadenylate cyclases were recently discovered to synthesize the new second messenger cyclic diadenosine monophosphate (c-di-AMP). Introduction of this mutation into the highly resistant but slower growing strain reduced resistance and increased its growth rate, suggesting a direct connection between the dacA mutation and the phenotypic differences of these strains. Quantification of cellular c-di-AMP revealed that the dacA mutation decreased c-di-AMP levels resulting in reduced autolysis, increased salt tolerance and a reduction in the basal expression of the cell wall stress stimulon. These results indicate that c-di-AMP affects cell envelope-related signalling in S. aureus. The influence of c-di-AMP on growth rate and methicillin resistance in MRSA indicate that altering c-di-AMP levels could be a mechanism by which MRSA strains can increase their fitness levels by reducing their methicillin resistance levels. © 2013 Dengler et al.","author":[{"dropping-particle":"","family":"Dengler","given":"Vanina","non-dropping-particle":"","parse-names":false,"suffix":""},{"dropping-particle":"","family":"McCallum","given":"Nadine","non-dropping-particle":"","parse-names":false,"suffix":""},{"dropping-particle":"","family":"Kiefer","given":"Patrick","non-dropping-particle":"","parse-names":false,"suffix":""},{"dropping-particle":"","family":"Christen","given":"Philipp","non-dropping-particle":"","parse-names":false,"suffix":""},{"dropping-particle":"","family":"Patrignani","given":"Andrea","non-dropping-particle":"","parse-names":false,"suffix":""},{"dropping-particle":"","family":"Vorholt","given":"Julia A.","non-dropping-particle":"","parse-names":false,"suffix":""},{"dropping-particle":"","family":"Berger-Bächi","given":"Brigitte","non-dropping-particle":"","parse-names":false,"suffix":""},{"dropping-particle":"","family":"Senn","given":"Maria M.","non-dropping-particle":"","parse-names":false,"suffix":""}],"container-title":"PLoS ONE","id":"ITEM-4","issue":"8","issued":{"date-parts":[["2013","8","27"]]},"page":"e73512","publisher":"Public Library of Science","title":"Mutation in the C-Di-AMP Cyclase dacA Affects Fitness and Resistance of Methicillin Resistant Staphylococcus aureus","type":"article-journal","volume":"8"},"uris":["http://www.mendeley.com/documents/?uuid=7954835c-25b7-3ac8-9e30-ffec9799315e"]},{"id":"ITEM-5","itemData":{"DOI":"10.1073/pnas.2106022118","ISSN":"1091-6490","PMID":"34716264","abstract":"Bacterial cell wall peptidoglycan is essential, maintaining both cellular integrity and morphology, in the face of internal turgor pressure. Peptidoglycan synthesis is important, as it is targeted by cell wall antibiotics, including methicillin and vancomycin. Here, we have used the major human pathogen Staphylococcus aureus to elucidate both the cell wall dynamic processes essential for growth (life) and the bactericidal effects of cell wall antibiotics (death) based on the principle of coordinated peptidoglycan synthesis and hydrolysis. The death of S. aureus due to depletion of the essential, two-component and positive regulatory system for peptidoglycan hydrolase activity (WalKR) is prevented by addition of otherwise bactericidal cell wall antibiotics, resulting in stasis. In contrast, cell wall antibiotics kill via the activity of peptidoglycan hydrolases in the absence of concomitant synthesis. Both methicillin and vancomycin treatment lead to the appearance of perforating holes throughout the cell wall due to peptidoglycan hydrolases. Methicillin alone also results in plasmolysis and misshapen septa with the involvement of the major peptidoglycan hydrolase Atl, a process that is inhibited by vancomycin. The bactericidal effect of vancomycin involves the peptidoglycan hydrolase SagB. In the presence of cell wall antibiotics, the inhibition of peptidoglycan hydrolase activity using the inhibitor complestatin results in reduced killing, while, conversely, the deregulation of hydrolase activity via loss of wall teichoic acids increases the death rate. For S. aureus, the independent regulation of cell wall synthesis and hydrolysis can lead to cell growth, death, or stasis, with implications for the development of new control regimes for this important pathogen.","author":[{"dropping-particle":"","family":"Salamaga","given":"Bartłomiej","non-dropping-particle":"","parse-names":false,"suffix":""},{"dropping-particle":"","family":"Kong","given":"Lingyuan","non-dropping-particle":"","parse-names":false,"suffix":""},{"dropping-particle":"","family":"Pasquina-Lemonche","given":"Laia","non-dropping-particle":"","parse-names":false,"suffix":""},{"dropping-particle":"","family":"Lafage","given":"Lucia","non-dropping-particle":"","parse-names":false,"suffix":""},{"dropping-particle":"","family":"Und Zur Muhlen","given":"Milena","non-dropping-particle":"von","parse-names":false,"suffix":""},{"dropping-particle":"","family":"Gibson","given":"Josie F","non-dropping-particle":"","parse-names":false,"suffix":""},{"dropping-particle":"","family":"Grybchuk","given":"Danyil","non-dropping-particle":"","parse-names":false,"suffix":""},{"dropping-particle":"","family":"Tooke","given":"Amy K","non-dropping-particle":"","parse-names":false,"suffix":""},{"dropping-particle":"","family":"Panchal","given":"Viralkumar","non-dropping-particle":"","parse-names":false,"suffix":""},{"dropping-particle":"","family":"Culp","given":"Elizabeth J","non-dropping-particle":"","parse-names":false,"suffix":""},{"dropping-particle":"","family":"Tatham","given":"Elizabeth","non-dropping-particle":"","parse-names":false,"suffix":""},{"dropping-particle":"","family":"O'Kane","given":"Mary E","non-dropping-particle":"","parse-names":false,"suffix":""},{"dropping-particle":"","family":"Catley","given":"Thomas E","non-dropping-particle":"","parse-names":false,"suffix":""},{"dropping-particle":"","family":"Renshaw","given":"Stephen A","non-dropping-particle":"","parse-names":false,"suffix":""},{"dropping-particle":"","family":"Wright","given":"Gerard D","non-dropping-particle":"","parse-names":false,"suffix":""},{"dropping-particle":"","family":"Plevka","given":"Pavel","non-dropping-particle":"","parse-names":false,"suffix":""},{"dropping-particle":"","family":"Bullough","given":"Per A","non-dropping-particle":"","parse-names":false,"suffix":""},{"dropping-particle":"","family":"Han","given":"Aidong","non-dropping-particle":"","parse-names":false,"suffix":""},{"dropping-particle":"","family":"Hobbs","given":"Jamie K","non-dropping-particle":"","parse-names":false,"suffix":""},{"dropping-particle":"","family":"Foster","given":"Simon J","non-dropping-particle":"","parse-names":false,"suffix":""}],"container-title":"Proceedings of the National Academy of Sciences of the United States of America","id":"ITEM-5","issue":"44","issued":{"date-parts":[["2021","11","2"]]},"page":"1-8","publisher":"National Academy of Sciences","title":"Demonstration of the role of cell wall homeostasis in Staphylococcus aureus growth and the action of bactericidal antibiotics.","type":"article-journal","volume":"118"},"uris":["http://www.mendeley.com/documents/?uuid=9f3bf1ae-65de-4943-a7a8-62e0e140e346"]}],"mendeley":{"formattedCitation":"&lt;sup&gt;[63,155–157,247]&lt;/sup&gt;","plainTextFormattedCitation":"[63,155–157,247]","previouslyFormattedCitation":"&lt;sup&gt;[63,155–157,247]&lt;/sup&gt;"},"properties":{"noteIndex":0},"schema":"https://github.com/citation-style-language/schema/raw/master/csl-citation.json"}</w:instrText>
      </w:r>
      <w:r w:rsidR="00565457">
        <w:fldChar w:fldCharType="separate"/>
      </w:r>
      <w:r w:rsidR="009D34AE" w:rsidRPr="009D34AE">
        <w:rPr>
          <w:noProof/>
          <w:vertAlign w:val="superscript"/>
        </w:rPr>
        <w:t>[63,155–157,247]</w:t>
      </w:r>
      <w:r w:rsidR="00565457">
        <w:fldChar w:fldCharType="end"/>
      </w:r>
      <w:r>
        <w:t xml:space="preserve">. </w:t>
      </w:r>
      <w:r w:rsidR="0081047E">
        <w:t xml:space="preserve">This gene codes for a membrane phosphodiesterase, GdpP, that hydrolyses the essential signalling molecule cyclic di-AMP (c-di-AMP) </w:t>
      </w:r>
      <w:r w:rsidR="0081047E">
        <w:fldChar w:fldCharType="begin" w:fldLock="1"/>
      </w:r>
      <w:r w:rsidR="0081047E">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mendeley":{"formattedCitation":"&lt;sup&gt;[63]&lt;/sup&gt;","plainTextFormattedCitation":"[63]","previouslyFormattedCitation":"&lt;sup&gt;[63]&lt;/sup&gt;"},"properties":{"noteIndex":0},"schema":"https://github.com/citation-style-language/schema/raw/master/csl-citation.json"}</w:instrText>
      </w:r>
      <w:r w:rsidR="0081047E">
        <w:fldChar w:fldCharType="separate"/>
      </w:r>
      <w:r w:rsidR="0081047E" w:rsidRPr="00DA0A83">
        <w:rPr>
          <w:noProof/>
          <w:vertAlign w:val="superscript"/>
        </w:rPr>
        <w:t>[63]</w:t>
      </w:r>
      <w:r w:rsidR="0081047E">
        <w:fldChar w:fldCharType="end"/>
      </w:r>
      <w:r w:rsidR="0081047E">
        <w:t xml:space="preserve">. Inactivation of </w:t>
      </w:r>
      <w:r w:rsidR="0081047E">
        <w:rPr>
          <w:i/>
          <w:iCs/>
        </w:rPr>
        <w:t>gdpP</w:t>
      </w:r>
      <w:r w:rsidR="0081047E">
        <w:t xml:space="preserve"> leads to a ~ 10-fold increase of c-di-AMP in </w:t>
      </w:r>
      <w:r w:rsidR="0081047E">
        <w:rPr>
          <w:i/>
          <w:iCs/>
        </w:rPr>
        <w:t>S. aureus</w:t>
      </w:r>
      <w:r w:rsidR="0081047E">
        <w:t xml:space="preserve"> </w:t>
      </w:r>
      <w:r w:rsidR="0081047E">
        <w:fldChar w:fldCharType="begin" w:fldLock="1"/>
      </w:r>
      <w:r w:rsidR="0081047E">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mendeley":{"formattedCitation":"&lt;sup&gt;[63]&lt;/sup&gt;","plainTextFormattedCitation":"[63]","previouslyFormattedCitation":"&lt;sup&gt;[63]&lt;/sup&gt;"},"properties":{"noteIndex":0},"schema":"https://github.com/citation-style-language/schema/raw/master/csl-citation.json"}</w:instrText>
      </w:r>
      <w:r w:rsidR="0081047E">
        <w:fldChar w:fldCharType="separate"/>
      </w:r>
      <w:r w:rsidR="0081047E" w:rsidRPr="00DA0A83">
        <w:rPr>
          <w:noProof/>
          <w:vertAlign w:val="superscript"/>
        </w:rPr>
        <w:t>[63]</w:t>
      </w:r>
      <w:r w:rsidR="0081047E">
        <w:fldChar w:fldCharType="end"/>
      </w:r>
      <w:r w:rsidR="0081047E">
        <w:t xml:space="preserve">. Previous studies have shown a positive correlation between c-di-AMP levels and </w:t>
      </w:r>
      <w:r w:rsidR="0081047E">
        <w:rPr>
          <w:lang w:val="el-GR"/>
        </w:rPr>
        <w:t>β</w:t>
      </w:r>
      <w:r w:rsidR="0081047E">
        <w:t xml:space="preserve">-lactam tolerance, whereby high or low signalling levels lead to an increase or decrease resistance to these antibiotics, respectively </w:t>
      </w:r>
      <w:r w:rsidR="0081047E">
        <w:fldChar w:fldCharType="begin" w:fldLock="1"/>
      </w:r>
      <w:r w:rsidR="0081047E">
        <w:instrText>ADDIN CSL_CITATION {"citationItems":[{"id":"ITEM-1","itemData":{"DOI":"10.1371/journal.ppat.1002217","ISBN":"10.1371/journal.ppat.1002217","ISSN":"15537366","PMID":"21909268","abstract":"The cell wall is a vital and multi-functional part of bacterial cells. For Staphylococcus aureus, an important human bacterial pathogen, surface proteins and cell wall polymers are essential for adhesion, colonization and during the infection process. One such cell wall polymer, lipoteichoic acid (LTA), is crucial for normal bacterial growth and cell division. Upon depletion of this polymer bacteria increase in size and a misplacement of division septa and eventual cell lysis is observed. In this work, we describe the isolation and characterization of LTA-deficient S. aureus suppressor strains that regained the ability to grow almost normally in the absence of this cell wall polymer. Using a whole genome sequencing approach, compensatory mutations were identified and revealed that mutations within one gene, gdpP (GGDEF domain protein containing phosphodiesterase), allow both laboratory and clinical isolates of S. aureus to grow without LTA. It was determined that GdpP has phosphodiesterase activity in vitro and uses the cyclic dinucleotide c-di-AMP as a substrate. Furthermore, we show for the first time that c-di-AMP is produced in S. aureus presumably by the S. aureus DacA protein, which has diadenylate cyclase activity. We also demonstrate that GdpP functions in vivo as a c-di-AMP-specific phosphodiesterase, as intracellular c-di-AMP levels increase drastically in gdpP deletion strains and in an LTA-deficient suppressor strain. An increased amount of cross-linked peptidoglycan was observed in the gdpP mutant strain, a cell wall alteration that could help bacteria compensate for the lack of LTA. Lastly, microscopic analysis of wild-type and gdpP mutant strains revealed a 13-22% reduction in the cell size of bacteria with increased c-di-AMP levels. Taken together, these data suggest a function for this novel secondary messenger in controlling cell size of S. aureus and in helping bacteria to cope with extreme membrane and cell wall stress.","author":[{"dropping-particle":"","family":"Corrigan","given":"Rebecca M.","non-dropping-particle":"","parse-names":false,"suffix":""},{"dropping-particle":"","family":"Abbott","given":"James C.","non-dropping-particle":"","parse-names":false,"suffix":""},{"dropping-particle":"","family":"Burhenne","given":"Heike","non-dropping-particle":"","parse-names":false,"suffix":""},{"dropping-particle":"","family":"Kaever","given":"Volkhard","non-dropping-particle":"","parse-names":false,"suffix":""},{"dropping-particle":"","family":"Gründling","given":"Angelika","non-dropping-particle":"","parse-names":false,"suffix":""}],"container-title":"PLoS Pathogens","id":"ITEM-1","issue":"9","issued":{"date-parts":[["2011"]]},"title":"C-di-amp is a new second messenger in staphylococcus aureus with a role in controlling cell size and envelope stress","type":"article-journal","volume":"7"},"uris":["http://www.mendeley.com/documents/?uuid=6999529d-9f41-47d1-a708-ec2e7a140162"]},{"id":"ITEM-2","itemData":{"DOI":"10.1128/AAC.05148-11","ISSN":"00664804","PMID":"21986827","abstract":"The genetic basis of tolerance to inhibitors of peptidoglycan biosynthesis in Staphylococcus aureus was investigated by generating tolerant mutants in vitro and characterizing them by comparative genome sequencing. Two independently selected tolerant mutants harbored nonsynonymous mutations in gdpP, a gene encoding a putative membrane-located signaling protein. Insertional inactivation of gdpP also conferred tolerance. Our findings further implicate altered signal transduction as a route to antibiotic tolerance in S. aureus. Copyright © 2012, American Society for Microbiology. All Rights Reserved.","author":[{"dropping-particle":"","family":"Griffiths","given":"J. M.","non-dropping-particle":"","parse-names":false,"suffix":""},{"dropping-particle":"","family":"O'Neill","given":"A. J.","non-dropping-particle":"","parse-names":false,"suffix":""}],"container-title":"Antimicrobial Agents and Chemotherapy","id":"ITEM-2","issue":"1","issued":{"date-parts":[["2012","1"]]},"page":"579-581","publisher":"American Society for Microbiology (ASM)","title":"Loss of function of the GdpP protein leads to joint β-lactam/ glycopeptide tolerance in Staphylococcus aureus","type":"article-journal","volume":"56"},"uris":["http://www.mendeley.com/documents/?uuid=c6d3e68f-1b85-39ec-9033-4ed4236d2eea"]},{"id":"ITEM-3","itemData":{"DOI":"10.1074/jbc.M116.747709","ISSN":"1083351X","PMID":"27834680","abstract":"Nucleotide signaling networks are key to facilitate alterations in gene expression, protein function, and enzyme activity in response to diverse stimuli. Cyclic di-adenosine monophosphate (c-di-AMP) is an important secondary messenger molecule produced by the human pathogen Staphylococcus aureus and is involved in regulating a number of physiological processes including potassium transport. S. aureus must ensure tight control over its cellular levels as both high levels of the dinucleotide and its absence result in a number of detrimental phenotypes. Here we show that in addition to the membrane-bound Asp-His-His and Asp-His-His-associated (DHH/DHHA1) domain-containing phosphodiesterase (PDE) GdpP, S. aureus produces a second cytoplasmic DHH/DHHA1 PDE Pde2. Although capable of hydrolyzing c-di-AMP, Pde2 preferentially converts linear 5′-phosphadenylyl-adenosine (pApA) to AMP. Using a pde2 mutant strain, pApA was detected for the first time in S. aureus, leading us to speculate that this dinucleotide may have a regulatory role under certain conditions. Moreover, pApA is involved in a feedback inhibition loop that limits GdpP-dependent c-di-AMP hydrolysis. Another protein linked to the regulation of c-di-AMP levels in bacteria is the predicted regulator protein YbbR. Here, it is shown that a ybbR mutant S. aureus strain has increased acid sensitivity that can be bypassed by the acquisition of mutations in a number of genes, including the gene coding for the diadenylate cyclase DacA. We further show that c-di-AMP levels are slightly elevated in the ybbR suppressor strains tested as compared with the wild-type strain. With this, we not only identified a new role for YbbR in acid stress resistance in S. aureus but also provide further insight into how c-di-AMP levels impact acid tolerance in this organism.","author":[{"dropping-particle":"","family":"Bowman","given":"Lisa","non-dropping-particle":"","parse-names":false,"suffix":""},{"dropping-particle":"","family":"Zeden","given":"Merve S.","non-dropping-particle":"","parse-names":false,"suffix":""},{"dropping-particle":"","family":"Schuster","given":"Christopher F.","non-dropping-particle":"","parse-names":false,"suffix":""},{"dropping-particle":"","family":"Kaever","given":"Volkhard","non-dropping-particle":"","parse-names":false,"suffix":""},{"dropping-particle":"","family":"Gründling","given":"Angelika","non-dropping-particle":"","parse-names":false,"suffix":""}],"container-title":"Journal of Biological Chemistry","id":"ITEM-3","issue":"53","issued":{"date-parts":[["2016"]]},"page":"26970-26986","title":"New insights into the cyclic di-adenosine monophosphate (c-di-AMP) degradation pathway and the requirement of the cyclic dinucleotide for acid stress resistance in Staphylococcus aureu","type":"article-journal","volume":"291"},"uris":["http://www.mendeley.com/documents/?uuid=39878c46-c304-3fc1-8a78-c895c0290891"]},{"id":"ITEM-4","itemData":{"DOI":"10.1371/journal.pone.0073512","ISSN":"19326203","PMID":"24013956","abstract":"Faster growing and more virulent strains of methicillin resistant Staphylococcus aureus (MRSA) are increasingly displacing highly resistant MRSA. Elevated fitness in these MRSA is often accompanied by decreased and heterogeneous levels of methicillin resistance; however, the mechanisms for this phenomenon are not yet fully understood. Whole genome sequencing was used to investigate the genetic basis of this apparent correlation, in an isogenic MRSA strain pair that differed in methicillin resistance levels and fitness, with respect to growth rate. Sequencing revealed only one single nucleotide polymorphism (SNP) in the diadenylate cyclase gene dacA in the faster growing but less resistant strain. Diadenylate cyclases were recently discovered to synthesize the new second messenger cyclic diadenosine monophosphate (c-di-AMP). Introduction of this mutation into the highly resistant but slower growing strain reduced resistance and increased its growth rate, suggesting a direct connection between the dacA mutation and the phenotypic differences of these strains. Quantification of cellular c-di-AMP revealed that the dacA mutation decreased c-di-AMP levels resulting in reduced autolysis, increased salt tolerance and a reduction in the basal expression of the cell wall stress stimulon. These results indicate that c-di-AMP affects cell envelope-related signalling in S. aureus. The influence of c-di-AMP on growth rate and methicillin resistance in MRSA indicate that altering c-di-AMP levels could be a mechanism by which MRSA strains can increase their fitness levels by reducing their methicillin resistance levels. © 2013 Dengler et al.","author":[{"dropping-particle":"","family":"Dengler","given":"Vanina","non-dropping-particle":"","parse-names":false,"suffix":""},{"dropping-particle":"","family":"McCallum","given":"Nadine","non-dropping-particle":"","parse-names":false,"suffix":""},{"dropping-particle":"","family":"Kiefer","given":"Patrick","non-dropping-particle":"","parse-names":false,"suffix":""},{"dropping-particle":"","family":"Christen","given":"Philipp","non-dropping-particle":"","parse-names":false,"suffix":""},{"dropping-particle":"","family":"Patrignani","given":"Andrea","non-dropping-particle":"","parse-names":false,"suffix":""},{"dropping-particle":"","family":"Vorholt","given":"Julia A.","non-dropping-particle":"","parse-names":false,"suffix":""},{"dropping-particle":"","family":"Berger-Bächi","given":"Brigitte","non-dropping-particle":"","parse-names":false,"suffix":""},{"dropping-particle":"","family":"Senn","given":"Maria M.","non-dropping-particle":"","parse-names":false,"suffix":""}],"container-title":"PLoS ONE","id":"ITEM-4","issue":"8","issued":{"date-parts":[["2013","8","27"]]},"page":"e73512","publisher":"Public Library of Science","title":"Mutation in the C-Di-AMP Cyclase dacA Affects Fitness and Resistance of Methicillin Resistant Staphylococcus aureus","type":"article-journal","volume":"8"},"uris":["http://www.mendeley.com/documents/?uuid=7954835c-25b7-3ac8-9e30-ffec9799315e"]}],"mendeley":{"formattedCitation":"&lt;sup&gt;[63,155–157]&lt;/sup&gt;","plainTextFormattedCitation":"[63,155–157]","previouslyFormattedCitation":"&lt;sup&gt;[63,155–157]&lt;/sup&gt;"},"properties":{"noteIndex":0},"schema":"https://github.com/citation-style-language/schema/raw/master/csl-citation.json"}</w:instrText>
      </w:r>
      <w:r w:rsidR="0081047E">
        <w:fldChar w:fldCharType="separate"/>
      </w:r>
      <w:r w:rsidR="0081047E" w:rsidRPr="0054658D">
        <w:rPr>
          <w:noProof/>
          <w:vertAlign w:val="superscript"/>
        </w:rPr>
        <w:t>[63,155–157]</w:t>
      </w:r>
      <w:r w:rsidR="0081047E">
        <w:fldChar w:fldCharType="end"/>
      </w:r>
      <w:r w:rsidR="0081047E">
        <w:t xml:space="preserve">. Therefore, it is not surprising so see a diminished susceptibility of </w:t>
      </w:r>
      <w:r w:rsidR="0081047E">
        <w:rPr>
          <w:i/>
          <w:iCs/>
        </w:rPr>
        <w:t>ltaS gdpP</w:t>
      </w:r>
      <w:r w:rsidR="009718C8">
        <w:rPr>
          <w:i/>
          <w:iCs/>
        </w:rPr>
        <w:t>::kan</w:t>
      </w:r>
      <w:r w:rsidR="0081047E">
        <w:t xml:space="preserve"> to methicillin in comparison to its parental strain (</w:t>
      </w:r>
      <w:r w:rsidR="0081047E">
        <w:rPr>
          <w:highlight w:val="yellow"/>
        </w:rPr>
        <w:fldChar w:fldCharType="begin"/>
      </w:r>
      <w:r w:rsidR="0081047E">
        <w:instrText xml:space="preserve"> REF _Ref70715186 \h </w:instrText>
      </w:r>
      <w:r w:rsidR="0081047E">
        <w:rPr>
          <w:highlight w:val="yellow"/>
        </w:rPr>
      </w:r>
      <w:r w:rsidR="0081047E">
        <w:rPr>
          <w:highlight w:val="yellow"/>
        </w:rPr>
        <w:fldChar w:fldCharType="separate"/>
      </w:r>
      <w:r w:rsidR="00183CC8">
        <w:t xml:space="preserve">Figure </w:t>
      </w:r>
      <w:r w:rsidR="00183CC8">
        <w:rPr>
          <w:noProof/>
        </w:rPr>
        <w:t>5</w:t>
      </w:r>
      <w:r w:rsidR="00183CC8">
        <w:t>.</w:t>
      </w:r>
      <w:r w:rsidR="00183CC8">
        <w:rPr>
          <w:noProof/>
        </w:rPr>
        <w:t>36</w:t>
      </w:r>
      <w:r w:rsidR="0081047E">
        <w:rPr>
          <w:highlight w:val="yellow"/>
        </w:rPr>
        <w:fldChar w:fldCharType="end"/>
      </w:r>
      <w:r w:rsidR="0081047E">
        <w:t xml:space="preserve">a,c). </w:t>
      </w:r>
      <w:r>
        <w:t>Th</w:t>
      </w:r>
      <w:r w:rsidR="0081047E">
        <w:t>e increased death rate and percentage of plasmolysed cells observed with</w:t>
      </w:r>
      <w:r w:rsidR="0081047E">
        <w:rPr>
          <w:i/>
          <w:iCs/>
        </w:rPr>
        <w:t xml:space="preserve"> tarO </w:t>
      </w:r>
      <w:r>
        <w:t xml:space="preserve">corroborate previous studies where the loss of WTA led to a deregulation of PGH and increased cell lysis </w:t>
      </w:r>
      <w:r>
        <w:fldChar w:fldCharType="begin" w:fldLock="1"/>
      </w:r>
      <w:r w:rsidR="009D34AE">
        <w:instrText>ADDIN CSL_CITATION {"citationItems":[{"id":"ITEM-1","itemData":{"DOI":"10.1371/journal.pone.0041415","ISSN":"19326203","PMID":"22911791","abstract":"Wall teichoic acid (WTA) or related polyanionic cell wall glycopolymers are produced by most Gram-positive bacterial species and have been implicated in various cellular functions. WTA and the proton gradient across bacterial membranes are known to control the activity of autolysins but the molecular details of these interactions are poorly understood. We demonstrate that WTA contributes substantially to the proton-binding capacity of Staphylococcus aureus cell walls and controls autolysis largely via the major autolysin AtlA whose activity is known to decline at acidic pH values. Compounds that increase or decrease the activity of the respiratory chain, a main source of protons in the cell wall, modulated autolysis rates in WTA-producing cells but did not affect the augmented autolytic activity observed in a WTA-deficient mutant. We propose that WTA represents a cation-exchanger like mesh in the Gram-positive cell envelopes that is required for creating a locally acidified milieu to govern the pH-dependent activity of autolysins. © 2012 Biswas et al.","author":[{"dropping-particle":"","family":"Biswas","given":"Raja","non-dropping-particle":"","parse-names":false,"suffix":""},{"dropping-particle":"","family":"Martinez","given":"Raul E.","non-dropping-particle":"","parse-names":false,"suffix":""},{"dropping-particle":"","family":"Göhring","given":"Nadine","non-dropping-particle":"","parse-names":false,"suffix":""},{"dropping-particle":"","family":"Schlag","given":"Martin","non-dropping-particle":"","parse-names":false,"suffix":""},{"dropping-particle":"","family":"Josten","given":"Michaele","non-dropping-particle":"","parse-names":false,"suffix":""},{"dropping-particle":"","family":"Xia","given":"Guoqing","non-dropping-particle":"","parse-names":false,"suffix":""},{"dropping-particle":"","family":"Hegler","given":"Florian","non-dropping-particle":"","parse-names":false,"suffix":""},{"dropping-particle":"","family":"Gekeler","given":"Cordula","non-dropping-particle":"","parse-names":false,"suffix":""},{"dropping-particle":"","family":"Gleske","given":"Anne Kathrin","non-dropping-particle":"","parse-names":false,"suffix":""},{"dropping-particle":"","family":"Götz","given":"Friedrich","non-dropping-particle":"","parse-names":false,"suffix":""},{"dropping-particle":"","family":"Sahl","given":"Hans Georg","non-dropping-particle":"","parse-names":false,"suffix":""},{"dropping-particle":"","family":"Kappler","given":"Andreas","non-dropping-particle":"","parse-names":false,"suffix":""},{"dropping-particle":"","family":"Peschel","given":"Andreas","non-dropping-particle":"","parse-names":false,"suffix":""}],"container-title":"PLoS ONE","id":"ITEM-1","issue":"7","issued":{"date-parts":[["2012","7","23"]]},"publisher":"Public Library of Science","title":"Proton-binding capacity of staphylococcus aureus wall teichoic acid and its role in controlling autolysin activity","type":"article-journal","volume":"7"},"uris":["http://www.mendeley.com/documents/?uuid=59658c7b-e69b-3966-a5a8-d1d701bff061"]},{"id":"ITEM-2","itemData":{"DOI":"10.1111/j.1365-2958.2009.07007.x","ISSN":"0950382X","PMID":"20105277","abstract":"Staphylococcal cell separation depends largely on the bifunctional autolysin Atl that is processed to amidase-R1,2 and R 3-glucosaminidase. These murein hydrolases are targeted via repeat domains (R) to the septal region of the cell surface, thereby allowing localized peptidoglycan hydrolysis and separation of the dividing cells. Here we show that targeting of the amidase repeats is based on an exclusion strategy mediated by wall teichoic acid (WTA). In Staphylococcus aureus wild-type, externally applied repeats (R1,2) or endogenously expressed amidase were localized exclusively at the cross-wall region, while in δtagO mutant that lacks WTA binding was evenly distributed on the cell surface, which explains the increased fragility and autolysis susceptibility of the mutant. WTA prevented binding of Atl to the old cell wall but not to the cross-wall region suggesting a lower WTA content. In binding studies with ConcanavalinA- fluorescein (ConA-FITC) conjugate that binds preferentially to teichoic acids, ConA-FITC was bound throughout the cell surface with the exception of the cross wall. ConA binding suggest that either content or polymerization of WTA gradually increases with distance from the cross-wall. By preventing binding of Atl, WTA directs Atl to the cross-wall to perform the last step of cell division, namely separation of the daughter cells. © 2010 Blackwell Publishing Ltd.","author":[{"dropping-particle":"","family":"Schlag","given":"Martin","non-dropping-particle":"","parse-names":false,"suffix":""},{"dropping-particle":"","family":"Biswas","given":"Raja","non-dropping-particle":"","parse-names":false,"suffix":""},{"dropping-particle":"","family":"Krismer","given":"Bernhard","non-dropping-particle":"","parse-names":false,"suffix":""},{"dropping-particle":"","family":"Kohler","given":"Thomas","non-dropping-particle":"","parse-names":false,"suffix":""},{"dropping-particle":"","family":"Zoll","given":"Sebastian","non-dropping-particle":"","parse-names":false,"suffix":""},{"dropping-particle":"","family":"Yu","given":"Wenqi","non-dropping-particle":"","parse-names":false,"suffix":""},{"dropping-particle":"","family":"Schwarz","given":"Heinz","non-dropping-particle":"","parse-names":false,"suffix":""},{"dropping-particle":"","family":"Peschel","given":"Andreas","non-dropping-particle":"","parse-names":false,"suffix":""},{"dropping-particle":"","family":"Götz","given":"Friedrich","non-dropping-particle":"","parse-names":false,"suffix":""}],"container-title":"Molecular Microbiology","id":"ITEM-2","issue":"4","issued":{"date-parts":[["2010"]]},"page":"864-873","title":"Role of staphylococcal wall teichoic acid in targeting the major autolysin Atl","type":"article-journal","volume":"75"},"uris":["http://www.mendeley.com/documents/?uuid=e8df656f-cf4a-48d7-8351-878706af9c66"]}],"mendeley":{"formattedCitation":"&lt;sup&gt;[59,290]&lt;/sup&gt;","plainTextFormattedCitation":"[59,290]","previouslyFormattedCitation":"&lt;sup&gt;[59,290]&lt;/sup&gt;"},"properties":{"noteIndex":0},"schema":"https://github.com/citation-style-language/schema/raw/master/csl-citation.json"}</w:instrText>
      </w:r>
      <w:r>
        <w:fldChar w:fldCharType="separate"/>
      </w:r>
      <w:r w:rsidR="009D34AE" w:rsidRPr="009D34AE">
        <w:rPr>
          <w:noProof/>
          <w:vertAlign w:val="superscript"/>
        </w:rPr>
        <w:t>[59,290]</w:t>
      </w:r>
      <w:r>
        <w:fldChar w:fldCharType="end"/>
      </w:r>
      <w:r>
        <w:t xml:space="preserve">. </w:t>
      </w:r>
      <w:r w:rsidR="00F12E62">
        <w:t>This was further supported by AFM analysis of u</w:t>
      </w:r>
      <w:r>
        <w:t>ntreated sacculi samples of WTA lacking strains</w:t>
      </w:r>
      <w:r w:rsidR="00F12E62">
        <w:t>, which</w:t>
      </w:r>
      <w:r>
        <w:t xml:space="preserve"> showed size deformations and division aberrations, with a less uniform and looser PG mesh than the wild type SH1000 </w:t>
      </w:r>
      <w:r>
        <w:fldChar w:fldCharType="begin" w:fldLock="1"/>
      </w:r>
      <w:r w:rsidR="0058736C">
        <w:instrText>ADDIN CSL_CITATION {"citationItems":[{"id":"ITEM-1","itemData":{"author":[{"dropping-particle":"","family":"Pasquina Lemonche","given":"Laia","non-dropping-particle":"","parse-names":false,"suffix":""}],"id":"ITEM-1","issue":"August","issued":{"date-parts":[["2020"]]},"publisher":"The University of Sheffield","title":"The molecular architecture of the Gram-positive bacterial cell wall and how it is disrupted by antibiotics","type":"thesis"},"uris":["http://www.mendeley.com/documents/?uuid=7155e0a8-ffca-4ddc-ab1a-a19f15567396"]}],"mendeley":{"formattedCitation":"&lt;sup&gt;[248]&lt;/sup&gt;","plainTextFormattedCitation":"[248]","previouslyFormattedCitation":"&lt;sup&gt;[248]&lt;/sup&gt;"},"properties":{"noteIndex":0},"schema":"https://github.com/citation-style-language/schema/raw/master/csl-citation.json"}</w:instrText>
      </w:r>
      <w:r>
        <w:fldChar w:fldCharType="separate"/>
      </w:r>
      <w:r w:rsidR="002659E5" w:rsidRPr="002659E5">
        <w:rPr>
          <w:noProof/>
          <w:vertAlign w:val="superscript"/>
        </w:rPr>
        <w:t>[248]</w:t>
      </w:r>
      <w:r>
        <w:fldChar w:fldCharType="end"/>
      </w:r>
      <w:r>
        <w:t xml:space="preserve">. Areas where </w:t>
      </w:r>
      <w:r w:rsidR="00870C56">
        <w:t xml:space="preserve">PG </w:t>
      </w:r>
      <w:r>
        <w:t>ring structures should be present</w:t>
      </w:r>
      <w:r w:rsidR="006C23C4">
        <w:t xml:space="preserve"> (newly exposed septa) </w:t>
      </w:r>
      <w:r w:rsidR="006C23C4">
        <w:fldChar w:fldCharType="begin" w:fldLock="1"/>
      </w:r>
      <w:r w:rsidR="00B3106D">
        <w:instrText>ADDIN CSL_CITATION {"citationItems":[{"id":"ITEM-1","itemData":{"DOI":"10.1038/s41586-020-2236-6","ISSN":"14764687","PMID":"32523118","abstract":"The primary structural component of the bacterial cell wall is peptidoglycan, which is essential for viability and the synthesis of which is the target for crucial antibiotics1,2. Peptidoglycan is a single macromolecule made of glycan chains crosslinked by peptide side branches that surrounds the cell, acting as a constraint to internal turgor1,3. In Gram-positive bacteria, peptidoglycan is tens of nanometres thick, generally portrayed as a homogeneous structure that provides mechanical strength4–6. Here we applied atomic force microscopy7–12 to interrogate the morphologically distinct Staphylococcus aureus and Bacillus subtilis species, using live cells and purified peptidoglycan. The mature surface of live cells is characterized by a landscape of large (up to 60 nm in diameter), deep (up to 23 nm) pores constituting a disordered gel of peptidoglycan. The inner peptidoglycan surface, consisting of more nascent material, is much denser, with glycan strand spacing typically less than 7 nm. The inner surface architecture is location dependent; the cylinder of B. subtilis has dense circumferential orientation, while in S. aureus and division septa for both species, peptidoglycan is dense but randomly oriented. Revealing the molecular architecture of the cell envelope frames our understanding of its mechanical properties and role as the environmental interface13,14, providing information complementary to traditional structural biology approaches.","author":[{"dropping-particle":"","family":"Pasquina-Lemonche","given":"L.","non-dropping-particle":"","parse-names":false,"suffix":""},{"dropping-particle":"","family":"Burns","given":"J.","non-dropping-particle":"","parse-names":false,"suffix":""},{"dropping-particle":"","family":"Turner","given":"R. D.","non-dropping-particle":"","parse-names":false,"suffix":""},{"dropping-particle":"","family":"Kumar","given":"S.","non-dropping-particle":"","parse-names":false,"suffix":""},{"dropping-particle":"","family":"Tank","given":"R.","non-dropping-particle":"","parse-names":false,"suffix":""},{"dropping-particle":"","family":"Mullin","given":"N.","non-dropping-particle":"","parse-names":false,"suffix":""},{"dropping-particle":"","family":"Wilson","given":"J. S.","non-dropping-particle":"","parse-names":false,"suffix":""},{"dropping-particle":"","family":"Chakrabarti","given":"B.","non-dropping-particle":"","parse-names":false,"suffix":""},{"dropping-particle":"","family":"Bullough","given":"P. A.","non-dropping-particle":"","parse-names":false,"suffix":""},{"dropping-particle":"","family":"Foster","given":"S. J.","non-dropping-particle":"","parse-names":false,"suffix":""},{"dropping-particle":"","family":"Hobbs","given":"J. K.","non-dropping-particle":"","parse-names":false,"suffix":""}],"container-title":"Nature","id":"ITEM-1","issue":"7811","issued":{"date-parts":[["2020"]]},"page":"294-297","publisher":"Springer US","title":"The architecture of the Gram-positive bacterial cell wall","type":"article-journal","volume":"582"},"uris":["http://www.mendeley.com/documents/?uuid=59449879-cfbc-4ac6-815a-4c720a2f8b47"]}],"mendeley":{"formattedCitation":"&lt;sup&gt;[211]&lt;/sup&gt;","plainTextFormattedCitation":"[211]","previouslyFormattedCitation":"&lt;sup&gt;[211]&lt;/sup&gt;"},"properties":{"noteIndex":0},"schema":"https://github.com/citation-style-language/schema/raw/master/csl-citation.json"}</w:instrText>
      </w:r>
      <w:r w:rsidR="006C23C4">
        <w:fldChar w:fldCharType="separate"/>
      </w:r>
      <w:r w:rsidR="002659E5" w:rsidRPr="002659E5">
        <w:rPr>
          <w:noProof/>
          <w:vertAlign w:val="superscript"/>
        </w:rPr>
        <w:t>[211]</w:t>
      </w:r>
      <w:r w:rsidR="006C23C4">
        <w:fldChar w:fldCharType="end"/>
      </w:r>
      <w:r w:rsidR="006C23C4">
        <w:t xml:space="preserve">, </w:t>
      </w:r>
      <w:r>
        <w:t xml:space="preserve">showed </w:t>
      </w:r>
      <w:r w:rsidR="00870C56">
        <w:t>a</w:t>
      </w:r>
      <w:r>
        <w:t xml:space="preserve"> looser mesh-like structure with almost no signs of rings, which might imply that they are easily degraded by PGH, or that they never formed fully to begin with because of the lack of WTA </w:t>
      </w:r>
      <w:r>
        <w:fldChar w:fldCharType="begin" w:fldLock="1"/>
      </w:r>
      <w:r w:rsidR="0058736C">
        <w:instrText>ADDIN CSL_CITATION {"citationItems":[{"id":"ITEM-1","itemData":{"author":[{"dropping-particle":"","family":"Pasquina Lemonche","given":"Laia","non-dropping-particle":"","parse-names":false,"suffix":""}],"id":"ITEM-1","issue":"August","issued":{"date-parts":[["2020"]]},"publisher":"The University of Sheffield","title":"The molecular architecture of the Gram-positive bacterial cell wall and how it is disrupted by antibiotics","type":"thesis"},"uris":["http://www.mendeley.com/documents/?uuid=7155e0a8-ffca-4ddc-ab1a-a19f15567396"]}],"mendeley":{"formattedCitation":"&lt;sup&gt;[248]&lt;/sup&gt;","plainTextFormattedCitation":"[248]","previouslyFormattedCitation":"&lt;sup&gt;[248]&lt;/sup&gt;"},"properties":{"noteIndex":0},"schema":"https://github.com/citation-style-language/schema/raw/master/csl-citation.json"}</w:instrText>
      </w:r>
      <w:r>
        <w:fldChar w:fldCharType="separate"/>
      </w:r>
      <w:r w:rsidR="002659E5" w:rsidRPr="002659E5">
        <w:rPr>
          <w:noProof/>
          <w:vertAlign w:val="superscript"/>
        </w:rPr>
        <w:t>[248]</w:t>
      </w:r>
      <w:r>
        <w:fldChar w:fldCharType="end"/>
      </w:r>
      <w:r>
        <w:t xml:space="preserve">. </w:t>
      </w:r>
      <w:r w:rsidR="00003CEE">
        <w:t xml:space="preserve">AFM analysis of </w:t>
      </w:r>
      <w:r>
        <w:t>LTA lacking strains</w:t>
      </w:r>
      <w:r w:rsidR="009B67F3">
        <w:t>,</w:t>
      </w:r>
      <w:r>
        <w:t xml:space="preserve"> however</w:t>
      </w:r>
      <w:r w:rsidR="009B67F3">
        <w:t>,</w:t>
      </w:r>
      <w:r>
        <w:t xml:space="preserve"> </w:t>
      </w:r>
      <w:r w:rsidR="00003CEE">
        <w:t xml:space="preserve">showed </w:t>
      </w:r>
      <w:r w:rsidR="009B67F3">
        <w:t xml:space="preserve">a </w:t>
      </w:r>
      <w:r w:rsidR="00003CEE">
        <w:t>similar PG structure</w:t>
      </w:r>
      <w:r>
        <w:t xml:space="preserve"> to </w:t>
      </w:r>
      <w:r w:rsidR="009B67F3">
        <w:t>that of the</w:t>
      </w:r>
      <w:r>
        <w:t xml:space="preserve"> wild type</w:t>
      </w:r>
      <w:r w:rsidR="00003CEE">
        <w:t>,</w:t>
      </w:r>
      <w:r>
        <w:t xml:space="preserve"> presenting the expected PG mesh and rings </w:t>
      </w:r>
      <w:r>
        <w:fldChar w:fldCharType="begin" w:fldLock="1"/>
      </w:r>
      <w:r w:rsidR="0058736C">
        <w:instrText>ADDIN CSL_CITATION {"citationItems":[{"id":"ITEM-1","itemData":{"author":[{"dropping-particle":"","family":"Pasquina Lemonche","given":"Laia","non-dropping-particle":"","parse-names":false,"suffix":""}],"id":"ITEM-1","issue":"August","issued":{"date-parts":[["2020"]]},"publisher":"The University of Sheffield","title":"The molecular architecture of the Gram-positive bacterial cell wall and how it is disrupted by antibiotics","type":"thesis"},"uris":["http://www.mendeley.com/documents/?uuid=7155e0a8-ffca-4ddc-ab1a-a19f15567396"]}],"mendeley":{"formattedCitation":"&lt;sup&gt;[248]&lt;/sup&gt;","plainTextFormattedCitation":"[248]","previouslyFormattedCitation":"&lt;sup&gt;[248]&lt;/sup&gt;"},"properties":{"noteIndex":0},"schema":"https://github.com/citation-style-language/schema/raw/master/csl-citation.json"}</w:instrText>
      </w:r>
      <w:r>
        <w:fldChar w:fldCharType="separate"/>
      </w:r>
      <w:r w:rsidR="002659E5" w:rsidRPr="002659E5">
        <w:rPr>
          <w:noProof/>
          <w:vertAlign w:val="superscript"/>
        </w:rPr>
        <w:t>[248]</w:t>
      </w:r>
      <w:r>
        <w:fldChar w:fldCharType="end"/>
      </w:r>
      <w:r>
        <w:t xml:space="preserve">. Further AFM analysis </w:t>
      </w:r>
      <w:r w:rsidR="001B46D6">
        <w:t>is needed to</w:t>
      </w:r>
      <w:r>
        <w:t xml:space="preserve"> provide some more information on PG structural changes of methicillin-treated sacculi from WTA and LTA lacking strains.</w:t>
      </w:r>
    </w:p>
    <w:p w14:paraId="35F9BDF1" w14:textId="1098E2EA" w:rsidR="004520B2" w:rsidRDefault="00F7064B" w:rsidP="00D52519">
      <w:r>
        <w:t xml:space="preserve">Our plasmolysis theory </w:t>
      </w:r>
      <w:r w:rsidR="00301702">
        <w:t>contradict</w:t>
      </w:r>
      <w:r w:rsidR="00374D76">
        <w:t>s</w:t>
      </w:r>
      <w:r w:rsidR="00301702">
        <w:t xml:space="preserve"> the model of </w:t>
      </w:r>
      <w:r w:rsidR="00301702">
        <w:rPr>
          <w:lang w:val="el-GR"/>
        </w:rPr>
        <w:t>β</w:t>
      </w:r>
      <w:r w:rsidR="00301702">
        <w:t xml:space="preserve">-lactam killing of </w:t>
      </w:r>
      <w:r w:rsidR="00301702">
        <w:rPr>
          <w:i/>
          <w:iCs/>
        </w:rPr>
        <w:t xml:space="preserve">S. </w:t>
      </w:r>
      <w:r w:rsidR="00301702" w:rsidRPr="00301702">
        <w:rPr>
          <w:i/>
          <w:iCs/>
        </w:rPr>
        <w:t>aureus</w:t>
      </w:r>
      <w:r w:rsidR="00301702">
        <w:t xml:space="preserve"> proposed by Giesbrecht</w:t>
      </w:r>
      <w:r w:rsidR="004818BF">
        <w:t xml:space="preserve"> and the explanation for the morphological changes seen in penicillin-treated cells</w:t>
      </w:r>
      <w:r w:rsidR="007C6035">
        <w:t xml:space="preserve"> </w:t>
      </w:r>
      <w:r w:rsidR="007C6035">
        <w:fldChar w:fldCharType="begin" w:fldLock="1"/>
      </w:r>
      <w:r w:rsidR="009D34AE">
        <w:instrText>ADDIN CSL_CITATION {"citationItems":[{"id":"ITEM-1","itemData":{"ISBN":"1092-2172 (Print)","ISSN":"1092-2172","PMID":"9841676","abstract":"The primary goal of this review is to provide a compilation of the complex architectural features of staphylococcal cell walls and of some of their unusual morphogenetic traits including the utilization of murosomes and two different mechanisms of cell separation. Knowledge of these electron microscopic findings may serve as a prerequisite for a better understanding of the sophisticated events which lead to penicillin-induced death. For more than 50 years there have been controversial disputes about the mechanisms by which penicillin kills bacteria. Many hypotheses have tried to explain this fatal event biochemically and mainly via bacteriolysis. However, indications that penicillin-induced death of staphylococci results from overall biochemical defects or from a fatal attack of bacterial cell walls by bacteriolytic murein hydrolases were not been found. Rather, penicillin, claimed to trigger the activity of murein hydrolases, impaired autolytic wall enzymes of staphylococci. Electron microscopic investigations have meanwhile shown that penicillin-mediated induction of seemingly minute cross wall mistakes is the very reason for this killing. Such \"morphogenetic death\" taking place at predictable cross wall sites and at a predictable time is based on the initiation of normal cell separations in those staphylococci in which the completion of cross walls had been prevented by local penicillin-mediated impairment of the distribution of newly synthesized peptidoglycan; this death occurs because the high internal pressure of the protoplast abruptly kills such cells via ejection of some cytoplasm during attempted cell separation. An analogous fatal onset of cell partition is considered to take place without involvement of a detectable quantity of autolytic wall enzymes (\"mechanical cell separation\"). The most prominent feature of penicillin, the disintegration of bacterial cells via bacteriolysis, is shown to represent only a postmortem process resulting from shrinkage of dead cells and perturbation of the cytoplasmic membrane. Several schematic drawings have been included in this review to facilitate an understanding of the complex morphogenetic events.","author":[{"dropping-particle":"","family":"Giesbrecht","given":"P","non-dropping-particle":"","parse-names":false,"suffix":""},{"dropping-particle":"","family":"Kersten","given":"T","non-dropping-particle":"","parse-names":false,"suffix":""},{"dropping-particle":"","family":"Maidhof","given":"H","non-dropping-particle":"","parse-names":false,"suffix":""},{"dropping-particle":"","family":"Wecke","given":"J","non-dropping-particle":"","parse-names":false,"suffix":""}],"container-title":"Microbiology and molecular biology reviews : MMBR","id":"ITEM-1","issue":"4","issued":{"date-parts":[["1998"]]},"page":"1371-414","title":"Staphylococcal cell wall: morphogenesis and fatal variations in the presence of penicillin.","type":"article-journal","volume":"62"},"uris":["http://www.mendeley.com/documents/?uuid=5bbf4be2-ff82-4e3b-8960-10e3554efaac"]}],"mendeley":{"formattedCitation":"&lt;sup&gt;[289]&lt;/sup&gt;","plainTextFormattedCitation":"[289]","previouslyFormattedCitation":"&lt;sup&gt;[289]&lt;/sup&gt;"},"properties":{"noteIndex":0},"schema":"https://github.com/citation-style-language/schema/raw/master/csl-citation.json"}</w:instrText>
      </w:r>
      <w:r w:rsidR="007C6035">
        <w:fldChar w:fldCharType="separate"/>
      </w:r>
      <w:r w:rsidR="009D34AE" w:rsidRPr="009D34AE">
        <w:rPr>
          <w:noProof/>
          <w:vertAlign w:val="superscript"/>
        </w:rPr>
        <w:t>[289]</w:t>
      </w:r>
      <w:r w:rsidR="007C6035">
        <w:fldChar w:fldCharType="end"/>
      </w:r>
      <w:r w:rsidR="004818BF">
        <w:t>. Giesbrecht’s study proposed</w:t>
      </w:r>
      <w:r w:rsidR="00301702">
        <w:t xml:space="preserve"> that it was</w:t>
      </w:r>
      <w:r w:rsidR="004818BF">
        <w:t xml:space="preserve"> an inner</w:t>
      </w:r>
      <w:r w:rsidR="00301702">
        <w:t xml:space="preserve"> </w:t>
      </w:r>
      <w:r w:rsidR="004818BF">
        <w:t xml:space="preserve">fibrillar cell wall material </w:t>
      </w:r>
      <w:r w:rsidR="00301702">
        <w:t>in the bulbous septa</w:t>
      </w:r>
      <w:r w:rsidR="004818BF">
        <w:t>, and that this “secondary wall” reacted differently when chemically fixed</w:t>
      </w:r>
      <w:r w:rsidR="00301702">
        <w:t xml:space="preserve"> </w:t>
      </w:r>
      <w:r w:rsidR="00301702">
        <w:fldChar w:fldCharType="begin" w:fldLock="1"/>
      </w:r>
      <w:r w:rsidR="009D34AE">
        <w:instrText>ADDIN CSL_CITATION {"citationItems":[{"id":"ITEM-1","itemData":{"ISBN":"1092-2172 (Print)","ISSN":"1092-2172","PMID":"9841676","abstract":"The primary goal of this review is to provide a compilation of the complex architectural features of staphylococcal cell walls and of some of their unusual morphogenetic traits including the utilization of murosomes and two different mechanisms of cell separation. Knowledge of these electron microscopic findings may serve as a prerequisite for a better understanding of the sophisticated events which lead to penicillin-induced death. For more than 50 years there have been controversial disputes about the mechanisms by which penicillin kills bacteria. Many hypotheses have tried to explain this fatal event biochemically and mainly via bacteriolysis. However, indications that penicillin-induced death of staphylococci results from overall biochemical defects or from a fatal attack of bacterial cell walls by bacteriolytic murein hydrolases were not been found. Rather, penicillin, claimed to trigger the activity of murein hydrolases, impaired autolytic wall enzymes of staphylococci. Electron microscopic investigations have meanwhile shown that penicillin-mediated induction of seemingly minute cross wall mistakes is the very reason for this killing. Such \"morphogenetic death\" taking place at predictable cross wall sites and at a predictable time is based on the initiation of normal cell separations in those staphylococci in which the completion of cross walls had been prevented by local penicillin-mediated impairment of the distribution of newly synthesized peptidoglycan; this death occurs because the high internal pressure of the protoplast abruptly kills such cells via ejection of some cytoplasm during attempted cell separation. An analogous fatal onset of cell partition is considered to take place without involvement of a detectable quantity of autolytic wall enzymes (\"mechanical cell separation\"). The most prominent feature of penicillin, the disintegration of bacterial cells via bacteriolysis, is shown to represent only a postmortem process resulting from shrinkage of dead cells and perturbation of the cytoplasmic membrane. Several schematic drawings have been included in this review to facilitate an understanding of the complex morphogenetic events.","author":[{"dropping-particle":"","family":"Giesbrecht","given":"P","non-dropping-particle":"","parse-names":false,"suffix":""},{"dropping-particle":"","family":"Kersten","given":"T","non-dropping-particle":"","parse-names":false,"suffix":""},{"dropping-particle":"","family":"Maidhof","given":"H","non-dropping-particle":"","parse-names":false,"suffix":""},{"dropping-particle":"","family":"Wecke","given":"J","non-dropping-particle":"","parse-names":false,"suffix":""}],"container-title":"Microbiology and molecular biology reviews : MMBR","id":"ITEM-1","issue":"4","issued":{"date-parts":[["1998"]]},"page":"1371-414","title":"Staphylococcal cell wall: morphogenesis and fatal variations in the presence of penicillin.","type":"article-journal","volume":"62"},"uris":["http://www.mendeley.com/documents/?uuid=5bbf4be2-ff82-4e3b-8960-10e3554efaac"]}],"mendeley":{"formattedCitation":"&lt;sup&gt;[289]&lt;/sup&gt;","plainTextFormattedCitation":"[289]","previouslyFormattedCitation":"&lt;sup&gt;[289]&lt;/sup&gt;"},"properties":{"noteIndex":0},"schema":"https://github.com/citation-style-language/schema/raw/master/csl-citation.json"}</w:instrText>
      </w:r>
      <w:r w:rsidR="00301702">
        <w:fldChar w:fldCharType="separate"/>
      </w:r>
      <w:r w:rsidR="009D34AE" w:rsidRPr="009D34AE">
        <w:rPr>
          <w:noProof/>
          <w:vertAlign w:val="superscript"/>
        </w:rPr>
        <w:t>[289]</w:t>
      </w:r>
      <w:r w:rsidR="00301702">
        <w:fldChar w:fldCharType="end"/>
      </w:r>
      <w:r w:rsidR="00301702">
        <w:t xml:space="preserve">. </w:t>
      </w:r>
      <w:r w:rsidR="007C4E6C">
        <w:t>T</w:t>
      </w:r>
      <w:r w:rsidR="005C2500">
        <w:t>his assumption</w:t>
      </w:r>
      <w:r w:rsidR="007C4E6C">
        <w:t xml:space="preserve"> was therefore tested,</w:t>
      </w:r>
      <w:r w:rsidR="005C2500">
        <w:t xml:space="preserve"> to uncover if the expansion of the exoplasm was caused by an a</w:t>
      </w:r>
      <w:r w:rsidR="004818BF">
        <w:t>ccumulation of polymers</w:t>
      </w:r>
      <w:r w:rsidR="005C2500">
        <w:t>.</w:t>
      </w:r>
      <w:r w:rsidR="00B82702">
        <w:t xml:space="preserve"> Our results </w:t>
      </w:r>
      <w:r w:rsidR="00D52519">
        <w:t>showed that there is no</w:t>
      </w:r>
      <w:r w:rsidR="004520B2">
        <w:t xml:space="preserve"> </w:t>
      </w:r>
      <w:r w:rsidR="00374D76">
        <w:t xml:space="preserve">apparent </w:t>
      </w:r>
      <w:r w:rsidR="004520B2">
        <w:t>physical accumulation of either PG, lipid, or teichoic acids precursors (</w:t>
      </w:r>
      <w:r w:rsidR="004520B2">
        <w:fldChar w:fldCharType="begin"/>
      </w:r>
      <w:r w:rsidR="004520B2">
        <w:instrText xml:space="preserve"> REF _Ref70462442 \h </w:instrText>
      </w:r>
      <w:r w:rsidR="004520B2">
        <w:fldChar w:fldCharType="separate"/>
      </w:r>
      <w:r w:rsidR="00183CC8">
        <w:t xml:space="preserve">Figure </w:t>
      </w:r>
      <w:r w:rsidR="00183CC8">
        <w:rPr>
          <w:noProof/>
        </w:rPr>
        <w:t>5</w:t>
      </w:r>
      <w:r w:rsidR="00183CC8">
        <w:t>.</w:t>
      </w:r>
      <w:r w:rsidR="00183CC8">
        <w:rPr>
          <w:noProof/>
        </w:rPr>
        <w:t>28</w:t>
      </w:r>
      <w:r w:rsidR="004520B2">
        <w:fldChar w:fldCharType="end"/>
      </w:r>
      <w:r w:rsidR="004520B2">
        <w:t xml:space="preserve">, </w:t>
      </w:r>
      <w:r w:rsidR="004520B2">
        <w:fldChar w:fldCharType="begin"/>
      </w:r>
      <w:r w:rsidR="004520B2">
        <w:instrText xml:space="preserve"> REF _Ref70462450 \h </w:instrText>
      </w:r>
      <w:r w:rsidR="004520B2">
        <w:fldChar w:fldCharType="separate"/>
      </w:r>
      <w:r w:rsidR="00183CC8">
        <w:t xml:space="preserve">Figure </w:t>
      </w:r>
      <w:r w:rsidR="00183CC8">
        <w:rPr>
          <w:noProof/>
        </w:rPr>
        <w:t>5</w:t>
      </w:r>
      <w:r w:rsidR="00183CC8">
        <w:t>.</w:t>
      </w:r>
      <w:r w:rsidR="00183CC8">
        <w:rPr>
          <w:noProof/>
        </w:rPr>
        <w:t>30</w:t>
      </w:r>
      <w:r w:rsidR="004520B2">
        <w:fldChar w:fldCharType="end"/>
      </w:r>
      <w:r w:rsidR="004520B2">
        <w:t xml:space="preserve">, </w:t>
      </w:r>
      <w:r w:rsidR="004520B2">
        <w:fldChar w:fldCharType="begin"/>
      </w:r>
      <w:r w:rsidR="004520B2">
        <w:instrText xml:space="preserve"> REF _Ref70617103 \h </w:instrText>
      </w:r>
      <w:r w:rsidR="004520B2">
        <w:fldChar w:fldCharType="separate"/>
      </w:r>
      <w:r w:rsidR="00183CC8">
        <w:t xml:space="preserve">Figure </w:t>
      </w:r>
      <w:r w:rsidR="00183CC8">
        <w:rPr>
          <w:noProof/>
        </w:rPr>
        <w:t>5</w:t>
      </w:r>
      <w:r w:rsidR="00183CC8">
        <w:t>.</w:t>
      </w:r>
      <w:r w:rsidR="00183CC8">
        <w:rPr>
          <w:noProof/>
        </w:rPr>
        <w:t>35</w:t>
      </w:r>
      <w:r w:rsidR="004520B2">
        <w:fldChar w:fldCharType="end"/>
      </w:r>
      <w:r w:rsidR="004520B2">
        <w:t xml:space="preserve">, </w:t>
      </w:r>
      <w:r w:rsidR="006A5E14">
        <w:rPr>
          <w:highlight w:val="yellow"/>
        </w:rPr>
        <w:fldChar w:fldCharType="begin"/>
      </w:r>
      <w:r w:rsidR="006A5E14">
        <w:instrText xml:space="preserve"> REF _Ref80698897 \h </w:instrText>
      </w:r>
      <w:r w:rsidR="006A5E14">
        <w:rPr>
          <w:highlight w:val="yellow"/>
        </w:rPr>
      </w:r>
      <w:r w:rsidR="006A5E14">
        <w:rPr>
          <w:highlight w:val="yellow"/>
        </w:rPr>
        <w:fldChar w:fldCharType="separate"/>
      </w:r>
      <w:r w:rsidR="00183CC8">
        <w:t xml:space="preserve">Figure </w:t>
      </w:r>
      <w:r w:rsidR="00183CC8">
        <w:rPr>
          <w:noProof/>
        </w:rPr>
        <w:t>5</w:t>
      </w:r>
      <w:r w:rsidR="00183CC8">
        <w:t>.</w:t>
      </w:r>
      <w:r w:rsidR="00183CC8">
        <w:rPr>
          <w:noProof/>
        </w:rPr>
        <w:t>37</w:t>
      </w:r>
      <w:r w:rsidR="006A5E14">
        <w:rPr>
          <w:highlight w:val="yellow"/>
        </w:rPr>
        <w:fldChar w:fldCharType="end"/>
      </w:r>
      <w:r w:rsidR="004520B2">
        <w:t>)</w:t>
      </w:r>
      <w:r w:rsidR="00B04739">
        <w:t xml:space="preserve">, thus, supporting our theory that these do not cause the phenotype observed with </w:t>
      </w:r>
      <w:r w:rsidR="00B04739">
        <w:rPr>
          <w:lang w:val="el-GR"/>
        </w:rPr>
        <w:t>β</w:t>
      </w:r>
      <w:r w:rsidR="00B04739">
        <w:t>-lactams</w:t>
      </w:r>
      <w:r w:rsidR="004520B2">
        <w:t xml:space="preserve">. </w:t>
      </w:r>
    </w:p>
    <w:p w14:paraId="09241197" w14:textId="5C242245" w:rsidR="00C637A2" w:rsidRDefault="00ED5FC5" w:rsidP="00052004">
      <w:r w:rsidRPr="00301702">
        <w:lastRenderedPageBreak/>
        <w:t>Unlike</w:t>
      </w:r>
      <w:r>
        <w:t xml:space="preserve"> standard chemical fixation TEM, cryo-EM provide</w:t>
      </w:r>
      <w:r w:rsidR="00F07D0B">
        <w:t>s</w:t>
      </w:r>
      <w:r>
        <w:t xml:space="preserve"> the opportunity to study the cell in a hydrated state and without any chemicals or heavy stains that could interfere </w:t>
      </w:r>
      <w:r w:rsidR="009E02D6">
        <w:t>with</w:t>
      </w:r>
      <w:r>
        <w:t xml:space="preserve"> cellular structure. </w:t>
      </w:r>
      <w:r w:rsidR="009E02D6">
        <w:t>Cryo-EM of whole cells and cryo-ET show</w:t>
      </w:r>
      <w:r w:rsidR="001F6910">
        <w:t>ed</w:t>
      </w:r>
      <w:r w:rsidR="009E02D6">
        <w:t xml:space="preserve"> that methicillin treated cells become electron</w:t>
      </w:r>
      <w:r w:rsidR="004F041B">
        <w:t>-</w:t>
      </w:r>
      <w:r w:rsidR="009E02D6">
        <w:t>transparent</w:t>
      </w:r>
      <w:r w:rsidR="004F041B">
        <w:t xml:space="preserve"> in comparison to the electron-dense control</w:t>
      </w:r>
      <w:r w:rsidR="002259FA">
        <w:t xml:space="preserve"> (</w:t>
      </w:r>
      <w:r w:rsidR="002259FA">
        <w:fldChar w:fldCharType="begin"/>
      </w:r>
      <w:r w:rsidR="002259FA">
        <w:instrText xml:space="preserve"> REF _Ref70951211 \h </w:instrText>
      </w:r>
      <w:r w:rsidR="002259FA">
        <w:fldChar w:fldCharType="separate"/>
      </w:r>
      <w:r w:rsidR="00183CC8">
        <w:t xml:space="preserve">Figure </w:t>
      </w:r>
      <w:r w:rsidR="00183CC8">
        <w:rPr>
          <w:noProof/>
        </w:rPr>
        <w:t>5</w:t>
      </w:r>
      <w:r w:rsidR="00183CC8">
        <w:t>.</w:t>
      </w:r>
      <w:r w:rsidR="00183CC8">
        <w:rPr>
          <w:noProof/>
        </w:rPr>
        <w:t>39</w:t>
      </w:r>
      <w:r w:rsidR="002259FA">
        <w:fldChar w:fldCharType="end"/>
      </w:r>
      <w:r w:rsidR="002259FA">
        <w:t>)</w:t>
      </w:r>
      <w:r w:rsidR="009E02D6">
        <w:t>, meaning that the</w:t>
      </w:r>
      <w:r w:rsidR="00C637A2">
        <w:t xml:space="preserve"> structural</w:t>
      </w:r>
      <w:r w:rsidR="009E02D6">
        <w:t xml:space="preserve"> integrity </w:t>
      </w:r>
      <w:r w:rsidR="00C637A2">
        <w:t xml:space="preserve">of the CW </w:t>
      </w:r>
      <w:r w:rsidR="009E02D6">
        <w:t>has been compromised and</w:t>
      </w:r>
      <w:r w:rsidR="00C637A2">
        <w:t xml:space="preserve"> </w:t>
      </w:r>
      <w:r w:rsidR="00A52B6F">
        <w:t>its</w:t>
      </w:r>
      <w:r w:rsidR="00C637A2">
        <w:t xml:space="preserve"> subsequent rupture led to</w:t>
      </w:r>
      <w:r w:rsidR="009E02D6">
        <w:t xml:space="preserve"> </w:t>
      </w:r>
      <w:r w:rsidR="00C637A2">
        <w:t>the loss of</w:t>
      </w:r>
      <w:r w:rsidR="009E02D6">
        <w:t xml:space="preserve"> cytoplasmic content.</w:t>
      </w:r>
      <w:r w:rsidR="00020920" w:rsidRPr="00020920">
        <w:t xml:space="preserve"> </w:t>
      </w:r>
      <w:r w:rsidR="00020920">
        <w:t>This result co</w:t>
      </w:r>
      <w:r w:rsidR="00DA0951">
        <w:t>rroborates</w:t>
      </w:r>
      <w:r w:rsidR="00020920">
        <w:t xml:space="preserve"> that the phenotype observed with methicillin is consistent through different electron microscopy techniques</w:t>
      </w:r>
      <w:r w:rsidR="003517D1">
        <w:t xml:space="preserve"> (</w:t>
      </w:r>
      <w:r w:rsidR="003517D1">
        <w:fldChar w:fldCharType="begin"/>
      </w:r>
      <w:r w:rsidR="003517D1">
        <w:instrText xml:space="preserve"> REF _Ref70951211 \h </w:instrText>
      </w:r>
      <w:r w:rsidR="003517D1">
        <w:fldChar w:fldCharType="separate"/>
      </w:r>
      <w:r w:rsidR="00183CC8">
        <w:t xml:space="preserve">Figure </w:t>
      </w:r>
      <w:r w:rsidR="00183CC8">
        <w:rPr>
          <w:noProof/>
        </w:rPr>
        <w:t>5</w:t>
      </w:r>
      <w:r w:rsidR="00183CC8">
        <w:t>.</w:t>
      </w:r>
      <w:r w:rsidR="00183CC8">
        <w:rPr>
          <w:noProof/>
        </w:rPr>
        <w:t>39</w:t>
      </w:r>
      <w:r w:rsidR="003517D1">
        <w:fldChar w:fldCharType="end"/>
      </w:r>
      <w:r w:rsidR="003517D1">
        <w:t>),</w:t>
      </w:r>
      <w:r w:rsidR="00020920">
        <w:t xml:space="preserve"> and we can conclude that the retraction of the plasma membrane, the expansion of the exoplasmic space, and the presence of blebs are </w:t>
      </w:r>
      <w:r w:rsidR="001F6910">
        <w:t>due to</w:t>
      </w:r>
      <w:r w:rsidR="00020920">
        <w:t xml:space="preserve"> plasmolysis.</w:t>
      </w:r>
      <w:r w:rsidR="002259FA">
        <w:t xml:space="preserve"> </w:t>
      </w:r>
    </w:p>
    <w:p w14:paraId="1AB2A261" w14:textId="4A54FC4D" w:rsidR="007962F5" w:rsidRDefault="00541416" w:rsidP="00052004">
      <w:pPr>
        <w:sectPr w:rsidR="007962F5" w:rsidSect="004D0E05">
          <w:pgSz w:w="11906" w:h="16838"/>
          <w:pgMar w:top="1191" w:right="1247" w:bottom="1191" w:left="1247" w:header="709" w:footer="709" w:gutter="0"/>
          <w:cols w:space="708"/>
          <w:titlePg/>
          <w:docGrid w:linePitch="360"/>
        </w:sectPr>
      </w:pPr>
      <w:r>
        <w:t>Giesbrecht also focuse</w:t>
      </w:r>
      <w:r w:rsidR="00BF776B">
        <w:t>d</w:t>
      </w:r>
      <w:r>
        <w:t xml:space="preserve"> on murosomes, described as “minute, vesicular, extra plasmatic wall organelles” involved in the lytic process of septa formation and cell separation, as the main pathway through which </w:t>
      </w:r>
      <w:r>
        <w:rPr>
          <w:lang w:val="el-GR"/>
        </w:rPr>
        <w:t>β</w:t>
      </w:r>
      <w:r>
        <w:t xml:space="preserve">-lactams kill </w:t>
      </w:r>
      <w:r>
        <w:rPr>
          <w:i/>
          <w:iCs/>
        </w:rPr>
        <w:t>S. aureus</w:t>
      </w:r>
      <w:r>
        <w:t xml:space="preserve"> </w:t>
      </w:r>
      <w:r>
        <w:fldChar w:fldCharType="begin" w:fldLock="1"/>
      </w:r>
      <w:r w:rsidR="009D34AE">
        <w:instrText>ADDIN CSL_CITATION {"citationItems":[{"id":"ITEM-1","itemData":{"ISBN":"1092-2172 (Print)","ISSN":"1092-2172","PMID":"9841676","abstract":"The primary goal of this review is to provide a compilation of the complex architectural features of staphylococcal cell walls and of some of their unusual morphogenetic traits including the utilization of murosomes and two different mechanisms of cell separation. Knowledge of these electron microscopic findings may serve as a prerequisite for a better understanding of the sophisticated events which lead to penicillin-induced death. For more than 50 years there have been controversial disputes about the mechanisms by which penicillin kills bacteria. Many hypotheses have tried to explain this fatal event biochemically and mainly via bacteriolysis. However, indications that penicillin-induced death of staphylococci results from overall biochemical defects or from a fatal attack of bacterial cell walls by bacteriolytic murein hydrolases were not been found. Rather, penicillin, claimed to trigger the activity of murein hydrolases, impaired autolytic wall enzymes of staphylococci. Electron microscopic investigations have meanwhile shown that penicillin-mediated induction of seemingly minute cross wall mistakes is the very reason for this killing. Such \"morphogenetic death\" taking place at predictable cross wall sites and at a predictable time is based on the initiation of normal cell separations in those staphylococci in which the completion of cross walls had been prevented by local penicillin-mediated impairment of the distribution of newly synthesized peptidoglycan; this death occurs because the high internal pressure of the protoplast abruptly kills such cells via ejection of some cytoplasm during attempted cell separation. An analogous fatal onset of cell partition is considered to take place without involvement of a detectable quantity of autolytic wall enzymes (\"mechanical cell separation\"). The most prominent feature of penicillin, the disintegration of bacterial cells via bacteriolysis, is shown to represent only a postmortem process resulting from shrinkage of dead cells and perturbation of the cytoplasmic membrane. Several schematic drawings have been included in this review to facilitate an understanding of the complex morphogenetic events.","author":[{"dropping-particle":"","family":"Giesbrecht","given":"P","non-dropping-particle":"","parse-names":false,"suffix":""},{"dropping-particle":"","family":"Kersten","given":"T","non-dropping-particle":"","parse-names":false,"suffix":""},{"dropping-particle":"","family":"Maidhof","given":"H","non-dropping-particle":"","parse-names":false,"suffix":""},{"dropping-particle":"","family":"Wecke","given":"J","non-dropping-particle":"","parse-names":false,"suffix":""}],"container-title":"Microbiology and molecular biology reviews : MMBR","id":"ITEM-1","issue":"4","issued":{"date-parts":[["1998"]]},"page":"1371-414","title":"Staphylococcal cell wall: morphogenesis and fatal variations in the presence of penicillin.","type":"article-journal","volume":"62"},"uris":["http://www.mendeley.com/documents/?uuid=5bbf4be2-ff82-4e3b-8960-10e3554efaac"]}],"mendeley":{"formattedCitation":"&lt;sup&gt;[289]&lt;/sup&gt;","plainTextFormattedCitation":"[289]","previouslyFormattedCitation":"&lt;sup&gt;[289]&lt;/sup&gt;"},"properties":{"noteIndex":0},"schema":"https://github.com/citation-style-language/schema/raw/master/csl-citation.json"}</w:instrText>
      </w:r>
      <w:r>
        <w:fldChar w:fldCharType="separate"/>
      </w:r>
      <w:r w:rsidR="009D34AE" w:rsidRPr="009D34AE">
        <w:rPr>
          <w:noProof/>
          <w:vertAlign w:val="superscript"/>
        </w:rPr>
        <w:t>[289]</w:t>
      </w:r>
      <w:r>
        <w:fldChar w:fldCharType="end"/>
      </w:r>
      <w:r>
        <w:rPr>
          <w:i/>
          <w:iCs/>
        </w:rPr>
        <w:t>.</w:t>
      </w:r>
      <w:r>
        <w:t xml:space="preserve"> This study </w:t>
      </w:r>
      <w:r w:rsidR="00C637A2">
        <w:t>proposed</w:t>
      </w:r>
      <w:r>
        <w:t xml:space="preserve"> that th</w:t>
      </w:r>
      <w:r w:rsidR="006512CC">
        <w:t>e</w:t>
      </w:r>
      <w:r>
        <w:t>s</w:t>
      </w:r>
      <w:r w:rsidR="006512CC">
        <w:t>e</w:t>
      </w:r>
      <w:r>
        <w:t xml:space="preserve"> murosomes</w:t>
      </w:r>
      <w:r w:rsidR="00846B74">
        <w:t>, located in what they refer to as the secondary wall,</w:t>
      </w:r>
      <w:r>
        <w:t xml:space="preserve"> </w:t>
      </w:r>
      <w:r w:rsidR="00846B74">
        <w:t>are</w:t>
      </w:r>
      <w:r>
        <w:t xml:space="preserve"> involved in</w:t>
      </w:r>
      <w:r w:rsidR="00846B74">
        <w:t xml:space="preserve"> normal septation, put can also lead to</w:t>
      </w:r>
      <w:r>
        <w:t xml:space="preserve"> </w:t>
      </w:r>
      <w:r w:rsidR="00E14302">
        <w:t xml:space="preserve">the perforation of the CW </w:t>
      </w:r>
      <w:r w:rsidR="00846B74">
        <w:t>and subsequent</w:t>
      </w:r>
      <w:r w:rsidR="00E14302">
        <w:t xml:space="preserve"> cytoplasmic leakage and cell death</w:t>
      </w:r>
      <w:r w:rsidR="00846B74">
        <w:t xml:space="preserve"> in the presence of penicillin</w:t>
      </w:r>
      <w:r w:rsidR="00E14302">
        <w:t xml:space="preserve">. </w:t>
      </w:r>
      <w:r w:rsidR="00846B74">
        <w:t>The model of death therefore starts with the</w:t>
      </w:r>
      <w:r w:rsidR="00E14302">
        <w:t xml:space="preserve"> arrest of the first division</w:t>
      </w:r>
      <w:r w:rsidR="0042177D">
        <w:t xml:space="preserve"> </w:t>
      </w:r>
      <w:r w:rsidR="00E14302">
        <w:t xml:space="preserve">after the addition of the </w:t>
      </w:r>
      <w:r w:rsidR="00846B74">
        <w:t>antibiotic</w:t>
      </w:r>
      <w:r w:rsidR="00E14302">
        <w:t xml:space="preserve">, </w:t>
      </w:r>
      <w:r w:rsidR="00846B74">
        <w:t>followed by</w:t>
      </w:r>
      <w:r w:rsidR="00E14302">
        <w:t xml:space="preserve"> </w:t>
      </w:r>
      <w:r w:rsidR="00846B74">
        <w:t>the</w:t>
      </w:r>
      <w:r w:rsidR="00E14302">
        <w:t xml:space="preserve"> initiation of the second division at a 90</w:t>
      </w:r>
      <w:r w:rsidR="00E14302">
        <w:rPr>
          <w:rFonts w:ascii="Calibri" w:hAnsi="Calibri" w:cs="Calibri"/>
        </w:rPr>
        <w:t>°</w:t>
      </w:r>
      <w:r w:rsidR="00E14302">
        <w:t xml:space="preserve"> angle</w:t>
      </w:r>
      <w:r w:rsidR="00846B74">
        <w:t>,</w:t>
      </w:r>
      <w:r w:rsidR="00E14302">
        <w:t xml:space="preserve"> where the murosomes</w:t>
      </w:r>
      <w:r w:rsidR="00846B74">
        <w:t xml:space="preserve"> induce a centripetal lytic process </w:t>
      </w:r>
      <w:r w:rsidR="00846B74">
        <w:fldChar w:fldCharType="begin" w:fldLock="1"/>
      </w:r>
      <w:r w:rsidR="009D34AE">
        <w:instrText>ADDIN CSL_CITATION {"citationItems":[{"id":"ITEM-1","itemData":{"ISBN":"1092-2172 (Print)","ISSN":"1092-2172","PMID":"9841676","abstract":"The primary goal of this review is to provide a compilation of the complex architectural features of staphylococcal cell walls and of some of their unusual morphogenetic traits including the utilization of murosomes and two different mechanisms of cell separation. Knowledge of these electron microscopic findings may serve as a prerequisite for a better understanding of the sophisticated events which lead to penicillin-induced death. For more than 50 years there have been controversial disputes about the mechanisms by which penicillin kills bacteria. Many hypotheses have tried to explain this fatal event biochemically and mainly via bacteriolysis. However, indications that penicillin-induced death of staphylococci results from overall biochemical defects or from a fatal attack of bacterial cell walls by bacteriolytic murein hydrolases were not been found. Rather, penicillin, claimed to trigger the activity of murein hydrolases, impaired autolytic wall enzymes of staphylococci. Electron microscopic investigations have meanwhile shown that penicillin-mediated induction of seemingly minute cross wall mistakes is the very reason for this killing. Such \"morphogenetic death\" taking place at predictable cross wall sites and at a predictable time is based on the initiation of normal cell separations in those staphylococci in which the completion of cross walls had been prevented by local penicillin-mediated impairment of the distribution of newly synthesized peptidoglycan; this death occurs because the high internal pressure of the protoplast abruptly kills such cells via ejection of some cytoplasm during attempted cell separation. An analogous fatal onset of cell partition is considered to take place without involvement of a detectable quantity of autolytic wall enzymes (\"mechanical cell separation\"). The most prominent feature of penicillin, the disintegration of bacterial cells via bacteriolysis, is shown to represent only a postmortem process resulting from shrinkage of dead cells and perturbation of the cytoplasmic membrane. Several schematic drawings have been included in this review to facilitate an understanding of the complex morphogenetic events.","author":[{"dropping-particle":"","family":"Giesbrecht","given":"P","non-dropping-particle":"","parse-names":false,"suffix":""},{"dropping-particle":"","family":"Kersten","given":"T","non-dropping-particle":"","parse-names":false,"suffix":""},{"dropping-particle":"","family":"Maidhof","given":"H","non-dropping-particle":"","parse-names":false,"suffix":""},{"dropping-particle":"","family":"Wecke","given":"J","non-dropping-particle":"","parse-names":false,"suffix":""}],"container-title":"Microbiology and molecular biology reviews : MMBR","id":"ITEM-1","issue":"4","issued":{"date-parts":[["1998"]]},"page":"1371-414","title":"Staphylococcal cell wall: morphogenesis and fatal variations in the presence of penicillin.","type":"article-journal","volume":"62"},"uris":["http://www.mendeley.com/documents/?uuid=5bbf4be2-ff82-4e3b-8960-10e3554efaac"]}],"mendeley":{"formattedCitation":"&lt;sup&gt;[289]&lt;/sup&gt;","plainTextFormattedCitation":"[289]","previouslyFormattedCitation":"&lt;sup&gt;[289]&lt;/sup&gt;"},"properties":{"noteIndex":0},"schema":"https://github.com/citation-style-language/schema/raw/master/csl-citation.json"}</w:instrText>
      </w:r>
      <w:r w:rsidR="00846B74">
        <w:fldChar w:fldCharType="separate"/>
      </w:r>
      <w:r w:rsidR="009D34AE" w:rsidRPr="009D34AE">
        <w:rPr>
          <w:noProof/>
          <w:vertAlign w:val="superscript"/>
        </w:rPr>
        <w:t>[289]</w:t>
      </w:r>
      <w:r w:rsidR="00846B74">
        <w:fldChar w:fldCharType="end"/>
      </w:r>
      <w:r w:rsidR="00846B74">
        <w:t>.</w:t>
      </w:r>
      <w:r w:rsidR="00E14302">
        <w:t xml:space="preserve"> It is our belief that the murosomes seen in this study were blebs caused by plasmolysis</w:t>
      </w:r>
      <w:r w:rsidR="008105F1">
        <w:t xml:space="preserve">, and that the secondary wall is the exoplasm. </w:t>
      </w:r>
      <w:r w:rsidR="00015C6D">
        <w:t>Giesbrecht</w:t>
      </w:r>
      <w:r w:rsidR="008105F1">
        <w:t xml:space="preserve"> described this secondary wall as having differential staining when penicillin was presen</w:t>
      </w:r>
      <w:r w:rsidR="0042177D">
        <w:t>t</w:t>
      </w:r>
      <w:r w:rsidR="008105F1">
        <w:t>, but we understand that they were looking at the exoplasm which was now expanded as a result of plasmolysis</w:t>
      </w:r>
      <w:r w:rsidR="00F136CC">
        <w:t xml:space="preserve"> </w:t>
      </w:r>
      <w:r w:rsidR="008105F1">
        <w:t>(</w:t>
      </w:r>
      <w:r w:rsidR="008E0428">
        <w:rPr>
          <w:highlight w:val="yellow"/>
        </w:rPr>
        <w:fldChar w:fldCharType="begin"/>
      </w:r>
      <w:r w:rsidR="008E0428">
        <w:instrText xml:space="preserve"> REF _Ref71516909 \h </w:instrText>
      </w:r>
      <w:r w:rsidR="008E0428">
        <w:rPr>
          <w:highlight w:val="yellow"/>
        </w:rPr>
      </w:r>
      <w:r w:rsidR="008E0428">
        <w:rPr>
          <w:highlight w:val="yellow"/>
        </w:rPr>
        <w:fldChar w:fldCharType="separate"/>
      </w:r>
      <w:r w:rsidR="00183CC8">
        <w:t xml:space="preserve">Figure </w:t>
      </w:r>
      <w:r w:rsidR="00183CC8">
        <w:rPr>
          <w:noProof/>
        </w:rPr>
        <w:t>5</w:t>
      </w:r>
      <w:r w:rsidR="00183CC8">
        <w:t>.</w:t>
      </w:r>
      <w:r w:rsidR="00183CC8">
        <w:rPr>
          <w:noProof/>
        </w:rPr>
        <w:t>54</w:t>
      </w:r>
      <w:r w:rsidR="008E0428">
        <w:rPr>
          <w:highlight w:val="yellow"/>
        </w:rPr>
        <w:fldChar w:fldCharType="end"/>
      </w:r>
      <w:r w:rsidR="008E0428">
        <w:t xml:space="preserve">). </w:t>
      </w:r>
      <w:r w:rsidR="00F136CC">
        <w:t>The expanded exoplasmic space is easier to detect and identify</w:t>
      </w:r>
      <w:r w:rsidR="007128E5">
        <w:t>, especially in dehydrated samples</w:t>
      </w:r>
      <w:r w:rsidR="00F136CC">
        <w:t xml:space="preserve">. </w:t>
      </w:r>
      <w:r w:rsidR="008E2B16">
        <w:t>B</w:t>
      </w:r>
      <w:r w:rsidR="00E14302">
        <w:t xml:space="preserve">lebs can </w:t>
      </w:r>
      <w:r w:rsidR="008105F1">
        <w:t xml:space="preserve">also </w:t>
      </w:r>
      <w:r w:rsidR="00E14302">
        <w:t>easily be confused, especially when analysing samples treated with various ch</w:t>
      </w:r>
      <w:r w:rsidR="00C40A1E">
        <w:t>e</w:t>
      </w:r>
      <w:r w:rsidR="00E14302">
        <w:t xml:space="preserve">micals and heavy stains </w:t>
      </w:r>
      <w:r w:rsidR="00A35E68">
        <w:t>such as</w:t>
      </w:r>
      <w:r w:rsidR="008E2B16">
        <w:t xml:space="preserve"> </w:t>
      </w:r>
      <w:r w:rsidR="00E14302">
        <w:t>chemical fixation TEM. However, cryo-EM</w:t>
      </w:r>
      <w:r w:rsidR="00867660">
        <w:t xml:space="preserve"> (</w:t>
      </w:r>
      <w:r w:rsidR="00867660">
        <w:fldChar w:fldCharType="begin"/>
      </w:r>
      <w:r w:rsidR="00867660">
        <w:instrText xml:space="preserve"> REF _Ref70982400 \h </w:instrText>
      </w:r>
      <w:r w:rsidR="00867660">
        <w:fldChar w:fldCharType="separate"/>
      </w:r>
      <w:r w:rsidR="00183CC8">
        <w:t xml:space="preserve">Figure </w:t>
      </w:r>
      <w:r w:rsidR="00183CC8">
        <w:rPr>
          <w:noProof/>
        </w:rPr>
        <w:t>5</w:t>
      </w:r>
      <w:r w:rsidR="00183CC8">
        <w:t>.</w:t>
      </w:r>
      <w:r w:rsidR="00183CC8">
        <w:rPr>
          <w:noProof/>
        </w:rPr>
        <w:t>41</w:t>
      </w:r>
      <w:r w:rsidR="00867660">
        <w:fldChar w:fldCharType="end"/>
      </w:r>
      <w:r w:rsidR="00867660">
        <w:t>)</w:t>
      </w:r>
      <w:r w:rsidR="00FF2629">
        <w:t xml:space="preserve"> together with experiments with high salt concentration (</w:t>
      </w:r>
      <w:r w:rsidR="00FF2629">
        <w:rPr>
          <w:highlight w:val="yellow"/>
        </w:rPr>
        <w:fldChar w:fldCharType="begin"/>
      </w:r>
      <w:r w:rsidR="00FF2629">
        <w:instrText xml:space="preserve"> REF _Ref77856133 \h </w:instrText>
      </w:r>
      <w:r w:rsidR="00FF2629">
        <w:rPr>
          <w:highlight w:val="yellow"/>
        </w:rPr>
      </w:r>
      <w:r w:rsidR="00FF2629">
        <w:rPr>
          <w:highlight w:val="yellow"/>
        </w:rPr>
        <w:fldChar w:fldCharType="separate"/>
      </w:r>
      <w:r w:rsidR="00183CC8">
        <w:t xml:space="preserve">Supplementary Figure </w:t>
      </w:r>
      <w:r w:rsidR="00183CC8">
        <w:rPr>
          <w:noProof/>
        </w:rPr>
        <w:t>12</w:t>
      </w:r>
      <w:r w:rsidR="00FF2629">
        <w:rPr>
          <w:highlight w:val="yellow"/>
        </w:rPr>
        <w:fldChar w:fldCharType="end"/>
      </w:r>
      <w:r w:rsidR="00FF2629">
        <w:t xml:space="preserve"> and</w:t>
      </w:r>
      <w:r w:rsidR="00402900">
        <w:t xml:space="preserve"> </w:t>
      </w:r>
      <w:r w:rsidR="00FF2629">
        <w:rPr>
          <w:highlight w:val="yellow"/>
        </w:rPr>
        <w:fldChar w:fldCharType="begin"/>
      </w:r>
      <w:r w:rsidR="00FF2629">
        <w:instrText xml:space="preserve"> REF _Ref77856144 \h </w:instrText>
      </w:r>
      <w:r w:rsidR="00FF2629">
        <w:rPr>
          <w:highlight w:val="yellow"/>
        </w:rPr>
      </w:r>
      <w:r w:rsidR="00FF2629">
        <w:rPr>
          <w:highlight w:val="yellow"/>
        </w:rPr>
        <w:fldChar w:fldCharType="separate"/>
      </w:r>
      <w:r w:rsidR="00183CC8">
        <w:t xml:space="preserve">Supplementary Figure </w:t>
      </w:r>
      <w:r w:rsidR="00183CC8">
        <w:rPr>
          <w:noProof/>
        </w:rPr>
        <w:t>13</w:t>
      </w:r>
      <w:r w:rsidR="00FF2629">
        <w:rPr>
          <w:highlight w:val="yellow"/>
        </w:rPr>
        <w:fldChar w:fldCharType="end"/>
      </w:r>
      <w:r w:rsidR="00FF2629">
        <w:t xml:space="preserve">) </w:t>
      </w:r>
      <w:r w:rsidR="00E14302">
        <w:t>confirms that those small vesicles are characteristic of plasmolysis, and</w:t>
      </w:r>
      <w:r w:rsidR="008105F1">
        <w:t xml:space="preserve"> they</w:t>
      </w:r>
      <w:r w:rsidR="00E14302">
        <w:t xml:space="preserve"> can be found anywhere </w:t>
      </w:r>
      <w:r w:rsidR="008105F1">
        <w:t xml:space="preserve">in </w:t>
      </w:r>
      <w:r w:rsidR="004A20EA">
        <w:t xml:space="preserve">the </w:t>
      </w:r>
      <w:r w:rsidR="00E14302">
        <w:t xml:space="preserve">expanded exoplasm. They do not seem to be specifically located or restricted </w:t>
      </w:r>
      <w:r w:rsidR="00A35E68">
        <w:t>to</w:t>
      </w:r>
      <w:r w:rsidR="00E14302">
        <w:t xml:space="preserve"> the division site.</w:t>
      </w:r>
      <w:r w:rsidR="00C40A1E">
        <w:t xml:space="preserve"> </w:t>
      </w:r>
    </w:p>
    <w:p w14:paraId="47F7070C" w14:textId="77777777" w:rsidR="007962F5" w:rsidRDefault="007962F5" w:rsidP="007962F5">
      <w:pPr>
        <w:keepNext/>
        <w:jc w:val="center"/>
      </w:pPr>
      <w:r>
        <w:rPr>
          <w:noProof/>
        </w:rPr>
        <w:lastRenderedPageBreak/>
        <w:drawing>
          <wp:inline distT="0" distB="0" distL="0" distR="0" wp14:anchorId="3788AD54" wp14:editId="116E3F18">
            <wp:extent cx="5454320" cy="7745505"/>
            <wp:effectExtent l="0" t="0" r="0" b="1905"/>
            <wp:docPr id="46" name="Picture 46" descr="A picture containing tex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 different&#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463465" cy="7758491"/>
                    </a:xfrm>
                    <a:prstGeom prst="rect">
                      <a:avLst/>
                    </a:prstGeom>
                  </pic:spPr>
                </pic:pic>
              </a:graphicData>
            </a:graphic>
          </wp:inline>
        </w:drawing>
      </w:r>
    </w:p>
    <w:p w14:paraId="6AD63923" w14:textId="1EF3619D" w:rsidR="007962F5" w:rsidRDefault="007962F5" w:rsidP="007962F5">
      <w:pPr>
        <w:pStyle w:val="Caption"/>
      </w:pPr>
      <w:bookmarkStart w:id="854" w:name="_Ref71516909"/>
      <w:bookmarkStart w:id="855" w:name="_Toc90217039"/>
      <w:r>
        <w:t xml:space="preserve">Figure </w:t>
      </w:r>
      <w:fldSimple w:instr=" STYLEREF 1 \s ">
        <w:r w:rsidR="00183CC8">
          <w:rPr>
            <w:noProof/>
          </w:rPr>
          <w:t>5</w:t>
        </w:r>
      </w:fldSimple>
      <w:r>
        <w:t>.</w:t>
      </w:r>
      <w:fldSimple w:instr=" SEQ Figure \* ARABIC \s 1 ">
        <w:r w:rsidR="00183CC8">
          <w:rPr>
            <w:noProof/>
          </w:rPr>
          <w:t>54</w:t>
        </w:r>
      </w:fldSimple>
      <w:bookmarkEnd w:id="854"/>
      <w:r>
        <w:t xml:space="preserve"> Comparison of EM studies on the action of </w:t>
      </w:r>
      <w:r>
        <w:rPr>
          <w:lang w:val="el-GR"/>
        </w:rPr>
        <w:t>β</w:t>
      </w:r>
      <w:r>
        <w:t>-lactam antibiotics.</w:t>
      </w:r>
      <w:bookmarkEnd w:id="855"/>
    </w:p>
    <w:p w14:paraId="375AF57E" w14:textId="77777777" w:rsidR="007962F5" w:rsidRPr="00E75DCA" w:rsidRDefault="007962F5" w:rsidP="007962F5">
      <w:pPr>
        <w:pStyle w:val="NoSpacing"/>
        <w:sectPr w:rsidR="007962F5" w:rsidRPr="00E75DCA" w:rsidSect="004D0E05">
          <w:pgSz w:w="11906" w:h="16838"/>
          <w:pgMar w:top="1191" w:right="1247" w:bottom="1191" w:left="1247" w:header="709" w:footer="709" w:gutter="0"/>
          <w:cols w:space="708"/>
          <w:titlePg/>
          <w:docGrid w:linePitch="360"/>
        </w:sectPr>
      </w:pPr>
      <w:r>
        <w:rPr>
          <w:b/>
          <w:bCs/>
        </w:rPr>
        <w:t>(A)</w:t>
      </w:r>
      <w:r>
        <w:t xml:space="preserve"> Thin sections of penicillin treated cells, obtained from Giesbrecht </w:t>
      </w:r>
      <w:r>
        <w:rPr>
          <w:i/>
          <w:iCs/>
        </w:rPr>
        <w:t>et al</w:t>
      </w:r>
      <w:r>
        <w:t xml:space="preserve">., (1998). </w:t>
      </w:r>
      <w:r>
        <w:rPr>
          <w:b/>
          <w:bCs/>
        </w:rPr>
        <w:t>(B)</w:t>
      </w:r>
      <w:r>
        <w:t xml:space="preserve"> Our interpretation of Giesbrecht’s images. Magnified areas from the red square in images </w:t>
      </w:r>
      <w:r>
        <w:rPr>
          <w:b/>
          <w:bCs/>
        </w:rPr>
        <w:t>(A)</w:t>
      </w:r>
      <w:r>
        <w:t>.</w:t>
      </w:r>
      <w:r>
        <w:rPr>
          <w:b/>
          <w:bCs/>
        </w:rPr>
        <w:t xml:space="preserve"> (C)</w:t>
      </w:r>
      <w:r>
        <w:t xml:space="preserve"> Comparable TEM micrographs from thin sections of cells treated with 10X MIC methicillin from this study. CW– cell wall, pm– plasma membrane, es– exoplasmic space. Cropped from high magnification (4800X), scale bar 300 nm.</w:t>
      </w:r>
    </w:p>
    <w:p w14:paraId="4E757221" w14:textId="4BD56B47" w:rsidR="00091D5A" w:rsidRDefault="00091D5A" w:rsidP="00091D5A">
      <w:r>
        <w:lastRenderedPageBreak/>
        <w:t>Another contradiction with Giesbrecht</w:t>
      </w:r>
      <w:r w:rsidR="00056113">
        <w:t>’s</w:t>
      </w:r>
      <w:r>
        <w:t xml:space="preserve"> study lies </w:t>
      </w:r>
      <w:r w:rsidR="00BA163A">
        <w:t>in</w:t>
      </w:r>
      <w:r>
        <w:t xml:space="preserve"> the breaking point of the cell wall. </w:t>
      </w:r>
      <w:r w:rsidR="00143BEC">
        <w:t>It was</w:t>
      </w:r>
      <w:r>
        <w:t xml:space="preserve"> stated </w:t>
      </w:r>
      <w:r w:rsidR="009C59EB">
        <w:t>that the CW rupture</w:t>
      </w:r>
      <w:r>
        <w:t xml:space="preserve"> happened at the second division, at a 90</w:t>
      </w:r>
      <w:r>
        <w:rPr>
          <w:rFonts w:ascii="Calibri" w:hAnsi="Calibri" w:cs="Calibri"/>
        </w:rPr>
        <w:t>°</w:t>
      </w:r>
      <w:r>
        <w:t xml:space="preserve"> angle from the visible septa (first division)</w:t>
      </w:r>
      <w:r w:rsidR="00993F33">
        <w:t xml:space="preserve"> </w:t>
      </w:r>
      <w:r w:rsidR="00187683">
        <w:t>(</w:t>
      </w:r>
      <w:r w:rsidR="00187683">
        <w:fldChar w:fldCharType="begin"/>
      </w:r>
      <w:r w:rsidR="00187683">
        <w:instrText xml:space="preserve"> REF _Ref76284930 \h </w:instrText>
      </w:r>
      <w:r w:rsidR="00187683">
        <w:fldChar w:fldCharType="separate"/>
      </w:r>
      <w:r w:rsidR="00183CC8">
        <w:t xml:space="preserve">Figure </w:t>
      </w:r>
      <w:r w:rsidR="00183CC8">
        <w:rPr>
          <w:noProof/>
        </w:rPr>
        <w:t>5</w:t>
      </w:r>
      <w:r w:rsidR="00183CC8">
        <w:t>.</w:t>
      </w:r>
      <w:r w:rsidR="00183CC8">
        <w:rPr>
          <w:noProof/>
        </w:rPr>
        <w:t>3</w:t>
      </w:r>
      <w:r w:rsidR="00187683">
        <w:fldChar w:fldCharType="end"/>
      </w:r>
      <w:r w:rsidR="00187683">
        <w:t>)</w:t>
      </w:r>
      <w:r>
        <w:t xml:space="preserve">. However, the majority of the population affected by plasmolysis </w:t>
      </w:r>
      <w:r w:rsidR="002B3A99">
        <w:t xml:space="preserve">in this study </w:t>
      </w:r>
      <w:r>
        <w:t>are dividing cells with</w:t>
      </w:r>
      <w:r w:rsidR="00FA5648">
        <w:t xml:space="preserve"> an</w:t>
      </w:r>
      <w:r>
        <w:t xml:space="preserve"> incomplete sept</w:t>
      </w:r>
      <w:r w:rsidR="00FA5648">
        <w:t>um</w:t>
      </w:r>
      <w:r>
        <w:t xml:space="preserve"> (</w:t>
      </w:r>
      <w:r>
        <w:fldChar w:fldCharType="begin"/>
      </w:r>
      <w:r>
        <w:instrText xml:space="preserve"> REF _Ref69156560 \h </w:instrText>
      </w:r>
      <w:r>
        <w:fldChar w:fldCharType="separate"/>
      </w:r>
      <w:r w:rsidR="00183CC8">
        <w:t xml:space="preserve">Figure </w:t>
      </w:r>
      <w:r w:rsidR="00183CC8">
        <w:rPr>
          <w:noProof/>
        </w:rPr>
        <w:t>5</w:t>
      </w:r>
      <w:r w:rsidR="00183CC8">
        <w:t>.</w:t>
      </w:r>
      <w:r w:rsidR="00183CC8">
        <w:rPr>
          <w:noProof/>
        </w:rPr>
        <w:t>16</w:t>
      </w:r>
      <w:r>
        <w:fldChar w:fldCharType="end"/>
      </w:r>
      <w:r>
        <w:t xml:space="preserve">), and </w:t>
      </w:r>
      <w:r w:rsidR="007C4E6C">
        <w:t>it was</w:t>
      </w:r>
      <w:r>
        <w:t xml:space="preserve"> noticed that a typical breaking point appears to be the septum (</w:t>
      </w:r>
      <w:r>
        <w:fldChar w:fldCharType="begin"/>
      </w:r>
      <w:r>
        <w:instrText xml:space="preserve"> REF _Ref70963503 \h </w:instrText>
      </w:r>
      <w:r>
        <w:fldChar w:fldCharType="separate"/>
      </w:r>
      <w:r w:rsidR="00183CC8">
        <w:t xml:space="preserve">Figure </w:t>
      </w:r>
      <w:r w:rsidR="00183CC8">
        <w:rPr>
          <w:noProof/>
        </w:rPr>
        <w:t>5</w:t>
      </w:r>
      <w:r w:rsidR="00183CC8">
        <w:t>.</w:t>
      </w:r>
      <w:r w:rsidR="00183CC8">
        <w:rPr>
          <w:noProof/>
        </w:rPr>
        <w:t>40</w:t>
      </w:r>
      <w:r>
        <w:fldChar w:fldCharType="end"/>
      </w:r>
      <w:r>
        <w:t>). This contradicts Giesbrecht’s model and suggest</w:t>
      </w:r>
      <w:r w:rsidR="00FA10F0">
        <w:t>s</w:t>
      </w:r>
      <w:r>
        <w:t xml:space="preserve"> that the new septal wall could be the weakest point</w:t>
      </w:r>
      <w:r w:rsidR="00F07BD8">
        <w:t xml:space="preserve"> of the cell</w:t>
      </w:r>
      <w:r>
        <w:t xml:space="preserve">. The </w:t>
      </w:r>
      <w:r w:rsidR="008125C3">
        <w:t>peripheral</w:t>
      </w:r>
      <w:r w:rsidR="009D692B">
        <w:t xml:space="preserve"> cell </w:t>
      </w:r>
      <w:r>
        <w:t xml:space="preserve">wall would be weakened by the halt of PG </w:t>
      </w:r>
      <w:r w:rsidR="00F15D07">
        <w:t>synthesis;</w:t>
      </w:r>
      <w:r>
        <w:t xml:space="preserve"> however, the septal wall might be the most affected as it is a wall that is not yet fully formed. This hypothesis would need further study, as our recent investigation with AFM did not find any septa in </w:t>
      </w:r>
      <w:r w:rsidR="00BF0B8D">
        <w:t>a suitable</w:t>
      </w:r>
      <w:r>
        <w:t xml:space="preserve"> condition </w:t>
      </w:r>
      <w:r w:rsidR="00FA5C15">
        <w:t xml:space="preserve">for analysis </w:t>
      </w:r>
      <w:r w:rsidR="00631FCA">
        <w:t>after treatment with methicillin</w:t>
      </w:r>
      <w:r w:rsidR="003C7568">
        <w:t xml:space="preserve"> </w:t>
      </w:r>
      <w:r w:rsidR="003C7568">
        <w:fldChar w:fldCharType="begin" w:fldLock="1"/>
      </w:r>
      <w:r w:rsidR="004F7E11">
        <w:instrText>ADDIN CSL_CITATION {"citationItems":[{"id":"ITEM-1","itemData":{"DOI":"10.1073/pnas.2106022118","ISSN":"1091-6490","PMID":"34716264","abstract":"Bacterial cell wall peptidoglycan is essential, maintaining both cellular integrity and morphology, in the face of internal turgor pressure. Peptidoglycan synthesis is important, as it is targeted by cell wall antibiotics, including methicillin and vancomycin. Here, we have used the major human pathogen Staphylococcus aureus to elucidate both the cell wall dynamic processes essential for growth (life) and the bactericidal effects of cell wall antibiotics (death) based on the principle of coordinated peptidoglycan synthesis and hydrolysis. The death of S. aureus due to depletion of the essential, two-component and positive regulatory system for peptidoglycan hydrolase activity (WalKR) is prevented by addition of otherwise bactericidal cell wall antibiotics, resulting in stasis. In contrast, cell wall antibiotics kill via the activity of peptidoglycan hydrolases in the absence of concomitant synthesis. Both methicillin and vancomycin treatment lead to the appearance of perforating holes throughout the cell wall due to peptidoglycan hydrolases. Methicillin alone also results in plasmolysis and misshapen septa with the involvement of the major peptidoglycan hydrolase Atl, a process that is inhibited by vancomycin. The bactericidal effect of vancomycin involves the peptidoglycan hydrolase SagB. In the presence of cell wall antibiotics, the inhibition of peptidoglycan hydrolase activity using the inhibitor complestatin results in reduced killing, while, conversely, the deregulation of hydrolase activity via loss of wall teichoic acids increases the death rate. For S. aureus, the independent regulation of cell wall synthesis and hydrolysis can lead to cell growth, death, or stasis, with implications for the development of new control regimes for this important pathogen.","author":[{"dropping-particle":"","family":"Salamaga","given":"Bartłomiej","non-dropping-particle":"","parse-names":false,"suffix":""},{"dropping-particle":"","family":"Kong","given":"Lingyuan","non-dropping-particle":"","parse-names":false,"suffix":""},{"dropping-particle":"","family":"Pasquina-Lemonche","given":"Laia","non-dropping-particle":"","parse-names":false,"suffix":""},{"dropping-particle":"","family":"Lafage","given":"Lucia","non-dropping-particle":"","parse-names":false,"suffix":""},{"dropping-particle":"","family":"Und Zur Muhlen","given":"Milena","non-dropping-particle":"von","parse-names":false,"suffix":""},{"dropping-particle":"","family":"Gibson","given":"Josie F","non-dropping-particle":"","parse-names":false,"suffix":""},{"dropping-particle":"","family":"Grybchuk","given":"Danyil","non-dropping-particle":"","parse-names":false,"suffix":""},{"dropping-particle":"","family":"Tooke","given":"Amy K","non-dropping-particle":"","parse-names":false,"suffix":""},{"dropping-particle":"","family":"Panchal","given":"Viralkumar","non-dropping-particle":"","parse-names":false,"suffix":""},{"dropping-particle":"","family":"Culp","given":"Elizabeth J","non-dropping-particle":"","parse-names":false,"suffix":""},{"dropping-particle":"","family":"Tatham","given":"Elizabeth","non-dropping-particle":"","parse-names":false,"suffix":""},{"dropping-particle":"","family":"O'Kane","given":"Mary E","non-dropping-particle":"","parse-names":false,"suffix":""},{"dropping-particle":"","family":"Catley","given":"Thomas E","non-dropping-particle":"","parse-names":false,"suffix":""},{"dropping-particle":"","family":"Renshaw","given":"Stephen A","non-dropping-particle":"","parse-names":false,"suffix":""},{"dropping-particle":"","family":"Wright","given":"Gerard D","non-dropping-particle":"","parse-names":false,"suffix":""},{"dropping-particle":"","family":"Plevka","given":"Pavel","non-dropping-particle":"","parse-names":false,"suffix":""},{"dropping-particle":"","family":"Bullough","given":"Per A","non-dropping-particle":"","parse-names":false,"suffix":""},{"dropping-particle":"","family":"Han","given":"Aidong","non-dropping-particle":"","parse-names":false,"suffix":""},{"dropping-particle":"","family":"Hobbs","given":"Jamie K","non-dropping-particle":"","parse-names":false,"suffix":""},{"dropping-particle":"","family":"Foster","given":"Simon J","non-dropping-particle":"","parse-names":false,"suffix":""}],"container-title":"Proceedings of the National Academy of Sciences of the United States of America","id":"ITEM-1","issue":"44","issued":{"date-parts":[["2021","11","2"]]},"page":"1-8","publisher":"National Academy of Sciences","title":"Demonstration of the role of cell wall homeostasis in Staphylococcus aureus growth and the action of bactericidal antibiotics.","type":"article-journal","volume":"118"},"uris":["http://www.mendeley.com/documents/?uuid=9f3bf1ae-65de-4943-a7a8-62e0e140e346"]}],"mendeley":{"formattedCitation":"&lt;sup&gt;[247]&lt;/sup&gt;","plainTextFormattedCitation":"[247]","previouslyFormattedCitation":"&lt;sup&gt;[247]&lt;/sup&gt;"},"properties":{"noteIndex":0},"schema":"https://github.com/citation-style-language/schema/raw/master/csl-citation.json"}</w:instrText>
      </w:r>
      <w:r w:rsidR="003C7568">
        <w:fldChar w:fldCharType="separate"/>
      </w:r>
      <w:r w:rsidR="009D34AE" w:rsidRPr="009D34AE">
        <w:rPr>
          <w:noProof/>
          <w:vertAlign w:val="superscript"/>
        </w:rPr>
        <w:t>[247]</w:t>
      </w:r>
      <w:r w:rsidR="003C7568">
        <w:fldChar w:fldCharType="end"/>
      </w:r>
      <w:r>
        <w:t>. This could be due to the septal wall being too damaged</w:t>
      </w:r>
      <w:r w:rsidR="00497867">
        <w:t xml:space="preserve"> </w:t>
      </w:r>
      <w:r>
        <w:t xml:space="preserve">or the low-throughput of this microscopy technique. </w:t>
      </w:r>
      <w:r w:rsidR="00A10484">
        <w:t>The</w:t>
      </w:r>
      <w:r>
        <w:t xml:space="preserve"> septal </w:t>
      </w:r>
      <w:r w:rsidR="00A10484">
        <w:t>plate</w:t>
      </w:r>
      <w:r>
        <w:t xml:space="preserve"> has been documented to have a differential organisation of PG </w:t>
      </w:r>
      <w:r w:rsidR="006C7973">
        <w:t>(</w:t>
      </w:r>
      <w:r>
        <w:t>concentric rings</w:t>
      </w:r>
      <w:r w:rsidR="006C7973">
        <w:t>)</w:t>
      </w:r>
      <w:r>
        <w:t xml:space="preserve"> in comparison to a dense mesh seen on the old surface wall</w:t>
      </w:r>
      <w:r>
        <w:fldChar w:fldCharType="begin" w:fldLock="1"/>
      </w:r>
      <w:r w:rsidR="00B3106D">
        <w:instrText>ADDIN CSL_CITATION {"citationItems":[{"id":"ITEM-1","itemData":{"DOI":"10.1038/s41586-020-2236-6","ISSN":"14764687","PMID":"32523118","abstract":"The primary structural component of the bacterial cell wall is peptidoglycan, which is essential for viability and the synthesis of which is the target for crucial antibiotics1,2. Peptidoglycan is a single macromolecule made of glycan chains crosslinked by peptide side branches that surrounds the cell, acting as a constraint to internal turgor1,3. In Gram-positive bacteria, peptidoglycan is tens of nanometres thick, generally portrayed as a homogeneous structure that provides mechanical strength4–6. Here we applied atomic force microscopy7–12 to interrogate the morphologically distinct Staphylococcus aureus and Bacillus subtilis species, using live cells and purified peptidoglycan. The mature surface of live cells is characterized by a landscape of large (up to 60 nm in diameter), deep (up to 23 nm) pores constituting a disordered gel of peptidoglycan. The inner peptidoglycan surface, consisting of more nascent material, is much denser, with glycan strand spacing typically less than 7 nm. The inner surface architecture is location dependent; the cylinder of B. subtilis has dense circumferential orientation, while in S. aureus and division septa for both species, peptidoglycan is dense but randomly oriented. Revealing the molecular architecture of the cell envelope frames our understanding of its mechanical properties and role as the environmental interface13,14, providing information complementary to traditional structural biology approaches.","author":[{"dropping-particle":"","family":"Pasquina-Lemonche","given":"L.","non-dropping-particle":"","parse-names":false,"suffix":""},{"dropping-particle":"","family":"Burns","given":"J.","non-dropping-particle":"","parse-names":false,"suffix":""},{"dropping-particle":"","family":"Turner","given":"R. D.","non-dropping-particle":"","parse-names":false,"suffix":""},{"dropping-particle":"","family":"Kumar","given":"S.","non-dropping-particle":"","parse-names":false,"suffix":""},{"dropping-particle":"","family":"Tank","given":"R.","non-dropping-particle":"","parse-names":false,"suffix":""},{"dropping-particle":"","family":"Mullin","given":"N.","non-dropping-particle":"","parse-names":false,"suffix":""},{"dropping-particle":"","family":"Wilson","given":"J. S.","non-dropping-particle":"","parse-names":false,"suffix":""},{"dropping-particle":"","family":"Chakrabarti","given":"B.","non-dropping-particle":"","parse-names":false,"suffix":""},{"dropping-particle":"","family":"Bullough","given":"P. A.","non-dropping-particle":"","parse-names":false,"suffix":""},{"dropping-particle":"","family":"Foster","given":"S. J.","non-dropping-particle":"","parse-names":false,"suffix":""},{"dropping-particle":"","family":"Hobbs","given":"J. K.","non-dropping-particle":"","parse-names":false,"suffix":""}],"container-title":"Nature","id":"ITEM-1","issue":"7811","issued":{"date-parts":[["2020"]]},"page":"294-297","publisher":"Springer US","title":"The architecture of the Gram-positive bacterial cell wall","type":"article-journal","volume":"582"},"uris":["http://www.mendeley.com/documents/?uuid=59449879-cfbc-4ac6-815a-4c720a2f8b47"]}],"mendeley":{"formattedCitation":"&lt;sup&gt;[211]&lt;/sup&gt;","plainTextFormattedCitation":"[211]","previouslyFormattedCitation":"&lt;sup&gt;[211]&lt;/sup&gt;"},"properties":{"noteIndex":0},"schema":"https://github.com/citation-style-language/schema/raw/master/csl-citation.json"}</w:instrText>
      </w:r>
      <w:r>
        <w:fldChar w:fldCharType="separate"/>
      </w:r>
      <w:r w:rsidR="002659E5" w:rsidRPr="002659E5">
        <w:rPr>
          <w:noProof/>
          <w:vertAlign w:val="superscript"/>
        </w:rPr>
        <w:t>[211]</w:t>
      </w:r>
      <w:r>
        <w:fldChar w:fldCharType="end"/>
      </w:r>
      <w:r>
        <w:t>. Th</w:t>
      </w:r>
      <w:r w:rsidR="006C7973">
        <w:t>e</w:t>
      </w:r>
      <w:r>
        <w:t xml:space="preserve"> concentric rings are </w:t>
      </w:r>
      <w:r w:rsidR="000A5EE2">
        <w:t>stiffer</w:t>
      </w:r>
      <w:r>
        <w:t xml:space="preserve"> tha</w:t>
      </w:r>
      <w:r w:rsidR="0010635B">
        <w:t>n</w:t>
      </w:r>
      <w:r>
        <w:t xml:space="preserve"> the mesh</w:t>
      </w:r>
      <w:r>
        <w:fldChar w:fldCharType="begin" w:fldLock="1"/>
      </w:r>
      <w:r w:rsidR="00B3106D">
        <w:instrText>ADDIN CSL_CITATION {"citationItems":[{"id":"ITEM-1","itemData":{"DOI":"10.1128/mBio.00660-15","ISSN":"21507511","PMID":"26220963","abstract":"UNLABELLED: Most bacterial cells are enclosed in a single macromolecule of the cell wall polymer, peptidoglycan, which is required for shape determination and maintenance of viability, while peptidoglycan biosynthesis is an important antibiotic target. It is hypothesized that cellular enlargement requires regional expansion of the cell wall through coordinated insertion and hydrolysis of peptidoglycan. Here, a group of (apparent glucosaminidase) peptidoglycan hydrolases are identified that are together required for cell enlargement and correct cellular morphology of Staphylococcus aureus, demonstrating the overall importance of this enzyme activity. These are Atl, SagA, ScaH, and SagB. The major advance here is the explanation of the observed morphological defects in terms of the mechanical and biochemical properties of peptidoglycan. It was shown that cells lacking groups of these hydrolases have increased surface stiffness and, in the absence of SagB, substantially increased glycan chain length. This indicates that, beyond their established roles (for example in cell separation), some hydrolases enable cellular enlargement by making peptidoglycan easier to stretch, providing the first direct evidence demonstrating that cellular enlargement occurs via modulation of the mechanical properties of peptidoglycan.\\n\\nIMPORTANCE: Understanding bacterial growth and division is a fundamental problem, and knowledge in this area underlies the treatment of many infectious diseases. Almost all bacteria are surrounded by a macromolecule of peptidoglycan that encloses the cell and maintains shape, and bacterial cells must increase the size of this molecule in order to enlarge themselves. This requires not only the insertion of new peptidoglycan monomers, a process targeted by antibiotics, including penicillin, but also breakage of existing bonds, a potentially hazardous activity for the cell. Using Staphylococcus aureus, we have identified a set of enzymes that are critical for cellular enlargement. We show that these enzymes are required for normal growth and define the mechanism through which cellular enlargement is accomplished, i.e., by breaking bonds in the peptidoglycan, which reduces the stiffness of the cell wall, enabling it to stretch and expand, a process that is likely to be fundamental to many bacteria.","author":[{"dropping-particle":"","family":"Wheeler","given":"Richard","non-dropping-particle":"","parse-names":false,"suffix":""},{"dropping-particle":"","family":"Turner","given":"Robert D.","non-dropping-particle":"","parse-names":false,"suffix":""},{"dropping-particle":"","family":"Bailey","given":"Richard G.","non-dropping-particle":"","parse-names":false,"suffix":""},{"dropping-particle":"","family":"Salamaga","given":"Bartłomiej","non-dropping-particle":"","parse-names":false,"suffix":""},{"dropping-particle":"","family":"Mesnage","given":"Stéphane","non-dropping-particle":"","parse-names":false,"suffix":""},{"dropping-particle":"","family":"Mohamad","given":"Sharifah A.S.","non-dropping-particle":"","parse-names":false,"suffix":""},{"dropping-particle":"","family":"Hayhurst","given":"Emma J.","non-dropping-particle":"","parse-names":false,"suffix":""},{"dropping-particle":"","family":"Horsburgh","given":"Malcolm","non-dropping-particle":"","parse-names":false,"suffix":""},{"dropping-particle":"","family":"Hobbs","given":"Jamie K.","non-dropping-particle":"","parse-names":false,"suffix":""},{"dropping-particle":"","family":"Foster","given":"Simon J.","non-dropping-particle":"","parse-names":false,"suffix":""}],"container-title":"mBio","id":"ITEM-1","issue":"4","issued":{"date-parts":[["2015"]]},"page":"1-10","title":"Bacterial cell enlargement requires control of cell wall stiffness mediated by peptidoglycan hydrolases","type":"article-journal","volume":"6"},"uris":["http://www.mendeley.com/documents/?uuid=d2ac9efd-feb5-4e30-a1e2-88eccd09b8af"]},{"id":"ITEM-2","itemData":{"DOI":"10.1038/s41586-020-2236-6","ISSN":"14764687","PMID":"32523118","abstract":"The primary structural component of the bacterial cell wall is peptidoglycan, which is essential for viability and the synthesis of which is the target for crucial antibiotics1,2. Peptidoglycan is a single macromolecule made of glycan chains crosslinked by peptide side branches that surrounds the cell, acting as a constraint to internal turgor1,3. In Gram-positive bacteria, peptidoglycan is tens of nanometres thick, generally portrayed as a homogeneous structure that provides mechanical strength4–6. Here we applied atomic force microscopy7–12 to interrogate the morphologically distinct Staphylococcus aureus and Bacillus subtilis species, using live cells and purified peptidoglycan. The mature surface of live cells is characterized by a landscape of large (up to 60 nm in diameter), deep (up to 23 nm) pores constituting a disordered gel of peptidoglycan. The inner peptidoglycan surface, consisting of more nascent material, is much denser, with glycan strand spacing typically less than 7 nm. The inner surface architecture is location dependent; the cylinder of B. subtilis has dense circumferential orientation, while in S. aureus and division septa for both species, peptidoglycan is dense but randomly oriented. Revealing the molecular architecture of the cell envelope frames our understanding of its mechanical properties and role as the environmental interface13,14, providing information complementary to traditional structural biology approaches.","author":[{"dropping-particle":"","family":"Pasquina-Lemonche","given":"L.","non-dropping-particle":"","parse-names":false,"suffix":""},{"dropping-particle":"","family":"Burns","given":"J.","non-dropping-particle":"","parse-names":false,"suffix":""},{"dropping-particle":"","family":"Turner","given":"R. D.","non-dropping-particle":"","parse-names":false,"suffix":""},{"dropping-particle":"","family":"Kumar","given":"S.","non-dropping-particle":"","parse-names":false,"suffix":""},{"dropping-particle":"","family":"Tank","given":"R.","non-dropping-particle":"","parse-names":false,"suffix":""},{"dropping-particle":"","family":"Mullin","given":"N.","non-dropping-particle":"","parse-names":false,"suffix":""},{"dropping-particle":"","family":"Wilson","given":"J. S.","non-dropping-particle":"","parse-names":false,"suffix":""},{"dropping-particle":"","family":"Chakrabarti","given":"B.","non-dropping-particle":"","parse-names":false,"suffix":""},{"dropping-particle":"","family":"Bullough","given":"P. A.","non-dropping-particle":"","parse-names":false,"suffix":""},{"dropping-particle":"","family":"Foster","given":"S. J.","non-dropping-particle":"","parse-names":false,"suffix":""},{"dropping-particle":"","family":"Hobbs","given":"J. K.","non-dropping-particle":"","parse-names":false,"suffix":""}],"container-title":"Nature","id":"ITEM-2","issue":"7811","issued":{"date-parts":[["2020"]]},"page":"294-297","publisher":"Springer US","title":"The architecture of the Gram-positive bacterial cell wall","type":"article-journal","volume":"582"},"uris":["http://www.mendeley.com/documents/?uuid=59449879-cfbc-4ac6-815a-4c720a2f8b47"]}],"mendeley":{"formattedCitation":"&lt;sup&gt;[53,211]&lt;/sup&gt;","plainTextFormattedCitation":"[53,211]","previouslyFormattedCitation":"&lt;sup&gt;[53,211]&lt;/sup&gt;"},"properties":{"noteIndex":0},"schema":"https://github.com/citation-style-language/schema/raw/master/csl-citation.json"}</w:instrText>
      </w:r>
      <w:r>
        <w:fldChar w:fldCharType="separate"/>
      </w:r>
      <w:r w:rsidR="002659E5" w:rsidRPr="002659E5">
        <w:rPr>
          <w:noProof/>
          <w:vertAlign w:val="superscript"/>
        </w:rPr>
        <w:t>[53,211]</w:t>
      </w:r>
      <w:r>
        <w:fldChar w:fldCharType="end"/>
      </w:r>
      <w:r>
        <w:t xml:space="preserve">, but the organisation of PG might not be the only factor affecting the strength of the cell wall. The presence and location of WTA on the septal plate could also be affecting the </w:t>
      </w:r>
      <w:r w:rsidR="006C7973">
        <w:t xml:space="preserve">susceptibility </w:t>
      </w:r>
      <w:r w:rsidR="00BE671D">
        <w:t xml:space="preserve">of the septum </w:t>
      </w:r>
      <w:r w:rsidR="006C7973">
        <w:t>to hydrolysis</w:t>
      </w:r>
      <w:r>
        <w:t xml:space="preserve">. </w:t>
      </w:r>
      <w:r w:rsidR="0019777C">
        <w:t xml:space="preserve">It has been proposed that the septum is devoid of WTA and this polymer affects the activity of PGH </w:t>
      </w:r>
      <w:r w:rsidR="00270B4D" w:rsidRPr="00270B4D">
        <w:fldChar w:fldCharType="begin" w:fldLock="1"/>
      </w:r>
      <w:r w:rsidR="009D34AE">
        <w:instrText>ADDIN CSL_CITATION {"citationItems":[{"id":"ITEM-1","itemData":{"DOI":"10.1111/j.1365-2958.2009.07007.x","ISSN":"0950382X","PMID":"20105277","abstract":"Staphylococcal cell separation depends largely on the bifunctional autolysin Atl that is processed to amidase-R1,2 and R 3-glucosaminidase. These murein hydrolases are targeted via repeat domains (R) to the septal region of the cell surface, thereby allowing localized peptidoglycan hydrolysis and separation of the dividing cells. Here we show that targeting of the amidase repeats is based on an exclusion strategy mediated by wall teichoic acid (WTA). In Staphylococcus aureus wild-type, externally applied repeats (R1,2) or endogenously expressed amidase were localized exclusively at the cross-wall region, while in δtagO mutant that lacks WTA binding was evenly distributed on the cell surface, which explains the increased fragility and autolysis susceptibility of the mutant. WTA prevented binding of Atl to the old cell wall but not to the cross-wall region suggesting a lower WTA content. In binding studies with ConcanavalinA- fluorescein (ConA-FITC) conjugate that binds preferentially to teichoic acids, ConA-FITC was bound throughout the cell surface with the exception of the cross wall. ConA binding suggest that either content or polymerization of WTA gradually increases with distance from the cross-wall. By preventing binding of Atl, WTA directs Atl to the cross-wall to perform the last step of cell division, namely separation of the daughter cells. © 2010 Blackwell Publishing Ltd.","author":[{"dropping-particle":"","family":"Schlag","given":"Martin","non-dropping-particle":"","parse-names":false,"suffix":""},{"dropping-particle":"","family":"Biswas","given":"Raja","non-dropping-particle":"","parse-names":false,"suffix":""},{"dropping-particle":"","family":"Krismer","given":"Bernhard","non-dropping-particle":"","parse-names":false,"suffix":""},{"dropping-particle":"","family":"Kohler","given":"Thomas","non-dropping-particle":"","parse-names":false,"suffix":""},{"dropping-particle":"","family":"Zoll","given":"Sebastian","non-dropping-particle":"","parse-names":false,"suffix":""},{"dropping-particle":"","family":"Yu","given":"Wenqi","non-dropping-particle":"","parse-names":false,"suffix":""},{"dropping-particle":"","family":"Schwarz","given":"Heinz","non-dropping-particle":"","parse-names":false,"suffix":""},{"dropping-particle":"","family":"Peschel","given":"Andreas","non-dropping-particle":"","parse-names":false,"suffix":""},{"dropping-particle":"","family":"Götz","given":"Friedrich","non-dropping-particle":"","parse-names":false,"suffix":""}],"container-title":"Molecular Microbiology","id":"ITEM-1","issue":"4","issued":{"date-parts":[["2010"]]},"page":"864-873","title":"Role of staphylococcal wall teichoic acid in targeting the major autolysin Atl","type":"article-journal","volume":"75"},"uris":["http://www.mendeley.com/documents/?uuid=e8df656f-cf4a-48d7-8351-878706af9c66"]},{"id":"ITEM-2","itemData":{"DOI":"10.1073/pnas.1004304107","ISBN":"1091-6490 (Electronic)\\r0027-8424 (Linking)","ISSN":"0027-8424","PMID":"20944066","abstract":"The cell wall of Staphylococcus aureus is characterized by an extremely high degree of cross-linking within its peptidoglycan (PGN). Penicillin-binding protein 4 (PBP4) is required for the synthesis of this highly cross-linked peptidoglycan. We found that wall teichoic acids, glycopolymers attached to the peptidoglycan and important for virulence in Gram-positive bacteria, act as temporal and spatial regulators of PGN metabolism, controlling the level of cross-linking by regulating PBP4 localization. PBP4 normally localizes at the division septum, but in the absence of wall teichoic acids synthesis, it becomes dispersed throughout the entire cell membrane and is unable to function normally. As a consequence, the peptidoglycan of TagO null mutants, impaired in wall teichoic acid biosynthesis, has a decreased degree of cross-linking, which renders it more susceptible to the action of lysozyme, an enzyme produced by different host organisms as an initial defense against bacterial infection","author":[{"dropping-particle":"","family":"Atilano","given":"M. L.","non-dropping-particle":"","parse-names":false,"suffix":""},{"dropping-particle":"","family":"Pereira","given":"P. M.","non-dropping-particle":"","parse-names":false,"suffix":""},{"dropping-particle":"","family":"Yates","given":"J.","non-dropping-particle":"","parse-names":false,"suffix":""},{"dropping-particle":"","family":"Reed","given":"P.","non-dropping-particle":"","parse-names":false,"suffix":""},{"dropping-particle":"","family":"Veiga","given":"H.","non-dropping-particle":"","parse-names":false,"suffix":""},{"dropping-particle":"","family":"Pinho","given":"M. G.","non-dropping-particle":"","parse-names":false,"suffix":""},{"dropping-particle":"","family":"Filipe","given":"S. R.","non-dropping-particle":"","parse-names":false,"suffix":""}],"container-title":"Proceedings of the National Academy of Sciences","id":"ITEM-2","issue":"44","issued":{"date-parts":[["2010"]]},"page":"18991-18996","title":"Teichoic acids are temporal and spatial regulators of peptidoglycan cross-linking in Staphylococcus aureus","type":"article-journal","volume":"107"},"uris":["http://www.mendeley.com/documents/?uuid=fcb5ba38-6ee5-485c-b401-b1464ba08754"]}],"mendeley":{"formattedCitation":"&lt;sup&gt;[59,291]&lt;/sup&gt;","plainTextFormattedCitation":"[59,291]","previouslyFormattedCitation":"&lt;sup&gt;[59,291]&lt;/sup&gt;"},"properties":{"noteIndex":0},"schema":"https://github.com/citation-style-language/schema/raw/master/csl-citation.json"}</w:instrText>
      </w:r>
      <w:r w:rsidR="00270B4D" w:rsidRPr="00270B4D">
        <w:fldChar w:fldCharType="separate"/>
      </w:r>
      <w:r w:rsidR="009D34AE" w:rsidRPr="009D34AE">
        <w:rPr>
          <w:noProof/>
          <w:vertAlign w:val="superscript"/>
        </w:rPr>
        <w:t>[59,291]</w:t>
      </w:r>
      <w:r w:rsidR="00270B4D" w:rsidRPr="00270B4D">
        <w:fldChar w:fldCharType="end"/>
      </w:r>
      <w:r w:rsidR="0019777C">
        <w:t>. In fact, Atl is localised at the septum</w:t>
      </w:r>
      <w:r w:rsidR="00716C52">
        <w:t xml:space="preserve"> as its binding</w:t>
      </w:r>
      <w:r w:rsidR="00285667">
        <w:t xml:space="preserve"> to PG containing WTA is impaired </w:t>
      </w:r>
      <w:r w:rsidR="00180517">
        <w:fldChar w:fldCharType="begin" w:fldLock="1"/>
      </w:r>
      <w:r w:rsidR="00DA0A83">
        <w:instrText>ADDIN CSL_CITATION {"citationItems":[{"id":"ITEM-1","itemData":{"DOI":"10.1111/j.1365-2958.2009.07007.x","ISSN":"0950382X","PMID":"20105277","abstract":"Staphylococcal cell separation depends largely on the bifunctional autolysin Atl that is processed to amidase-R1,2 and R 3-glucosaminidase. These murein hydrolases are targeted via repeat domains (R) to the septal region of the cell surface, thereby allowing localized peptidoglycan hydrolysis and separation of the dividing cells. Here we show that targeting of the amidase repeats is based on an exclusion strategy mediated by wall teichoic acid (WTA). In Staphylococcus aureus wild-type, externally applied repeats (R1,2) or endogenously expressed amidase were localized exclusively at the cross-wall region, while in δtagO mutant that lacks WTA binding was evenly distributed on the cell surface, which explains the increased fragility and autolysis susceptibility of the mutant. WTA prevented binding of Atl to the old cell wall but not to the cross-wall region suggesting a lower WTA content. In binding studies with ConcanavalinA- fluorescein (ConA-FITC) conjugate that binds preferentially to teichoic acids, ConA-FITC was bound throughout the cell surface with the exception of the cross wall. ConA binding suggest that either content or polymerization of WTA gradually increases with distance from the cross-wall. By preventing binding of Atl, WTA directs Atl to the cross-wall to perform the last step of cell division, namely separation of the daughter cells. © 2010 Blackwell Publishing Ltd.","author":[{"dropping-particle":"","family":"Schlag","given":"Martin","non-dropping-particle":"","parse-names":false,"suffix":""},{"dropping-particle":"","family":"Biswas","given":"Raja","non-dropping-particle":"","parse-names":false,"suffix":""},{"dropping-particle":"","family":"Krismer","given":"Bernhard","non-dropping-particle":"","parse-names":false,"suffix":""},{"dropping-particle":"","family":"Kohler","given":"Thomas","non-dropping-particle":"","parse-names":false,"suffix":""},{"dropping-particle":"","family":"Zoll","given":"Sebastian","non-dropping-particle":"","parse-names":false,"suffix":""},{"dropping-particle":"","family":"Yu","given":"Wenqi","non-dropping-particle":"","parse-names":false,"suffix":""},{"dropping-particle":"","family":"Schwarz","given":"Heinz","non-dropping-particle":"","parse-names":false,"suffix":""},{"dropping-particle":"","family":"Peschel","given":"Andreas","non-dropping-particle":"","parse-names":false,"suffix":""},{"dropping-particle":"","family":"Götz","given":"Friedrich","non-dropping-particle":"","parse-names":false,"suffix":""}],"container-title":"Molecular Microbiology","id":"ITEM-1","issue":"4","issued":{"date-parts":[["2010"]]},"page":"864-873","title":"Role of staphylococcal wall teichoic acid in targeting the major autolysin Atl","type":"article-journal","volume":"75"},"uris":["http://www.mendeley.com/documents/?uuid=e8df656f-cf4a-48d7-8351-878706af9c66"]},{"id":"ITEM-2","itemData":{"author":[{"dropping-particle":"","family":"Kent","given":"Victoria L","non-dropping-particle":"","parse-names":false,"suffix":""}],"id":"ITEM-2","issue":"April","issued":{"date-parts":[["2013"]]},"title":"Cell wall architecture and the role of wall teichoic acid in Staphylococcus aureus By","type":"thesis"},"uris":["http://www.mendeley.com/documents/?uuid=aba4222c-2117-44a5-b939-d833a041eb89"]}],"mendeley":{"formattedCitation":"&lt;sup&gt;[59,61]&lt;/sup&gt;","plainTextFormattedCitation":"[59,61]","previouslyFormattedCitation":"&lt;sup&gt;[59,61]&lt;/sup&gt;"},"properties":{"noteIndex":0},"schema":"https://github.com/citation-style-language/schema/raw/master/csl-citation.json"}</w:instrText>
      </w:r>
      <w:r w:rsidR="00180517">
        <w:fldChar w:fldCharType="separate"/>
      </w:r>
      <w:r w:rsidR="00DA0A83" w:rsidRPr="00DA0A83">
        <w:rPr>
          <w:noProof/>
          <w:vertAlign w:val="superscript"/>
        </w:rPr>
        <w:t>[59,61]</w:t>
      </w:r>
      <w:r w:rsidR="00180517">
        <w:fldChar w:fldCharType="end"/>
      </w:r>
      <w:r w:rsidR="00180517">
        <w:t>.</w:t>
      </w:r>
    </w:p>
    <w:p w14:paraId="78138240" w14:textId="2CBCF00F" w:rsidR="008809A1" w:rsidRDefault="008809A1" w:rsidP="008809A1">
      <w:r>
        <w:t xml:space="preserve">The </w:t>
      </w:r>
      <w:r w:rsidRPr="003944F9">
        <w:t>plasmolysis</w:t>
      </w:r>
      <w:r>
        <w:t xml:space="preserve"> theory is not only confirmed by the electron</w:t>
      </w:r>
      <w:r w:rsidR="004F041B">
        <w:t>-</w:t>
      </w:r>
      <w:r>
        <w:t>transparent cryo-EM micrographs, but also by the supporting data obtained from atomic force microscopy</w:t>
      </w:r>
      <w:r w:rsidR="001264EF">
        <w:t xml:space="preserve"> (</w:t>
      </w:r>
      <w:r w:rsidR="001264EF">
        <w:fldChar w:fldCharType="begin"/>
      </w:r>
      <w:r w:rsidR="001264EF">
        <w:instrText xml:space="preserve"> REF _Ref78810243 \h </w:instrText>
      </w:r>
      <w:r w:rsidR="001264EF">
        <w:fldChar w:fldCharType="separate"/>
      </w:r>
      <w:r w:rsidR="00183CC8">
        <w:t xml:space="preserve">Figure </w:t>
      </w:r>
      <w:r w:rsidR="00183CC8">
        <w:rPr>
          <w:noProof/>
        </w:rPr>
        <w:t>5</w:t>
      </w:r>
      <w:r w:rsidR="00183CC8">
        <w:t>.</w:t>
      </w:r>
      <w:r w:rsidR="00183CC8">
        <w:rPr>
          <w:noProof/>
        </w:rPr>
        <w:t>55</w:t>
      </w:r>
      <w:r w:rsidR="001264EF">
        <w:fldChar w:fldCharType="end"/>
      </w:r>
      <w:r w:rsidR="001264EF">
        <w:t>)</w:t>
      </w:r>
      <w:r>
        <w:t xml:space="preserve"> </w:t>
      </w:r>
      <w:r>
        <w:fldChar w:fldCharType="begin" w:fldLock="1"/>
      </w:r>
      <w:r w:rsidR="004F7E11">
        <w:instrText>ADDIN CSL_CITATION {"citationItems":[{"id":"ITEM-1","itemData":{"DOI":"10.1073/pnas.2106022118","ISSN":"1091-6490","PMID":"34716264","abstract":"Bacterial cell wall peptidoglycan is essential, maintaining both cellular integrity and morphology, in the face of internal turgor pressure. Peptidoglycan synthesis is important, as it is targeted by cell wall antibiotics, including methicillin and vancomycin. Here, we have used the major human pathogen Staphylococcus aureus to elucidate both the cell wall dynamic processes essential for growth (life) and the bactericidal effects of cell wall antibiotics (death) based on the principle of coordinated peptidoglycan synthesis and hydrolysis. The death of S. aureus due to depletion of the essential, two-component and positive regulatory system for peptidoglycan hydrolase activity (WalKR) is prevented by addition of otherwise bactericidal cell wall antibiotics, resulting in stasis. In contrast, cell wall antibiotics kill via the activity of peptidoglycan hydrolases in the absence of concomitant synthesis. Both methicillin and vancomycin treatment lead to the appearance of perforating holes throughout the cell wall due to peptidoglycan hydrolases. Methicillin alone also results in plasmolysis and misshapen septa with the involvement of the major peptidoglycan hydrolase Atl, a process that is inhibited by vancomycin. The bactericidal effect of vancomycin involves the peptidoglycan hydrolase SagB. In the presence of cell wall antibiotics, the inhibition of peptidoglycan hydrolase activity using the inhibitor complestatin results in reduced killing, while, conversely, the deregulation of hydrolase activity via loss of wall teichoic acids increases the death rate. For S. aureus, the independent regulation of cell wall synthesis and hydrolysis can lead to cell growth, death, or stasis, with implications for the development of new control regimes for this important pathogen.","author":[{"dropping-particle":"","family":"Salamaga","given":"Bartłomiej","non-dropping-particle":"","parse-names":false,"suffix":""},{"dropping-particle":"","family":"Kong","given":"Lingyuan","non-dropping-particle":"","parse-names":false,"suffix":""},{"dropping-particle":"","family":"Pasquina-Lemonche","given":"Laia","non-dropping-particle":"","parse-names":false,"suffix":""},{"dropping-particle":"","family":"Lafage","given":"Lucia","non-dropping-particle":"","parse-names":false,"suffix":""},{"dropping-particle":"","family":"Und Zur Muhlen","given":"Milena","non-dropping-particle":"von","parse-names":false,"suffix":""},{"dropping-particle":"","family":"Gibson","given":"Josie F","non-dropping-particle":"","parse-names":false,"suffix":""},{"dropping-particle":"","family":"Grybchuk","given":"Danyil","non-dropping-particle":"","parse-names":false,"suffix":""},{"dropping-particle":"","family":"Tooke","given":"Amy K","non-dropping-particle":"","parse-names":false,"suffix":""},{"dropping-particle":"","family":"Panchal","given":"Viralkumar","non-dropping-particle":"","parse-names":false,"suffix":""},{"dropping-particle":"","family":"Culp","given":"Elizabeth J","non-dropping-particle":"","parse-names":false,"suffix":""},{"dropping-particle":"","family":"Tatham","given":"Elizabeth","non-dropping-particle":"","parse-names":false,"suffix":""},{"dropping-particle":"","family":"O'Kane","given":"Mary E","non-dropping-particle":"","parse-names":false,"suffix":""},{"dropping-particle":"","family":"Catley","given":"Thomas E","non-dropping-particle":"","parse-names":false,"suffix":""},{"dropping-particle":"","family":"Renshaw","given":"Stephen A","non-dropping-particle":"","parse-names":false,"suffix":""},{"dropping-particle":"","family":"Wright","given":"Gerard D","non-dropping-particle":"","parse-names":false,"suffix":""},{"dropping-particle":"","family":"Plevka","given":"Pavel","non-dropping-particle":"","parse-names":false,"suffix":""},{"dropping-particle":"","family":"Bullough","given":"Per A","non-dropping-particle":"","parse-names":false,"suffix":""},{"dropping-particle":"","family":"Han","given":"Aidong","non-dropping-particle":"","parse-names":false,"suffix":""},{"dropping-particle":"","family":"Hobbs","given":"Jamie K","non-dropping-particle":"","parse-names":false,"suffix":""},{"dropping-particle":"","family":"Foster","given":"Simon J","non-dropping-particle":"","parse-names":false,"suffix":""}],"container-title":"Proceedings of the National Academy of Sciences of the United States of America","id":"ITEM-1","issue":"44","issued":{"date-parts":[["2021","11","2"]]},"page":"1-8","publisher":"National Academy of Sciences","title":"Demonstration of the role of cell wall homeostasis in Staphylococcus aureus growth and the action of bactericidal antibiotics.","type":"article-journal","volume":"118"},"uris":["http://www.mendeley.com/documents/?uuid=9f3bf1ae-65de-4943-a7a8-62e0e140e346"]}],"mendeley":{"formattedCitation":"&lt;sup&gt;[247]&lt;/sup&gt;","plainTextFormattedCitation":"[247]","previouslyFormattedCitation":"&lt;sup&gt;[247]&lt;/sup&gt;"},"properties":{"noteIndex":0},"schema":"https://github.com/citation-style-language/schema/raw/master/csl-citation.json"}</w:instrText>
      </w:r>
      <w:r>
        <w:fldChar w:fldCharType="separate"/>
      </w:r>
      <w:r w:rsidR="009D34AE" w:rsidRPr="009D34AE">
        <w:rPr>
          <w:noProof/>
          <w:vertAlign w:val="superscript"/>
        </w:rPr>
        <w:t>[247]</w:t>
      </w:r>
      <w:r>
        <w:fldChar w:fldCharType="end"/>
      </w:r>
      <w:r>
        <w:t>. AFM analysis has shown that sacculi of methicillin or vancomycin-treated cells develop perforating holes spanning the CW, with methicillin treatment leading to bigger holes than vancomycin (</w:t>
      </w:r>
      <w:r>
        <w:fldChar w:fldCharType="begin"/>
      </w:r>
      <w:r>
        <w:instrText xml:space="preserve"> REF _Ref78810243 \h </w:instrText>
      </w:r>
      <w:r>
        <w:fldChar w:fldCharType="separate"/>
      </w:r>
      <w:r w:rsidR="00183CC8">
        <w:t xml:space="preserve">Figure </w:t>
      </w:r>
      <w:r w:rsidR="00183CC8">
        <w:rPr>
          <w:noProof/>
        </w:rPr>
        <w:t>5</w:t>
      </w:r>
      <w:r w:rsidR="00183CC8">
        <w:t>.</w:t>
      </w:r>
      <w:r w:rsidR="00183CC8">
        <w:rPr>
          <w:noProof/>
        </w:rPr>
        <w:t>55</w:t>
      </w:r>
      <w:r>
        <w:fldChar w:fldCharType="end"/>
      </w:r>
      <w:r>
        <w:t xml:space="preserve">) </w:t>
      </w:r>
      <w:r>
        <w:fldChar w:fldCharType="begin" w:fldLock="1"/>
      </w:r>
      <w:r w:rsidR="004F7E11">
        <w:instrText>ADDIN CSL_CITATION {"citationItems":[{"id":"ITEM-1","itemData":{"author":[{"dropping-particle":"","family":"Pasquina Lemonche","given":"Laia","non-dropping-particle":"","parse-names":false,"suffix":""}],"id":"ITEM-1","issue":"August","issued":{"date-parts":[["2020"]]},"publisher":"The University of Sheffield","title":"The molecular architecture of the Gram-positive bacterial cell wall and how it is disrupted by antibiotics","type":"thesis"},"uris":["http://www.mendeley.com/documents/?uuid=7155e0a8-ffca-4ddc-ab1a-a19f15567396"]},{"id":"ITEM-2","itemData":{"DOI":"10.1073/pnas.2106022118","ISSN":"1091-6490","PMID":"34716264","abstract":"Bacterial cell wall peptidoglycan is essential, maintaining both cellular integrity and morphology, in the face of internal turgor pressure. Peptidoglycan synthesis is important, as it is targeted by cell wall antibiotics, including methicillin and vancomycin. Here, we have used the major human pathogen Staphylococcus aureus to elucidate both the cell wall dynamic processes essential for growth (life) and the bactericidal effects of cell wall antibiotics (death) based on the principle of coordinated peptidoglycan synthesis and hydrolysis. The death of S. aureus due to depletion of the essential, two-component and positive regulatory system for peptidoglycan hydrolase activity (WalKR) is prevented by addition of otherwise bactericidal cell wall antibiotics, resulting in stasis. In contrast, cell wall antibiotics kill via the activity of peptidoglycan hydrolases in the absence of concomitant synthesis. Both methicillin and vancomycin treatment lead to the appearance of perforating holes throughout the cell wall due to peptidoglycan hydrolases. Methicillin alone also results in plasmolysis and misshapen septa with the involvement of the major peptidoglycan hydrolase Atl, a process that is inhibited by vancomycin. The bactericidal effect of vancomycin involves the peptidoglycan hydrolase SagB. In the presence of cell wall antibiotics, the inhibition of peptidoglycan hydrolase activity using the inhibitor complestatin results in reduced killing, while, conversely, the deregulation of hydrolase activity via loss of wall teichoic acids increases the death rate. For S. aureus, the independent regulation of cell wall synthesis and hydrolysis can lead to cell growth, death, or stasis, with implications for the development of new control regimes for this important pathogen.","author":[{"dropping-particle":"","family":"Salamaga","given":"Bartłomiej","non-dropping-particle":"","parse-names":false,"suffix":""},{"dropping-particle":"","family":"Kong","given":"Lingyuan","non-dropping-particle":"","parse-names":false,"suffix":""},{"dropping-particle":"","family":"Pasquina-Lemonche","given":"Laia","non-dropping-particle":"","parse-names":false,"suffix":""},{"dropping-particle":"","family":"Lafage","given":"Lucia","non-dropping-particle":"","parse-names":false,"suffix":""},{"dropping-particle":"","family":"Und Zur Muhlen","given":"Milena","non-dropping-particle":"von","parse-names":false,"suffix":""},{"dropping-particle":"","family":"Gibson","given":"Josie F","non-dropping-particle":"","parse-names":false,"suffix":""},{"dropping-particle":"","family":"Grybchuk","given":"Danyil","non-dropping-particle":"","parse-names":false,"suffix":""},{"dropping-particle":"","family":"Tooke","given":"Amy K","non-dropping-particle":"","parse-names":false,"suffix":""},{"dropping-particle":"","family":"Panchal","given":"Viralkumar","non-dropping-particle":"","parse-names":false,"suffix":""},{"dropping-particle":"","family":"Culp","given":"Elizabeth J","non-dropping-particle":"","parse-names":false,"suffix":""},{"dropping-particle":"","family":"Tatham","given":"Elizabeth","non-dropping-particle":"","parse-names":false,"suffix":""},{"dropping-particle":"","family":"O'Kane","given":"Mary E","non-dropping-particle":"","parse-names":false,"suffix":""},{"dropping-particle":"","family":"Catley","given":"Thomas E","non-dropping-particle":"","parse-names":false,"suffix":""},{"dropping-particle":"","family":"Renshaw","given":"Stephen A","non-dropping-particle":"","parse-names":false,"suffix":""},{"dropping-particle":"","family":"Wright","given":"Gerard D","non-dropping-particle":"","parse-names":false,"suffix":""},{"dropping-particle":"","family":"Plevka","given":"Pavel","non-dropping-particle":"","parse-names":false,"suffix":""},{"dropping-particle":"","family":"Bullough","given":"Per A","non-dropping-particle":"","parse-names":false,"suffix":""},{"dropping-particle":"","family":"Han","given":"Aidong","non-dropping-particle":"","parse-names":false,"suffix":""},{"dropping-particle":"","family":"Hobbs","given":"Jamie K","non-dropping-particle":"","parse-names":false,"suffix":""},{"dropping-particle":"","family":"Foster","given":"Simon J","non-dropping-particle":"","parse-names":false,"suffix":""}],"container-title":"Proceedings of the National Academy of Sciences of the United States of America","id":"ITEM-2","issue":"44","issued":{"date-parts":[["2021","11","2"]]},"page":"1-8","publisher":"National Academy of Sciences","title":"Demonstration of the role of cell wall homeostasis in Staphylococcus aureus growth and the action of bactericidal antibiotics.","type":"article-journal","volume":"118"},"uris":["http://www.mendeley.com/documents/?uuid=9f3bf1ae-65de-4943-a7a8-62e0e140e346"]}],"mendeley":{"formattedCitation":"&lt;sup&gt;[247,248]&lt;/sup&gt;","plainTextFormattedCitation":"[247,248]","previouslyFormattedCitation":"&lt;sup&gt;[247,248]&lt;/sup&gt;"},"properties":{"noteIndex":0},"schema":"https://github.com/citation-style-language/schema/raw/master/csl-citation.json"}</w:instrText>
      </w:r>
      <w:r>
        <w:fldChar w:fldCharType="separate"/>
      </w:r>
      <w:r w:rsidR="009D34AE" w:rsidRPr="009D34AE">
        <w:rPr>
          <w:noProof/>
          <w:vertAlign w:val="superscript"/>
        </w:rPr>
        <w:t>[247,248]</w:t>
      </w:r>
      <w:r>
        <w:fldChar w:fldCharType="end"/>
      </w:r>
      <w:r>
        <w:t>. This could imply that the continued action of PGH without the counterbalance of PG synthesis could be compromising the structural integrity of the cell wall, impeding ability of the cell to withstand turgor.</w:t>
      </w:r>
    </w:p>
    <w:p w14:paraId="5585C392" w14:textId="77777777" w:rsidR="00F260AE" w:rsidRDefault="00F260AE" w:rsidP="00DC2D5C">
      <w:pPr>
        <w:keepNext/>
        <w:jc w:val="center"/>
      </w:pPr>
      <w:r>
        <w:rPr>
          <w:noProof/>
        </w:rPr>
        <w:lastRenderedPageBreak/>
        <w:drawing>
          <wp:inline distT="0" distB="0" distL="0" distR="0" wp14:anchorId="6C63D677" wp14:editId="53A25749">
            <wp:extent cx="5964821" cy="4110182"/>
            <wp:effectExtent l="0" t="0" r="4445" b="5080"/>
            <wp:docPr id="129" name="Picture 129"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Calendar&#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981659" cy="4121784"/>
                    </a:xfrm>
                    <a:prstGeom prst="rect">
                      <a:avLst/>
                    </a:prstGeom>
                  </pic:spPr>
                </pic:pic>
              </a:graphicData>
            </a:graphic>
          </wp:inline>
        </w:drawing>
      </w:r>
    </w:p>
    <w:p w14:paraId="07AC8A64" w14:textId="27C1DCC5" w:rsidR="00F260AE" w:rsidRDefault="00F260AE" w:rsidP="00E6620C">
      <w:pPr>
        <w:pStyle w:val="Caption"/>
      </w:pPr>
      <w:bookmarkStart w:id="856" w:name="_Ref78810243"/>
      <w:bookmarkStart w:id="857" w:name="_Toc90217040"/>
      <w:r>
        <w:t xml:space="preserve">Figure </w:t>
      </w:r>
      <w:r w:rsidR="003373BF">
        <w:fldChar w:fldCharType="begin"/>
      </w:r>
      <w:r w:rsidR="003373BF">
        <w:instrText xml:space="preserve"> STYLEREF 1 \s </w:instrText>
      </w:r>
      <w:r w:rsidR="003373BF">
        <w:fldChar w:fldCharType="separate"/>
      </w:r>
      <w:r w:rsidR="00183CC8">
        <w:rPr>
          <w:noProof/>
        </w:rPr>
        <w:t>5</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55</w:t>
      </w:r>
      <w:r w:rsidR="003373BF">
        <w:rPr>
          <w:noProof/>
        </w:rPr>
        <w:fldChar w:fldCharType="end"/>
      </w:r>
      <w:bookmarkEnd w:id="856"/>
      <w:r>
        <w:t xml:space="preserve"> The effect of methicillin or vancomycin on peptidoglycan architecture.</w:t>
      </w:r>
      <w:bookmarkEnd w:id="857"/>
    </w:p>
    <w:p w14:paraId="0145C359" w14:textId="11AC9DCE" w:rsidR="00F260AE" w:rsidRPr="00292C9F" w:rsidRDefault="00F260AE" w:rsidP="00292C9F">
      <w:pPr>
        <w:pStyle w:val="NoSpacing"/>
        <w:sectPr w:rsidR="00F260AE" w:rsidRPr="00292C9F" w:rsidSect="004D0E05">
          <w:pgSz w:w="11906" w:h="16838"/>
          <w:pgMar w:top="1191" w:right="1247" w:bottom="1191" w:left="1247" w:header="709" w:footer="709" w:gutter="0"/>
          <w:cols w:space="708"/>
          <w:titlePg/>
          <w:docGrid w:linePitch="360"/>
        </w:sectPr>
      </w:pPr>
      <w:r w:rsidRPr="00292C9F">
        <w:rPr>
          <w:b/>
          <w:bCs/>
        </w:rPr>
        <w:t>(A)</w:t>
      </w:r>
      <w:r w:rsidRPr="00292C9F">
        <w:t xml:space="preserve"> AFM images of the internal surface of isolated sacculi of </w:t>
      </w:r>
      <w:r w:rsidRPr="001572D2">
        <w:rPr>
          <w:i/>
          <w:iCs/>
        </w:rPr>
        <w:t>S. aureus</w:t>
      </w:r>
      <w:r w:rsidRPr="00292C9F">
        <w:t xml:space="preserve"> untreated (black panels) and treated for 1 h with methicillin (red panels) or vancomycin (blue panels): (i) height channel of individual sacculus with the internal surface facing upwards; (ii) Zoomed image from the squared white area marked in (i); (iii) Zoomed image from the squared white area marked in (ii).The control shows a finer internal peptidoglycan (PG) architecture consisting of a randomly oriented glycan fibrous  mesh (black arrows) with small pores between the fibres. Methicillin and vancomycin show an internal coarse PG architecture with perforating holes that span all the way on the cell wall. Randomly oriented glycan fibrous mesh (white arrows) can be identified, with small pores between the fibres next to some of the perforating holes (traced in cyan). </w:t>
      </w:r>
      <w:r w:rsidRPr="00292C9F">
        <w:rPr>
          <w:b/>
          <w:bCs/>
        </w:rPr>
        <w:t>(B)</w:t>
      </w:r>
      <w:r w:rsidRPr="00292C9F">
        <w:t xml:space="preserve"> Holes per surface area of sacculus (μm2) for the control (n = 3), methicillin-treated (n = 8) and vancomycin-treated (n = 12). Scatter plot shows the mean value and standard deviation. Statistical analysis: t-test with Welch</w:t>
      </w:r>
      <w:r w:rsidR="000B568B" w:rsidRPr="00292C9F">
        <w:t>’s</w:t>
      </w:r>
      <w:r w:rsidRPr="00292C9F">
        <w:t xml:space="preserve"> correction (control vs. methicillin ** p = 4.3·10-3; control vs. vancomycin ** p = 1.5·10-3). </w:t>
      </w:r>
      <w:r w:rsidRPr="00292C9F">
        <w:rPr>
          <w:b/>
          <w:bCs/>
        </w:rPr>
        <w:t>(C)</w:t>
      </w:r>
      <w:r w:rsidRPr="00292C9F">
        <w:t xml:space="preserve"> Cumulative fraction of total area of perforating holes for vancomycin (n = 899) and methicillin (n = 678). All images and analysis carried out by Dr. Pasquina Lemonche </w:t>
      </w:r>
      <w:r w:rsidRPr="00292C9F">
        <w:fldChar w:fldCharType="begin" w:fldLock="1"/>
      </w:r>
      <w:r w:rsidR="004F7E11">
        <w:instrText>ADDIN CSL_CITATION {"citationItems":[{"id":"ITEM-1","itemData":{"author":[{"dropping-particle":"","family":"Pasquina Lemonche","given":"Laia","non-dropping-particle":"","parse-names":false,"suffix":""}],"id":"ITEM-1","issue":"August","issued":{"date-parts":[["2020"]]},"publisher":"The University of Sheffield","title":"The molecular architecture of the Gram-positive bacterial cell wall and how it is disrupted by antibiotics","type":"thesis"},"uris":["http://www.mendeley.com/documents/?uuid=7155e0a8-ffca-4ddc-ab1a-a19f15567396"]},{"id":"ITEM-2","itemData":{"DOI":"10.1073/pnas.2106022118","ISSN":"1091-6490","PMID":"34716264","abstract":"Bacterial cell wall peptidoglycan is essential, maintaining both cellular integrity and morphology, in the face of internal turgor pressure. Peptidoglycan synthesis is important, as it is targeted by cell wall antibiotics, including methicillin and vancomycin. Here, we have used the major human pathogen Staphylococcus aureus to elucidate both the cell wall dynamic processes essential for growth (life) and the bactericidal effects of cell wall antibiotics (death) based on the principle of coordinated peptidoglycan synthesis and hydrolysis. The death of S. aureus due to depletion of the essential, two-component and positive regulatory system for peptidoglycan hydrolase activity (WalKR) is prevented by addition of otherwise bactericidal cell wall antibiotics, resulting in stasis. In contrast, cell wall antibiotics kill via the activity of peptidoglycan hydrolases in the absence of concomitant synthesis. Both methicillin and vancomycin treatment lead to the appearance of perforating holes throughout the cell wall due to peptidoglycan hydrolases. Methicillin alone also results in plasmolysis and misshapen septa with the involvement of the major peptidoglycan hydrolase Atl, a process that is inhibited by vancomycin. The bactericidal effect of vancomycin involves the peptidoglycan hydrolase SagB. In the presence of cell wall antibiotics, the inhibition of peptidoglycan hydrolase activity using the inhibitor complestatin results in reduced killing, while, conversely, the deregulation of hydrolase activity via loss of wall teichoic acids increases the death rate. For S. aureus, the independent regulation of cell wall synthesis and hydrolysis can lead to cell growth, death, or stasis, with implications for the development of new control regimes for this important pathogen.","author":[{"dropping-particle":"","family":"Salamaga","given":"Bartłomiej","non-dropping-particle":"","parse-names":false,"suffix":""},{"dropping-particle":"","family":"Kong","given":"Lingyuan","non-dropping-particle":"","parse-names":false,"suffix":""},{"dropping-particle":"","family":"Pasquina-Lemonche","given":"Laia","non-dropping-particle":"","parse-names":false,"suffix":""},{"dropping-particle":"","family":"Lafage","given":"Lucia","non-dropping-particle":"","parse-names":false,"suffix":""},{"dropping-particle":"","family":"Und Zur Muhlen","given":"Milena","non-dropping-particle":"von","parse-names":false,"suffix":""},{"dropping-particle":"","family":"Gibson","given":"Josie F","non-dropping-particle":"","parse-names":false,"suffix":""},{"dropping-particle":"","family":"Grybchuk","given":"Danyil","non-dropping-particle":"","parse-names":false,"suffix":""},{"dropping-particle":"","family":"Tooke","given":"Amy K","non-dropping-particle":"","parse-names":false,"suffix":""},{"dropping-particle":"","family":"Panchal","given":"Viralkumar","non-dropping-particle":"","parse-names":false,"suffix":""},{"dropping-particle":"","family":"Culp","given":"Elizabeth J","non-dropping-particle":"","parse-names":false,"suffix":""},{"dropping-particle":"","family":"Tatham","given":"Elizabeth","non-dropping-particle":"","parse-names":false,"suffix":""},{"dropping-particle":"","family":"O'Kane","given":"Mary E","non-dropping-particle":"","parse-names":false,"suffix":""},{"dropping-particle":"","family":"Catley","given":"Thomas E","non-dropping-particle":"","parse-names":false,"suffix":""},{"dropping-particle":"","family":"Renshaw","given":"Stephen A","non-dropping-particle":"","parse-names":false,"suffix":""},{"dropping-particle":"","family":"Wright","given":"Gerard D","non-dropping-particle":"","parse-names":false,"suffix":""},{"dropping-particle":"","family":"Plevka","given":"Pavel","non-dropping-particle":"","parse-names":false,"suffix":""},{"dropping-particle":"","family":"Bullough","given":"Per A","non-dropping-particle":"","parse-names":false,"suffix":""},{"dropping-particle":"","family":"Han","given":"Aidong","non-dropping-particle":"","parse-names":false,"suffix":""},{"dropping-particle":"","family":"Hobbs","given":"Jamie K","non-dropping-particle":"","parse-names":false,"suffix":""},{"dropping-particle":"","family":"Foster","given":"Simon J","non-dropping-particle":"","parse-names":false,"suffix":""}],"container-title":"Proceedings of the National Academy of Sciences of the United States of America","id":"ITEM-2","issue":"44","issued":{"date-parts":[["2021","11","2"]]},"page":"1-8","publisher":"National Academy of Sciences","title":"Demonstration of the role of cell wall homeostasis in Staphylococcus aureus growth and the action of bactericidal antibiotics.","type":"article-journal","volume":"118"},"uris":["http://www.mendeley.com/documents/?uuid=9f3bf1ae-65de-4943-a7a8-62e0e140e346"]}],"mendeley":{"formattedCitation":"&lt;sup&gt;[247,248]&lt;/sup&gt;","plainTextFormattedCitation":"[247,248]","previouslyFormattedCitation":"&lt;sup&gt;[247,248]&lt;/sup&gt;"},"properties":{"noteIndex":0},"schema":"https://github.com/citation-style-language/schema/raw/master/csl-citation.json"}</w:instrText>
      </w:r>
      <w:r w:rsidRPr="00292C9F">
        <w:fldChar w:fldCharType="separate"/>
      </w:r>
      <w:r w:rsidR="009D34AE" w:rsidRPr="009D34AE">
        <w:rPr>
          <w:noProof/>
          <w:vertAlign w:val="superscript"/>
        </w:rPr>
        <w:t>[247,248]</w:t>
      </w:r>
      <w:r w:rsidRPr="00292C9F">
        <w:fldChar w:fldCharType="end"/>
      </w:r>
      <w:r w:rsidRPr="00292C9F">
        <w:t>.</w:t>
      </w:r>
    </w:p>
    <w:p w14:paraId="1B19F62B" w14:textId="0EB6A5DA" w:rsidR="007962F5" w:rsidRDefault="007962F5" w:rsidP="00C03893">
      <w:r>
        <w:lastRenderedPageBreak/>
        <w:t xml:space="preserve">The thorough analysis of bacterial strains under the effect of bactericidal antibiotics carried out in this chapter, lead us to believe that vancomycin inhibits the plasmolysis seen with methicillin or oxacillin. When added together, vancomycin with either of these </w:t>
      </w:r>
      <w:r>
        <w:rPr>
          <w:lang w:val="el-GR"/>
        </w:rPr>
        <w:t>β</w:t>
      </w:r>
      <w:r>
        <w:t xml:space="preserve">-lactams responds in a similar way to vancomycin alone in respects to its survival, phenotype, and division profile. </w:t>
      </w:r>
      <w:r w:rsidRPr="00E22B53">
        <w:t xml:space="preserve">These results suggest that in addition to a common bactericidal mechanism between these antibiotics, </w:t>
      </w:r>
      <w:r>
        <w:rPr>
          <w:lang w:val="el-GR"/>
        </w:rPr>
        <w:t>β</w:t>
      </w:r>
      <w:r>
        <w:t>-lactams have</w:t>
      </w:r>
      <w:r w:rsidRPr="00E22B53">
        <w:t xml:space="preserve"> a second </w:t>
      </w:r>
      <w:r>
        <w:t>mode</w:t>
      </w:r>
      <w:r w:rsidRPr="00E22B53">
        <w:t xml:space="preserve"> of death that takes the form of plasmolysis and lysis; and that vancomycin can hinder this.</w:t>
      </w:r>
      <w:r>
        <w:t xml:space="preserve"> An additional study with Triton X-100 carried out by Dr. Salamaga showed that vancomycin inhibits general lysis with or without methicillin </w:t>
      </w:r>
      <w:r>
        <w:fldChar w:fldCharType="begin" w:fldLock="1"/>
      </w:r>
      <w:r w:rsidR="004F7E11">
        <w:instrText>ADDIN CSL_CITATION {"citationItems":[{"id":"ITEM-1","itemData":{"DOI":"10.1073/pnas.2106022118","ISSN":"1091-6490","PMID":"34716264","abstract":"Bacterial cell wall peptidoglycan is essential, maintaining both cellular integrity and morphology, in the face of internal turgor pressure. Peptidoglycan synthesis is important, as it is targeted by cell wall antibiotics, including methicillin and vancomycin. Here, we have used the major human pathogen Staphylococcus aureus to elucidate both the cell wall dynamic processes essential for growth (life) and the bactericidal effects of cell wall antibiotics (death) based on the principle of coordinated peptidoglycan synthesis and hydrolysis. The death of S. aureus due to depletion of the essential, two-component and positive regulatory system for peptidoglycan hydrolase activity (WalKR) is prevented by addition of otherwise bactericidal cell wall antibiotics, resulting in stasis. In contrast, cell wall antibiotics kill via the activity of peptidoglycan hydrolases in the absence of concomitant synthesis. Both methicillin and vancomycin treatment lead to the appearance of perforating holes throughout the cell wall due to peptidoglycan hydrolases. Methicillin alone also results in plasmolysis and misshapen septa with the involvement of the major peptidoglycan hydrolase Atl, a process that is inhibited by vancomycin. The bactericidal effect of vancomycin involves the peptidoglycan hydrolase SagB. In the presence of cell wall antibiotics, the inhibition of peptidoglycan hydrolase activity using the inhibitor complestatin results in reduced killing, while, conversely, the deregulation of hydrolase activity via loss of wall teichoic acids increases the death rate. For S. aureus, the independent regulation of cell wall synthesis and hydrolysis can lead to cell growth, death, or stasis, with implications for the development of new control regimes for this important pathogen.","author":[{"dropping-particle":"","family":"Salamaga","given":"Bartłomiej","non-dropping-particle":"","parse-names":false,"suffix":""},{"dropping-particle":"","family":"Kong","given":"Lingyuan","non-dropping-particle":"","parse-names":false,"suffix":""},{"dropping-particle":"","family":"Pasquina-Lemonche","given":"Laia","non-dropping-particle":"","parse-names":false,"suffix":""},{"dropping-particle":"","family":"Lafage","given":"Lucia","non-dropping-particle":"","parse-names":false,"suffix":""},{"dropping-particle":"","family":"Und Zur Muhlen","given":"Milena","non-dropping-particle":"von","parse-names":false,"suffix":""},{"dropping-particle":"","family":"Gibson","given":"Josie F","non-dropping-particle":"","parse-names":false,"suffix":""},{"dropping-particle":"","family":"Grybchuk","given":"Danyil","non-dropping-particle":"","parse-names":false,"suffix":""},{"dropping-particle":"","family":"Tooke","given":"Amy K","non-dropping-particle":"","parse-names":false,"suffix":""},{"dropping-particle":"","family":"Panchal","given":"Viralkumar","non-dropping-particle":"","parse-names":false,"suffix":""},{"dropping-particle":"","family":"Culp","given":"Elizabeth J","non-dropping-particle":"","parse-names":false,"suffix":""},{"dropping-particle":"","family":"Tatham","given":"Elizabeth","non-dropping-particle":"","parse-names":false,"suffix":""},{"dropping-particle":"","family":"O'Kane","given":"Mary E","non-dropping-particle":"","parse-names":false,"suffix":""},{"dropping-particle":"","family":"Catley","given":"Thomas E","non-dropping-particle":"","parse-names":false,"suffix":""},{"dropping-particle":"","family":"Renshaw","given":"Stephen A","non-dropping-particle":"","parse-names":false,"suffix":""},{"dropping-particle":"","family":"Wright","given":"Gerard D","non-dropping-particle":"","parse-names":false,"suffix":""},{"dropping-particle":"","family":"Plevka","given":"Pavel","non-dropping-particle":"","parse-names":false,"suffix":""},{"dropping-particle":"","family":"Bullough","given":"Per A","non-dropping-particle":"","parse-names":false,"suffix":""},{"dropping-particle":"","family":"Han","given":"Aidong","non-dropping-particle":"","parse-names":false,"suffix":""},{"dropping-particle":"","family":"Hobbs","given":"Jamie K","non-dropping-particle":"","parse-names":false,"suffix":""},{"dropping-particle":"","family":"Foster","given":"Simon J","non-dropping-particle":"","parse-names":false,"suffix":""}],"container-title":"Proceedings of the National Academy of Sciences of the United States of America","id":"ITEM-1","issue":"44","issued":{"date-parts":[["2021","11","2"]]},"page":"1-8","publisher":"National Academy of Sciences","title":"Demonstration of the role of cell wall homeostasis in Staphylococcus aureus growth and the action of bactericidal antibiotics.","type":"article-journal","volume":"118"},"uris":["http://www.mendeley.com/documents/?uuid=9f3bf1ae-65de-4943-a7a8-62e0e140e346"]}],"mendeley":{"formattedCitation":"&lt;sup&gt;[247]&lt;/sup&gt;","plainTextFormattedCitation":"[247]","previouslyFormattedCitation":"&lt;sup&gt;[247]&lt;/sup&gt;"},"properties":{"noteIndex":0},"schema":"https://github.com/citation-style-language/schema/raw/master/csl-citation.json"}</w:instrText>
      </w:r>
      <w:r>
        <w:fldChar w:fldCharType="separate"/>
      </w:r>
      <w:r w:rsidR="009D34AE" w:rsidRPr="009D34AE">
        <w:rPr>
          <w:noProof/>
          <w:vertAlign w:val="superscript"/>
        </w:rPr>
        <w:t>[247]</w:t>
      </w:r>
      <w:r>
        <w:fldChar w:fldCharType="end"/>
      </w:r>
      <w:r>
        <w:t xml:space="preserve">, suggesting once more that vancomycin can interrupt methicillin’s specific method of death and that one or more PG hydrolases involved in lysis could be responsible. </w:t>
      </w:r>
    </w:p>
    <w:p w14:paraId="1DF9156F" w14:textId="35A3695C" w:rsidR="006F4620" w:rsidRPr="007D2E37" w:rsidRDefault="00CE44A8" w:rsidP="00C03893">
      <w:r>
        <w:t>Our model for bacterial life a</w:t>
      </w:r>
      <w:r w:rsidR="004C50CC">
        <w:t>nd</w:t>
      </w:r>
      <w:r>
        <w:t xml:space="preserve"> death predicts that </w:t>
      </w:r>
      <w:r w:rsidR="004D500D">
        <w:t>CW</w:t>
      </w:r>
      <w:r>
        <w:t xml:space="preserve"> antibiotics lead to death as a result of the continued action of PG hydrolases (PGH) (</w:t>
      </w:r>
      <w:r>
        <w:fldChar w:fldCharType="begin"/>
      </w:r>
      <w:r>
        <w:instrText xml:space="preserve"> REF _Ref71110058 \h </w:instrText>
      </w:r>
      <w:r>
        <w:fldChar w:fldCharType="separate"/>
      </w:r>
      <w:r w:rsidR="00183CC8">
        <w:t xml:space="preserve">Figure </w:t>
      </w:r>
      <w:r w:rsidR="00183CC8">
        <w:rPr>
          <w:noProof/>
        </w:rPr>
        <w:t>5</w:t>
      </w:r>
      <w:r w:rsidR="00183CC8">
        <w:t>.</w:t>
      </w:r>
      <w:r w:rsidR="00183CC8">
        <w:rPr>
          <w:noProof/>
        </w:rPr>
        <w:t>1</w:t>
      </w:r>
      <w:r>
        <w:fldChar w:fldCharType="end"/>
      </w:r>
      <w:r>
        <w:t>).</w:t>
      </w:r>
      <w:r w:rsidR="00C03893">
        <w:t xml:space="preserve"> This </w:t>
      </w:r>
      <w:r w:rsidR="00381BB7">
        <w:t xml:space="preserve">naturally made us turn our attention towards </w:t>
      </w:r>
      <w:r w:rsidR="00C03893">
        <w:t xml:space="preserve">the major </w:t>
      </w:r>
      <w:r w:rsidR="00381BB7">
        <w:t>PG</w:t>
      </w:r>
      <w:r w:rsidR="00C03893">
        <w:t xml:space="preserve">H </w:t>
      </w:r>
      <w:r w:rsidR="00C03893" w:rsidRPr="003944F9">
        <w:t>SagB</w:t>
      </w:r>
      <w:r w:rsidR="00C03893">
        <w:t xml:space="preserve">, a </w:t>
      </w:r>
      <w:r w:rsidR="00B738AC">
        <w:t xml:space="preserve">glucosaminidase involved in the cleavage of PG strands and general cell growth and division </w:t>
      </w:r>
      <w:r w:rsidR="00B738AC">
        <w:fldChar w:fldCharType="begin" w:fldLock="1"/>
      </w:r>
      <w:r w:rsidR="00260ACA">
        <w:instrText>ADDIN CSL_CITATION {"citationItems":[{"id":"ITEM-1","itemData":{"DOI":"10.1128/mBio.00660-15","ISSN":"21507511","PMID":"26220963","abstract":"UNLABELLED: Most bacterial cells are enclosed in a single macromolecule of the cell wall polymer, peptidoglycan, which is required for shape determination and maintenance of viability, while peptidoglycan biosynthesis is an important antibiotic target. It is hypothesized that cellular enlargement requires regional expansion of the cell wall through coordinated insertion and hydrolysis of peptidoglycan. Here, a group of (apparent glucosaminidase) peptidoglycan hydrolases are identified that are together required for cell enlargement and correct cellular morphology of Staphylococcus aureus, demonstrating the overall importance of this enzyme activity. These are Atl, SagA, ScaH, and SagB. The major advance here is the explanation of the observed morphological defects in terms of the mechanical and biochemical properties of peptidoglycan. It was shown that cells lacking groups of these hydrolases have increased surface stiffness and, in the absence of SagB, substantially increased glycan chain length. This indicates that, beyond their established roles (for example in cell separation), some hydrolases enable cellular enlargement by making peptidoglycan easier to stretch, providing the first direct evidence demonstrating that cellular enlargement occurs via modulation of the mechanical properties of peptidoglycan.\\n\\nIMPORTANCE: Understanding bacterial growth and division is a fundamental problem, and knowledge in this area underlies the treatment of many infectious diseases. Almost all bacteria are surrounded by a macromolecule of peptidoglycan that encloses the cell and maintains shape, and bacterial cells must increase the size of this molecule in order to enlarge themselves. This requires not only the insertion of new peptidoglycan monomers, a process targeted by antibiotics, including penicillin, but also breakage of existing bonds, a potentially hazardous activity for the cell. Using Staphylococcus aureus, we have identified a set of enzymes that are critical for cellular enlargement. We show that these enzymes are required for normal growth and define the mechanism through which cellular enlargement is accomplished, i.e., by breaking bonds in the peptidoglycan, which reduces the stiffness of the cell wall, enabling it to stretch and expand, a process that is likely to be fundamental to many bacteria.","author":[{"dropping-particle":"","family":"Wheeler","given":"Richard","non-dropping-particle":"","parse-names":false,"suffix":""},{"dropping-particle":"","family":"Turner","given":"Robert D.","non-dropping-particle":"","parse-names":false,"suffix":""},{"dropping-particle":"","family":"Bailey","given":"Richard G.","non-dropping-particle":"","parse-names":false,"suffix":""},{"dropping-particle":"","family":"Salamaga","given":"Bartłomiej","non-dropping-particle":"","parse-names":false,"suffix":""},{"dropping-particle":"","family":"Mesnage","given":"Stéphane","non-dropping-particle":"","parse-names":false,"suffix":""},{"dropping-particle":"","family":"Mohamad","given":"Sharifah A.S.","non-dropping-particle":"","parse-names":false,"suffix":""},{"dropping-particle":"","family":"Hayhurst","given":"Emma J.","non-dropping-particle":"","parse-names":false,"suffix":""},{"dropping-particle":"","family":"Horsburgh","given":"Malcolm","non-dropping-particle":"","parse-names":false,"suffix":""},{"dropping-particle":"","family":"Hobbs","given":"Jamie K.","non-dropping-particle":"","parse-names":false,"suffix":""},{"dropping-particle":"","family":"Foster","given":"Simon J.","non-dropping-particle":"","parse-names":false,"suffix":""}],"container-title":"mBio","id":"ITEM-1","issue":"4","issued":{"date-parts":[["2015"]]},"page":"1-10","title":"Bacterial cell enlargement requires control of cell wall stiffness mediated by peptidoglycan hydrolases","type":"article-journal","volume":"6"},"uris":["http://www.mendeley.com/documents/?uuid=d2ac9efd-feb5-4e30-a1e2-88eccd09b8af"]},{"id":"ITEM-2","itemData":{"DOI":"10.1128/JB.00983-15","ISSN":"10985530","PMID":"26811319","abstract":"The envelope of Staphylococcus aureus is comprised of peptidoglycan and its attached secondary polymers, teichoic acid, capsular polysaccharide, and protein. Peptidoglycan synthesis involves polymerization of lipid II precursors into glycan strands that are cross-linked at wall peptides. It is not clear whether peptidoglycan structure is principally determined during polymerization or whether processive enzymes affect cell wall structure and function, for example, by generating conduits for protein secretion. We show here that S. aureus lacking SagB, a membrane-associated N-acetylglucosaminidase, displays growth and cell-morphological defects caused by the exaggerated length of peptidoglycan strands. SagB cleaves polymerized glycan strands to their physiological length and modulates antibiotic resistance in methicillin-resistant S. aureus (MRSA). Deletion of sagB perturbs protein trafficking into and across the envelope, conferring defects in cell wall anchoring and secretion, as well as aberrant excretion of cytoplasmic proteins.","author":[{"dropping-particle":"","family":"Chan","given":"Yvonne G.Y.","non-dropping-particle":"","parse-names":false,"suffix":""},{"dropping-particle":"","family":"Frankel","given":"Matthew B.","non-dropping-particle":"","parse-names":false,"suffix":""},{"dropping-particle":"","family":"Missiakas","given":"Dominique","non-dropping-particle":"","parse-names":false,"suffix":""},{"dropping-particle":"","family":"Schneewind","given":"Olaf","non-dropping-particle":"","parse-names":false,"suffix":""}],"container-title":"Journal of Bacteriology","id":"ITEM-2","issue":"7","issued":{"date-parts":[["2016"]]},"page":"1123-1136","title":"SagB glucosaminidase is a determinant of Staphylococcus aureus glycan chain length, antibiotic susceptibility, and protein secretion","type":"article-journal","volume":"198"},"uris":["http://www.mendeley.com/documents/?uuid=8673fac0-9728-42f3-ac20-3816c68ebc1e"]}],"mendeley":{"formattedCitation":"&lt;sup&gt;[53,64]&lt;/sup&gt;","plainTextFormattedCitation":"[53,64]","previouslyFormattedCitation":"&lt;sup&gt;[53,64]&lt;/sup&gt;"},"properties":{"noteIndex":0},"schema":"https://github.com/citation-style-language/schema/raw/master/csl-citation.json"}</w:instrText>
      </w:r>
      <w:r w:rsidR="00B738AC">
        <w:fldChar w:fldCharType="separate"/>
      </w:r>
      <w:r w:rsidR="00C825F9" w:rsidRPr="00C825F9">
        <w:rPr>
          <w:noProof/>
          <w:vertAlign w:val="superscript"/>
        </w:rPr>
        <w:t>[53,64]</w:t>
      </w:r>
      <w:r w:rsidR="00B738AC">
        <w:fldChar w:fldCharType="end"/>
      </w:r>
      <w:r w:rsidR="00B738AC">
        <w:t xml:space="preserve">. TEM micrographs confirmed </w:t>
      </w:r>
      <w:r w:rsidR="004523B7">
        <w:t xml:space="preserve">that </w:t>
      </w:r>
      <w:r w:rsidR="00B738AC">
        <w:rPr>
          <w:i/>
          <w:iCs/>
        </w:rPr>
        <w:t>sagB</w:t>
      </w:r>
      <w:r w:rsidR="00B738AC">
        <w:t xml:space="preserve"> </w:t>
      </w:r>
      <w:r w:rsidR="004523B7">
        <w:t xml:space="preserve">reacted similarly to SH1000 when treated with these antibiotics, including the observed plasmolysis with </w:t>
      </w:r>
      <w:r w:rsidR="004523B7">
        <w:rPr>
          <w:lang w:val="el-GR"/>
        </w:rPr>
        <w:t>β</w:t>
      </w:r>
      <w:r w:rsidR="004523B7">
        <w:t>-lactams (</w:t>
      </w:r>
      <w:r w:rsidR="004523B7">
        <w:fldChar w:fldCharType="begin"/>
      </w:r>
      <w:r w:rsidR="004523B7">
        <w:instrText xml:space="preserve"> REF _Ref71064307 \h </w:instrText>
      </w:r>
      <w:r w:rsidR="004523B7">
        <w:fldChar w:fldCharType="separate"/>
      </w:r>
      <w:r w:rsidR="00183CC8">
        <w:t xml:space="preserve">Figure </w:t>
      </w:r>
      <w:r w:rsidR="00183CC8">
        <w:rPr>
          <w:noProof/>
        </w:rPr>
        <w:t>5</w:t>
      </w:r>
      <w:r w:rsidR="00183CC8">
        <w:t>.</w:t>
      </w:r>
      <w:r w:rsidR="00183CC8">
        <w:rPr>
          <w:noProof/>
        </w:rPr>
        <w:t>44</w:t>
      </w:r>
      <w:r w:rsidR="004523B7">
        <w:fldChar w:fldCharType="end"/>
      </w:r>
      <w:r w:rsidR="004523B7">
        <w:t xml:space="preserve"> and </w:t>
      </w:r>
      <w:r w:rsidR="004523B7">
        <w:fldChar w:fldCharType="begin"/>
      </w:r>
      <w:r w:rsidR="004523B7">
        <w:instrText xml:space="preserve"> REF _Ref78659688 \h </w:instrText>
      </w:r>
      <w:r w:rsidR="004523B7">
        <w:fldChar w:fldCharType="separate"/>
      </w:r>
      <w:r w:rsidR="00183CC8">
        <w:t xml:space="preserve">Figure </w:t>
      </w:r>
      <w:r w:rsidR="00183CC8">
        <w:rPr>
          <w:noProof/>
        </w:rPr>
        <w:t>5</w:t>
      </w:r>
      <w:r w:rsidR="00183CC8">
        <w:t>.</w:t>
      </w:r>
      <w:r w:rsidR="00183CC8">
        <w:rPr>
          <w:noProof/>
        </w:rPr>
        <w:t>43</w:t>
      </w:r>
      <w:r w:rsidR="004523B7">
        <w:fldChar w:fldCharType="end"/>
      </w:r>
      <w:r w:rsidR="004523B7">
        <w:t>).</w:t>
      </w:r>
      <w:r w:rsidR="00127228">
        <w:t xml:space="preserve"> However, </w:t>
      </w:r>
      <w:r w:rsidR="005E084B">
        <w:t>the</w:t>
      </w:r>
      <w:r w:rsidR="00E84FFB">
        <w:t xml:space="preserve"> significant increase in </w:t>
      </w:r>
      <w:r w:rsidR="00127228">
        <w:t>survival</w:t>
      </w:r>
      <w:r w:rsidR="00E84FFB">
        <w:t xml:space="preserve"> observed </w:t>
      </w:r>
      <w:r w:rsidR="009E7881">
        <w:t>in</w:t>
      </w:r>
      <w:r w:rsidR="005E084B">
        <w:t xml:space="preserve"> </w:t>
      </w:r>
      <w:r w:rsidR="00E84FFB">
        <w:t>vancomycin</w:t>
      </w:r>
      <w:r w:rsidR="009E7881">
        <w:t>-treated cells</w:t>
      </w:r>
      <w:r w:rsidR="005E084B">
        <w:t xml:space="preserve"> and not with methicillin</w:t>
      </w:r>
      <w:r w:rsidR="00E84FFB">
        <w:t>, suggest</w:t>
      </w:r>
      <w:r w:rsidR="005E084B">
        <w:t>s</w:t>
      </w:r>
      <w:r w:rsidR="00E84FFB">
        <w:t xml:space="preserve"> that SagB plays an important role in the mode of killing of this antibiotic</w:t>
      </w:r>
      <w:r w:rsidR="00B738AC">
        <w:t xml:space="preserve"> (</w:t>
      </w:r>
      <w:r w:rsidR="00B738AC">
        <w:fldChar w:fldCharType="begin"/>
      </w:r>
      <w:r w:rsidR="00B738AC">
        <w:instrText xml:space="preserve"> REF _Ref71063900 \h </w:instrText>
      </w:r>
      <w:r w:rsidR="00B738AC">
        <w:fldChar w:fldCharType="separate"/>
      </w:r>
      <w:r w:rsidR="00183CC8">
        <w:t xml:space="preserve">Figure </w:t>
      </w:r>
      <w:r w:rsidR="00183CC8">
        <w:rPr>
          <w:noProof/>
        </w:rPr>
        <w:t>5</w:t>
      </w:r>
      <w:r w:rsidR="00183CC8">
        <w:t>.</w:t>
      </w:r>
      <w:r w:rsidR="00183CC8">
        <w:rPr>
          <w:noProof/>
        </w:rPr>
        <w:t>42</w:t>
      </w:r>
      <w:r w:rsidR="00B738AC">
        <w:fldChar w:fldCharType="end"/>
      </w:r>
      <w:r w:rsidR="00B738AC">
        <w:t xml:space="preserve">). </w:t>
      </w:r>
      <w:r w:rsidR="009E7881">
        <w:t xml:space="preserve">This was corroborated by a parallel </w:t>
      </w:r>
      <w:r w:rsidR="007D2E37">
        <w:t>AFM experiment</w:t>
      </w:r>
      <w:r w:rsidR="009F1FCB">
        <w:t xml:space="preserve"> performed by Dr. Pasquina Lemonche</w:t>
      </w:r>
      <w:r w:rsidR="009E7881">
        <w:t>,</w:t>
      </w:r>
      <w:r w:rsidR="007D2E37">
        <w:t xml:space="preserve"> </w:t>
      </w:r>
      <w:r w:rsidR="009E7881">
        <w:t>whereby</w:t>
      </w:r>
      <w:r w:rsidR="007D2E37">
        <w:t xml:space="preserve"> </w:t>
      </w:r>
      <w:r w:rsidR="007D2E37">
        <w:rPr>
          <w:i/>
          <w:iCs/>
        </w:rPr>
        <w:t>sagB</w:t>
      </w:r>
      <w:r w:rsidR="007D2E37">
        <w:t xml:space="preserve"> cells treated with vancomycin </w:t>
      </w:r>
      <w:r w:rsidR="009E7881">
        <w:t>showed</w:t>
      </w:r>
      <w:r w:rsidR="007D2E37">
        <w:t xml:space="preserve"> </w:t>
      </w:r>
      <w:r w:rsidR="00884702">
        <w:t>fewer</w:t>
      </w:r>
      <w:r w:rsidR="00A83E35">
        <w:t xml:space="preserve"> and smaller </w:t>
      </w:r>
      <w:r w:rsidR="00884702">
        <w:t xml:space="preserve">CW spanning </w:t>
      </w:r>
      <w:r w:rsidR="00A83E35">
        <w:t>holes</w:t>
      </w:r>
      <w:r w:rsidR="007D2E37">
        <w:t xml:space="preserve"> than SH1000. T</w:t>
      </w:r>
      <w:r w:rsidR="00895D66">
        <w:t>hese results indicate a</w:t>
      </w:r>
      <w:r w:rsidR="00D33AE8">
        <w:t xml:space="preserve"> common killing mechanism associated with growth, that involves</w:t>
      </w:r>
      <w:r w:rsidR="00045829">
        <w:t xml:space="preserve"> cell wall perforating holes caused by </w:t>
      </w:r>
      <w:r w:rsidR="00D33AE8">
        <w:t>SagB</w:t>
      </w:r>
      <w:r w:rsidR="00045829">
        <w:t xml:space="preserve"> and others PGH</w:t>
      </w:r>
      <w:r w:rsidR="00D33AE8">
        <w:t>.</w:t>
      </w:r>
    </w:p>
    <w:p w14:paraId="049D8D1C" w14:textId="025D4177" w:rsidR="00C65D6D" w:rsidRDefault="007C4CB3" w:rsidP="00557CF6">
      <w:r>
        <w:t xml:space="preserve">In an attempt to further understand the </w:t>
      </w:r>
      <w:r>
        <w:rPr>
          <w:lang w:val="el-GR"/>
        </w:rPr>
        <w:t>β</w:t>
      </w:r>
      <w:r>
        <w:t xml:space="preserve">-lactam-specific mode of death, </w:t>
      </w:r>
      <w:r w:rsidR="00C65D6D" w:rsidRPr="00746247">
        <w:t>Atl</w:t>
      </w:r>
      <w:r w:rsidR="00C65D6D">
        <w:t xml:space="preserve"> </w:t>
      </w:r>
      <w:r>
        <w:t xml:space="preserve">a major PGH involved in lysis and scission and </w:t>
      </w:r>
      <w:r w:rsidR="00E713F8">
        <w:t>a</w:t>
      </w:r>
      <w:r>
        <w:t xml:space="preserve"> target</w:t>
      </w:r>
      <w:r w:rsidR="00E713F8">
        <w:t xml:space="preserve"> for vancomycin</w:t>
      </w:r>
      <w:r>
        <w:t>,</w:t>
      </w:r>
      <w:r w:rsidR="00E713F8">
        <w:t xml:space="preserve"> was tested</w:t>
      </w:r>
      <w:r>
        <w:t xml:space="preserve"> </w:t>
      </w:r>
      <w:r>
        <w:fldChar w:fldCharType="begin" w:fldLock="1"/>
      </w:r>
      <w:r w:rsidR="0058736C">
        <w:instrText>ADDIN CSL_CITATION {"citationItems":[{"id":"ITEM-1","itemData":{"DOI":"10.1021/ja2039979","ISSN":"00027863","abstract":"Vancomycin is a potent glycopeptide antibiotic that has evolved to specifically bind to the D-Ala-D-Ala dipeptide termini of nascent peptidoglycans. Although this mode of action is well established, several studies indicate that vancomycin and analogues exploit noncanonical target sites. In order to address all vancomycin targets in clinically relevant Staphylococcus aureus and Enterococcus faecalis strains we developed a series of small-molecule photoaffinity probes based on vancomycin. Proteomic profiling revealed the specific labeling of two previously unknown vancomycin targets that are likely to contribute to its antibiotic activity. The specific inhibition of the major staphylococcal autolysin Atl confirms previous observations that vancomycin alters S. aureus cell morphology by interaction with the autolytic machinery. Moreover, in E. faecalis the vancomycin photoprobe specifically binds to an ABC transporter protein, which likely impedes the uptake of essential nutrients such as sugars and peptides. The labeling of these two prominent membrane targets in living cells reveals a thus far unexplored mode of vancomycin binding and inhibition that could allow a rational design of variants with improved activity.","author":[{"dropping-particle":"","family":"Eirich","given":"Jürgen","non-dropping-particle":"","parse-names":false,"suffix":""},{"dropping-particle":"","family":"Orth","given":"Ronald","non-dropping-particle":"","parse-names":false,"suffix":""},{"dropping-particle":"","family":"Sieber","given":"Stephan A.","non-dropping-particle":"","parse-names":false,"suffix":""}],"container-title":"Journal of the American Chemical Society","id":"ITEM-1","issue":"31","issued":{"date-parts":[["2011"]]},"page":"12144-12153","title":"Unraveling the protein targets of vancomycin in living S. aureus and E. faecalis cells","type":"article-journal","volume":"133"},"uris":["http://www.mendeley.com/documents/?uuid=b5a1c03f-3b64-47f4-92eb-579d1863b51f"]},{"id":"ITEM-2","itemData":{"DOI":"10.1111/j.1574-6968.2006.00281.x","ISSN":"03781097","PMID":"16734789","abstract":"The major autolysin of Staphylococcus aureus (AtlA) and of Staphylococcus epidermidis (AtlE) are well-studied enzymes. Here we created an atlA deletion mutant in S. aureus that formed large cell clusters and was biofilm-negative. In electron micrographs, the mutant cells were distinguished by rough outer cell surface. The mutant could be complemented using the atlE gene from S. epidermidis. To study the role of the repetitive sequences of atlE, we expressed in Escherichia coli the amidase domain encoded by the gene, carrying no repeat regions (amiE) or two repeat regions (amiE-R1,2), or the three repeat regions alone (R1,2,3) as N-terminal His-tag fusion proteins. Only slight differences in the cell wall lytic activity between AmiE and AmiE-R1,2 were observed. The repetitive sequences exhibit a good binding affinity to isolated peptidoglycan and might contribute to the targeting of the amidase to the substrate. AmiE and AmiE-R1,2 have a broad substrate specificity as shown by similar activities with peptidoglycan lacking wall teichoic acid, O-acetylation, or both. As the amidase activity of AtlA and AtlE has not been proved biochemically, we used purified AmiE-R1,2 to determine the exact peptidoglycan cleavage site. We provide the first evidence that the amidase indeed cleaves the amide bond between N-acetyl muramic acid and l-alanine. © 2006 Federation of European Microbiological Societies Published by Blackwell Publishing Ltd. All rights reserved.","author":[{"dropping-particle":"","family":"Biswas","given":"Raja","non-dropping-particle":"","parse-names":false,"suffix":""},{"dropping-particle":"","family":"Voggu","given":"Lalitha","non-dropping-particle":"","parse-names":false,"suffix":""},{"dropping-particle":"","family":"Simon","given":"Uwe Karsten","non-dropping-particle":"","parse-names":false,"suffix":""},{"dropping-particle":"","family":"Hentschel","given":"Petra","non-dropping-particle":"","parse-names":false,"suffix":""},{"dropping-particle":"","family":"Thumm","given":"Günther","non-dropping-particle":"","parse-names":false,"suffix":""},{"dropping-particle":"","family":"Götz","given":"Friedrich","non-dropping-particle":"","parse-names":false,"suffix":""}],"container-title":"FEMS Microbiology Letters","id":"ITEM-2","issue":"2","issued":{"date-parts":[["2006"]]},"page":"260-268","title":"Activity of the major staphylococcal autolysin Atl","type":"article-journal","volume":"259"},"uris":["http://www.mendeley.com/documents/?uuid=a2a445f5-7b60-4fbd-8ad7-de77d5fa750e"]},{"id":"ITEM-3","itemData":{"DOI":"10.1073/pnas.92.1.285","ISSN":"00278424","PMID":"7816834","abstract":"The Tn551 insertion site of the autolysis-deficient Staphylococcus aureus mutant RUSAL2 was cloned and used to identify the autolysis gene atl in the parent strain, RN450. The open reading frame for atl was 3768 bp in length, encoding a deduced protein of 1256 amino acids and molecular size of 137,381 Da. The atl gene product is a bifunctional protein that has an amidase domain and an endo-β-N-acetylglucosaminidase domain which must undergo proteolytic processing to generate the two extracellular lyric enzymes found in the culture broth of S. aureus.","author":[{"dropping-particle":"","family":"Oshida","given":"Tadahiro","non-dropping-particle":"","parse-names":false,"suffix":""},{"dropping-particle":"","family":"Sugai","given":"Motoyuki","non-dropping-particle":"","parse-names":false,"suffix":""},{"dropping-particle":"","family":"Komatsuzawa","given":"Hitoshi","non-dropping-particle":"","parse-names":false,"suffix":""},{"dropping-particle":"","family":"Hong","given":"Yeong Man","non-dropping-particle":"","parse-names":false,"suffix":""},{"dropping-particle":"","family":"Suginaka","given":"Hidekazu","non-dropping-particle":"","parse-names":false,"suffix":""},{"dropping-particle":"","family":"Tomasz","given":"Alexander","non-dropping-particle":"","parse-names":false,"suffix":""}],"container-title":"Proceedings of the National Academy of Sciences of the United States of America","id":"ITEM-3","issue":"1","issued":{"date-parts":[["1995"]]},"page":"285-289","title":"A Staphylococcus aureus autolysin that has an N-acetylmuramoyl-L-alanine amidase domain and an endo-β-N-acetylglucosaminidase domain: Cloning, sequence analysis, and characterization","type":"article-journal","volume":"92"},"uris":["http://www.mendeley.com/documents/?uuid=8be6e18b-817c-43a9-8b7f-e4ce35a834f6"]}],"mendeley":{"formattedCitation":"&lt;sup&gt;[55,57,199]&lt;/sup&gt;","plainTextFormattedCitation":"[55,57,199]","previouslyFormattedCitation":"&lt;sup&gt;[55,57,199]&lt;/sup&gt;"},"properties":{"noteIndex":0},"schema":"https://github.com/citation-style-language/schema/raw/master/csl-citation.json"}</w:instrText>
      </w:r>
      <w:r>
        <w:fldChar w:fldCharType="separate"/>
      </w:r>
      <w:r w:rsidR="002659E5" w:rsidRPr="002659E5">
        <w:rPr>
          <w:noProof/>
          <w:vertAlign w:val="superscript"/>
        </w:rPr>
        <w:t>[55,57,199]</w:t>
      </w:r>
      <w:r>
        <w:fldChar w:fldCharType="end"/>
      </w:r>
      <w:r>
        <w:t xml:space="preserve">. </w:t>
      </w:r>
      <w:r w:rsidR="00BB7959">
        <w:t>Our</w:t>
      </w:r>
      <w:r w:rsidR="00C65D6D">
        <w:t xml:space="preserve"> results show that </w:t>
      </w:r>
      <w:r w:rsidR="00072ED7">
        <w:t xml:space="preserve">while </w:t>
      </w:r>
      <w:r w:rsidR="00DC110F">
        <w:t>the</w:t>
      </w:r>
      <w:r w:rsidR="00C65D6D">
        <w:t xml:space="preserve"> </w:t>
      </w:r>
      <w:r w:rsidR="00C65D6D">
        <w:rPr>
          <w:i/>
          <w:iCs/>
        </w:rPr>
        <w:t>atl</w:t>
      </w:r>
      <w:r w:rsidR="00C65D6D">
        <w:t xml:space="preserve"> mutant </w:t>
      </w:r>
      <w:r w:rsidR="00DC110F">
        <w:t xml:space="preserve">shows a </w:t>
      </w:r>
      <w:r w:rsidR="00E8471D">
        <w:t>significant increase</w:t>
      </w:r>
      <w:r w:rsidR="00557CF6">
        <w:t xml:space="preserve"> in</w:t>
      </w:r>
      <w:r w:rsidR="00E8471D">
        <w:t xml:space="preserve"> survival when treated with methicillin</w:t>
      </w:r>
      <w:r w:rsidR="004F55A2">
        <w:t xml:space="preserve"> (</w:t>
      </w:r>
      <w:r w:rsidR="004F55A2">
        <w:fldChar w:fldCharType="begin"/>
      </w:r>
      <w:r w:rsidR="004F55A2">
        <w:instrText xml:space="preserve"> REF _Ref71115042 \h </w:instrText>
      </w:r>
      <w:r w:rsidR="004F55A2">
        <w:fldChar w:fldCharType="separate"/>
      </w:r>
      <w:r w:rsidR="00183CC8">
        <w:t xml:space="preserve">Figure </w:t>
      </w:r>
      <w:r w:rsidR="00183CC8">
        <w:rPr>
          <w:noProof/>
        </w:rPr>
        <w:t>5</w:t>
      </w:r>
      <w:r w:rsidR="00183CC8">
        <w:t>.</w:t>
      </w:r>
      <w:r w:rsidR="00183CC8">
        <w:rPr>
          <w:noProof/>
        </w:rPr>
        <w:t>45</w:t>
      </w:r>
      <w:r w:rsidR="004F55A2">
        <w:fldChar w:fldCharType="end"/>
      </w:r>
      <w:r w:rsidR="004F55A2">
        <w:t>)</w:t>
      </w:r>
      <w:r w:rsidR="00072ED7">
        <w:t>, it still</w:t>
      </w:r>
      <w:r w:rsidR="00DC110F">
        <w:t xml:space="preserve"> </w:t>
      </w:r>
      <w:r w:rsidR="00072ED7">
        <w:t>presents</w:t>
      </w:r>
      <w:r w:rsidR="00DC110F">
        <w:t xml:space="preserve"> clear</w:t>
      </w:r>
      <w:r w:rsidR="00C65D6D">
        <w:t xml:space="preserve"> signs of plasmolysis (</w:t>
      </w:r>
      <w:r w:rsidR="00C65D6D">
        <w:fldChar w:fldCharType="begin"/>
      </w:r>
      <w:r w:rsidR="00C65D6D">
        <w:instrText xml:space="preserve"> REF _Ref71216745 \h  \* MERGEFORMAT </w:instrText>
      </w:r>
      <w:r w:rsidR="00C65D6D">
        <w:fldChar w:fldCharType="separate"/>
      </w:r>
      <w:r w:rsidR="00183CC8">
        <w:t xml:space="preserve">Figure </w:t>
      </w:r>
      <w:r w:rsidR="00183CC8">
        <w:rPr>
          <w:noProof/>
        </w:rPr>
        <w:t>5.48</w:t>
      </w:r>
      <w:r w:rsidR="00C65D6D">
        <w:fldChar w:fldCharType="end"/>
      </w:r>
      <w:r w:rsidR="00C65D6D">
        <w:t xml:space="preserve">). </w:t>
      </w:r>
      <w:r w:rsidR="00A35A5A">
        <w:t>Parallel</w:t>
      </w:r>
      <w:r w:rsidR="004212A6">
        <w:t xml:space="preserve"> AFM analysis carried by Dr. Pasquina Lemonche showed that </w:t>
      </w:r>
      <w:r w:rsidR="004212A6" w:rsidRPr="004212A6">
        <w:rPr>
          <w:i/>
          <w:iCs/>
        </w:rPr>
        <w:t>atl</w:t>
      </w:r>
      <w:r w:rsidR="004212A6">
        <w:t xml:space="preserve"> </w:t>
      </w:r>
      <w:r w:rsidR="00BF2DEB">
        <w:t xml:space="preserve">treated with methicillin </w:t>
      </w:r>
      <w:r w:rsidR="004212A6">
        <w:t>has</w:t>
      </w:r>
      <w:r w:rsidR="00DC110F">
        <w:t xml:space="preserve"> </w:t>
      </w:r>
      <w:r w:rsidR="00930F5F">
        <w:t>smaller, although just a</w:t>
      </w:r>
      <w:r w:rsidR="008501EE">
        <w:t>s</w:t>
      </w:r>
      <w:r w:rsidR="00930F5F">
        <w:t xml:space="preserve"> frequent, </w:t>
      </w:r>
      <w:r w:rsidR="00DC110F">
        <w:t>CW</w:t>
      </w:r>
      <w:r w:rsidR="001D2E22">
        <w:t xml:space="preserve"> spanning</w:t>
      </w:r>
      <w:r w:rsidR="00DC110F">
        <w:t xml:space="preserve"> holes</w:t>
      </w:r>
      <w:r w:rsidR="00E00605">
        <w:t xml:space="preserve"> </w:t>
      </w:r>
      <w:r w:rsidR="00930F5F">
        <w:t xml:space="preserve">in comparison </w:t>
      </w:r>
      <w:r w:rsidR="00E00605">
        <w:t>to the wild type</w:t>
      </w:r>
      <w:r w:rsidR="009E7400">
        <w:t xml:space="preserve"> </w:t>
      </w:r>
      <w:r w:rsidR="009E7400">
        <w:fldChar w:fldCharType="begin" w:fldLock="1"/>
      </w:r>
      <w:r w:rsidR="004F7E11">
        <w:instrText>ADDIN CSL_CITATION {"citationItems":[{"id":"ITEM-1","itemData":{"DOI":"10.1073/pnas.2106022118","ISSN":"1091-6490","PMID":"34716264","abstract":"Bacterial cell wall peptidoglycan is essential, maintaining both cellular integrity and morphology, in the face of internal turgor pressure. Peptidoglycan synthesis is important, as it is targeted by cell wall antibiotics, including methicillin and vancomycin. Here, we have used the major human pathogen Staphylococcus aureus to elucidate both the cell wall dynamic processes essential for growth (life) and the bactericidal effects of cell wall antibiotics (death) based on the principle of coordinated peptidoglycan synthesis and hydrolysis. The death of S. aureus due to depletion of the essential, two-component and positive regulatory system for peptidoglycan hydrolase activity (WalKR) is prevented by addition of otherwise bactericidal cell wall antibiotics, resulting in stasis. In contrast, cell wall antibiotics kill via the activity of peptidoglycan hydrolases in the absence of concomitant synthesis. Both methicillin and vancomycin treatment lead to the appearance of perforating holes throughout the cell wall due to peptidoglycan hydrolases. Methicillin alone also results in plasmolysis and misshapen septa with the involvement of the major peptidoglycan hydrolase Atl, a process that is inhibited by vancomycin. The bactericidal effect of vancomycin involves the peptidoglycan hydrolase SagB. In the presence of cell wall antibiotics, the inhibition of peptidoglycan hydrolase activity using the inhibitor complestatin results in reduced killing, while, conversely, the deregulation of hydrolase activity via loss of wall teichoic acids increases the death rate. For S. aureus, the independent regulation of cell wall synthesis and hydrolysis can lead to cell growth, death, or stasis, with implications for the development of new control regimes for this important pathogen.","author":[{"dropping-particle":"","family":"Salamaga","given":"Bartłomiej","non-dropping-particle":"","parse-names":false,"suffix":""},{"dropping-particle":"","family":"Kong","given":"Lingyuan","non-dropping-particle":"","parse-names":false,"suffix":""},{"dropping-particle":"","family":"Pasquina-Lemonche","given":"Laia","non-dropping-particle":"","parse-names":false,"suffix":""},{"dropping-particle":"","family":"Lafage","given":"Lucia","non-dropping-particle":"","parse-names":false,"suffix":""},{"dropping-particle":"","family":"Und Zur Muhlen","given":"Milena","non-dropping-particle":"von","parse-names":false,"suffix":""},{"dropping-particle":"","family":"Gibson","given":"Josie F","non-dropping-particle":"","parse-names":false,"suffix":""},{"dropping-particle":"","family":"Grybchuk","given":"Danyil","non-dropping-particle":"","parse-names":false,"suffix":""},{"dropping-particle":"","family":"Tooke","given":"Amy K","non-dropping-particle":"","parse-names":false,"suffix":""},{"dropping-particle":"","family":"Panchal","given":"Viralkumar","non-dropping-particle":"","parse-names":false,"suffix":""},{"dropping-particle":"","family":"Culp","given":"Elizabeth J","non-dropping-particle":"","parse-names":false,"suffix":""},{"dropping-particle":"","family":"Tatham","given":"Elizabeth","non-dropping-particle":"","parse-names":false,"suffix":""},{"dropping-particle":"","family":"O'Kane","given":"Mary E","non-dropping-particle":"","parse-names":false,"suffix":""},{"dropping-particle":"","family":"Catley","given":"Thomas E","non-dropping-particle":"","parse-names":false,"suffix":""},{"dropping-particle":"","family":"Renshaw","given":"Stephen A","non-dropping-particle":"","parse-names":false,"suffix":""},{"dropping-particle":"","family":"Wright","given":"Gerard D","non-dropping-particle":"","parse-names":false,"suffix":""},{"dropping-particle":"","family":"Plevka","given":"Pavel","non-dropping-particle":"","parse-names":false,"suffix":""},{"dropping-particle":"","family":"Bullough","given":"Per A","non-dropping-particle":"","parse-names":false,"suffix":""},{"dropping-particle":"","family":"Han","given":"Aidong","non-dropping-particle":"","parse-names":false,"suffix":""},{"dropping-particle":"","family":"Hobbs","given":"Jamie K","non-dropping-particle":"","parse-names":false,"suffix":""},{"dropping-particle":"","family":"Foster","given":"Simon J","non-dropping-particle":"","parse-names":false,"suffix":""}],"container-title":"Proceedings of the National Academy of Sciences of the United States of America","id":"ITEM-1","issue":"44","issued":{"date-parts":[["2021","11","2"]]},"page":"1-8","publisher":"National Academy of Sciences","title":"Demonstration of the role of cell wall homeostasis in Staphylococcus aureus growth and the action of bactericidal antibiotics.","type":"article-journal","volume":"118"},"uris":["http://www.mendeley.com/documents/?uuid=9f3bf1ae-65de-4943-a7a8-62e0e140e346"]}],"mendeley":{"formattedCitation":"&lt;sup&gt;[247]&lt;/sup&gt;","plainTextFormattedCitation":"[247]","previouslyFormattedCitation":"&lt;sup&gt;[247]&lt;/sup&gt;"},"properties":{"noteIndex":0},"schema":"https://github.com/citation-style-language/schema/raw/master/csl-citation.json"}</w:instrText>
      </w:r>
      <w:r w:rsidR="009E7400">
        <w:fldChar w:fldCharType="separate"/>
      </w:r>
      <w:r w:rsidR="009D34AE" w:rsidRPr="009D34AE">
        <w:rPr>
          <w:noProof/>
          <w:vertAlign w:val="superscript"/>
        </w:rPr>
        <w:t>[247]</w:t>
      </w:r>
      <w:r w:rsidR="009E7400">
        <w:fldChar w:fldCharType="end"/>
      </w:r>
      <w:r w:rsidR="004212A6">
        <w:t xml:space="preserve">. </w:t>
      </w:r>
      <w:r w:rsidR="00E8471D">
        <w:t>Together</w:t>
      </w:r>
      <w:r w:rsidR="008501EE">
        <w:t>,</w:t>
      </w:r>
      <w:r w:rsidR="00E8471D">
        <w:t xml:space="preserve"> these results indicate that Atl is </w:t>
      </w:r>
      <w:r w:rsidR="00DA23B3">
        <w:t>greatly</w:t>
      </w:r>
      <w:r w:rsidR="00E8471D">
        <w:t xml:space="preserve"> involved in the specific mode of killing of </w:t>
      </w:r>
      <w:r w:rsidR="00E8471D">
        <w:rPr>
          <w:lang w:val="el-GR"/>
        </w:rPr>
        <w:t>β</w:t>
      </w:r>
      <w:r w:rsidR="00E8471D">
        <w:t>-lactam antibiotics</w:t>
      </w:r>
      <w:r w:rsidR="00331F10">
        <w:t xml:space="preserve"> associated with lysis and division</w:t>
      </w:r>
      <w:r w:rsidR="00E8471D">
        <w:t xml:space="preserve">, </w:t>
      </w:r>
      <w:r w:rsidR="00331F10">
        <w:t>although it is</w:t>
      </w:r>
      <w:r w:rsidR="00557CF6">
        <w:t xml:space="preserve"> not solely liable</w:t>
      </w:r>
      <w:r w:rsidR="00DA23B3">
        <w:t xml:space="preserve"> for bacterial death</w:t>
      </w:r>
      <w:r w:rsidR="00557CF6">
        <w:t>. Therefore,</w:t>
      </w:r>
      <w:r w:rsidR="00C65D6D">
        <w:t xml:space="preserve"> </w:t>
      </w:r>
      <w:r w:rsidR="00C65D6D">
        <w:lastRenderedPageBreak/>
        <w:t>some other PGH or group</w:t>
      </w:r>
      <w:r w:rsidR="00AC1D65">
        <w:t>s</w:t>
      </w:r>
      <w:r w:rsidR="00C65D6D">
        <w:t xml:space="preserve"> of PGH </w:t>
      </w:r>
      <w:r w:rsidR="00E55606">
        <w:t>must</w:t>
      </w:r>
      <w:r w:rsidR="00C65D6D">
        <w:t xml:space="preserve"> be involved in causing the perforating holes that extent across the cell wall and lead to the cell’s inability to maintain its high internal turgor pressure.</w:t>
      </w:r>
    </w:p>
    <w:p w14:paraId="377EB560" w14:textId="2CDDF029" w:rsidR="006949EC" w:rsidRDefault="00F21A52" w:rsidP="00F533D9">
      <w:r>
        <w:t>Our</w:t>
      </w:r>
      <w:r w:rsidR="004B2CCB">
        <w:t xml:space="preserve"> in depth study on bactericidal antibiotics and their role in bacterial death</w:t>
      </w:r>
      <w:r w:rsidR="00DF0225">
        <w:t>,</w:t>
      </w:r>
      <w:r w:rsidR="004B2CCB">
        <w:t xml:space="preserve"> has confirmed the importance of </w:t>
      </w:r>
      <w:r w:rsidR="00DF0225">
        <w:t>the</w:t>
      </w:r>
      <w:r w:rsidR="004B2CCB">
        <w:t xml:space="preserve"> highly regulated balance between</w:t>
      </w:r>
      <w:r w:rsidR="000047E3">
        <w:t xml:space="preserve"> synthesis and hydrolysis</w:t>
      </w:r>
      <w:r w:rsidR="004B2CCB">
        <w:t xml:space="preserve">, </w:t>
      </w:r>
      <w:r w:rsidR="00DF0225">
        <w:t>as</w:t>
      </w:r>
      <w:r w:rsidR="004B2CCB">
        <w:t xml:space="preserve"> lo</w:t>
      </w:r>
      <w:r w:rsidR="000047E3">
        <w:t>ss</w:t>
      </w:r>
      <w:r w:rsidR="004B2CCB">
        <w:t xml:space="preserve"> of either of them leads to death (</w:t>
      </w:r>
      <w:r w:rsidR="004B2CCB">
        <w:fldChar w:fldCharType="begin"/>
      </w:r>
      <w:r w:rsidR="004B2CCB">
        <w:instrText xml:space="preserve"> REF _Ref71110058 \h </w:instrText>
      </w:r>
      <w:r w:rsidR="004B2CCB">
        <w:fldChar w:fldCharType="separate"/>
      </w:r>
      <w:r w:rsidR="00183CC8">
        <w:t xml:space="preserve">Figure </w:t>
      </w:r>
      <w:r w:rsidR="00183CC8">
        <w:rPr>
          <w:noProof/>
        </w:rPr>
        <w:t>5</w:t>
      </w:r>
      <w:r w:rsidR="00183CC8">
        <w:t>.</w:t>
      </w:r>
      <w:r w:rsidR="00183CC8">
        <w:rPr>
          <w:noProof/>
        </w:rPr>
        <w:t>1</w:t>
      </w:r>
      <w:r w:rsidR="004B2CCB">
        <w:fldChar w:fldCharType="end"/>
      </w:r>
      <w:r w:rsidR="004B2CCB">
        <w:t xml:space="preserve">). To prove the paradoxical prediction that loss of both synthesis and hydrolysis leads to stasis, we focused on the </w:t>
      </w:r>
      <w:r w:rsidR="00381BB7">
        <w:t xml:space="preserve">main </w:t>
      </w:r>
      <w:r w:rsidR="004B2CCB">
        <w:t xml:space="preserve">PGH </w:t>
      </w:r>
      <w:r w:rsidR="00381BB7">
        <w:t>regula</w:t>
      </w:r>
      <w:r w:rsidR="00850FCF">
        <w:t>tor</w:t>
      </w:r>
      <w:r w:rsidR="00381BB7">
        <w:t xml:space="preserve"> WalKR</w:t>
      </w:r>
      <w:r w:rsidR="004B2CCB">
        <w:t>. This tw</w:t>
      </w:r>
      <w:r w:rsidR="00AC1D65">
        <w:t>o</w:t>
      </w:r>
      <w:r w:rsidR="004B2CCB">
        <w:t>-component system</w:t>
      </w:r>
      <w:r w:rsidR="00850FCF">
        <w:t xml:space="preserve"> </w:t>
      </w:r>
      <w:r w:rsidR="00E759CD">
        <w:t>controls the expression of</w:t>
      </w:r>
      <w:r w:rsidR="00850FCF">
        <w:t xml:space="preserve"> multiple hydrolases which are essential for cell </w:t>
      </w:r>
      <w:r w:rsidR="00D325EB">
        <w:t>wall metabolism and cell division</w:t>
      </w:r>
      <w:r w:rsidR="00850FCF">
        <w:fldChar w:fldCharType="begin" w:fldLock="1"/>
      </w:r>
      <w:r w:rsidR="00260ACA">
        <w:instrText>ADDIN CSL_CITATION {"citationItems":[{"id":"ITEM-1","itemData":{"DOI":"10.1371/journal.pone.0017054","ISSN":"19326203","PMID":"21386961","abstract":"The WalKR two-component system is essential for viability of Staphylococcus aureus, a major pathogen. We have shown that WalKR acts as the master controller of peptidoglycan metabolism, yet none of the identified regulon genes explain its requirement for cell viability. Transmission electron micrographs revealed cell wall thickening and aberrant division septa in the absence of WalKR, suggesting its requirement may be linked to its role in coordinating cell wall metabolism and cell division. We therefore tested whether uncoupling autolysin gene expression from WalKR-dependent regulation could compensate for its essential nature. Uncoupled expression of genes encoding lytic transglycosylases or amidases did not restore growth to a WalKR-depleted strain. We identified only two WalKR-regulon genes whose expression restored cell viability in the absence of WalKR: lytM and ssaA. Neither of these two genes are essential under our conditions and a ΔlytM ΔssaA mutant does not present any growth defect. LytM is a glycyl-glycyl endopeptidase, hydrolyzing the pentaglycine interpeptide crossbridge, and SsaA belongs to the CHAP amidase family, members of which such as LysK and LytA have been shown to have D-alanyl-glycyl endopeptidase activity, cleaving between the crossbridge and the stem peptide. Taken together, our results strongly suggest that peptidoglycan crosslinking relaxation through crossbridge hydrolysis plays a crucial role in the essential requirement of the WalKR system for cell viability. © 2011 Delaune et al.","author":[{"dropping-particle":"","family":"Delaune","given":"Aurelia","non-dropping-particle":"","parse-names":false,"suffix":""},{"dropping-particle":"","family":"Poupel","given":"Olivier","non-dropping-particle":"","parse-names":false,"suffix":""},{"dropping-particle":"","family":"Mallet","given":"Adeline","non-dropping-particle":"","parse-names":false,"suffix":""},{"dropping-particle":"","family":"Coic","given":"Yves Marie","non-dropping-particle":"","parse-names":false,"suffix":""},{"dropping-particle":"","family":"Msadek","given":"Tarek","non-dropping-particle":"","parse-names":false,"suffix":""},{"dropping-particle":"","family":"Dubrac","given":"Sarah","non-dropping-particle":"","parse-names":false,"suffix":""}],"container-title":"PLoS ONE","id":"ITEM-1","issue":"2","issued":{"date-parts":[["2011"]]},"title":"Peptidoglycan crosslinking relaxation plays an important role in staphylococcus aureus walkr-dependent cell viability","type":"article-journal","volume":"6"},"uris":["http://www.mendeley.com/documents/?uuid=211eea7d-ecb4-46df-88e6-d8c2a638da3f"]}],"mendeley":{"formattedCitation":"&lt;sup&gt;[78]&lt;/sup&gt;","plainTextFormattedCitation":"[78]","previouslyFormattedCitation":"&lt;sup&gt;[78]&lt;/sup&gt;"},"properties":{"noteIndex":0},"schema":"https://github.com/citation-style-language/schema/raw/master/csl-citation.json"}</w:instrText>
      </w:r>
      <w:r w:rsidR="00850FCF">
        <w:fldChar w:fldCharType="separate"/>
      </w:r>
      <w:r w:rsidR="00C825F9" w:rsidRPr="00C825F9">
        <w:rPr>
          <w:noProof/>
          <w:vertAlign w:val="superscript"/>
        </w:rPr>
        <w:t>[78]</w:t>
      </w:r>
      <w:r w:rsidR="00850FCF">
        <w:fldChar w:fldCharType="end"/>
      </w:r>
      <w:r w:rsidR="00850FCF">
        <w:t>.</w:t>
      </w:r>
      <w:r w:rsidR="00381BB7">
        <w:t xml:space="preserve"> </w:t>
      </w:r>
      <w:r w:rsidR="003B5B24">
        <w:t xml:space="preserve">The increased survival rate of the </w:t>
      </w:r>
      <w:r w:rsidR="003B5B24">
        <w:rPr>
          <w:i/>
          <w:iCs/>
        </w:rPr>
        <w:t>walKR</w:t>
      </w:r>
      <w:r w:rsidR="003C29C0">
        <w:t xml:space="preserve">-depleted </w:t>
      </w:r>
      <w:r w:rsidR="003B5B24">
        <w:t>mutant with either vancomycin or methicillin</w:t>
      </w:r>
      <w:r w:rsidR="00211A0A">
        <w:t xml:space="preserve"> confirms the predictive model for bacterial life and death</w:t>
      </w:r>
      <w:r w:rsidR="00010260">
        <w:t>,</w:t>
      </w:r>
      <w:r w:rsidR="00211A0A">
        <w:t xml:space="preserve"> </w:t>
      </w:r>
      <w:r w:rsidR="009963DA">
        <w:t>whereby a</w:t>
      </w:r>
      <w:r w:rsidR="00211A0A">
        <w:t xml:space="preserve"> reduction of PGH activity alone can lead to cell death </w:t>
      </w:r>
      <w:r w:rsidR="00346605">
        <w:t>(</w:t>
      </w:r>
      <w:r w:rsidR="00346605">
        <w:fldChar w:fldCharType="begin"/>
      </w:r>
      <w:r w:rsidR="00346605">
        <w:instrText xml:space="preserve"> REF _Ref71028199 \h </w:instrText>
      </w:r>
      <w:r w:rsidR="00346605">
        <w:fldChar w:fldCharType="separate"/>
      </w:r>
      <w:r w:rsidR="00183CC8">
        <w:t xml:space="preserve">Figure </w:t>
      </w:r>
      <w:r w:rsidR="00183CC8">
        <w:rPr>
          <w:noProof/>
        </w:rPr>
        <w:t>5</w:t>
      </w:r>
      <w:r w:rsidR="00183CC8">
        <w:t>.</w:t>
      </w:r>
      <w:r w:rsidR="00183CC8">
        <w:rPr>
          <w:noProof/>
        </w:rPr>
        <w:t>49</w:t>
      </w:r>
      <w:r w:rsidR="00346605">
        <w:fldChar w:fldCharType="end"/>
      </w:r>
      <w:r w:rsidR="00346605">
        <w:t xml:space="preserve">) </w:t>
      </w:r>
      <w:r w:rsidR="00211A0A">
        <w:t xml:space="preserve">while inhibiting PG synthesis </w:t>
      </w:r>
      <w:r w:rsidR="003C29C0">
        <w:t>as well</w:t>
      </w:r>
      <w:r w:rsidR="00211A0A">
        <w:t xml:space="preserve"> lead</w:t>
      </w:r>
      <w:r w:rsidR="003C29C0">
        <w:t>s</w:t>
      </w:r>
      <w:r w:rsidR="00211A0A">
        <w:t xml:space="preserve"> to stasis </w:t>
      </w:r>
      <w:r w:rsidR="00346605">
        <w:t>(</w:t>
      </w:r>
      <w:r w:rsidR="00346605">
        <w:fldChar w:fldCharType="begin"/>
      </w:r>
      <w:r w:rsidR="00346605">
        <w:instrText xml:space="preserve"> REF _Ref78755520 \h </w:instrText>
      </w:r>
      <w:r w:rsidR="00346605">
        <w:fldChar w:fldCharType="separate"/>
      </w:r>
      <w:r w:rsidR="00183CC8">
        <w:t xml:space="preserve">Figure </w:t>
      </w:r>
      <w:r w:rsidR="00183CC8">
        <w:rPr>
          <w:noProof/>
        </w:rPr>
        <w:t>5</w:t>
      </w:r>
      <w:r w:rsidR="00183CC8">
        <w:t>.</w:t>
      </w:r>
      <w:r w:rsidR="00183CC8">
        <w:rPr>
          <w:noProof/>
        </w:rPr>
        <w:t>50</w:t>
      </w:r>
      <w:r w:rsidR="00346605">
        <w:fldChar w:fldCharType="end"/>
      </w:r>
      <w:r w:rsidR="00346605">
        <w:t xml:space="preserve">, </w:t>
      </w:r>
      <w:r w:rsidR="00211A0A">
        <w:fldChar w:fldCharType="begin"/>
      </w:r>
      <w:r w:rsidR="00211A0A">
        <w:instrText xml:space="preserve"> REF _Ref71110058 \h </w:instrText>
      </w:r>
      <w:r w:rsidR="00211A0A">
        <w:fldChar w:fldCharType="separate"/>
      </w:r>
      <w:r w:rsidR="00183CC8">
        <w:t xml:space="preserve">Figure </w:t>
      </w:r>
      <w:r w:rsidR="00183CC8">
        <w:rPr>
          <w:noProof/>
        </w:rPr>
        <w:t>5</w:t>
      </w:r>
      <w:r w:rsidR="00183CC8">
        <w:t>.</w:t>
      </w:r>
      <w:r w:rsidR="00183CC8">
        <w:rPr>
          <w:noProof/>
        </w:rPr>
        <w:t>1</w:t>
      </w:r>
      <w:r w:rsidR="00211A0A">
        <w:fldChar w:fldCharType="end"/>
      </w:r>
      <w:r w:rsidR="00211A0A">
        <w:t>)</w:t>
      </w:r>
      <w:r w:rsidR="00A5782A">
        <w:t xml:space="preserve"> </w:t>
      </w:r>
      <w:r w:rsidR="00A5782A">
        <w:fldChar w:fldCharType="begin" w:fldLock="1"/>
      </w:r>
      <w:r w:rsidR="004F7E11">
        <w:instrText>ADDIN CSL_CITATION {"citationItems":[{"id":"ITEM-1","itemData":{"DOI":"10.1073/pnas.2106022118","ISSN":"1091-6490","PMID":"34716264","abstract":"Bacterial cell wall peptidoglycan is essential, maintaining both cellular integrity and morphology, in the face of internal turgor pressure. Peptidoglycan synthesis is important, as it is targeted by cell wall antibiotics, including methicillin and vancomycin. Here, we have used the major human pathogen Staphylococcus aureus to elucidate both the cell wall dynamic processes essential for growth (life) and the bactericidal effects of cell wall antibiotics (death) based on the principle of coordinated peptidoglycan synthesis and hydrolysis. The death of S. aureus due to depletion of the essential, two-component and positive regulatory system for peptidoglycan hydrolase activity (WalKR) is prevented by addition of otherwise bactericidal cell wall antibiotics, resulting in stasis. In contrast, cell wall antibiotics kill via the activity of peptidoglycan hydrolases in the absence of concomitant synthesis. Both methicillin and vancomycin treatment lead to the appearance of perforating holes throughout the cell wall due to peptidoglycan hydrolases. Methicillin alone also results in plasmolysis and misshapen septa with the involvement of the major peptidoglycan hydrolase Atl, a process that is inhibited by vancomycin. The bactericidal effect of vancomycin involves the peptidoglycan hydrolase SagB. In the presence of cell wall antibiotics, the inhibition of peptidoglycan hydrolase activity using the inhibitor complestatin results in reduced killing, while, conversely, the deregulation of hydrolase activity via loss of wall teichoic acids increases the death rate. For S. aureus, the independent regulation of cell wall synthesis and hydrolysis can lead to cell growth, death, or stasis, with implications for the development of new control regimes for this important pathogen.","author":[{"dropping-particle":"","family":"Salamaga","given":"Bartłomiej","non-dropping-particle":"","parse-names":false,"suffix":""},{"dropping-particle":"","family":"Kong","given":"Lingyuan","non-dropping-particle":"","parse-names":false,"suffix":""},{"dropping-particle":"","family":"Pasquina-Lemonche","given":"Laia","non-dropping-particle":"","parse-names":false,"suffix":""},{"dropping-particle":"","family":"Lafage","given":"Lucia","non-dropping-particle":"","parse-names":false,"suffix":""},{"dropping-particle":"","family":"Und Zur Muhlen","given":"Milena","non-dropping-particle":"von","parse-names":false,"suffix":""},{"dropping-particle":"","family":"Gibson","given":"Josie F","non-dropping-particle":"","parse-names":false,"suffix":""},{"dropping-particle":"","family":"Grybchuk","given":"Danyil","non-dropping-particle":"","parse-names":false,"suffix":""},{"dropping-particle":"","family":"Tooke","given":"Amy K","non-dropping-particle":"","parse-names":false,"suffix":""},{"dropping-particle":"","family":"Panchal","given":"Viralkumar","non-dropping-particle":"","parse-names":false,"suffix":""},{"dropping-particle":"","family":"Culp","given":"Elizabeth J","non-dropping-particle":"","parse-names":false,"suffix":""},{"dropping-particle":"","family":"Tatham","given":"Elizabeth","non-dropping-particle":"","parse-names":false,"suffix":""},{"dropping-particle":"","family":"O'Kane","given":"Mary E","non-dropping-particle":"","parse-names":false,"suffix":""},{"dropping-particle":"","family":"Catley","given":"Thomas E","non-dropping-particle":"","parse-names":false,"suffix":""},{"dropping-particle":"","family":"Renshaw","given":"Stephen A","non-dropping-particle":"","parse-names":false,"suffix":""},{"dropping-particle":"","family":"Wright","given":"Gerard D","non-dropping-particle":"","parse-names":false,"suffix":""},{"dropping-particle":"","family":"Plevka","given":"Pavel","non-dropping-particle":"","parse-names":false,"suffix":""},{"dropping-particle":"","family":"Bullough","given":"Per A","non-dropping-particle":"","parse-names":false,"suffix":""},{"dropping-particle":"","family":"Han","given":"Aidong","non-dropping-particle":"","parse-names":false,"suffix":""},{"dropping-particle":"","family":"Hobbs","given":"Jamie K","non-dropping-particle":"","parse-names":false,"suffix":""},{"dropping-particle":"","family":"Foster","given":"Simon J","non-dropping-particle":"","parse-names":false,"suffix":""}],"container-title":"Proceedings of the National Academy of Sciences of the United States of America","id":"ITEM-1","issue":"44","issued":{"date-parts":[["2021","11","2"]]},"page":"1-8","publisher":"National Academy of Sciences","title":"Demonstration of the role of cell wall homeostasis in Staphylococcus aureus growth and the action of bactericidal antibiotics.","type":"article-journal","volume":"118"},"uris":["http://www.mendeley.com/documents/?uuid=9f3bf1ae-65de-4943-a7a8-62e0e140e346"]}],"mendeley":{"formattedCitation":"&lt;sup&gt;[247]&lt;/sup&gt;","plainTextFormattedCitation":"[247]","previouslyFormattedCitation":"&lt;sup&gt;[247]&lt;/sup&gt;"},"properties":{"noteIndex":0},"schema":"https://github.com/citation-style-language/schema/raw/master/csl-citation.json"}</w:instrText>
      </w:r>
      <w:r w:rsidR="00A5782A">
        <w:fldChar w:fldCharType="separate"/>
      </w:r>
      <w:r w:rsidR="009D34AE" w:rsidRPr="009D34AE">
        <w:rPr>
          <w:noProof/>
          <w:vertAlign w:val="superscript"/>
        </w:rPr>
        <w:t>[247]</w:t>
      </w:r>
      <w:r w:rsidR="00A5782A">
        <w:fldChar w:fldCharType="end"/>
      </w:r>
      <w:r w:rsidR="00000CFB">
        <w:t xml:space="preserve">. </w:t>
      </w:r>
      <w:r w:rsidR="005D24E2">
        <w:t xml:space="preserve">Additionally, TEM micrographs showed that these bactericidal antibiotics rescue </w:t>
      </w:r>
      <w:r w:rsidR="005D24E2">
        <w:rPr>
          <w:i/>
          <w:iCs/>
        </w:rPr>
        <w:t>walKR</w:t>
      </w:r>
      <w:r w:rsidR="005D24E2" w:rsidRPr="001F40A7">
        <w:t>’s</w:t>
      </w:r>
      <w:r w:rsidR="005D24E2">
        <w:t xml:space="preserve"> aberrant phenotype, stressing how a halt in PG synthesis together with a depletion in hydrolase activ</w:t>
      </w:r>
      <w:r w:rsidR="00D9658E">
        <w:t>it</w:t>
      </w:r>
      <w:r w:rsidR="005D24E2">
        <w:t>y helps escape a lethal fate (</w:t>
      </w:r>
      <w:r w:rsidR="005D24E2">
        <w:fldChar w:fldCharType="begin"/>
      </w:r>
      <w:r w:rsidR="005D24E2">
        <w:instrText xml:space="preserve"> REF _Ref78755520 \h </w:instrText>
      </w:r>
      <w:r w:rsidR="005D24E2">
        <w:fldChar w:fldCharType="separate"/>
      </w:r>
      <w:r w:rsidR="00183CC8">
        <w:t xml:space="preserve">Figure </w:t>
      </w:r>
      <w:r w:rsidR="00183CC8">
        <w:rPr>
          <w:noProof/>
        </w:rPr>
        <w:t>5</w:t>
      </w:r>
      <w:r w:rsidR="00183CC8">
        <w:t>.</w:t>
      </w:r>
      <w:r w:rsidR="00183CC8">
        <w:rPr>
          <w:noProof/>
        </w:rPr>
        <w:t>50</w:t>
      </w:r>
      <w:r w:rsidR="005D24E2">
        <w:fldChar w:fldCharType="end"/>
      </w:r>
      <w:r w:rsidR="005D24E2">
        <w:t xml:space="preserve">, </w:t>
      </w:r>
      <w:r w:rsidR="005D24E2">
        <w:fldChar w:fldCharType="begin"/>
      </w:r>
      <w:r w:rsidR="005D24E2">
        <w:instrText xml:space="preserve"> REF _Ref71018905 \h </w:instrText>
      </w:r>
      <w:r w:rsidR="005D24E2">
        <w:fldChar w:fldCharType="separate"/>
      </w:r>
      <w:r w:rsidR="00183CC8">
        <w:t xml:space="preserve">Figure </w:t>
      </w:r>
      <w:r w:rsidR="00183CC8">
        <w:rPr>
          <w:noProof/>
        </w:rPr>
        <w:t>5</w:t>
      </w:r>
      <w:r w:rsidR="00183CC8">
        <w:t>.</w:t>
      </w:r>
      <w:r w:rsidR="00183CC8">
        <w:rPr>
          <w:noProof/>
        </w:rPr>
        <w:t>52</w:t>
      </w:r>
      <w:r w:rsidR="005D24E2">
        <w:fldChar w:fldCharType="end"/>
      </w:r>
      <w:r w:rsidR="005D24E2">
        <w:t>).</w:t>
      </w:r>
    </w:p>
    <w:p w14:paraId="42FB3AC8" w14:textId="41272644" w:rsidR="002D6FB9" w:rsidRDefault="006949EC" w:rsidP="00F533D9">
      <w:r>
        <w:t xml:space="preserve">Overall, </w:t>
      </w:r>
      <w:r w:rsidR="00786BE3">
        <w:t>this</w:t>
      </w:r>
      <w:r>
        <w:t xml:space="preserve"> study has played a crucial part in a multidisciplinary approach to not only elucidate the basic mechanism of bacterial growth and division, but also how cell wall antibiotics exert their bactericidal effect.</w:t>
      </w:r>
    </w:p>
    <w:p w14:paraId="4AE68E41" w14:textId="77777777" w:rsidR="006415CF" w:rsidRDefault="006415CF" w:rsidP="00F533D9"/>
    <w:p w14:paraId="2580AE7B" w14:textId="1C91234B" w:rsidR="00403806" w:rsidRDefault="00403806" w:rsidP="00F533D9">
      <w:pPr>
        <w:rPr>
          <w:highlight w:val="yellow"/>
        </w:rPr>
        <w:sectPr w:rsidR="00403806" w:rsidSect="004D0E05">
          <w:pgSz w:w="11906" w:h="16838"/>
          <w:pgMar w:top="1191" w:right="1247" w:bottom="1191" w:left="1247" w:header="709" w:footer="709" w:gutter="0"/>
          <w:cols w:space="708"/>
          <w:titlePg/>
          <w:docGrid w:linePitch="360"/>
        </w:sectPr>
      </w:pPr>
    </w:p>
    <w:p w14:paraId="4FB4EE60" w14:textId="038B02CC" w:rsidR="00E40F77" w:rsidRPr="005B0F81" w:rsidRDefault="00E40F77" w:rsidP="00E40F77">
      <w:pPr>
        <w:pStyle w:val="Heading1"/>
      </w:pPr>
      <w:bookmarkStart w:id="858" w:name="_Toc64276396"/>
      <w:bookmarkStart w:id="859" w:name="_Toc64276700"/>
      <w:bookmarkStart w:id="860" w:name="_Toc64276912"/>
      <w:bookmarkStart w:id="861" w:name="_Toc90216915"/>
      <w:r w:rsidRPr="005B0F81">
        <w:lastRenderedPageBreak/>
        <w:t>Chapter 6</w:t>
      </w:r>
      <w:bookmarkEnd w:id="858"/>
      <w:bookmarkEnd w:id="859"/>
      <w:bookmarkEnd w:id="860"/>
      <w:bookmarkEnd w:id="861"/>
    </w:p>
    <w:p w14:paraId="14091C1B" w14:textId="2E47F306" w:rsidR="00E40F77" w:rsidRDefault="00E40F77" w:rsidP="00FA48D6">
      <w:pPr>
        <w:pStyle w:val="ChaptertitleThesis"/>
      </w:pPr>
      <w:bookmarkStart w:id="862" w:name="_Toc64276397"/>
      <w:bookmarkStart w:id="863" w:name="_Toc64276701"/>
      <w:bookmarkStart w:id="864" w:name="_Toc64276913"/>
      <w:bookmarkStart w:id="865" w:name="_Toc90216916"/>
      <w:r w:rsidRPr="005B0F81">
        <w:t>General Discussion</w:t>
      </w:r>
      <w:bookmarkEnd w:id="862"/>
      <w:bookmarkEnd w:id="863"/>
      <w:bookmarkEnd w:id="864"/>
      <w:bookmarkEnd w:id="865"/>
    </w:p>
    <w:p w14:paraId="0C4F6661" w14:textId="1D07AC03" w:rsidR="00FD14A4" w:rsidRDefault="00FD14A4" w:rsidP="00FD14A4">
      <w:r>
        <w:rPr>
          <w:i/>
          <w:iCs/>
        </w:rPr>
        <w:t xml:space="preserve">Staphylococcus aureus </w:t>
      </w:r>
      <w:r>
        <w:t xml:space="preserve">has become a major healthcare concern after the emergence of strains resistant to multiple antibiotics, such as MRSA </w:t>
      </w:r>
      <w:r>
        <w:fldChar w:fldCharType="begin" w:fldLock="1"/>
      </w:r>
      <w:r w:rsidR="00AB73F2">
        <w:instrText>ADDIN CSL_CITATION {"citationItems":[{"id":"ITEM-1","itemData":{"DOI":"10.1172/JCI200318535.In","ISBN":"0021-9738 (Print)","ISSN":"0021-9738","PMID":"12727914","abstract":"There is increasing concern about the impact on public health of methicillin-resistant Staphylococcus aureus (MRSA) associated with animal food products. MRSA remains a serious problem because of the high incidence and multidrug resistance of the strains, even for strains isolated from foods, food environments and food handlers. The objectives of this study are: (i) to evaluate the susceptibility of S. aureus strains isolated from food, food handlers and food-processing environments to 14 antibiotics currently used in veterinary and human therapy; (ii) to assess the presence of the mecA gene. A total of 1007 samples were collected from food, food handlers, and environments and were analyzed for the presence of S. aureus. S. aureus was present in 165 of the 1007 samples. A total of 157 isolates were methicillin-susceptible S. aureus (MSSA) and 8 isolates were MRSA. In particular, out of 8 MRSA strains detected, 4 strains harboured the mecA gene. All MRSA strains were resistant to at least one of the tested antibiotics and 6 strains demonstrated multi-resistance. Considering the high level of resistances in S. aureus and the isolation of MRSA strains, the surveillance of antimicrobial resistance and the spreading of this pathogen is of crucial importance in the food production chain. These data are useful in improving background data on antimicrobial resistance of S. aureus isolated from food, processing environments and food handlers, supporting the prudent use of antibiotics and the development of international control programs.","author":[{"dropping-particle":"","family":"Lowy","given":"Fd","non-dropping-particle":"","parse-names":false,"suffix":""}],"container-title":"Journal of Clinical Investigation","id":"ITEM-1","issue":"9","issued":{"date-parts":[["2003"]]},"page":"1265-1273","title":"Antimicrobial resistance: the example of Staphylococcus aureus","type":"article-journal","volume":"111"},"uris":["http://www.mendeley.com/documents/?uuid=51406f4a-88be-4be4-a08b-cd72606dd7b3"]},{"id":"ITEM-2","itemData":{"DOI":"10.1126/science.99.2579.452","ISBN":"154.59.124.32","ISSN":"00368075","abstract":"A highly potent penicillin inactivator has been extracted from 7 strains of Staph. aureus (coagulase positive), all of which were naturally penicillin resistant. No such inhibitor was present in extracts of 7 penicillin sensitive strains of Staph. aureus.","author":[{"dropping-particle":"","family":"Kirby","given":"William M.M.","non-dropping-particle":"","parse-names":false,"suffix":""}],"container-title":"Science","id":"ITEM-2","issue":"2579","issued":{"date-parts":[["1944"]]},"page":"452-453","title":"Extraction of a highly potent penicillin inactivator from penicillin resistant staphylococci","type":"article-journal","volume":"99"},"uris":["http://www.mendeley.com/documents/?uuid=f53a3d78-67a5-3d42-b47c-254975cde7b0"]}],"mendeley":{"formattedCitation":"&lt;sup&gt;[9,10]&lt;/sup&gt;","plainTextFormattedCitation":"[9,10]","previouslyFormattedCitation":"&lt;sup&gt;[9,10]&lt;/sup&gt;"},"properties":{"noteIndex":0},"schema":"https://github.com/citation-style-language/schema/raw/master/csl-citation.json"}</w:instrText>
      </w:r>
      <w:r>
        <w:fldChar w:fldCharType="separate"/>
      </w:r>
      <w:r w:rsidR="00DA0A83" w:rsidRPr="00DA0A83">
        <w:rPr>
          <w:noProof/>
          <w:vertAlign w:val="superscript"/>
        </w:rPr>
        <w:t>[9,10]</w:t>
      </w:r>
      <w:r>
        <w:fldChar w:fldCharType="end"/>
      </w:r>
      <w:r>
        <w:t xml:space="preserve">. Thus, scientists have been focusing on the development of new antimicrobial agents that could treat these human pathogens. </w:t>
      </w:r>
      <w:r w:rsidR="00722DF4">
        <w:t>Many</w:t>
      </w:r>
      <w:r>
        <w:t xml:space="preserve"> current treatments target the bacterial envelope, as this complex and dynamic component protects the protoplasm and mediates interactions with the environment </w:t>
      </w:r>
      <w:r>
        <w:fldChar w:fldCharType="begin" w:fldLock="1"/>
      </w:r>
      <w:r w:rsidR="009D34AE">
        <w:instrText>ADDIN CSL_CITATION {"citationItems":[{"id":"ITEM-1","itemData":{"DOI":"10.1007/82_2015_5021","ISBN":"978-3-319-56014-4","abstract":"Gram-positive organisms, including the pathogens Staphylococcus aureus, Streptococcus pneumoniae, and Enterococcus faecalis, have dynamic cell envelopes that mediate interactions with the environment and serve as the first line of defense against toxic molecules. Major components of the cell envelope include peptidoglycan (PG), which is a well-established target for antibiotics, teichoic acids (TAs), capsular polysaccharides (CPS), surface proteins, and phospholipids. These components can undergo modification to promote pathogenesis, decrease susceptibility to antibiotics and host immune defenses, and enhance survival in hostile environments. This chapter will cover the structure, biosynthesis, and important functions of major cell envelope components in gram-positive bacteria. Possible targets for new antimicrobials will be noted.","author":[{"dropping-particle":"","family":"Rajagopal","given":"Mithila","non-dropping-particle":"","parse-names":false,"suffix":""},{"dropping-particle":"","family":"Walker","given":"Suzanne","non-dropping-particle":"","parse-names":false,"suffix":""}],"container-title":"Protein and Sugar Export and Assembly in Gram-positive Bacteria","editor":[{"dropping-particle":"","family":"Bagnoli","given":"Fabio","non-dropping-particle":"","parse-names":false,"suffix":""},{"dropping-particle":"","family":"Rappuoli","given":"Rino","non-dropping-particle":"","parse-names":false,"suffix":""}],"id":"ITEM-1","issued":{"date-parts":[["2017"]]},"page":"1-44","publisher":"Springer International Publishing","publisher-place":"Cham","title":"Envelope Structures of Gram-Positive Bacteria","type":"chapter"},"uris":["http://www.mendeley.com/documents/?uuid=2aeb1e1a-b6ee-4904-82fa-0ee78587ff26"]},{"id":"ITEM-2","itemData":{"DOI":"10.1101/cshperspect.a000414","ISBN":"1943-0264 (Electronic)","ISSN":"19430264","PMID":"20452953","abstract":"The bacteria cell envelope is a complex multilayered structure that serves to protect these organisms from their unpredictable and often hostile environment. The cell envelopes of most bacteria fall into one of two major groups. Gram-negative bacteria are surrounded by a thin peptidoglycan cell wall, which itself is surrounded by an outer membrane containing lipopolysaccharide. Gram-positive bacteria lack an outer membrane but are surrounded by layers of peptidoglycan many times thicker than is found in the gram-negatives. Threading through these layers of peptidoglycan are long anionic polymers, called teichoic acids. The composition and organization of these envelope layers and recent insights into the mechanisms of cell envelope assembly are discussed.","author":[{"dropping-particle":"","family":"Silhavy","given":"Thomas","non-dropping-particle":"","parse-names":false,"suffix":""},{"dropping-particle":"","family":"Kahne","given":"Daniel","non-dropping-particle":"","parse-names":false,"suffix":""},{"dropping-particle":"","family":"Walker","given":"Suzanne","non-dropping-particle":"","parse-names":false,"suffix":""}],"container-title":"Cold Spring Harbor perspectives in biology","id":"ITEM-2","issue":"5","issued":{"date-parts":[["2010"]]},"page":"1-16","title":"The bacterial cell envelope.","type":"article-journal","volume":"2"},"uris":["http://www.mendeley.com/documents/?uuid=cabb3e66-261f-40a6-becd-647af3e2f1c7"]}],"mendeley":{"formattedCitation":"&lt;sup&gt;[14,292]&lt;/sup&gt;","plainTextFormattedCitation":"[14,292]","previouslyFormattedCitation":"&lt;sup&gt;[14,292]&lt;/sup&gt;"},"properties":{"noteIndex":0},"schema":"https://github.com/citation-style-language/schema/raw/master/csl-citation.json"}</w:instrText>
      </w:r>
      <w:r>
        <w:fldChar w:fldCharType="separate"/>
      </w:r>
      <w:r w:rsidR="009D34AE" w:rsidRPr="009D34AE">
        <w:rPr>
          <w:noProof/>
          <w:vertAlign w:val="superscript"/>
        </w:rPr>
        <w:t>[14,292]</w:t>
      </w:r>
      <w:r>
        <w:fldChar w:fldCharType="end"/>
      </w:r>
      <w:r>
        <w:t xml:space="preserve">. </w:t>
      </w:r>
      <w:r>
        <w:rPr>
          <w:i/>
          <w:iCs/>
        </w:rPr>
        <w:t>S. aureus</w:t>
      </w:r>
      <w:r>
        <w:t xml:space="preserve"> bacterial envelope consists of the plasma membrane (PM), the exoplasmic space (ES), and the peptidoglycan cell wall (CW). Although the structure of the bacterial envelope of </w:t>
      </w:r>
      <w:r>
        <w:rPr>
          <w:i/>
          <w:iCs/>
        </w:rPr>
        <w:t>S. aureus</w:t>
      </w:r>
      <w:r>
        <w:t xml:space="preserve"> is well studied </w:t>
      </w:r>
      <w:r>
        <w:fldChar w:fldCharType="begin" w:fldLock="1"/>
      </w:r>
      <w:r w:rsidR="009D34AE">
        <w:instrText>ADDIN CSL_CITATION {"citationItems":[{"id":"ITEM-1","itemData":{"DOI":"10.1007/82_2015_5021","ISBN":"978-3-319-56014-4","abstract":"Gram-positive organisms, including the pathogens Staphylococcus aureus, Streptococcus pneumoniae, and Enterococcus faecalis, have dynamic cell envelopes that mediate interactions with the environment and serve as the first line of defense against toxic molecules. Major components of the cell envelope include peptidoglycan (PG), which is a well-established target for antibiotics, teichoic acids (TAs), capsular polysaccharides (CPS), surface proteins, and phospholipids. These components can undergo modification to promote pathogenesis, decrease susceptibility to antibiotics and host immune defenses, and enhance survival in hostile environments. This chapter will cover the structure, biosynthesis, and important functions of major cell envelope components in gram-positive bacteria. Possible targets for new antimicrobials will be noted.","author":[{"dropping-particle":"","family":"Rajagopal","given":"Mithila","non-dropping-particle":"","parse-names":false,"suffix":""},{"dropping-particle":"","family":"Walker","given":"Suzanne","non-dropping-particle":"","parse-names":false,"suffix":""}],"container-title":"Protein and Sugar Export and Assembly in Gram-positive Bacteria","editor":[{"dropping-particle":"","family":"Bagnoli","given":"Fabio","non-dropping-particle":"","parse-names":false,"suffix":""},{"dropping-particle":"","family":"Rappuoli","given":"Rino","non-dropping-particle":"","parse-names":false,"suffix":""}],"id":"ITEM-1","issued":{"date-parts":[["2017"]]},"page":"1-44","publisher":"Springer International Publishing","publisher-place":"Cham","title":"Envelope Structures of Gram-Positive Bacteria","type":"chapter"},"uris":["http://www.mendeley.com/documents/?uuid=2aeb1e1a-b6ee-4904-82fa-0ee78587ff26"]},{"id":"ITEM-2","itemData":{"DOI":"10.1101/cshperspect.a000414","ISBN":"1943-0264 (Electronic)","ISSN":"19430264","PMID":"20452953","abstract":"The bacteria cell envelope is a complex multilayered structure that serves to protect these organisms from their unpredictable and often hostile environment. The cell envelopes of most bacteria fall into one of two major groups. Gram-negative bacteria are surrounded by a thin peptidoglycan cell wall, which itself is surrounded by an outer membrane containing lipopolysaccharide. Gram-positive bacteria lack an outer membrane but are surrounded by layers of peptidoglycan many times thicker than is found in the gram-negatives. Threading through these layers of peptidoglycan are long anionic polymers, called teichoic acids. The composition and organization of these envelope layers and recent insights into the mechanisms of cell envelope assembly are discussed.","author":[{"dropping-particle":"","family":"Silhavy","given":"Thomas","non-dropping-particle":"","parse-names":false,"suffix":""},{"dropping-particle":"","family":"Kahne","given":"Daniel","non-dropping-particle":"","parse-names":false,"suffix":""},{"dropping-particle":"","family":"Walker","given":"Suzanne","non-dropping-particle":"","parse-names":false,"suffix":""}],"container-title":"Cold Spring Harbor perspectives in biology","id":"ITEM-2","issue":"5","issued":{"date-parts":[["2010"]]},"page":"1-16","title":"The bacterial cell envelope.","type":"article-journal","volume":"2"},"uris":["http://www.mendeley.com/documents/?uuid=cabb3e66-261f-40a6-becd-647af3e2f1c7"]}],"mendeley":{"formattedCitation":"&lt;sup&gt;[14,292]&lt;/sup&gt;","plainTextFormattedCitation":"[14,292]","previouslyFormattedCitation":"&lt;sup&gt;[14,292]&lt;/sup&gt;"},"properties":{"noteIndex":0},"schema":"https://github.com/citation-style-language/schema/raw/master/csl-citation.json"}</w:instrText>
      </w:r>
      <w:r>
        <w:fldChar w:fldCharType="separate"/>
      </w:r>
      <w:r w:rsidR="009D34AE" w:rsidRPr="009D34AE">
        <w:rPr>
          <w:noProof/>
          <w:vertAlign w:val="superscript"/>
        </w:rPr>
        <w:t>[14,292]</w:t>
      </w:r>
      <w:r>
        <w:fldChar w:fldCharType="end"/>
      </w:r>
      <w:r>
        <w:t>, there is still a lot to uncover</w:t>
      </w:r>
      <w:r w:rsidR="003330B8">
        <w:t>.</w:t>
      </w:r>
      <w:r w:rsidR="00E86BB8">
        <w:t xml:space="preserve"> </w:t>
      </w:r>
      <w:r w:rsidR="003330B8">
        <w:t>It was</w:t>
      </w:r>
      <w:r w:rsidR="000E4342">
        <w:t xml:space="preserve"> not</w:t>
      </w:r>
      <w:r w:rsidR="003330B8">
        <w:t xml:space="preserve"> until 2006 that the analysis of frozen-hydrated </w:t>
      </w:r>
      <w:r w:rsidR="003330B8">
        <w:rPr>
          <w:i/>
          <w:iCs/>
        </w:rPr>
        <w:t xml:space="preserve">S. aureus </w:t>
      </w:r>
      <w:r w:rsidR="003330B8">
        <w:t xml:space="preserve">samples showed the existence of an exoplasmic space </w:t>
      </w:r>
      <w:r w:rsidR="003330B8">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89409496-4fa0-474e-8069-be86a795f53c"]}],"mendeley":{"formattedCitation":"&lt;sup&gt;[16]&lt;/sup&gt;","plainTextFormattedCitation":"[16]","previouslyFormattedCitation":"&lt;sup&gt;[16]&lt;/sup&gt;"},"properties":{"noteIndex":0},"schema":"https://github.com/citation-style-language/schema/raw/master/csl-citation.json"}</w:instrText>
      </w:r>
      <w:r w:rsidR="003330B8">
        <w:fldChar w:fldCharType="separate"/>
      </w:r>
      <w:r w:rsidR="00DA0A83" w:rsidRPr="00DA0A83">
        <w:rPr>
          <w:noProof/>
          <w:vertAlign w:val="superscript"/>
        </w:rPr>
        <w:t>[16]</w:t>
      </w:r>
      <w:r w:rsidR="003330B8">
        <w:fldChar w:fldCharType="end"/>
      </w:r>
      <w:r w:rsidR="003330B8">
        <w:t xml:space="preserve">. Yet, </w:t>
      </w:r>
      <w:r w:rsidR="00CB285D">
        <w:t xml:space="preserve">few </w:t>
      </w:r>
      <w:r w:rsidR="003330B8">
        <w:t>studies have been published on the matter</w:t>
      </w:r>
      <w:r w:rsidR="00827C88">
        <w:t xml:space="preserve"> since then</w:t>
      </w:r>
      <w:r w:rsidR="003330B8">
        <w:t>. This investigation intended to find the best electron microscopy technique</w:t>
      </w:r>
      <w:r w:rsidR="001C0C2A">
        <w:t>s</w:t>
      </w:r>
      <w:r w:rsidR="003330B8">
        <w:t xml:space="preserve"> to study the bacterial envelope (chapter 3), and carry out a detailed analysis of the ES and its maintenance (chapter 4).</w:t>
      </w:r>
      <w:r w:rsidR="00D1715E">
        <w:t xml:space="preserve"> </w:t>
      </w:r>
      <w:r w:rsidR="003B5981">
        <w:t>Finally, t</w:t>
      </w:r>
      <w:r>
        <w:t xml:space="preserve">his </w:t>
      </w:r>
      <w:r w:rsidR="003B5981">
        <w:t xml:space="preserve">study also </w:t>
      </w:r>
      <w:r w:rsidR="00AD224F">
        <w:t>investigated</w:t>
      </w:r>
      <w:r w:rsidR="003B5981">
        <w:t xml:space="preserve"> CW dynamics and the morphological changes observed during the action of bactericidal antibiotics (chapter 5).</w:t>
      </w:r>
    </w:p>
    <w:p w14:paraId="57AD156B" w14:textId="4A0B0E2C" w:rsidR="005D7C61" w:rsidRDefault="00453F35" w:rsidP="006B54DD">
      <w:pPr>
        <w:pStyle w:val="Heading2"/>
      </w:pPr>
      <w:bookmarkStart w:id="866" w:name="_Toc90216917"/>
      <w:r>
        <w:t>Study of the a</w:t>
      </w:r>
      <w:r w:rsidR="006B54DD">
        <w:t>rchitecture</w:t>
      </w:r>
      <w:r w:rsidR="00886F1B">
        <w:t xml:space="preserve"> of the bacterial envelope</w:t>
      </w:r>
      <w:r w:rsidR="009903CC">
        <w:t>.</w:t>
      </w:r>
      <w:bookmarkEnd w:id="866"/>
    </w:p>
    <w:p w14:paraId="68ABACC9" w14:textId="252B940A" w:rsidR="000A56D8" w:rsidRDefault="000A56D8" w:rsidP="000A56D8">
      <w:pPr>
        <w:pStyle w:val="Heading3"/>
      </w:pPr>
      <w:bookmarkStart w:id="867" w:name="_Toc90216918"/>
      <w:r>
        <w:t>CEMOVIS for hydrated analysis of the exoplasm</w:t>
      </w:r>
      <w:r w:rsidR="009903CC">
        <w:t>.</w:t>
      </w:r>
      <w:bookmarkEnd w:id="867"/>
    </w:p>
    <w:p w14:paraId="1D109096" w14:textId="7B2379C1" w:rsidR="000A56D8" w:rsidRDefault="000A56D8" w:rsidP="000A56D8">
      <w:r>
        <w:t xml:space="preserve">Chapter 3 has shown the importance of selecting the right microscopy technique for bacterial analysis. </w:t>
      </w:r>
      <w:r w:rsidR="00DC5A49">
        <w:t xml:space="preserve">I have optimised </w:t>
      </w:r>
      <w:r>
        <w:t>freeze-substitution</w:t>
      </w:r>
      <w:r w:rsidR="00DC5A49">
        <w:t xml:space="preserve"> and showed how it</w:t>
      </w:r>
      <w:r>
        <w:t xml:space="preserve"> can provide more structural information than conventional chemical fixation TEM for an in depth analysis of the bacterial envelope. However, a more comprehensive study of the bacterial envelope, with focus on the </w:t>
      </w:r>
      <w:r w:rsidR="00235B98">
        <w:t>exoplasm</w:t>
      </w:r>
      <w:r w:rsidR="005E5D95">
        <w:t>,</w:t>
      </w:r>
      <w:r>
        <w:t xml:space="preserve"> requires the analysis of frozen-hydrated samples. </w:t>
      </w:r>
    </w:p>
    <w:p w14:paraId="1F877DBF" w14:textId="0A6145BD" w:rsidR="000A56D8" w:rsidRDefault="000A56D8" w:rsidP="000A56D8">
      <w:r>
        <w:t xml:space="preserve">Cryo-electron microscopy of vitreous sections (CEMOVIS) does not employ any structurally damaging fixatives or heavy metals, and most importantly, it does not use any solvents which dehydrate and modify the cell architecture. </w:t>
      </w:r>
      <w:r w:rsidR="00235B98">
        <w:t xml:space="preserve">Thus, </w:t>
      </w:r>
      <w:r w:rsidR="00EC1C76">
        <w:t xml:space="preserve">as supported by the literature, </w:t>
      </w:r>
      <w:r w:rsidR="00235B98">
        <w:t xml:space="preserve">it </w:t>
      </w:r>
      <w:r>
        <w:t xml:space="preserve">provides the best approach for analysing the bacterial envelope and distinguish the </w:t>
      </w:r>
      <w:r w:rsidR="00235B98">
        <w:t>ES</w:t>
      </w:r>
      <w:r>
        <w:t xml:space="preserve"> in its hydrated native </w:t>
      </w:r>
      <w:r>
        <w:lastRenderedPageBreak/>
        <w:t>state</w:t>
      </w:r>
      <w:r w:rsidR="00EC1C76">
        <w:t xml:space="preserve"> </w:t>
      </w:r>
      <w:r w:rsidR="00EC1C76">
        <w:fldChar w:fldCharType="begin" w:fldLock="1"/>
      </w:r>
      <w:r w:rsidR="00C561D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aureus","type":"article-journal","volume":"188"},"uris":["http://www.mendeley.com/documents/?uuid=d0573240-3d12-4cf9-8413-79fe8dd7149d"]},{"id":"ITEM-2","itemData":{"DOI":"10.1128/JB.185.20.6112","ISBN":"0021-9193 (Print)\\r0021-9193 (Linking)","ISSN":"00219193","PMID":"14526023","abstract":"High-pressure freezing of Escherichia coli K-12 and Pseudomonas aeruginosa PAO1 in the presence of cryoprotectants provided consistent vitrification of cells so that frozen-hydrated sections could be cut, provid- ing ?2-nm resolution of structure. The size and shape of the bacteria, as well as their surface and cytoplasmic constituents, were nicely preserved and compared well with other published high-resolution techniques. Cells possessed a rich cytoplasm containing a diffuse dispersion of ribosomes and genetic material. Close exami- nation of cells revealed that the periplasmic space was compressed during cryosectioning, a finding which provided supporting evidence that this space is filled by a compressible gel. Since the outer membrane and peptidoglycan layer are bonded together via lipoproteins, the space between them (although still part of the periplasmic space) was not as compacted. Even when this cryosectioning compression was taken into account, there was still substantial variability in the width of the periplasmic space. It is possible that the protoplast has some capacity to float freely within the periplasm.","author":[{"dropping-particle":"","family":"Matias","given":"Valério R. F.","non-dropping-particle":"","parse-names":false,"suffix":""},{"dropping-particle":"","family":"Al-amoudi","given":"Ashraf","non-dropping-particle":"","parse-names":false,"suffix":""},{"dropping-particle":"","family":"Dubochet","given":"Jacques","non-dropping-particle":"","parse-names":false,"suffix":""},{"dropping-particle":"","family":"Beveridge","given":"Terry J.","non-dropping-particle":"","parse-names":false,"suffix":""}],"container-title":"Journal of Bacteriology","id":"ITEM-2","issue":"20","issued":{"date-parts":[["2003"]]},"note":"Simon","page":"6112-6118","title":"Cryo-Transmission Electron Microscopy of Frozen-Hydrated Sections of Escherichia coli and Pseudomonas aeruginosa Cryo-Transmission Electron Microscopy of Frozen-Hydrated Sections of Escherichia coli and Pseudomonas aeruginosa","type":"article-journal","volume":"185"},"uris":["http://www.mendeley.com/documents/?uuid=592fae2d-fe02-4eb9-b638-1cc1e1936cbd"]},{"id":"ITEM-3","itemData":{"DOI":"10.1111/j.1365-2958.2005.04535.x","ISBN":"0950-382X (Print)\\r0950-382X (Linking)","ISSN":"0950382X","PMID":"15773993","abstract":"Ultrarapid freezing of bacteria (i.e. vitrification) results in optimal preservation of native structure. In this study, cryo-transmission electron microscopy of frozen-hydrated sections was used to gain insight into the organization of the Bacillus subtilis 168 cell envelope. A bipartite structure was seen above the plasma membrane consisting of a low-density 22 nm region above which a higher-density 33 nm region or outer wall zone (OWZ) resided. The interface between these two regions appeared to possess the most mass. In intact and in teichoic acid-extracted wall fragments, only a single region was seen but the mass distribution varied from being dense on the inside to less dense on the outside (i.e. similar to the OWZ). In plasmolysed cells, the inner wall zone (IWZ)'s thickness expanded in size but the OWZ's thickness remained constant. As the IWZ expanded it became filled with plasma membrane vesicles indicating that the IWZ had little substance and was empty of the wall's polymeric network of peptidoglycan and teichoic acid. Together these results strongly suggest that the inner zone actually represents a periplasmic space confined between the plasma membrane and the wall matrix and that the OWZ is the peptidoglycan-teichoic acid polymeric network of the wall.","author":[{"dropping-particle":"","family":"Matias","given":"V. R F","non-dropping-particle":"","parse-names":false,"suffix":""},{"dropping-particle":"","family":"Beveridge","given":"Terry J.","non-dropping-particle":"","parse-names":false,"suffix":""}],"container-title":"Molecular Microbiology","id":"ITEM-3","issue":"1","issued":{"date-parts":[["2005"]]},"page":"240-251","title":"Cryo-electron microscopy reveals native polymeric cell wall structure in Bacillus subtilis 168 and the existence of a periplasmic space","type":"article-journal","volume":"56"},"uris":["http://www.mendeley.com/documents/?uuid=3274a9ad-3640-4744-a55b-e8277897fa77"]},{"id":"ITEM-4","itemData":{"DOI":"10.1017/S1431927604881583","author":[{"dropping-particle":"","family":"Matias","given":"V R F","non-dropping-particle":"","parse-names":false,"suffix":""},{"dropping-particle":"","family":"Beveridge","given":"T J","non-dropping-particle":"","parse-names":false,"suffix":""}],"container-title":"Microscopy and Microanalysis","id":"ITEM-4","issue":"Supplementary Information 2","issued":{"date-parts":[["2004"]]},"page":"2003-2005","title":"Cryo-Transmission Electron Microscopy of Vitreous Sections of Gram-Positive Bacteria","type":"article-journal","volume":"10"},"uris":["http://www.mendeley.com/documents/?uuid=a532748a-a68b-4732-89bc-67b0c691362b"]},{"id":"ITEM-5","itemData":{"DOI":"10.1111/j.1365-2958.2007.05634.x","ISBN":"0950-382X (Print)\\r0950-382X (Linking)","ISSN":"0950382X","PMID":"17376082","abstract":"Cryo-electron microscopy of frozen-hydrated thin sections permits the observation of the real distribution of mass in biological specimens allowing the native structure of bacteria to be seen, including the natural orientation of their surface layers. Here, we use this approach to study the fine ultrastructure of the division site, or septum, of Staphylococcus aureus D(2)C. Frozen-hydrated sections revealed a differentiated cell wall at the septum, showing two high-density regions sandwiched between three low-density zones. The two zones adjacent to the membrane appeared as an extension of the periplasmic space seen in this organism's cell envelope and showed no distinguishing structures within them. Immediately next to these were higher-density zones that corresponded to nascent cross walls of the septum. Unexpectedly, a rather broad low-density zone was seen separating cross walls in the septum. This mid-zone of low density appeared inflated and without visible structures in isolated cell walls, which showed only the high-density zones of the septum. Here, we suggest that frozen-hydrated thin sections have captured a highly fragile septal region, the mid-zone, which results from the dynamic action of autolysis and actively separates daughter cells during division. The two zones next to the membranes are periplasmic spaces. Immediately next to these are the growing cross walls composed of peptidoglycan, teichoic acid and protein.","author":[{"dropping-particle":"","family":"Matias","given":"V. R F","non-dropping-particle":"","parse-names":false,"suffix":""},{"dropping-particle":"","family":"Beveridge","given":"Terry J.","non-dropping-particle":"","parse-names":false,"suffix":""}],"container-title":"Molecular Microbiology","id":"ITEM-5","issue":"1","issued":{"date-parts":[["2007"]]},"page":"195-206","title":"Cryo-electron microscopy of cell division in Staphylococcus aureus reveals a mid-zone between nascent cross walls","type":"article-journal","volume":"64"},"uris":["http://www.mendeley.com/documents/?uuid=8a1e9224-efda-4be3-9ed3-3b4b51692d38"]}],"mendeley":{"formattedCitation":"&lt;sup&gt;[16,163–165,275]&lt;/sup&gt;","plainTextFormattedCitation":"[16,163–165,275]","previouslyFormattedCitation":"&lt;sup&gt;[16,163–165,275]&lt;/sup&gt;"},"properties":{"noteIndex":0},"schema":"https://github.com/citation-style-language/schema/raw/master/csl-citation.json"}</w:instrText>
      </w:r>
      <w:r w:rsidR="00EC1C76">
        <w:fldChar w:fldCharType="separate"/>
      </w:r>
      <w:r w:rsidR="00EC1C76" w:rsidRPr="00EC1C76">
        <w:rPr>
          <w:noProof/>
          <w:vertAlign w:val="superscript"/>
        </w:rPr>
        <w:t>[16,163–165,275]</w:t>
      </w:r>
      <w:r w:rsidR="00EC1C76">
        <w:fldChar w:fldCharType="end"/>
      </w:r>
      <w:r>
        <w:t>. The ice contamination observed in this investigation made the analysis difficult and might have affected the resulting density traces used for measurements (</w:t>
      </w:r>
      <w:r>
        <w:fldChar w:fldCharType="begin"/>
      </w:r>
      <w:r>
        <w:instrText xml:space="preserve"> REF _Ref74417439 \h </w:instrText>
      </w:r>
      <w:r>
        <w:fldChar w:fldCharType="separate"/>
      </w:r>
      <w:r w:rsidR="00183CC8">
        <w:t xml:space="preserve">Figure </w:t>
      </w:r>
      <w:r w:rsidR="00183CC8">
        <w:rPr>
          <w:noProof/>
        </w:rPr>
        <w:t>4</w:t>
      </w:r>
      <w:r w:rsidR="00183CC8">
        <w:t>.</w:t>
      </w:r>
      <w:r w:rsidR="00183CC8">
        <w:rPr>
          <w:noProof/>
        </w:rPr>
        <w:t>6</w:t>
      </w:r>
      <w:r>
        <w:fldChar w:fldCharType="end"/>
      </w:r>
      <w:r w:rsidR="009806CB">
        <w:t xml:space="preserve">, </w:t>
      </w:r>
      <w:r>
        <w:fldChar w:fldCharType="begin"/>
      </w:r>
      <w:r>
        <w:instrText xml:space="preserve"> REF _Ref74413149 \h </w:instrText>
      </w:r>
      <w:r>
        <w:fldChar w:fldCharType="separate"/>
      </w:r>
      <w:r w:rsidR="00183CC8">
        <w:t xml:space="preserve">Figure </w:t>
      </w:r>
      <w:r w:rsidR="00183CC8">
        <w:rPr>
          <w:noProof/>
        </w:rPr>
        <w:t>4</w:t>
      </w:r>
      <w:r w:rsidR="00183CC8">
        <w:t>.</w:t>
      </w:r>
      <w:r w:rsidR="00183CC8">
        <w:rPr>
          <w:noProof/>
        </w:rPr>
        <w:t>7</w:t>
      </w:r>
      <w:r>
        <w:fldChar w:fldCharType="end"/>
      </w:r>
      <w:r>
        <w:t>). Nevertheless, this first attempt at CEMOVIS has proven that this technique is capable of providing the necessary data to study the exoplasm in detail. Additional repeats and experience from the researcher performing the experiments could result in better quality samples. This will improve data analysis by providing better differentiation of all components of the bacterial envelope.</w:t>
      </w:r>
    </w:p>
    <w:p w14:paraId="11E5D362" w14:textId="3328099B" w:rsidR="0093795E" w:rsidRPr="0093795E" w:rsidRDefault="00924565" w:rsidP="00453F35">
      <w:pPr>
        <w:pStyle w:val="Heading3"/>
      </w:pPr>
      <w:bookmarkStart w:id="868" w:name="_Ref79163686"/>
      <w:bookmarkStart w:id="869" w:name="_Toc90216919"/>
      <w:r>
        <w:t>Discovery</w:t>
      </w:r>
      <w:r w:rsidR="0093795E" w:rsidRPr="0093795E">
        <w:t xml:space="preserve"> of </w:t>
      </w:r>
      <w:r w:rsidR="00A30A4E">
        <w:t xml:space="preserve">previously </w:t>
      </w:r>
      <w:r w:rsidR="0093795E" w:rsidRPr="0093795E">
        <w:t>unidentified layer</w:t>
      </w:r>
      <w:r w:rsidR="0093795E">
        <w:t>s</w:t>
      </w:r>
      <w:r w:rsidR="0093795E" w:rsidRPr="0093795E">
        <w:t xml:space="preserve"> in the bacterial envelope</w:t>
      </w:r>
      <w:r>
        <w:t xml:space="preserve">: where are </w:t>
      </w:r>
      <w:r w:rsidR="009519B1">
        <w:t>WTA and LTA</w:t>
      </w:r>
      <w:r>
        <w:t>?</w:t>
      </w:r>
      <w:bookmarkEnd w:id="868"/>
      <w:bookmarkEnd w:id="869"/>
    </w:p>
    <w:p w14:paraId="2E3038F2" w14:textId="317DD068" w:rsidR="0093795E" w:rsidRDefault="00DE3A58" w:rsidP="0035444C">
      <w:r>
        <w:t xml:space="preserve">During my study of the exoplasmic space (chapter 4), initial tests using </w:t>
      </w:r>
      <w:r w:rsidRPr="00923B03">
        <w:t>freeze-substitu</w:t>
      </w:r>
      <w:r>
        <w:t xml:space="preserve">tion showed </w:t>
      </w:r>
      <w:r w:rsidR="0093795E">
        <w:t xml:space="preserve">highly preserved cells </w:t>
      </w:r>
      <w:r w:rsidR="0035444C">
        <w:t>with</w:t>
      </w:r>
      <w:r w:rsidR="0093795E">
        <w:t xml:space="preserve"> </w:t>
      </w:r>
      <w:r w:rsidR="0093795E" w:rsidRPr="0035444C">
        <w:t>two unidentified layers</w:t>
      </w:r>
      <w:r w:rsidR="008301F2">
        <w:t xml:space="preserve"> in the bacterial envelope</w:t>
      </w:r>
      <w:r w:rsidR="0093795E" w:rsidRPr="0035444C">
        <w:t xml:space="preserve"> </w:t>
      </w:r>
      <w:r w:rsidR="0093795E">
        <w:t>(</w:t>
      </w:r>
      <w:r w:rsidR="0093795E">
        <w:fldChar w:fldCharType="begin"/>
      </w:r>
      <w:r w:rsidR="0093795E">
        <w:instrText xml:space="preserve"> REF _Ref73978189 \h </w:instrText>
      </w:r>
      <w:r w:rsidR="0093795E">
        <w:fldChar w:fldCharType="separate"/>
      </w:r>
      <w:r w:rsidR="00183CC8">
        <w:t xml:space="preserve">Figure </w:t>
      </w:r>
      <w:r w:rsidR="00183CC8">
        <w:rPr>
          <w:noProof/>
        </w:rPr>
        <w:t>4</w:t>
      </w:r>
      <w:r w:rsidR="00183CC8">
        <w:t>.</w:t>
      </w:r>
      <w:r w:rsidR="00183CC8">
        <w:rPr>
          <w:noProof/>
        </w:rPr>
        <w:t>4</w:t>
      </w:r>
      <w:r w:rsidR="0093795E">
        <w:fldChar w:fldCharType="end"/>
      </w:r>
      <w:r w:rsidR="0093795E">
        <w:t>c,f)</w:t>
      </w:r>
      <w:r w:rsidR="0093795E" w:rsidRPr="0058592C">
        <w:t>.</w:t>
      </w:r>
      <w:r w:rsidR="0093795E" w:rsidRPr="00FA7A00">
        <w:rPr>
          <w:b/>
          <w:bCs/>
        </w:rPr>
        <w:t xml:space="preserve"> </w:t>
      </w:r>
      <w:r w:rsidR="009A7FEB" w:rsidRPr="001D7C66">
        <w:t>Layer I</w:t>
      </w:r>
      <w:r w:rsidR="001D7C66">
        <w:t>, similar to the contrast observed from the CW, and</w:t>
      </w:r>
      <w:r w:rsidR="009A7FEB" w:rsidRPr="001D7C66">
        <w:t xml:space="preserve"> </w:t>
      </w:r>
      <w:r w:rsidR="0093795E" w:rsidRPr="00C57902">
        <w:t>Layer II</w:t>
      </w:r>
      <w:r w:rsidR="001D7C66">
        <w:t>,</w:t>
      </w:r>
      <w:r w:rsidR="0093795E">
        <w:t xml:space="preserve"> </w:t>
      </w:r>
      <w:r w:rsidR="001D7C66">
        <w:t>a</w:t>
      </w:r>
      <w:r w:rsidR="0093795E">
        <w:t xml:space="preserve"> heavily stained </w:t>
      </w:r>
      <w:r w:rsidR="001D7C66">
        <w:t xml:space="preserve">band similar to the </w:t>
      </w:r>
      <w:r w:rsidR="00117EE4">
        <w:t>highly</w:t>
      </w:r>
      <w:r w:rsidR="00D273D4">
        <w:t>-</w:t>
      </w:r>
      <w:r w:rsidR="001D7C66">
        <w:t>reactive LTA</w:t>
      </w:r>
      <w:r w:rsidR="00A6347B">
        <w:t xml:space="preserve"> band</w:t>
      </w:r>
      <w:r w:rsidR="001D7C66">
        <w:t xml:space="preserve"> of the exoplasm</w:t>
      </w:r>
      <w:r w:rsidR="0093795E">
        <w:t>.</w:t>
      </w:r>
      <w:r w:rsidR="0093795E" w:rsidRPr="006A215F">
        <w:t xml:space="preserve"> </w:t>
      </w:r>
      <w:r w:rsidR="0093795E">
        <w:t xml:space="preserve">These layers put into question the current accepted structure of the cell envelope </w:t>
      </w:r>
      <w:r w:rsidR="0093795E">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8bb7082d-43a0-4e8f-a038-4e3e8366bb9a"]}],"mendeley":{"formattedCitation":"&lt;sup&gt;[16]&lt;/sup&gt;","plainTextFormattedCitation":"[16]","previouslyFormattedCitation":"&lt;sup&gt;[16]&lt;/sup&gt;"},"properties":{"noteIndex":0},"schema":"https://github.com/citation-style-language/schema/raw/master/csl-citation.json"}</w:instrText>
      </w:r>
      <w:r w:rsidR="0093795E">
        <w:fldChar w:fldCharType="separate"/>
      </w:r>
      <w:r w:rsidR="00DA0A83" w:rsidRPr="00DA0A83">
        <w:rPr>
          <w:noProof/>
          <w:vertAlign w:val="superscript"/>
        </w:rPr>
        <w:t>[16]</w:t>
      </w:r>
      <w:r w:rsidR="0093795E">
        <w:fldChar w:fldCharType="end"/>
      </w:r>
      <w:r w:rsidR="002255B0">
        <w:t xml:space="preserve"> and could provide some input into the location of teichoic acids.</w:t>
      </w:r>
      <w:r w:rsidR="0093795E">
        <w:t xml:space="preserve"> </w:t>
      </w:r>
      <w:r w:rsidR="002255B0">
        <w:t>H</w:t>
      </w:r>
      <w:r w:rsidR="00533378">
        <w:t xml:space="preserve">ere </w:t>
      </w:r>
      <w:r w:rsidR="0093795E">
        <w:t xml:space="preserve">I </w:t>
      </w:r>
      <w:r w:rsidR="00204C9D">
        <w:t>discuss</w:t>
      </w:r>
      <w:r w:rsidR="0093795E">
        <w:t xml:space="preserve"> 2 </w:t>
      </w:r>
      <w:r w:rsidR="004B7710">
        <w:t xml:space="preserve">possible scenarios to explain </w:t>
      </w:r>
      <w:r w:rsidR="003C14F3">
        <w:t xml:space="preserve">the </w:t>
      </w:r>
      <w:r w:rsidR="00FF41FF">
        <w:t>nature of these layers</w:t>
      </w:r>
      <w:r w:rsidR="0093795E">
        <w:t>:</w:t>
      </w:r>
    </w:p>
    <w:p w14:paraId="0B055E9B" w14:textId="318EB93F" w:rsidR="0093795E" w:rsidRDefault="0093795E" w:rsidP="0093795E">
      <w:r>
        <w:rPr>
          <w:b/>
          <w:bCs/>
        </w:rPr>
        <w:t xml:space="preserve">– Scenario </w:t>
      </w:r>
      <w:r w:rsidRPr="007C25C6">
        <w:rPr>
          <w:b/>
          <w:bCs/>
        </w:rPr>
        <w:t>1</w:t>
      </w:r>
      <w:r>
        <w:rPr>
          <w:b/>
          <w:bCs/>
        </w:rPr>
        <w:t xml:space="preserve"> –</w:t>
      </w:r>
      <w:r>
        <w:t xml:space="preserve"> The first scenario </w:t>
      </w:r>
      <w:r w:rsidRPr="00946827">
        <w:t xml:space="preserve">proposes that </w:t>
      </w:r>
      <w:r w:rsidR="00E1448E">
        <w:t xml:space="preserve">layer I </w:t>
      </w:r>
      <w:r w:rsidR="00005F70">
        <w:t>is part of</w:t>
      </w:r>
      <w:r w:rsidR="00E1448E">
        <w:t xml:space="preserve"> the ES and </w:t>
      </w:r>
      <w:r w:rsidRPr="00946827">
        <w:t>layer II corresponds to</w:t>
      </w:r>
      <w:r w:rsidR="00005F70">
        <w:t xml:space="preserve"> WTA in the CW. This initial theory comes from the </w:t>
      </w:r>
      <w:r w:rsidR="006E04E3">
        <w:t>suggestion</w:t>
      </w:r>
      <w:r w:rsidR="00005F70">
        <w:t xml:space="preserve"> that</w:t>
      </w:r>
      <w:r w:rsidRPr="00946827">
        <w:t xml:space="preserve"> WTA</w:t>
      </w:r>
      <w:r w:rsidR="005425D9">
        <w:t xml:space="preserve"> repulse themselves and</w:t>
      </w:r>
      <w:r w:rsidRPr="00946827">
        <w:t xml:space="preserve"> </w:t>
      </w:r>
      <w:r w:rsidR="006E04E3">
        <w:t>protrude outwards and inwards</w:t>
      </w:r>
      <w:r w:rsidRPr="00946827">
        <w:t xml:space="preserve"> from the</w:t>
      </w:r>
      <w:r w:rsidR="00BF2CD5" w:rsidRPr="00946827">
        <w:t xml:space="preserve"> </w:t>
      </w:r>
      <w:r w:rsidRPr="00946827">
        <w:t>CW</w:t>
      </w:r>
      <w:r w:rsidR="005425D9">
        <w:t xml:space="preserve"> </w:t>
      </w:r>
      <w:r w:rsidR="005425D9">
        <w:fldChar w:fldCharType="begin" w:fldLock="1"/>
      </w:r>
      <w:r w:rsidR="005F2DD4">
        <w:instrText xml:space="preserve">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aureus","type":"article-journal","volume":"188"},"uris":["http://www.mendeley.com/documents/?uuid=89409496-4fa0-474e-8069-be86a795f53c"]},{"id":"ITEM-2","itemData":{"DOI":"10.3389/fmicb.2021.664704","ISSN":"1664302X","abstract":"The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F2DD4">
        <w:rPr>
          <w:rFonts w:ascii="Cambria Math" w:hAnsi="Cambria Math" w:cs="Cambria Math"/>
        </w:rPr>
        <w:instrText>∼</w:instrText>
      </w:r>
      <w:r w:rsidR="005F2DD4">
        <w:instrText xml:space="preserve">0.5 M, which would bring in </w:instrText>
      </w:r>
      <w:r w:rsidR="005F2DD4">
        <w:rPr>
          <w:rFonts w:ascii="Cambria Math" w:hAnsi="Cambria Math" w:cs="Cambria Math"/>
        </w:rPr>
        <w:instrText>∼</w:instrText>
      </w:r>
      <w:r w:rsidR="005F2DD4">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Microbiology","id":"ITEM-2","issue":"May","issued":{"date-parts":[["2021"]]},"page":"1-11","title":"How Teichoic Acids Could Support a Periplasm in Gram-Positive Bacteria, and Let Cell Division Cheat Turgor Pressure","type":"article-journal","volume":"12"},"uris":["http://www.mendeley.com/documents/?uuid=8e106983-147c-42ae-88fd-3e44783b571f"]}],"mendeley":{"formattedCitation":"&lt;sup&gt;[16,166]&lt;/sup&gt;","plainTextFormattedCitation":"[16,166]","previouslyFormattedCitation":"&lt;sup&gt;[16,166]&lt;/sup&gt;"},"properties":{"noteIndex":0},"schema":"https://github.com/citation-style-language/schema/raw/master/csl-citation.json"}</w:instrText>
      </w:r>
      <w:r w:rsidR="005425D9">
        <w:fldChar w:fldCharType="separate"/>
      </w:r>
      <w:r w:rsidR="0054658D" w:rsidRPr="0054658D">
        <w:rPr>
          <w:noProof/>
          <w:vertAlign w:val="superscript"/>
        </w:rPr>
        <w:t>[16,166]</w:t>
      </w:r>
      <w:r w:rsidR="005425D9">
        <w:fldChar w:fldCharType="end"/>
      </w:r>
      <w:r w:rsidR="0076369E">
        <w:t xml:space="preserve"> </w:t>
      </w:r>
      <w:r w:rsidR="006E04E3">
        <w:t>(</w:t>
      </w:r>
      <w:r w:rsidR="00AE4309">
        <w:fldChar w:fldCharType="begin"/>
      </w:r>
      <w:r w:rsidR="00AE4309">
        <w:instrText xml:space="preserve"> REF _Ref79243856 \h </w:instrText>
      </w:r>
      <w:r w:rsidR="00AE4309">
        <w:fldChar w:fldCharType="separate"/>
      </w:r>
      <w:r w:rsidR="00183CC8">
        <w:t xml:space="preserve">Figure </w:t>
      </w:r>
      <w:r w:rsidR="00183CC8">
        <w:rPr>
          <w:noProof/>
        </w:rPr>
        <w:t>6</w:t>
      </w:r>
      <w:r w:rsidR="00183CC8">
        <w:t>.</w:t>
      </w:r>
      <w:r w:rsidR="00183CC8">
        <w:rPr>
          <w:noProof/>
        </w:rPr>
        <w:t>1</w:t>
      </w:r>
      <w:r w:rsidR="00AE4309">
        <w:fldChar w:fldCharType="end"/>
      </w:r>
      <w:r>
        <w:t>b). Th</w:t>
      </w:r>
      <w:r w:rsidR="00E1448E">
        <w:t xml:space="preserve">is </w:t>
      </w:r>
      <w:r>
        <w:t xml:space="preserve">scenario </w:t>
      </w:r>
      <w:r w:rsidR="009A0D7C">
        <w:t>rais</w:t>
      </w:r>
      <w:r w:rsidR="00E1448E">
        <w:t>es</w:t>
      </w:r>
      <w:r>
        <w:t xml:space="preserve"> </w:t>
      </w:r>
      <w:r w:rsidR="009A0D7C">
        <w:t>the following questions</w:t>
      </w:r>
      <w:r>
        <w:t>: why would the exoplasm consist of two differential stain-reactive regions?</w:t>
      </w:r>
      <w:r w:rsidR="003A4C10">
        <w:t xml:space="preserve"> W</w:t>
      </w:r>
      <w:r w:rsidR="009A0D7C">
        <w:t xml:space="preserve">hy would the exoplasm be similar in thickness to the CW </w:t>
      </w:r>
      <w:r w:rsidR="002A52F5">
        <w:t>in</w:t>
      </w:r>
      <w:r w:rsidR="009A0D7C">
        <w:t xml:space="preserve"> dehydrated</w:t>
      </w:r>
      <w:r w:rsidR="003A4C10">
        <w:t xml:space="preserve"> samples</w:t>
      </w:r>
      <w:r w:rsidR="009A0D7C">
        <w:t xml:space="preserve">, if it has been proven to be of a similar thickness to the CW </w:t>
      </w:r>
      <w:r w:rsidR="009A0D7C" w:rsidRPr="00662A08">
        <w:rPr>
          <w:i/>
          <w:iCs/>
        </w:rPr>
        <w:t>only</w:t>
      </w:r>
      <w:r w:rsidR="009A0D7C">
        <w:t xml:space="preserve"> </w:t>
      </w:r>
      <w:r w:rsidR="00EE12FD">
        <w:t>when</w:t>
      </w:r>
      <w:r w:rsidR="009A0D7C">
        <w:t xml:space="preserve"> hydrated? </w:t>
      </w:r>
      <w:r w:rsidR="009A0D7C">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7cdcd25c-b08e-42c1-b6ed-533d180bef3b"]}],"mendeley":{"formattedCitation":"&lt;sup&gt;[16]&lt;/sup&gt;","plainTextFormattedCitation":"[16]","previouslyFormattedCitation":"&lt;sup&gt;[16]&lt;/sup&gt;"},"properties":{"noteIndex":0},"schema":"https://github.com/citation-style-language/schema/raw/master/csl-citation.json"}</w:instrText>
      </w:r>
      <w:r w:rsidR="009A0D7C">
        <w:fldChar w:fldCharType="separate"/>
      </w:r>
      <w:r w:rsidR="00DA0A83" w:rsidRPr="00DA0A83">
        <w:rPr>
          <w:noProof/>
          <w:vertAlign w:val="superscript"/>
        </w:rPr>
        <w:t>[16]</w:t>
      </w:r>
      <w:r w:rsidR="009A0D7C">
        <w:fldChar w:fldCharType="end"/>
      </w:r>
      <w:r w:rsidR="009A0D7C">
        <w:t>.</w:t>
      </w:r>
      <w:r>
        <w:t xml:space="preserve">Therefore, I </w:t>
      </w:r>
      <w:r w:rsidR="006C520E">
        <w:t xml:space="preserve">propose </w:t>
      </w:r>
      <w:r>
        <w:t xml:space="preserve">that </w:t>
      </w:r>
      <w:r w:rsidR="006C520E">
        <w:t xml:space="preserve">both </w:t>
      </w:r>
      <w:r w:rsidR="00F15D07">
        <w:t>layers</w:t>
      </w:r>
      <w:r>
        <w:t xml:space="preserve"> I </w:t>
      </w:r>
      <w:r w:rsidR="006C520E">
        <w:t>and II are</w:t>
      </w:r>
      <w:r>
        <w:t xml:space="preserve"> </w:t>
      </w:r>
      <w:r w:rsidR="003B2609">
        <w:t xml:space="preserve">more likely </w:t>
      </w:r>
      <w:r>
        <w:t>part of the CW (scenario 2).</w:t>
      </w:r>
    </w:p>
    <w:p w14:paraId="41AD5322" w14:textId="54D5FE94" w:rsidR="00623F96" w:rsidRDefault="0093795E" w:rsidP="00623F96">
      <w:r>
        <w:rPr>
          <w:b/>
          <w:bCs/>
        </w:rPr>
        <w:t xml:space="preserve">– Scenario </w:t>
      </w:r>
      <w:r w:rsidRPr="007C25C6">
        <w:rPr>
          <w:b/>
          <w:bCs/>
        </w:rPr>
        <w:t>2</w:t>
      </w:r>
      <w:r>
        <w:rPr>
          <w:b/>
          <w:bCs/>
        </w:rPr>
        <w:t xml:space="preserve"> –</w:t>
      </w:r>
      <w:r>
        <w:t xml:space="preserve"> </w:t>
      </w:r>
      <w:r w:rsidRPr="00683460">
        <w:t>The second theory suggests that</w:t>
      </w:r>
      <w:r>
        <w:t xml:space="preserve"> </w:t>
      </w:r>
      <w:r w:rsidRPr="0000483D">
        <w:t>both layers are part of the CW</w:t>
      </w:r>
      <w:r>
        <w:t xml:space="preserve"> (</w:t>
      </w:r>
      <w:r w:rsidR="00AE4309">
        <w:fldChar w:fldCharType="begin"/>
      </w:r>
      <w:r w:rsidR="00AE4309">
        <w:instrText xml:space="preserve"> REF _Ref79243856 \h </w:instrText>
      </w:r>
      <w:r w:rsidR="00AE4309">
        <w:fldChar w:fldCharType="separate"/>
      </w:r>
      <w:r w:rsidR="00183CC8">
        <w:t xml:space="preserve">Figure </w:t>
      </w:r>
      <w:r w:rsidR="00183CC8">
        <w:rPr>
          <w:noProof/>
        </w:rPr>
        <w:t>6</w:t>
      </w:r>
      <w:r w:rsidR="00183CC8">
        <w:t>.</w:t>
      </w:r>
      <w:r w:rsidR="00183CC8">
        <w:rPr>
          <w:noProof/>
        </w:rPr>
        <w:t>1</w:t>
      </w:r>
      <w:r w:rsidR="00AE4309">
        <w:fldChar w:fldCharType="end"/>
      </w:r>
      <w:r w:rsidR="00354DD1">
        <w:t>b</w:t>
      </w:r>
      <w:r>
        <w:t xml:space="preserve">). This makes the width of the CW </w:t>
      </w:r>
      <w:r w:rsidR="00791DD4">
        <w:t xml:space="preserve">and the ES </w:t>
      </w:r>
      <w:r>
        <w:t>comparable to other results</w:t>
      </w:r>
      <w:r w:rsidRPr="003A7499">
        <w:t xml:space="preserve"> </w:t>
      </w:r>
      <w:r>
        <w:t>(</w:t>
      </w:r>
      <w:r>
        <w:fldChar w:fldCharType="begin"/>
      </w:r>
      <w:r>
        <w:instrText xml:space="preserve"> REF _Ref73978189 \h </w:instrText>
      </w:r>
      <w:r>
        <w:fldChar w:fldCharType="separate"/>
      </w:r>
      <w:r w:rsidR="00183CC8">
        <w:t xml:space="preserve">Figure </w:t>
      </w:r>
      <w:r w:rsidR="00183CC8">
        <w:rPr>
          <w:noProof/>
        </w:rPr>
        <w:t>4</w:t>
      </w:r>
      <w:r w:rsidR="00183CC8">
        <w:t>.</w:t>
      </w:r>
      <w:r w:rsidR="00183CC8">
        <w:rPr>
          <w:noProof/>
        </w:rPr>
        <w:t>4</w:t>
      </w:r>
      <w:r>
        <w:fldChar w:fldCharType="end"/>
      </w:r>
      <w:r>
        <w:t>).</w:t>
      </w:r>
      <w:r w:rsidR="002476E9">
        <w:t xml:space="preserve"> In this scenario, layer I is made up of PG, as it has a similar contrast to the rest of the CW.</w:t>
      </w:r>
      <w:r w:rsidR="00253098">
        <w:t xml:space="preserve"> I further theorise that layer I </w:t>
      </w:r>
      <w:r w:rsidR="00637A4A">
        <w:t>is</w:t>
      </w:r>
      <w:r w:rsidR="00253098">
        <w:t xml:space="preserve"> the inner CW and that the heavily-stained layer II corresponds to TA</w:t>
      </w:r>
      <w:r w:rsidR="001B25CF">
        <w:t xml:space="preserve">, as they are highly reactive to </w:t>
      </w:r>
      <w:r w:rsidR="001B25CF" w:rsidRPr="00AE456B">
        <w:t>OsO</w:t>
      </w:r>
      <w:r w:rsidR="001B25CF" w:rsidRPr="00AE456B">
        <w:rPr>
          <w:vertAlign w:val="subscript"/>
        </w:rPr>
        <w:t>4</w:t>
      </w:r>
      <w:r w:rsidR="001B25CF">
        <w:t xml:space="preserve"> and post-stains</w:t>
      </w:r>
      <w:r w:rsidR="00412300">
        <w:t>.</w:t>
      </w:r>
      <w:r w:rsidR="00253098">
        <w:t xml:space="preserve"> </w:t>
      </w:r>
      <w:r>
        <w:t xml:space="preserve">A recent study performed with </w:t>
      </w:r>
      <w:r w:rsidR="00354DD1">
        <w:t>a</w:t>
      </w:r>
      <w:r>
        <w:t xml:space="preserve">tomic </w:t>
      </w:r>
      <w:r w:rsidR="00354DD1">
        <w:t>f</w:t>
      </w:r>
      <w:r>
        <w:t xml:space="preserve">orce </w:t>
      </w:r>
      <w:r w:rsidR="00354DD1">
        <w:t>m</w:t>
      </w:r>
      <w:r>
        <w:t>icroscopy</w:t>
      </w:r>
      <w:r w:rsidR="00354DD1">
        <w:t xml:space="preserve"> (</w:t>
      </w:r>
      <w:r>
        <w:t xml:space="preserve">AFM) has shown that </w:t>
      </w:r>
      <w:r>
        <w:rPr>
          <w:i/>
          <w:iCs/>
        </w:rPr>
        <w:t>S. aureus</w:t>
      </w:r>
      <w:r>
        <w:t xml:space="preserve"> has a differential PG structure depending on its </w:t>
      </w:r>
      <w:r w:rsidR="00B85E9A">
        <w:t xml:space="preserve">location </w:t>
      </w:r>
      <w:r>
        <w:t>(</w:t>
      </w:r>
      <w:r w:rsidR="00AE4309">
        <w:fldChar w:fldCharType="begin"/>
      </w:r>
      <w:r w:rsidR="00AE4309">
        <w:instrText xml:space="preserve"> REF _Ref79243856 \h </w:instrText>
      </w:r>
      <w:r w:rsidR="00AE4309">
        <w:fldChar w:fldCharType="separate"/>
      </w:r>
      <w:r w:rsidR="00183CC8">
        <w:t xml:space="preserve">Figure </w:t>
      </w:r>
      <w:r w:rsidR="00183CC8">
        <w:rPr>
          <w:noProof/>
        </w:rPr>
        <w:t>6</w:t>
      </w:r>
      <w:r w:rsidR="00183CC8">
        <w:t>.</w:t>
      </w:r>
      <w:r w:rsidR="00183CC8">
        <w:rPr>
          <w:noProof/>
        </w:rPr>
        <w:t>1</w:t>
      </w:r>
      <w:r w:rsidR="00AE4309">
        <w:fldChar w:fldCharType="end"/>
      </w:r>
      <w:r>
        <w:t>a)</w:t>
      </w:r>
      <w:r w:rsidR="00637A4A">
        <w:t xml:space="preserve"> </w:t>
      </w:r>
      <w:r>
        <w:fldChar w:fldCharType="begin" w:fldLock="1"/>
      </w:r>
      <w:r w:rsidR="00B3106D">
        <w:instrText>ADDIN CSL_CITATION {"citationItems":[{"id":"ITEM-1","itemData":{"DOI":"10.1038/s41586-020-2236-6","ISSN":"14764687","PMID":"32523118","abstract":"The primary structural component of the bacterial cell wall is peptidoglycan, which is essential for viability and the synthesis of which is the target for crucial antibiotics1,2. Peptidoglycan is a single macromolecule made of glycan chains crosslinked by peptide side branches that surrounds the cell, acting as a constraint to internal turgor1,3. In Gram-positive bacteria, peptidoglycan is tens of nanometres thick, generally portrayed as a homogeneous structure that provides mechanical strength4–6. Here we applied atomic force microscopy7–12 to interrogate the morphologically distinct Staphylococcus aureus and Bacillus subtilis species, using live cells and purified peptidoglycan. The mature surface of live cells is characterized by a landscape of large (up to 60 nm in diameter), deep (up to 23 nm) pores constituting a disordered gel of peptidoglycan. The inner peptidoglycan surface, consisting of more nascent material, is much denser, with glycan strand spacing typically less than 7 nm. The inner surface architecture is location dependent; the cylinder of B. subtilis has dense circumferential orientation, while in S. aureus and division septa for both species, peptidoglycan is dense but randomly oriented. Revealing the molecular architecture of the cell envelope frames our understanding of its mechanical properties and role as the environmental interface13,14, providing information complementary to traditional structural biology approaches.","author":[{"dropping-particle":"","family":"Pasquina-Lemonche","given":"L.","non-dropping-particle":"","parse-names":false,"suffix":""},{"dropping-particle":"","family":"Burns","given":"J.","non-dropping-particle":"","parse-names":false,"suffix":""},{"dropping-particle":"","family":"Turner","given":"R. D.","non-dropping-particle":"","parse-names":false,"suffix":""},{"dropping-particle":"","family":"Kumar","given":"S.","non-dropping-particle":"","parse-names":false,"suffix":""},{"dropping-particle":"","family":"Tank","given":"R.","non-dropping-particle":"","parse-names":false,"suffix":""},{"dropping-particle":"","family":"Mullin","given":"N.","non-dropping-particle":"","parse-names":false,"suffix":""},{"dropping-particle":"","family":"Wilson","given":"J. S.","non-dropping-particle":"","parse-names":false,"suffix":""},{"dropping-particle":"","family":"Chakrabarti","given":"B.","non-dropping-particle":"","parse-names":false,"suffix":""},{"dropping-particle":"","family":"Bullough","given":"P. A.","non-dropping-particle":"","parse-names":false,"suffix":""},{"dropping-particle":"","family":"Foster","given":"S. J.","non-dropping-particle":"","parse-names":false,"suffix":""},{"dropping-particle":"","family":"Hobbs","given":"J. K.","non-dropping-particle":"","parse-names":false,"suffix":""}],"container-title":"Nature","id":"ITEM-1","issue":"7811","issued":{"date-parts":[["2020"]]},"page":"294-297","publisher":"Springer US","title":"The architecture of the Gram-positive bacterial cell wall","type":"article-journal","volume":"582"},"uris":["http://www.mendeley.com/documents/?uuid=59449879-cfbc-4ac6-815a-4c720a2f8b47"]}],"mendeley":{"formattedCitation":"&lt;sup&gt;[211]&lt;/sup&gt;","plainTextFormattedCitation":"[211]","previouslyFormattedCitation":"&lt;sup&gt;[211]&lt;/sup&gt;"},"properties":{"noteIndex":0},"schema":"https://github.com/citation-style-language/schema/raw/master/csl-citation.json"}</w:instrText>
      </w:r>
      <w:r>
        <w:fldChar w:fldCharType="separate"/>
      </w:r>
      <w:r w:rsidR="002659E5" w:rsidRPr="002659E5">
        <w:rPr>
          <w:noProof/>
          <w:vertAlign w:val="superscript"/>
        </w:rPr>
        <w:t>[211]</w:t>
      </w:r>
      <w:r>
        <w:fldChar w:fldCharType="end"/>
      </w:r>
      <w:r>
        <w:t xml:space="preserve">. </w:t>
      </w:r>
      <w:r w:rsidR="001F2B7D">
        <w:t xml:space="preserve">The inner CW is composed of a </w:t>
      </w:r>
      <w:r w:rsidR="00BA1F6F">
        <w:t xml:space="preserve">(i) </w:t>
      </w:r>
      <w:r w:rsidR="001F2B7D">
        <w:t xml:space="preserve">dense mesh of randomly oriented </w:t>
      </w:r>
      <w:r w:rsidR="00BA6C91">
        <w:t xml:space="preserve">PG </w:t>
      </w:r>
      <w:r w:rsidR="001F2B7D">
        <w:t xml:space="preserve">strands. The outer </w:t>
      </w:r>
      <w:r w:rsidR="001F2B7D">
        <w:lastRenderedPageBreak/>
        <w:t xml:space="preserve">CW is either </w:t>
      </w:r>
      <w:r w:rsidR="00BA1F6F">
        <w:t xml:space="preserve">(ii) </w:t>
      </w:r>
      <w:r w:rsidR="001F2B7D">
        <w:t xml:space="preserve">an open textured porous gel, corresponding to </w:t>
      </w:r>
      <w:r w:rsidR="00BA6C91">
        <w:t>the</w:t>
      </w:r>
      <w:r w:rsidR="00F47062">
        <w:t xml:space="preserve"> more matured</w:t>
      </w:r>
      <w:r w:rsidR="001F2B7D">
        <w:t xml:space="preserve"> CW, or </w:t>
      </w:r>
      <w:r w:rsidR="00BA1F6F">
        <w:t xml:space="preserve">(iii) </w:t>
      </w:r>
      <w:r w:rsidR="001F2B7D">
        <w:t>dense concentric rings from newly synthesised PG that originates from the septal plate</w:t>
      </w:r>
      <w:r>
        <w:t xml:space="preserve">. These three PG conformations would have a similar reaction to chemical fixation and staining, however the presence or absence of </w:t>
      </w:r>
      <w:r w:rsidR="00253098">
        <w:t xml:space="preserve">a dehydrated mass of </w:t>
      </w:r>
      <w:r>
        <w:t xml:space="preserve">TA would not. </w:t>
      </w:r>
      <w:r w:rsidR="005E0F6C">
        <w:t>Hence,</w:t>
      </w:r>
      <w:r w:rsidRPr="00683460">
        <w:t xml:space="preserve"> </w:t>
      </w:r>
      <w:r w:rsidR="00F66D6C">
        <w:t xml:space="preserve">I propose that </w:t>
      </w:r>
      <w:r w:rsidRPr="00CF0DD1">
        <w:t>layer I</w:t>
      </w:r>
      <w:r>
        <w:t xml:space="preserve"> </w:t>
      </w:r>
      <w:r w:rsidR="00E3516B">
        <w:t>corresponds to</w:t>
      </w:r>
      <w:r w:rsidRPr="00417708">
        <w:t xml:space="preserve"> the</w:t>
      </w:r>
      <w:r>
        <w:t xml:space="preserve"> dense mesh of the</w:t>
      </w:r>
      <w:r w:rsidRPr="007C25C6">
        <w:rPr>
          <w:b/>
          <w:bCs/>
        </w:rPr>
        <w:t xml:space="preserve"> </w:t>
      </w:r>
      <w:r w:rsidRPr="00CF0DD1">
        <w:t>internal CW</w:t>
      </w:r>
      <w:r>
        <w:t xml:space="preserve">, </w:t>
      </w:r>
      <w:r w:rsidR="00F66D6C">
        <w:t>and</w:t>
      </w:r>
      <w:r w:rsidRPr="00CF0DD1">
        <w:t xml:space="preserve"> Layer II</w:t>
      </w:r>
      <w:r w:rsidRPr="00FB5C52">
        <w:rPr>
          <w:b/>
          <w:bCs/>
        </w:rPr>
        <w:t xml:space="preserve"> </w:t>
      </w:r>
      <w:r w:rsidR="00E3516B">
        <w:t>is</w:t>
      </w:r>
      <w:r>
        <w:t xml:space="preserve"> </w:t>
      </w:r>
      <w:r w:rsidR="0007451E">
        <w:t>either WTA or LTA</w:t>
      </w:r>
      <w:r w:rsidRPr="00CF0DD1">
        <w:t xml:space="preserve"> delimiting the </w:t>
      </w:r>
      <w:r w:rsidR="00E3516B">
        <w:t>start of the</w:t>
      </w:r>
      <w:r w:rsidRPr="00CF0DD1">
        <w:t xml:space="preserve"> external CW</w:t>
      </w:r>
      <w:r>
        <w:t xml:space="preserve"> (concentric rings at the septum or a matured loose mesh at the periphery of the cell) (</w:t>
      </w:r>
      <w:r w:rsidR="00AE4309">
        <w:fldChar w:fldCharType="begin"/>
      </w:r>
      <w:r w:rsidR="00AE4309">
        <w:instrText xml:space="preserve"> REF _Ref79243856 \h </w:instrText>
      </w:r>
      <w:r w:rsidR="00AE4309">
        <w:fldChar w:fldCharType="separate"/>
      </w:r>
      <w:r w:rsidR="00183CC8">
        <w:t xml:space="preserve">Figure </w:t>
      </w:r>
      <w:r w:rsidR="00183CC8">
        <w:rPr>
          <w:noProof/>
        </w:rPr>
        <w:t>6</w:t>
      </w:r>
      <w:r w:rsidR="00183CC8">
        <w:t>.</w:t>
      </w:r>
      <w:r w:rsidR="00183CC8">
        <w:rPr>
          <w:noProof/>
        </w:rPr>
        <w:t>1</w:t>
      </w:r>
      <w:r w:rsidR="00AE4309">
        <w:fldChar w:fldCharType="end"/>
      </w:r>
      <w:r>
        <w:t xml:space="preserve">a). </w:t>
      </w:r>
    </w:p>
    <w:p w14:paraId="349AC35D" w14:textId="4C83FDCA" w:rsidR="0060533C" w:rsidRDefault="00E01460" w:rsidP="00163A4E">
      <w:r>
        <w:t xml:space="preserve">Is it possible that layer II is made-up of LTA? </w:t>
      </w:r>
      <w:r w:rsidR="0093795E">
        <w:t xml:space="preserve">It is unlikely that LTA would branch out so far into the CW, as the </w:t>
      </w:r>
      <w:r w:rsidR="00965617">
        <w:t xml:space="preserve">average </w:t>
      </w:r>
      <w:r w:rsidR="007A175A">
        <w:t>length</w:t>
      </w:r>
      <w:r w:rsidR="0093795E">
        <w:t xml:space="preserve"> of LTA </w:t>
      </w:r>
      <w:r w:rsidR="00F86DE3">
        <w:t xml:space="preserve">chains </w:t>
      </w:r>
      <w:r w:rsidR="0093795E">
        <w:t xml:space="preserve">in </w:t>
      </w:r>
      <w:r w:rsidR="0093795E">
        <w:rPr>
          <w:i/>
          <w:iCs/>
        </w:rPr>
        <w:t>S. aureus</w:t>
      </w:r>
      <w:r w:rsidR="0093795E">
        <w:t xml:space="preserve"> </w:t>
      </w:r>
      <w:r w:rsidR="00D75DE1">
        <w:t xml:space="preserve">(~ 22 nm) </w:t>
      </w:r>
      <w:r w:rsidR="002104CF">
        <w:t>is</w:t>
      </w:r>
      <w:r w:rsidR="0093795E">
        <w:t xml:space="preserve"> </w:t>
      </w:r>
      <w:r w:rsidR="00E264C5">
        <w:t>closer</w:t>
      </w:r>
      <w:r w:rsidR="0093795E">
        <w:t xml:space="preserve"> to the width </w:t>
      </w:r>
      <w:r w:rsidR="00307BF9">
        <w:t xml:space="preserve">of </w:t>
      </w:r>
      <w:r w:rsidR="0093795E">
        <w:t>the hydrated exoplasm</w:t>
      </w:r>
      <w:r w:rsidR="00AB362A">
        <w:t xml:space="preserve"> (~ 15.8 nm ± 2.5 nm)</w:t>
      </w:r>
      <w:r w:rsidR="0093795E">
        <w:t xml:space="preserve"> </w:t>
      </w:r>
      <w:r w:rsidR="0093795E">
        <w:fldChar w:fldCharType="begin" w:fldLock="1"/>
      </w:r>
      <w:r w:rsidR="005F2DD4">
        <w:instrText xml:space="preserve">ADDIN CSL_CITATION {"citationItems":[{"id":"ITEM-1","itemData":{"DOI":"10.1146/annurev-micro-091213-112949","abstract":"Lipoteichoic acid (LTA) is an important cell wall polymer found in gram- positive bacteria. Although the exact role of LTA is unknown, mutants dis- play significant growth and physiological defects. Additionally,modification of the LTA backbone structure can provide protection against cationic an- timicrobial peptides. This review provides an overview of the different LTA types and their chemical structures and synthesis pathways. The occurrence and mechanisms of LTA modifications with D-alanyl, glycosyl, and phos- phocholine residueswill be discussed alongwith their functions. Similarities between the production of type I LTA and osmoregulated periplasmic glu- cans in gram-negative bacteria are highlighted, indicating that LTA should perhaps be compared to these polymers rather than lipopolysaccharide, as is presently the case. Lastly, current efforts to use LTAs as vaccine candidates, synthesis proteins as novel antimicrobial targets, and LTAmutant strains as improved probiotics are highlighted. 81","author":[{"dropping-particle":"","family":"Percy","given":"Matthew G","non-dropping-particle":"","parse-names":false,"suffix":""},{"dropping-particle":"","family":"Grundling","given":"Angelika","non-dropping-particle":"","parse-names":false,"suffix":""}],"container-title":"Annual Review of Microbiology","id":"ITEM-1","issued":{"date-parts":[["2014"]]},"note":"LTA gram +\n\nevidence of a direct interaction between cell division proteins and LTA synthesis proteins was recently provided for S. aureus (105). An S. aureus ltaS mutant can only be maintained under osmotically stabilizing conditions in medium with a high concentration of NaCl or sucrose, after acquisition of compensatory mutations, or, for some strains, by lowering the growth temperature (22, 44, 97). The observa- tion that an S. aureus ltaS mutant can be rescued in high-osmolality medium or by an increase in the cellular concentration of cyclic-diadenosine-monophosphate (c-di-AMP), a nucleotide- signaling molecule that has been implicated in the control of potassium and/or other ion trans- port (9, 22–24, 94, 97), might indicate a crucial function of LTA in the osmoprotection of the cell.\nType","page":"81-100","title":"Lipoteichoic Acid Synthesis and Function in Gram-Positive Bacteria","type":"article-journal","volume":"68"},"uris":["http://www.mendeley.com/documents/?uuid=cf9f72fd-73c1-4d80-bfa0-ad9e73dc48f0"]},{"id":"ITEM-2","itemData":{"DOI":"10.3389/fmicb.2021.664704","ISSN":"1664302X","abstract":"The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F2DD4">
        <w:rPr>
          <w:rFonts w:ascii="Cambria Math" w:hAnsi="Cambria Math" w:cs="Cambria Math"/>
        </w:rPr>
        <w:instrText>∼</w:instrText>
      </w:r>
      <w:r w:rsidR="005F2DD4">
        <w:instrText xml:space="preserve">0.5 M, which would bring in </w:instrText>
      </w:r>
      <w:r w:rsidR="005F2DD4">
        <w:rPr>
          <w:rFonts w:ascii="Cambria Math" w:hAnsi="Cambria Math" w:cs="Cambria Math"/>
        </w:rPr>
        <w:instrText>∼</w:instrText>
      </w:r>
      <w:r w:rsidR="005F2DD4">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Microbiology","id":"ITEM-2","issue":"May","issued":{"date-parts":[["2021"]]},"page":"1-11","title":"How Teichoic Acids Could Support a Periplasm in Gram-Positive Bacteria, and Let Cell Division Cheat Turgor Pressure","type":"article-journal","volume":"12"},"uris":["http://www.mendeley.com/documents/?uuid=8e106983-147c-42ae-88fd-3e44783b571f"]}],"mendeley":{"formattedCitation":"&lt;sup&gt;[84,166]&lt;/sup&gt;","plainTextFormattedCitation":"[84,166]","previouslyFormattedCitation":"&lt;sup&gt;[84,166]&lt;/sup&gt;"},"properties":{"noteIndex":0},"schema":"https://github.com/citation-style-language/schema/raw/master/csl-citation.json"}</w:instrText>
      </w:r>
      <w:r w:rsidR="0093795E">
        <w:fldChar w:fldCharType="separate"/>
      </w:r>
      <w:r w:rsidR="0054658D" w:rsidRPr="0054658D">
        <w:rPr>
          <w:noProof/>
          <w:vertAlign w:val="superscript"/>
        </w:rPr>
        <w:t>[84,166]</w:t>
      </w:r>
      <w:r w:rsidR="0093795E">
        <w:fldChar w:fldCharType="end"/>
      </w:r>
      <w:r w:rsidR="0093795E">
        <w:t>. In dehydrated cells, LTA collapses</w:t>
      </w:r>
      <w:r w:rsidR="00307BF9">
        <w:t xml:space="preserve"> </w:t>
      </w:r>
      <w:r w:rsidR="0093795E">
        <w:t xml:space="preserve">in the </w:t>
      </w:r>
      <w:r w:rsidR="003F282C">
        <w:t>ES</w:t>
      </w:r>
      <w:r w:rsidR="0093795E">
        <w:t xml:space="preserve">, which leads to the heavily stained band observed in both chemical fixation and FS samples. This idea is </w:t>
      </w:r>
      <w:r w:rsidR="00E412AE">
        <w:t>consistent with</w:t>
      </w:r>
      <w:r w:rsidR="0093795E">
        <w:t xml:space="preserve"> Erickson (2021) </w:t>
      </w:r>
      <w:r w:rsidR="0093795E">
        <w:fldChar w:fldCharType="begin" w:fldLock="1"/>
      </w:r>
      <w:r w:rsidR="005F2DD4">
        <w:instrText xml:space="preserve">ADDIN CSL_CITATION {"citationItems":[{"id":"ITEM-1","itemData":{"DOI":"10.3389/fmicb.2021.664704","ISSN":"1664302X","abstract":"The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F2DD4">
        <w:rPr>
          <w:rFonts w:ascii="Cambria Math" w:hAnsi="Cambria Math" w:cs="Cambria Math"/>
        </w:rPr>
        <w:instrText>∼</w:instrText>
      </w:r>
      <w:r w:rsidR="005F2DD4">
        <w:instrText xml:space="preserve">0.5 M, which would bring in </w:instrText>
      </w:r>
      <w:r w:rsidR="005F2DD4">
        <w:rPr>
          <w:rFonts w:ascii="Cambria Math" w:hAnsi="Cambria Math" w:cs="Cambria Math"/>
        </w:rPr>
        <w:instrText>∼</w:instrText>
      </w:r>
      <w:r w:rsidR="005F2DD4">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Microbiology","id":"ITEM-1","issue":"May","issued":{"date-parts":[["2021"]]},"page":"1-11","title":"How Teichoic Acids Could Support a Periplasm in Gram-Positive Bacteria, and Let Cell Division Cheat Turgor Pressure","type":"article-journal","volume":"12"},"uris":["http://www.mendeley.com/documents/?uuid=8e106983-147c-42ae-88fd-3e44783b571f"]}],"mendeley":{"formattedCitation":"&lt;sup&gt;[166]&lt;/sup&gt;","plainTextFormattedCitation":"[166]","previouslyFormattedCitation":"&lt;sup&gt;[166]&lt;/sup&gt;"},"properties":{"noteIndex":0},"schema":"https://github.com/citation-style-language/schema/raw/master/csl-citation.json"}</w:instrText>
      </w:r>
      <w:r w:rsidR="0093795E">
        <w:fldChar w:fldCharType="separate"/>
      </w:r>
      <w:r w:rsidR="0054658D" w:rsidRPr="0054658D">
        <w:rPr>
          <w:noProof/>
          <w:vertAlign w:val="superscript"/>
        </w:rPr>
        <w:t>[166]</w:t>
      </w:r>
      <w:r w:rsidR="0093795E">
        <w:fldChar w:fldCharType="end"/>
      </w:r>
      <w:r w:rsidR="0093795E">
        <w:t>, who proposes that</w:t>
      </w:r>
      <w:r w:rsidR="002E7323">
        <w:t xml:space="preserve"> </w:t>
      </w:r>
      <w:r w:rsidR="0093795E">
        <w:t xml:space="preserve">LTA </w:t>
      </w:r>
      <w:r w:rsidR="00426BA2">
        <w:t xml:space="preserve">molecules </w:t>
      </w:r>
      <w:r w:rsidR="00266D52">
        <w:t>are present in such high numbers</w:t>
      </w:r>
      <w:r w:rsidR="008A1351">
        <w:t>,</w:t>
      </w:r>
      <w:r w:rsidR="00266D52">
        <w:t xml:space="preserve"> that they </w:t>
      </w:r>
      <w:r w:rsidR="0093795E">
        <w:t xml:space="preserve">are </w:t>
      </w:r>
      <w:r w:rsidR="00DD69AE">
        <w:t>un</w:t>
      </w:r>
      <w:r w:rsidR="0093795E">
        <w:t xml:space="preserve">able to penetrated the </w:t>
      </w:r>
      <w:r w:rsidR="00A12472">
        <w:t>infrequent</w:t>
      </w:r>
      <w:r w:rsidR="00426BA2">
        <w:t xml:space="preserve"> pores </w:t>
      </w:r>
      <w:r w:rsidR="00D80FC7">
        <w:t>present</w:t>
      </w:r>
      <w:r w:rsidR="00426BA2">
        <w:t xml:space="preserve"> </w:t>
      </w:r>
      <w:r w:rsidR="008A1351">
        <w:t xml:space="preserve">in the </w:t>
      </w:r>
      <w:r w:rsidR="0093795E">
        <w:t xml:space="preserve">dense mesh of the inner CW. Although further studies are necessary, preliminary data </w:t>
      </w:r>
      <w:r w:rsidR="001B01C9">
        <w:t xml:space="preserve">from this </w:t>
      </w:r>
      <w:r w:rsidR="00F219AE">
        <w:t>study</w:t>
      </w:r>
      <w:r w:rsidR="001B01C9">
        <w:t xml:space="preserve"> </w:t>
      </w:r>
      <w:r w:rsidR="00143FBC">
        <w:t xml:space="preserve">also </w:t>
      </w:r>
      <w:r w:rsidR="0093795E">
        <w:t>show</w:t>
      </w:r>
      <w:r w:rsidR="001B01C9">
        <w:t>s</w:t>
      </w:r>
      <w:r w:rsidR="0093795E">
        <w:t xml:space="preserve"> that layer II is present in </w:t>
      </w:r>
      <w:r w:rsidR="008A1E38">
        <w:t>LTA-lacking strains</w:t>
      </w:r>
      <w:r w:rsidR="000A4113">
        <w:t>,</w:t>
      </w:r>
      <w:r w:rsidR="0093795E">
        <w:t xml:space="preserve"> </w:t>
      </w:r>
      <w:r w:rsidR="0093795E" w:rsidRPr="005C0351">
        <w:rPr>
          <w:i/>
          <w:iCs/>
        </w:rPr>
        <w:t>iltaS</w:t>
      </w:r>
      <w:r w:rsidR="0093795E" w:rsidRPr="005C0351">
        <w:t xml:space="preserve"> and</w:t>
      </w:r>
      <w:r w:rsidR="0093795E">
        <w:t xml:space="preserve"> </w:t>
      </w:r>
      <w:r w:rsidR="0093795E" w:rsidRPr="00446B63">
        <w:rPr>
          <w:i/>
          <w:iCs/>
        </w:rPr>
        <w:t>ltaS</w:t>
      </w:r>
      <w:r w:rsidR="0093795E">
        <w:t xml:space="preserve"> </w:t>
      </w:r>
      <w:r w:rsidR="0093795E">
        <w:rPr>
          <w:i/>
          <w:iCs/>
        </w:rPr>
        <w:t>gdpP</w:t>
      </w:r>
      <w:r w:rsidR="009718C8">
        <w:rPr>
          <w:i/>
          <w:iCs/>
        </w:rPr>
        <w:t>::kan</w:t>
      </w:r>
      <w:r w:rsidR="0093795E">
        <w:t xml:space="preserve"> (</w:t>
      </w:r>
      <w:r w:rsidR="0093795E">
        <w:fldChar w:fldCharType="begin"/>
      </w:r>
      <w:r w:rsidR="0093795E">
        <w:instrText xml:space="preserve"> REF _Ref75076238 \h </w:instrText>
      </w:r>
      <w:r w:rsidR="0093795E">
        <w:fldChar w:fldCharType="separate"/>
      </w:r>
      <w:r w:rsidR="00183CC8">
        <w:t xml:space="preserve">Figure </w:t>
      </w:r>
      <w:r w:rsidR="00183CC8">
        <w:rPr>
          <w:noProof/>
        </w:rPr>
        <w:t>4</w:t>
      </w:r>
      <w:r w:rsidR="00183CC8">
        <w:t>.</w:t>
      </w:r>
      <w:r w:rsidR="00183CC8">
        <w:rPr>
          <w:noProof/>
        </w:rPr>
        <w:t>23</w:t>
      </w:r>
      <w:r w:rsidR="0093795E">
        <w:fldChar w:fldCharType="end"/>
      </w:r>
      <w:r w:rsidR="004B5D0F">
        <w:t xml:space="preserve">, </w:t>
      </w:r>
      <w:r w:rsidR="004B5D0F">
        <w:fldChar w:fldCharType="begin"/>
      </w:r>
      <w:r w:rsidR="004B5D0F">
        <w:instrText xml:space="preserve"> REF _Ref79243856 \h </w:instrText>
      </w:r>
      <w:r w:rsidR="004B5D0F">
        <w:fldChar w:fldCharType="separate"/>
      </w:r>
      <w:r w:rsidR="00183CC8">
        <w:t xml:space="preserve">Figure </w:t>
      </w:r>
      <w:r w:rsidR="00183CC8">
        <w:rPr>
          <w:noProof/>
        </w:rPr>
        <w:t>6</w:t>
      </w:r>
      <w:r w:rsidR="00183CC8">
        <w:t>.</w:t>
      </w:r>
      <w:r w:rsidR="00183CC8">
        <w:rPr>
          <w:noProof/>
        </w:rPr>
        <w:t>1</w:t>
      </w:r>
      <w:r w:rsidR="004B5D0F">
        <w:fldChar w:fldCharType="end"/>
      </w:r>
      <w:r w:rsidR="004B5D0F">
        <w:t>c</w:t>
      </w:r>
      <w:r w:rsidR="0093795E">
        <w:t>)</w:t>
      </w:r>
      <w:r w:rsidR="00A23A53">
        <w:t>.</w:t>
      </w:r>
      <w:r w:rsidR="0093795E">
        <w:t xml:space="preserve"> </w:t>
      </w:r>
      <w:r w:rsidR="00A23A53">
        <w:t xml:space="preserve">This might indicate that layer II is therefore made of </w:t>
      </w:r>
      <w:r w:rsidR="001B01C9">
        <w:t>WTA</w:t>
      </w:r>
      <w:r w:rsidR="00A23A53">
        <w:t xml:space="preserve"> instead</w:t>
      </w:r>
      <w:r w:rsidR="00143FBC">
        <w:t xml:space="preserve">. </w:t>
      </w:r>
      <w:r w:rsidR="0093795E">
        <w:t xml:space="preserve">Yet, a higher number of cells </w:t>
      </w:r>
      <w:r w:rsidR="001B01C9">
        <w:t xml:space="preserve">and biological repeats </w:t>
      </w:r>
      <w:r w:rsidR="000D67F6">
        <w:t>are needed</w:t>
      </w:r>
      <w:r w:rsidR="0093795E">
        <w:t xml:space="preserve"> to confirm the existence of this layer throughout a bigger sample population</w:t>
      </w:r>
      <w:r w:rsidR="00DA7F43">
        <w:t xml:space="preserve"> before dismissing this completely.</w:t>
      </w:r>
    </w:p>
    <w:p w14:paraId="40ABE447" w14:textId="2AB96D0E" w:rsidR="00EB7296" w:rsidRDefault="0093795E" w:rsidP="00163A4E">
      <w:r>
        <w:t xml:space="preserve">The </w:t>
      </w:r>
      <w:r w:rsidR="00A03F8D">
        <w:t>hypothesis</w:t>
      </w:r>
      <w:r>
        <w:t xml:space="preserve"> that layer II is made of WTA </w:t>
      </w:r>
      <w:r w:rsidR="007E4D2E">
        <w:t>could suggest</w:t>
      </w:r>
      <w:r>
        <w:t xml:space="preserve"> that these polymers are not present in the inner CW</w:t>
      </w:r>
      <w:r w:rsidR="004C5DFF">
        <w:t xml:space="preserve"> (dense mesh)</w:t>
      </w:r>
      <w:r w:rsidR="00983F74">
        <w:t xml:space="preserve">. </w:t>
      </w:r>
      <w:r w:rsidR="00983F74" w:rsidRPr="005C141E">
        <w:t>This suggestions</w:t>
      </w:r>
      <w:r w:rsidRPr="005C141E">
        <w:t xml:space="preserve"> seems unlikely given that WTA </w:t>
      </w:r>
      <w:r w:rsidR="00983F74" w:rsidRPr="005C141E">
        <w:t>are</w:t>
      </w:r>
      <w:r w:rsidR="005F2DD4" w:rsidRPr="005C141E">
        <w:t xml:space="preserve"> coupled to uncrosslinked PG by membrane-associated LCP enzymes</w:t>
      </w:r>
      <w:r w:rsidR="005F2DD4">
        <w:t xml:space="preserve"> </w:t>
      </w:r>
      <w:r>
        <w:fldChar w:fldCharType="begin" w:fldLock="1"/>
      </w:r>
      <w:r w:rsidR="00C6380F">
        <w:instrText>ADDIN CSL_CITATION {"citationItems":[{"id":"ITEM-1","itemData":{"DOI":"10.3390/ijms22020908","ISSN":"14220067","PMID":"33477538","abstract":"The cell walls of Gram-positive bacteria contain a variety of glycopolymers (CWGPs), a significant proportion of which are covalently linked to the peptidoglycan (PGN) scaffolding struc-ture. Prominent CWGPs include wall teichoic acids of Staphylococcus aureus, streptococcal capsules, mycobacterial arabinogalactan, and rhamnose-containing polysaccharides of lactic acid bacteria. CWGPs serve important roles in bacterial cellular functions, morphology, and virulence. Despite evi-dent differences in composition, structure and underlaying biosynthesis pathways, the final ligation step of CWGPs to the PGN backbone involves a conserved class of enzymes—the LytR-CpsA-Psr (LCP) transferases. Typically, the enzymes are present in multiple copies displaying partly functional redundancy and/or preference for a distinct CWGP type. LCP enzymes require a lipid-phosphate-linked glycan precursor substrate and catalyse, with a certain degree of promiscuity, CWGP transfer to PGN of different maturation stages, according to in vitro evidence. The prototype attachment mode is that to the C6-OH of N-acetylmuramic acid residues via installation of a phosphodiester bond. In some cases, attachment proceeds to N-acetylglucosamine residues of PGN—in the case of the Streptococcus agalactiae capsule, even without involvement of a phosphate bond. A novel aspect of LCP enzymes concerns a predicted role in protein glycosylation in Actinomyces oris. Available crystal structures provide further insight into the catalytic mechanism of this biologically important class of enzymes, which are gaining attention as new targets for antibacterial drug discovery to counteract the emergence of multidrug resistant bacteria.","author":[{"dropping-particle":"","family":"Stefanović","given":"Cordula","non-dropping-particle":"","parse-names":false,"suffix":""},{"dropping-particle":"","family":"Hager","given":"Fiona F.","non-dropping-particle":"","parse-names":false,"suffix":""},{"dropping-particle":"","family":"Schäffer","given":"Christina","non-dropping-particle":"","parse-names":false,"suffix":""}],"container-title":"International Journal of Molecular Sciences","id":"ITEM-1","issue":"2","issued":{"date-parts":[["2021","1","18"]]},"page":"1-34","publisher":"Multidisciplinary Digital Publishing Institute","title":"Lytr-cpsa-psr glycopolymer transferases: Essential bricks in gram-positive bacterial cell wall assembly","type":"article-journal","volume":"22"},"uris":["http://www.mendeley.com/documents/?uuid=9a61f050-a75c-48be-8ac8-48ebc72b2d62"]},{"id":"ITEM-2","itemData":{"DOI":"10.1021/jacs.7b13551","ISSN":"15205126","PMID":"29402087","abstract":"The Gram-positive bacterial cell wall is a large supramolecular structure and its assembly requires coordination of complex biosynthetic pathways. In the step that merges the two major biosynthetic pathways in Staphylococcus aureus cell wall assembly, conserved protein ligases attach wall teichoic acids to peptidoglycan, but the order of biosynthetic events is a longstanding question. Here, we use a chemical approach to define which of the possible peptidoglycan intermediates are substrates for wall-teichoic acid ligases, thereby establishing the order of cell wall assembly. We have developed a strategy to make defined glycan chain-length polymers of either un-cross-linked or cross-linked peptidoglycan, and we find that wall teichoic acid ligases cannot transfer wall teichoic acid precursors to the cross-linked substrates. A 1.9 Å crystal structure of a LytR-CpsA-Psr (LCP) family ligase in complex with a wall teichoic acid precursor defines the location of the peptidoglycan binding site as a long, narrow groove, and suggests that the basis for selectivity is steric exclusion of cross-linked peptidoglycan. Consistent with this hypothesis, we have found that chitin oligomers are good substrates for transfer, showing that LCPs do not discriminate cross-linked from un-cross-linked peptidoglycan substrates by recognizing features of the un-cross-linked stem peptide. We conclude that wall teichoic acids are coupled to un-cross-linked peptidoglycan chains at an early stage of peptidoglycan synthesis and may create marks that define the proper spacing of subsequent cross-links.","author":[{"dropping-particle":"","family":"Schaefer","given":"Kaitlin","non-dropping-particle":"","parse-names":false,"suffix":""},{"dropping-particle":"","family":"Owens","given":"Tristan W","non-dropping-particle":"","parse-names":false,"suffix":""},{"dropping-particle":"","family":"Kahne","given":"Daniel","non-dropping-particle":"","parse-names":false,"suffix":""},{"dropping-particle":"","family":"Walker","given":"Suzanne","non-dropping-particle":"","parse-names":false,"suffix":""}],"container-title":"Journal of the American Chemical Society","id":"ITEM-2","issue":"7","issued":{"date-parts":[["2018"]]},"page":"2442-2445","title":"Substrate Preferences Establish the Order of Cell Wall Assembly in Staphylococcus aureus","type":"article-journal","volume":"140"},"uris":["http://www.mendeley.com/documents/?uuid=8e6ae4ef-9032-49c6-a162-71beec4cd88a"]}],"mendeley":{"formattedCitation":"&lt;sup&gt;[139,140]&lt;/sup&gt;","plainTextFormattedCitation":"[139,140]","previouslyFormattedCitation":"&lt;sup&gt;[139,140]&lt;/sup&gt;"},"properties":{"noteIndex":0},"schema":"https://github.com/citation-style-language/schema/raw/master/csl-citation.json"}</w:instrText>
      </w:r>
      <w:r>
        <w:fldChar w:fldCharType="separate"/>
      </w:r>
      <w:r w:rsidR="00B5638A" w:rsidRPr="00B5638A">
        <w:rPr>
          <w:noProof/>
          <w:vertAlign w:val="superscript"/>
        </w:rPr>
        <w:t>[139,140]</w:t>
      </w:r>
      <w:r>
        <w:fldChar w:fldCharType="end"/>
      </w:r>
      <w:r>
        <w:t xml:space="preserve">. Nevertheless, it </w:t>
      </w:r>
      <w:r w:rsidR="0011176D">
        <w:t xml:space="preserve">is worth investigating and </w:t>
      </w:r>
      <w:r w:rsidR="00F544DF">
        <w:t>confirm</w:t>
      </w:r>
      <w:r>
        <w:t xml:space="preserve"> </w:t>
      </w:r>
      <w:r w:rsidR="00F544DF">
        <w:t xml:space="preserve">if </w:t>
      </w:r>
      <w:r>
        <w:t>these polymers</w:t>
      </w:r>
      <w:r w:rsidR="00C6380F">
        <w:t xml:space="preserve"> are</w:t>
      </w:r>
      <w:r>
        <w:t xml:space="preserve"> </w:t>
      </w:r>
      <w:r w:rsidR="000D7B8F">
        <w:t>able</w:t>
      </w:r>
      <w:r w:rsidR="00F544DF">
        <w:t xml:space="preserve"> or not</w:t>
      </w:r>
      <w:r w:rsidR="000D7B8F">
        <w:t xml:space="preserve"> to </w:t>
      </w:r>
      <w:r w:rsidR="00C6380F">
        <w:t xml:space="preserve">be </w:t>
      </w:r>
      <w:r>
        <w:t xml:space="preserve">anchored to the dense mesh of the inner wall. </w:t>
      </w:r>
      <w:r w:rsidRPr="00BC0CE9">
        <w:t xml:space="preserve">Although </w:t>
      </w:r>
      <w:r w:rsidR="00B06E14">
        <w:t>all</w:t>
      </w:r>
      <w:r w:rsidR="00F171B0">
        <w:t xml:space="preserve"> </w:t>
      </w:r>
      <w:r w:rsidR="00B06E14">
        <w:t xml:space="preserve">three </w:t>
      </w:r>
      <w:r w:rsidRPr="00BC0CE9">
        <w:t xml:space="preserve">PG </w:t>
      </w:r>
      <w:r w:rsidR="00943ED6">
        <w:t>structure</w:t>
      </w:r>
      <w:r w:rsidR="00D1194B">
        <w:t>s</w:t>
      </w:r>
      <w:r w:rsidR="00943ED6">
        <w:t xml:space="preserve"> </w:t>
      </w:r>
      <w:r w:rsidR="00F171B0">
        <w:t>are</w:t>
      </w:r>
      <w:r w:rsidRPr="00BC0CE9">
        <w:t xml:space="preserve"> chemically similar</w:t>
      </w:r>
      <w:r w:rsidR="00B06E14">
        <w:t xml:space="preserve"> (</w:t>
      </w:r>
      <w:r w:rsidR="00B06E14">
        <w:fldChar w:fldCharType="begin"/>
      </w:r>
      <w:r w:rsidR="00B06E14">
        <w:instrText xml:space="preserve"> REF _Ref79243856 \h </w:instrText>
      </w:r>
      <w:r w:rsidR="00B06E14">
        <w:fldChar w:fldCharType="separate"/>
      </w:r>
      <w:r w:rsidR="00183CC8">
        <w:t xml:space="preserve">Figure </w:t>
      </w:r>
      <w:r w:rsidR="00183CC8">
        <w:rPr>
          <w:noProof/>
        </w:rPr>
        <w:t>6</w:t>
      </w:r>
      <w:r w:rsidR="00183CC8">
        <w:t>.</w:t>
      </w:r>
      <w:r w:rsidR="00183CC8">
        <w:rPr>
          <w:noProof/>
        </w:rPr>
        <w:t>1</w:t>
      </w:r>
      <w:r w:rsidR="00B06E14">
        <w:fldChar w:fldCharType="end"/>
      </w:r>
      <w:r w:rsidR="00B06E14">
        <w:t>a)</w:t>
      </w:r>
      <w:r w:rsidRPr="00BC0CE9">
        <w:t xml:space="preserve"> </w:t>
      </w:r>
      <w:r w:rsidR="008D218E">
        <w:fldChar w:fldCharType="begin" w:fldLock="1"/>
      </w:r>
      <w:r w:rsidR="00B3106D">
        <w:instrText>ADDIN CSL_CITATION {"citationItems":[{"id":"ITEM-1","itemData":{"DOI":"10.1038/s41586-020-2236-6","ISSN":"14764687","PMID":"32523118","abstract":"The primary structural component of the bacterial cell wall is peptidoglycan, which is essential for viability and the synthesis of which is the target for crucial antibiotics1,2. Peptidoglycan is a single macromolecule made of glycan chains crosslinked by peptide side branches that surrounds the cell, acting as a constraint to internal turgor1,3. In Gram-positive bacteria, peptidoglycan is tens of nanometres thick, generally portrayed as a homogeneous structure that provides mechanical strength4–6. Here we applied atomic force microscopy7–12 to interrogate the morphologically distinct Staphylococcus aureus and Bacillus subtilis species, using live cells and purified peptidoglycan. The mature surface of live cells is characterized by a landscape of large (up to 60 nm in diameter), deep (up to 23 nm) pores constituting a disordered gel of peptidoglycan. The inner peptidoglycan surface, consisting of more nascent material, is much denser, with glycan strand spacing typically less than 7 nm. The inner surface architecture is location dependent; the cylinder of B. subtilis has dense circumferential orientation, while in S. aureus and division septa for both species, peptidoglycan is dense but randomly oriented. Revealing the molecular architecture of the cell envelope frames our understanding of its mechanical properties and role as the environmental interface13,14, providing information complementary to traditional structural biology approaches.","author":[{"dropping-particle":"","family":"Pasquina-Lemonche","given":"L.","non-dropping-particle":"","parse-names":false,"suffix":""},{"dropping-particle":"","family":"Burns","given":"J.","non-dropping-particle":"","parse-names":false,"suffix":""},{"dropping-particle":"","family":"Turner","given":"R. D.","non-dropping-particle":"","parse-names":false,"suffix":""},{"dropping-particle":"","family":"Kumar","given":"S.","non-dropping-particle":"","parse-names":false,"suffix":""},{"dropping-particle":"","family":"Tank","given":"R.","non-dropping-particle":"","parse-names":false,"suffix":""},{"dropping-particle":"","family":"Mullin","given":"N.","non-dropping-particle":"","parse-names":false,"suffix":""},{"dropping-particle":"","family":"Wilson","given":"J. S.","non-dropping-particle":"","parse-names":false,"suffix":""},{"dropping-particle":"","family":"Chakrabarti","given":"B.","non-dropping-particle":"","parse-names":false,"suffix":""},{"dropping-particle":"","family":"Bullough","given":"P. A.","non-dropping-particle":"","parse-names":false,"suffix":""},{"dropping-particle":"","family":"Foster","given":"S. J.","non-dropping-particle":"","parse-names":false,"suffix":""},{"dropping-particle":"","family":"Hobbs","given":"J. K.","non-dropping-particle":"","parse-names":false,"suffix":""}],"container-title":"Nature","id":"ITEM-1","issue":"7811","issued":{"date-parts":[["2020"]]},"page":"294-297","publisher":"Springer US","title":"The architecture of the Gram-positive bacterial cell wall","type":"article-journal","volume":"582"},"uris":["http://www.mendeley.com/documents/?uuid=59449879-cfbc-4ac6-815a-4c720a2f8b47"]}],"mendeley":{"formattedCitation":"&lt;sup&gt;[211]&lt;/sup&gt;","plainTextFormattedCitation":"[211]","previouslyFormattedCitation":"&lt;sup&gt;[211]&lt;/sup&gt;"},"properties":{"noteIndex":0},"schema":"https://github.com/citation-style-language/schema/raw/master/csl-citation.json"}</w:instrText>
      </w:r>
      <w:r w:rsidR="008D218E">
        <w:fldChar w:fldCharType="separate"/>
      </w:r>
      <w:r w:rsidR="002659E5" w:rsidRPr="002659E5">
        <w:rPr>
          <w:noProof/>
          <w:vertAlign w:val="superscript"/>
        </w:rPr>
        <w:t>[211]</w:t>
      </w:r>
      <w:r w:rsidR="008D218E">
        <w:fldChar w:fldCharType="end"/>
      </w:r>
      <w:r w:rsidRPr="00BC0CE9">
        <w:t>, t</w:t>
      </w:r>
      <w:r w:rsidRPr="00687FBC">
        <w:t>he level of crosslinking or unlinked glycan ends could differ</w:t>
      </w:r>
      <w:r w:rsidR="00B404F7">
        <w:t>,</w:t>
      </w:r>
      <w:r w:rsidR="00C03723">
        <w:t xml:space="preserve"> and this </w:t>
      </w:r>
      <w:r w:rsidR="00C6380F">
        <w:t>would</w:t>
      </w:r>
      <w:r w:rsidR="00BC6DCD">
        <w:t xml:space="preserve"> factor in the localisation of </w:t>
      </w:r>
      <w:r>
        <w:t>WTA</w:t>
      </w:r>
      <w:r w:rsidR="00C6380F">
        <w:t xml:space="preserve"> </w:t>
      </w:r>
      <w:r w:rsidR="00C6380F">
        <w:fldChar w:fldCharType="begin" w:fldLock="1"/>
      </w:r>
      <w:r w:rsidR="001F5541">
        <w:instrText>ADDIN CSL_CITATION {"citationItems":[{"id":"ITEM-1","itemData":{"DOI":"10.1021/jacs.7b13551","ISSN":"15205126","PMID":"29402087","abstract":"The Gram-positive bacterial cell wall is a large supramolecular structure and its assembly requires coordination of complex biosynthetic pathways. In the step that merges the two major biosynthetic pathways in Staphylococcus aureus cell wall assembly, conserved protein ligases attach wall teichoic acids to peptidoglycan, but the order of biosynthetic events is a longstanding question. Here, we use a chemical approach to define which of the possible peptidoglycan intermediates are substrates for wall-teichoic acid ligases, thereby establishing the order of cell wall assembly. We have developed a strategy to make defined glycan chain-length polymers of either un-cross-linked or cross-linked peptidoglycan, and we find that wall teichoic acid ligases cannot transfer wall teichoic acid precursors to the cross-linked substrates. A 1.9 Å crystal structure of a LytR-CpsA-Psr (LCP) family ligase in complex with a wall teichoic acid precursor defines the location of the peptidoglycan binding site as a long, narrow groove, and suggests that the basis for selectivity is steric exclusion of cross-linked peptidoglycan. Consistent with this hypothesis, we have found that chitin oligomers are good substrates for transfer, showing that LCPs do not discriminate cross-linked from un-cross-linked peptidoglycan substrates by recognizing features of the un-cross-linked stem peptide. We conclude that wall teichoic acids are coupled to un-cross-linked peptidoglycan chains at an early stage of peptidoglycan synthesis and may create marks that define the proper spacing of subsequent cross-links.","author":[{"dropping-particle":"","family":"Schaefer","given":"Kaitlin","non-dropping-particle":"","parse-names":false,"suffix":""},{"dropping-particle":"","family":"Owens","given":"Tristan W","non-dropping-particle":"","parse-names":false,"suffix":""},{"dropping-particle":"","family":"Kahne","given":"Daniel","non-dropping-particle":"","parse-names":false,"suffix":""},{"dropping-particle":"","family":"Walker","given":"Suzanne","non-dropping-particle":"","parse-names":false,"suffix":""}],"container-title":"Journal of the American Chemical Society","id":"ITEM-1","issue":"7","issued":{"date-parts":[["2018"]]},"page":"2442-2445","title":"Substrate Preferences Establish the Order of Cell Wall Assembly in Staphylococcus aureus","type":"article-journal","volume":"140"},"uris":["http://www.mendeley.com/documents/?uuid=8e6ae4ef-9032-49c6-a162-71beec4cd88a"]}],"mendeley":{"formattedCitation":"&lt;sup&gt;[140]&lt;/sup&gt;","plainTextFormattedCitation":"[140]","previouslyFormattedCitation":"&lt;sup&gt;[140]&lt;/sup&gt;"},"properties":{"noteIndex":0},"schema":"https://github.com/citation-style-language/schema/raw/master/csl-citation.json"}</w:instrText>
      </w:r>
      <w:r w:rsidR="00C6380F">
        <w:fldChar w:fldCharType="separate"/>
      </w:r>
      <w:r w:rsidR="00C6380F" w:rsidRPr="00C6380F">
        <w:rPr>
          <w:noProof/>
          <w:vertAlign w:val="superscript"/>
        </w:rPr>
        <w:t>[140]</w:t>
      </w:r>
      <w:r w:rsidR="00C6380F">
        <w:fldChar w:fldCharType="end"/>
      </w:r>
      <w:r>
        <w:t xml:space="preserve">. There is still a lot of debate on the location of </w:t>
      </w:r>
      <w:r w:rsidR="00487D58">
        <w:t>these polymers</w:t>
      </w:r>
      <w:r>
        <w:t>, particularly at the septum, and the recent publication of the three differential PG structures</w:t>
      </w:r>
      <w:r w:rsidR="00D52B97">
        <w:t xml:space="preserve"> (described above)</w:t>
      </w:r>
      <w:r>
        <w:t xml:space="preserve"> means that further tests are needed to</w:t>
      </w:r>
      <w:r w:rsidR="0080426C">
        <w:t xml:space="preserve"> uncover the level of PG crosslinking and</w:t>
      </w:r>
      <w:r>
        <w:t xml:space="preserve"> specify the exact location of </w:t>
      </w:r>
      <w:r w:rsidR="00FA327D">
        <w:t>WTA</w:t>
      </w:r>
      <w:r>
        <w:t xml:space="preserve"> in the new framework </w:t>
      </w:r>
      <w:r>
        <w:fldChar w:fldCharType="begin" w:fldLock="1"/>
      </w:r>
      <w:r w:rsidR="00B3106D">
        <w:instrText>ADDIN CSL_CITATION {"citationItems":[{"id":"ITEM-1","itemData":{"DOI":"10.1038/s41586-020-2236-6","ISSN":"14764687","PMID":"32523118","abstract":"The primary structural component of the bacterial cell wall is peptidoglycan, which is essential for viability and the synthesis of which is the target for crucial antibiotics1,2. Peptidoglycan is a single macromolecule made of glycan chains crosslinked by peptide side branches that surrounds the cell, acting as a constraint to internal turgor1,3. In Gram-positive bacteria, peptidoglycan is tens of nanometres thick, generally portrayed as a homogeneous structure that provides mechanical strength4–6. Here we applied atomic force microscopy7–12 to interrogate the morphologically distinct Staphylococcus aureus and Bacillus subtilis species, using live cells and purified peptidoglycan. The mature surface of live cells is characterized by a landscape of large (up to 60 nm in diameter), deep (up to 23 nm) pores constituting a disordered gel of peptidoglycan. The inner peptidoglycan surface, consisting of more nascent material, is much denser, with glycan strand spacing typically less than 7 nm. The inner surface architecture is location dependent; the cylinder of B. subtilis has dense circumferential orientation, while in S. aureus and division septa for both species, peptidoglycan is dense but randomly oriented. Revealing the molecular architecture of the cell envelope frames our understanding of its mechanical properties and role as the environmental interface13,14, providing information complementary to traditional structural biology approaches.","author":[{"dropping-particle":"","family":"Pasquina-Lemonche","given":"L.","non-dropping-particle":"","parse-names":false,"suffix":""},{"dropping-particle":"","family":"Burns","given":"J.","non-dropping-particle":"","parse-names":false,"suffix":""},{"dropping-particle":"","family":"Turner","given":"R. D.","non-dropping-particle":"","parse-names":false,"suffix":""},{"dropping-particle":"","family":"Kumar","given":"S.","non-dropping-particle":"","parse-names":false,"suffix":""},{"dropping-particle":"","family":"Tank","given":"R.","non-dropping-particle":"","parse-names":false,"suffix":""},{"dropping-particle":"","family":"Mullin","given":"N.","non-dropping-particle":"","parse-names":false,"suffix":""},{"dropping-particle":"","family":"Wilson","given":"J. S.","non-dropping-particle":"","parse-names":false,"suffix":""},{"dropping-particle":"","family":"Chakrabarti","given":"B.","non-dropping-particle":"","parse-names":false,"suffix":""},{"dropping-particle":"","family":"Bullough","given":"P. A.","non-dropping-particle":"","parse-names":false,"suffix":""},{"dropping-particle":"","family":"Foster","given":"S. J.","non-dropping-particle":"","parse-names":false,"suffix":""},{"dropping-particle":"","family":"Hobbs","given":"J. K.","non-dropping-particle":"","parse-names":false,"suffix":""}],"container-title":"Nature","id":"ITEM-1","issue":"7811","issued":{"date-parts":[["2020"]]},"page":"294-297","publisher":"Springer US","title":"The architecture of the Gram-positive bacterial cell wall","type":"article-journal","volume":"582"},"uris":["http://www.mendeley.com/documents/?uuid=59449879-cfbc-4ac6-815a-4c720a2f8b47"]}],"mendeley":{"formattedCitation":"&lt;sup&gt;[211]&lt;/sup&gt;","plainTextFormattedCitation":"[211]","previouslyFormattedCitation":"&lt;sup&gt;[211]&lt;/sup&gt;"},"properties":{"noteIndex":0},"schema":"https://github.com/citation-style-language/schema/raw/master/csl-citation.json"}</w:instrText>
      </w:r>
      <w:r>
        <w:fldChar w:fldCharType="separate"/>
      </w:r>
      <w:r w:rsidR="002659E5" w:rsidRPr="002659E5">
        <w:rPr>
          <w:noProof/>
          <w:vertAlign w:val="superscript"/>
        </w:rPr>
        <w:t>[211]</w:t>
      </w:r>
      <w:r>
        <w:fldChar w:fldCharType="end"/>
      </w:r>
      <w:r>
        <w:t xml:space="preserve">. </w:t>
      </w:r>
      <w:r w:rsidR="00862BD0">
        <w:t xml:space="preserve">Preliminary </w:t>
      </w:r>
      <w:r>
        <w:t xml:space="preserve">AFM studies </w:t>
      </w:r>
      <w:r w:rsidR="0064267D">
        <w:t>(</w:t>
      </w:r>
      <w:r>
        <w:t>Dr. Pasquina Lemonche</w:t>
      </w:r>
      <w:r w:rsidR="0064267D">
        <w:t>)</w:t>
      </w:r>
      <w:r>
        <w:t xml:space="preserve">, have shown that the outer CW of </w:t>
      </w:r>
      <w:r w:rsidRPr="00683460">
        <w:rPr>
          <w:i/>
          <w:iCs/>
        </w:rPr>
        <w:t>tarO</w:t>
      </w:r>
      <w:r>
        <w:t xml:space="preserve"> has less concentric rings and a more open and porous mesh than the wild type</w:t>
      </w:r>
      <w:r w:rsidR="00424E6C">
        <w:t>.</w:t>
      </w:r>
      <w:r>
        <w:t xml:space="preserve"> </w:t>
      </w:r>
      <w:r w:rsidR="00424E6C">
        <w:t xml:space="preserve">The </w:t>
      </w:r>
      <w:r>
        <w:t>bigger holes between PG strands</w:t>
      </w:r>
      <w:r w:rsidR="00424E6C">
        <w:t xml:space="preserve"> in </w:t>
      </w:r>
      <w:r w:rsidR="00424E6C">
        <w:rPr>
          <w:i/>
          <w:iCs/>
        </w:rPr>
        <w:t>tarO</w:t>
      </w:r>
      <w:r w:rsidR="00424E6C">
        <w:t xml:space="preserve"> coincides with our understanding that lack of WTA increases susceptibility to PGH</w:t>
      </w:r>
      <w:r w:rsidR="00BD4D3B">
        <w:t xml:space="preserve"> </w:t>
      </w:r>
      <w:r w:rsidR="00BD4D3B">
        <w:fldChar w:fldCharType="begin" w:fldLock="1"/>
      </w:r>
      <w:r w:rsidR="00F001A0">
        <w:instrText>ADDIN CSL_CITATION {"citationItems":[{"id":"ITEM-1","itemData":{"DOI":"10.1111/j.1365-2958.2009.07007.x","ISSN":"0950382X","PMID":"20105277","abstract":"Staphylococcal cell separation depends largely on the bifunctional autolysin Atl that is processed to amidase-R1,2 and R 3-glucosaminidase. These murein hydrolases are targeted via repeat domains (R) to the septal region of the cell surface, thereby allowing localized peptidoglycan hydrolysis and separation of the dividing cells. Here we show that targeting of the amidase repeats is based on an exclusion strategy mediated by wall teichoic acid (WTA). In Staphylococcus aureus wild-type, externally applied repeats (R1,2) or endogenously expressed amidase were localized exclusively at the cross-wall region, while in δtagO mutant that lacks WTA binding was evenly distributed on the cell surface, which explains the increased fragility and autolysis susceptibility of the mutant. WTA prevented binding of Atl to the old cell wall but not to the cross-wall region suggesting a lower WTA content. In binding studies with ConcanavalinA- fluorescein (ConA-FITC) conjugate that binds preferentially to teichoic acids, ConA-FITC was bound throughout the cell surface with the exception of the cross wall. ConA binding suggest that either content or polymerization of WTA gradually increases with distance from the cross-wall. By preventing binding of Atl, WTA directs Atl to the cross-wall to perform the last step of cell division, namely separation of the daughter cells. © 2010 Blackwell Publishing Ltd.","author":[{"dropping-particle":"","family":"Schlag","given":"Martin","non-dropping-particle":"","parse-names":false,"suffix":""},{"dropping-particle":"","family":"Biswas","given":"Raja","non-dropping-particle":"","parse-names":false,"suffix":""},{"dropping-particle":"","family":"Krismer","given":"Bernhard","non-dropping-particle":"","parse-names":false,"suffix":""},{"dropping-particle":"","family":"Kohler","given":"Thomas","non-dropping-particle":"","parse-names":false,"suffix":""},{"dropping-particle":"","family":"Zoll","given":"Sebastian","non-dropping-particle":"","parse-names":false,"suffix":""},{"dropping-particle":"","family":"Yu","given":"Wenqi","non-dropping-particle":"","parse-names":false,"suffix":""},{"dropping-particle":"","family":"Schwarz","given":"Heinz","non-dropping-particle":"","parse-names":false,"suffix":""},{"dropping-particle":"","family":"Peschel","given":"Andreas","non-dropping-particle":"","parse-names":false,"suffix":""},{"dropping-particle":"","family":"Götz","given":"Friedrich","non-dropping-particle":"","parse-names":false,"suffix":""}],"container-title":"Molecular Microbiology","id":"ITEM-1","issue":"4","issued":{"date-parts":[["2010"]]},"page":"864-873","title":"Role of staphylococcal wall teichoic acid in targeting the major autolysin Atl","type":"article-journal","volume":"75"},"uris":["http://www.mendeley.com/documents/?uuid=e8df656f-cf4a-48d7-8351-878706af9c66"]}],"mendeley":{"formattedCitation":"&lt;sup&gt;[59]&lt;/sup&gt;","plainTextFormattedCitation":"[59]","previouslyFormattedCitation":"&lt;sup&gt;[59]&lt;/sup&gt;"},"properties":{"noteIndex":0},"schema":"https://github.com/citation-style-language/schema/raw/master/csl-citation.json"}</w:instrText>
      </w:r>
      <w:r w:rsidR="00BD4D3B">
        <w:fldChar w:fldCharType="separate"/>
      </w:r>
      <w:r w:rsidR="00BD4D3B" w:rsidRPr="00BD4D3B">
        <w:rPr>
          <w:noProof/>
          <w:vertAlign w:val="superscript"/>
        </w:rPr>
        <w:t>[59]</w:t>
      </w:r>
      <w:r w:rsidR="00BD4D3B">
        <w:fldChar w:fldCharType="end"/>
      </w:r>
      <w:r>
        <w:t xml:space="preserve">. Unfortunately, AFM </w:t>
      </w:r>
      <w:r>
        <w:lastRenderedPageBreak/>
        <w:t xml:space="preserve">analysis of the inner CW from purified PG of </w:t>
      </w:r>
      <w:r w:rsidRPr="00F45053">
        <w:rPr>
          <w:i/>
          <w:iCs/>
        </w:rPr>
        <w:t>tarO</w:t>
      </w:r>
      <w:r>
        <w:t xml:space="preserve"> has not yet been analysed</w:t>
      </w:r>
      <w:r w:rsidR="00167AB0">
        <w:t>.</w:t>
      </w:r>
      <w:r>
        <w:t xml:space="preserve"> </w:t>
      </w:r>
      <w:r w:rsidR="00167AB0">
        <w:t>Future work could show if there is a comparable difference in the internal PG structure</w:t>
      </w:r>
      <w:r w:rsidR="000F6CAA">
        <w:t>,</w:t>
      </w:r>
      <w:r w:rsidR="00B769F9">
        <w:t xml:space="preserve"> between </w:t>
      </w:r>
      <w:r w:rsidR="00B769F9">
        <w:rPr>
          <w:i/>
          <w:iCs/>
        </w:rPr>
        <w:t>tarO</w:t>
      </w:r>
      <w:r w:rsidR="00B769F9">
        <w:t xml:space="preserve"> and SH1000. </w:t>
      </w:r>
      <w:r w:rsidR="003D7CA6">
        <w:t xml:space="preserve">A similar </w:t>
      </w:r>
      <w:r w:rsidR="0091185F">
        <w:t>internal</w:t>
      </w:r>
      <w:r w:rsidR="003D7CA6">
        <w:t xml:space="preserve"> </w:t>
      </w:r>
      <w:r w:rsidR="0091185F">
        <w:t>PG disposition</w:t>
      </w:r>
      <w:r w:rsidR="003D7CA6">
        <w:t xml:space="preserve"> between the WTA-lacking </w:t>
      </w:r>
      <w:r w:rsidR="0091185F">
        <w:t>mutant</w:t>
      </w:r>
      <w:r w:rsidR="003D7CA6">
        <w:t xml:space="preserve"> and its parental strain</w:t>
      </w:r>
      <w:r w:rsidR="004169F8">
        <w:t>,</w:t>
      </w:r>
      <w:r w:rsidR="003D7CA6">
        <w:t xml:space="preserve"> would support </w:t>
      </w:r>
      <w:r w:rsidR="0091185F">
        <w:t>th</w:t>
      </w:r>
      <w:r w:rsidR="00DF7636">
        <w:t>e</w:t>
      </w:r>
      <w:r w:rsidR="0091185F">
        <w:t xml:space="preserve"> theory that WTA are not present in the inner CW.</w:t>
      </w:r>
      <w:r w:rsidR="004169F8">
        <w:t xml:space="preserve"> </w:t>
      </w:r>
      <w:r w:rsidR="0080426C">
        <w:t>Conversely, a more opened</w:t>
      </w:r>
      <w:r w:rsidR="00424E6C">
        <w:t xml:space="preserve"> (more </w:t>
      </w:r>
      <w:r w:rsidR="00E07EA4">
        <w:t>hydrolysed</w:t>
      </w:r>
      <w:r w:rsidR="00424E6C">
        <w:t>)</w:t>
      </w:r>
      <w:r w:rsidR="0080426C">
        <w:t xml:space="preserve"> dense mesh in </w:t>
      </w:r>
      <w:r w:rsidR="0080426C">
        <w:rPr>
          <w:i/>
          <w:iCs/>
        </w:rPr>
        <w:t>tarO</w:t>
      </w:r>
      <w:r w:rsidR="0080426C">
        <w:t xml:space="preserve"> cells </w:t>
      </w:r>
      <w:r w:rsidR="00D52B97" w:rsidRPr="006C0522">
        <w:t>in comparison to SH1000</w:t>
      </w:r>
      <w:r w:rsidR="00D52B97">
        <w:t xml:space="preserve"> </w:t>
      </w:r>
      <w:r w:rsidR="0080426C">
        <w:t xml:space="preserve">could be indicative of the presence of WTA in the inner CW. If WTA are present in both the inner and outer CW, it would be necessary to </w:t>
      </w:r>
      <w:r w:rsidR="00F544DF">
        <w:t>investigate</w:t>
      </w:r>
      <w:r w:rsidR="0080426C">
        <w:t xml:space="preserve"> why TA accumulate in the middle of the CW (layer II) in a dehydrated sample. A combination of HPLC and AFM techniques could help</w:t>
      </w:r>
      <w:r w:rsidR="009F6852">
        <w:t xml:space="preserve"> understand the level of crosslinking of PG across the CW</w:t>
      </w:r>
      <w:r w:rsidR="00F544DF">
        <w:t>. These experiments</w:t>
      </w:r>
      <w:r>
        <w:t xml:space="preserve"> </w:t>
      </w:r>
      <w:r w:rsidR="00C8478C">
        <w:t xml:space="preserve">would have to </w:t>
      </w:r>
      <w:r>
        <w:t xml:space="preserve">be correlated with </w:t>
      </w:r>
      <w:r w:rsidR="007E0E66">
        <w:t xml:space="preserve">other microscopy techniques, using </w:t>
      </w:r>
      <w:r>
        <w:t>WTA-specific label</w:t>
      </w:r>
      <w:r w:rsidR="007E0E66">
        <w:t>s</w:t>
      </w:r>
      <w:r w:rsidR="009F6852">
        <w:t xml:space="preserve"> for precise localisation of these polymers</w:t>
      </w:r>
      <w:r>
        <w:t xml:space="preserve">. Correlative light electron microscopy (CLEM) or the use of nano-gold </w:t>
      </w:r>
      <w:r w:rsidR="00557A16">
        <w:t>particles</w:t>
      </w:r>
      <w:r>
        <w:t xml:space="preserve">, could provide the means to localise WTA in bacterial cross sections. </w:t>
      </w:r>
      <w:r w:rsidR="005233E1">
        <w:t xml:space="preserve">Future TEM of freeze-substituted </w:t>
      </w:r>
      <w:r w:rsidRPr="00443761">
        <w:rPr>
          <w:i/>
          <w:iCs/>
        </w:rPr>
        <w:t>tarO</w:t>
      </w:r>
      <w:r>
        <w:t xml:space="preserve"> cells could show if this mutant presents the heavily stained layer II, and its absence could be indicative </w:t>
      </w:r>
      <w:r w:rsidR="00CA02FE">
        <w:t>of</w:t>
      </w:r>
      <w:r>
        <w:t xml:space="preserve"> it</w:t>
      </w:r>
      <w:r w:rsidR="00CA02FE">
        <w:t>s</w:t>
      </w:r>
      <w:r>
        <w:t xml:space="preserve"> </w:t>
      </w:r>
      <w:r w:rsidR="00CA02FE">
        <w:t>correspondence</w:t>
      </w:r>
      <w:r>
        <w:t xml:space="preserve"> to WTA.</w:t>
      </w:r>
    </w:p>
    <w:p w14:paraId="43A831F2" w14:textId="1397BEE3" w:rsidR="0093795E" w:rsidRDefault="0093795E" w:rsidP="0093795E">
      <w:r>
        <w:t xml:space="preserve">Finally, a third possibility is that layer I </w:t>
      </w:r>
      <w:r w:rsidR="00F03FA5">
        <w:t>belongs</w:t>
      </w:r>
      <w:r>
        <w:t xml:space="preserve"> the CW</w:t>
      </w:r>
      <w:r w:rsidR="00AD0C08">
        <w:t xml:space="preserve"> while </w:t>
      </w:r>
      <w:r>
        <w:t xml:space="preserve">layer II is an artefact of this technique. </w:t>
      </w:r>
      <w:r w:rsidR="0077469E">
        <w:t>T</w:t>
      </w:r>
      <w:r>
        <w:t xml:space="preserve">he consistent location and pattern of these layers observed at various division stages and </w:t>
      </w:r>
      <w:r w:rsidR="0009141C">
        <w:t>strains</w:t>
      </w:r>
      <w:r w:rsidR="00064F58">
        <w:t>,</w:t>
      </w:r>
      <w:r>
        <w:t xml:space="preserve"> make this </w:t>
      </w:r>
      <w:r w:rsidR="00D92420">
        <w:t xml:space="preserve">an unlikely </w:t>
      </w:r>
      <w:r>
        <w:t xml:space="preserve">possibility. </w:t>
      </w:r>
      <w:r w:rsidR="0053082A">
        <w:t>F</w:t>
      </w:r>
      <w:r>
        <w:t xml:space="preserve">urther FS tests </w:t>
      </w:r>
      <w:r w:rsidR="0053082A">
        <w:t>of</w:t>
      </w:r>
      <w:r>
        <w:t xml:space="preserve"> WTA and LTA-depleted mutants</w:t>
      </w:r>
      <w:r w:rsidR="0053082A">
        <w:t>, together with the use of specific label for each type of TA,</w:t>
      </w:r>
      <w:r>
        <w:t xml:space="preserve"> c</w:t>
      </w:r>
      <w:r w:rsidR="0053082A">
        <w:t>ould help identify the nature of these layers</w:t>
      </w:r>
      <w:r>
        <w:t>.</w:t>
      </w:r>
    </w:p>
    <w:p w14:paraId="0A0EAE33" w14:textId="027F2455" w:rsidR="0023684E" w:rsidRDefault="0023684E" w:rsidP="0093795E">
      <w:pPr>
        <w:sectPr w:rsidR="0023684E" w:rsidSect="004D0E05">
          <w:pgSz w:w="11906" w:h="16838"/>
          <w:pgMar w:top="1191" w:right="1247" w:bottom="1191" w:left="1247" w:header="709" w:footer="709" w:gutter="0"/>
          <w:cols w:space="708"/>
          <w:titlePg/>
          <w:docGrid w:linePitch="360"/>
        </w:sectPr>
      </w:pPr>
    </w:p>
    <w:p w14:paraId="703D81B6" w14:textId="77777777" w:rsidR="0093795E" w:rsidRDefault="0093795E" w:rsidP="0093795E">
      <w:pPr>
        <w:keepNext/>
        <w:jc w:val="center"/>
      </w:pPr>
      <w:r>
        <w:rPr>
          <w:noProof/>
        </w:rPr>
        <w:lastRenderedPageBreak/>
        <w:drawing>
          <wp:inline distT="0" distB="0" distL="0" distR="0" wp14:anchorId="1847281D" wp14:editId="0DA8EE34">
            <wp:extent cx="5926162" cy="6119406"/>
            <wp:effectExtent l="0" t="0" r="5080" b="254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928596" cy="6121919"/>
                    </a:xfrm>
                    <a:prstGeom prst="rect">
                      <a:avLst/>
                    </a:prstGeom>
                  </pic:spPr>
                </pic:pic>
              </a:graphicData>
            </a:graphic>
          </wp:inline>
        </w:drawing>
      </w:r>
    </w:p>
    <w:p w14:paraId="02A62340" w14:textId="0214CDE7" w:rsidR="0093795E" w:rsidRDefault="0093795E" w:rsidP="0093795E">
      <w:pPr>
        <w:pStyle w:val="Caption"/>
      </w:pPr>
      <w:bookmarkStart w:id="870" w:name="_Ref79243856"/>
      <w:bookmarkStart w:id="871" w:name="_Toc90217041"/>
      <w:r>
        <w:t xml:space="preserve">Figure </w:t>
      </w:r>
      <w:r w:rsidR="003373BF">
        <w:fldChar w:fldCharType="begin"/>
      </w:r>
      <w:r w:rsidR="003373BF">
        <w:instrText xml:space="preserve"> STYLEREF 1 \s </w:instrText>
      </w:r>
      <w:r w:rsidR="003373BF">
        <w:fldChar w:fldCharType="separate"/>
      </w:r>
      <w:r w:rsidR="00183CC8">
        <w:rPr>
          <w:noProof/>
        </w:rPr>
        <w:t>6</w:t>
      </w:r>
      <w:r w:rsidR="003373BF">
        <w:rPr>
          <w:noProof/>
        </w:rPr>
        <w:fldChar w:fldCharType="end"/>
      </w:r>
      <w:r w:rsidR="00D46972">
        <w:t>.</w:t>
      </w:r>
      <w:r w:rsidR="003373BF">
        <w:fldChar w:fldCharType="begin"/>
      </w:r>
      <w:r w:rsidR="003373BF">
        <w:instrText xml:space="preserve"> SEQ Figure \* ARABIC \s 1 </w:instrText>
      </w:r>
      <w:r w:rsidR="003373BF">
        <w:fldChar w:fldCharType="separate"/>
      </w:r>
      <w:r w:rsidR="00183CC8">
        <w:rPr>
          <w:noProof/>
        </w:rPr>
        <w:t>1</w:t>
      </w:r>
      <w:r w:rsidR="003373BF">
        <w:rPr>
          <w:noProof/>
        </w:rPr>
        <w:fldChar w:fldCharType="end"/>
      </w:r>
      <w:bookmarkEnd w:id="870"/>
      <w:r>
        <w:t xml:space="preserve"> Possible explanation for the bacterial envelope structure of freeze-substituted </w:t>
      </w:r>
      <w:r>
        <w:rPr>
          <w:i/>
        </w:rPr>
        <w:t>S. aureus</w:t>
      </w:r>
      <w:r>
        <w:t xml:space="preserve"> cells.</w:t>
      </w:r>
      <w:bookmarkEnd w:id="871"/>
    </w:p>
    <w:p w14:paraId="57F1EE09" w14:textId="7279D0AB" w:rsidR="006B2F93" w:rsidRDefault="00E66769" w:rsidP="006B2F93">
      <w:pPr>
        <w:pStyle w:val="NoSpacing"/>
        <w:sectPr w:rsidR="006B2F93" w:rsidSect="004D0E05">
          <w:pgSz w:w="11906" w:h="16838"/>
          <w:pgMar w:top="1191" w:right="1247" w:bottom="1191" w:left="1247" w:header="709" w:footer="709" w:gutter="0"/>
          <w:cols w:space="708"/>
          <w:titlePg/>
          <w:docGrid w:linePitch="360"/>
        </w:sectPr>
      </w:pPr>
      <w:r>
        <w:rPr>
          <w:b/>
          <w:bCs/>
        </w:rPr>
        <w:t>(A)</w:t>
      </w:r>
      <w:r>
        <w:t xml:space="preserve"> Schematic representation of the molecular arrangement of PG in </w:t>
      </w:r>
      <w:r>
        <w:rPr>
          <w:i/>
          <w:iCs/>
        </w:rPr>
        <w:t>S. aureus</w:t>
      </w:r>
      <w:r>
        <w:t xml:space="preserve"> cells. </w:t>
      </w:r>
      <w:r w:rsidR="00960F6E">
        <w:t xml:space="preserve">Adapted </w:t>
      </w:r>
      <w:r>
        <w:t xml:space="preserve">from Pasquina-Lemonche </w:t>
      </w:r>
      <w:r>
        <w:rPr>
          <w:i/>
          <w:iCs/>
        </w:rPr>
        <w:t>et al.</w:t>
      </w:r>
      <w:r w:rsidR="0030513F">
        <w:rPr>
          <w:i/>
          <w:iCs/>
        </w:rPr>
        <w:t>,</w:t>
      </w:r>
      <w:r>
        <w:t xml:space="preserve"> (2020) </w:t>
      </w:r>
      <w:r>
        <w:fldChar w:fldCharType="begin" w:fldLock="1"/>
      </w:r>
      <w:r w:rsidR="00B3106D">
        <w:instrText>ADDIN CSL_CITATION {"citationItems":[{"id":"ITEM-1","itemData":{"DOI":"10.1038/s41586-020-2236-6","ISSN":"14764687","PMID":"32523118","abstract":"The primary structural component of the bacterial cell wall is peptidoglycan, which is essential for viability and the synthesis of which is the target for crucial antibiotics1,2. Peptidoglycan is a single macromolecule made of glycan chains crosslinked by peptide side branches that surrounds the cell, acting as a constraint to internal turgor1,3. In Gram-positive bacteria, peptidoglycan is tens of nanometres thick, generally portrayed as a homogeneous structure that provides mechanical strength4–6. Here we applied atomic force microscopy7–12 to interrogate the morphologically distinct Staphylococcus aureus and Bacillus subtilis species, using live cells and purified peptidoglycan. The mature surface of live cells is characterized by a landscape of large (up to 60 nm in diameter), deep (up to 23 nm) pores constituting a disordered gel of peptidoglycan. The inner peptidoglycan surface, consisting of more nascent material, is much denser, with glycan strand spacing typically less than 7 nm. The inner surface architecture is location dependent; the cylinder of B. subtilis has dense circumferential orientation, while in S. aureus and division septa for both species, peptidoglycan is dense but randomly oriented. Revealing the molecular architecture of the cell envelope frames our understanding of its mechanical properties and role as the environmental interface13,14, providing information complementary to traditional structural biology approaches.","author":[{"dropping-particle":"","family":"Pasquina-Lemonche","given":"L.","non-dropping-particle":"","parse-names":false,"suffix":""},{"dropping-particle":"","family":"Burns","given":"J.","non-dropping-particle":"","parse-names":false,"suffix":""},{"dropping-particle":"","family":"Turner","given":"R. D.","non-dropping-particle":"","parse-names":false,"suffix":""},{"dropping-particle":"","family":"Kumar","given":"S.","non-dropping-particle":"","parse-names":false,"suffix":""},{"dropping-particle":"","family":"Tank","given":"R.","non-dropping-particle":"","parse-names":false,"suffix":""},{"dropping-particle":"","family":"Mullin","given":"N.","non-dropping-particle":"","parse-names":false,"suffix":""},{"dropping-particle":"","family":"Wilson","given":"J. S.","non-dropping-particle":"","parse-names":false,"suffix":""},{"dropping-particle":"","family":"Chakrabarti","given":"B.","non-dropping-particle":"","parse-names":false,"suffix":""},{"dropping-particle":"","family":"Bullough","given":"P. A.","non-dropping-particle":"","parse-names":false,"suffix":""},{"dropping-particle":"","family":"Foster","given":"S. J.","non-dropping-particle":"","parse-names":false,"suffix":""},{"dropping-particle":"","family":"Hobbs","given":"J. K.","non-dropping-particle":"","parse-names":false,"suffix":""}],"container-title":"Nature","id":"ITEM-1","issue":"7811","issued":{"date-parts":[["2020"]]},"page":"294-297","publisher":"Springer US","title":"The architecture of the Gram-positive bacterial cell wall","type":"article-journal","volume":"582"},"uris":["http://www.mendeley.com/documents/?uuid=59449879-cfbc-4ac6-815a-4c720a2f8b47"]}],"mendeley":{"formattedCitation":"&lt;sup&gt;[211]&lt;/sup&gt;","plainTextFormattedCitation":"[211]","previouslyFormattedCitation":"&lt;sup&gt;[211]&lt;/sup&gt;"},"properties":{"noteIndex":0},"schema":"https://github.com/citation-style-language/schema/raw/master/csl-citation.json"}</w:instrText>
      </w:r>
      <w:r>
        <w:fldChar w:fldCharType="separate"/>
      </w:r>
      <w:r w:rsidR="002659E5" w:rsidRPr="002659E5">
        <w:rPr>
          <w:noProof/>
          <w:vertAlign w:val="superscript"/>
        </w:rPr>
        <w:t>[211]</w:t>
      </w:r>
      <w:r>
        <w:fldChar w:fldCharType="end"/>
      </w:r>
      <w:r>
        <w:t>.</w:t>
      </w:r>
      <w:r>
        <w:rPr>
          <w:b/>
          <w:bCs/>
        </w:rPr>
        <w:t xml:space="preserve"> </w:t>
      </w:r>
      <w:r w:rsidR="0093795E">
        <w:rPr>
          <w:b/>
          <w:bCs/>
        </w:rPr>
        <w:t>(</w:t>
      </w:r>
      <w:r>
        <w:rPr>
          <w:b/>
          <w:bCs/>
        </w:rPr>
        <w:t>B</w:t>
      </w:r>
      <w:r w:rsidR="0093795E">
        <w:rPr>
          <w:b/>
          <w:bCs/>
        </w:rPr>
        <w:t>)</w:t>
      </w:r>
      <w:r w:rsidR="0093795E">
        <w:t xml:space="preserve"> Schema of two possible explanations for the structural information obtained from freeze-substituted </w:t>
      </w:r>
      <w:r w:rsidR="0093795E">
        <w:rPr>
          <w:i/>
          <w:iCs/>
        </w:rPr>
        <w:t>S. aureus</w:t>
      </w:r>
      <w:r w:rsidR="0093795E">
        <w:t xml:space="preserve"> cells. In </w:t>
      </w:r>
      <w:r w:rsidR="0093795E" w:rsidRPr="00182A80">
        <w:rPr>
          <w:b/>
          <w:bCs/>
        </w:rPr>
        <w:t>scenario 1</w:t>
      </w:r>
      <w:r w:rsidR="0093795E">
        <w:t xml:space="preserve">, the CW is limited by stain-reactive WTA that protrude from the outer and inner sides of the CW. Layer I could be a part of the ES or an unidentified region. In </w:t>
      </w:r>
      <w:r w:rsidR="0093795E" w:rsidRPr="00182A80">
        <w:rPr>
          <w:b/>
          <w:bCs/>
        </w:rPr>
        <w:t>scenario 2</w:t>
      </w:r>
      <w:r w:rsidR="0093795E">
        <w:t>, the CW corresponds to either the newly synthesised dense concentric rings</w:t>
      </w:r>
      <w:r w:rsidR="00FB3CE5">
        <w:t xml:space="preserve"> (yellow</w:t>
      </w:r>
      <w:r w:rsidR="00160175">
        <w:t xml:space="preserve"> in </w:t>
      </w:r>
      <w:r w:rsidR="00160175" w:rsidRPr="00160175">
        <w:rPr>
          <w:b/>
          <w:bCs/>
        </w:rPr>
        <w:t>(A)</w:t>
      </w:r>
      <w:r w:rsidR="00FB3CE5">
        <w:t>)</w:t>
      </w:r>
      <w:r w:rsidR="0093795E">
        <w:t xml:space="preserve"> or the matured porous gel of the older CW</w:t>
      </w:r>
      <w:r w:rsidR="00FB3CE5">
        <w:t xml:space="preserve"> (orange</w:t>
      </w:r>
      <w:r w:rsidR="00160175">
        <w:t xml:space="preserve"> in </w:t>
      </w:r>
      <w:r w:rsidR="00160175" w:rsidRPr="00160175">
        <w:rPr>
          <w:b/>
          <w:bCs/>
        </w:rPr>
        <w:t>(A)</w:t>
      </w:r>
      <w:r w:rsidR="00FB3CE5">
        <w:t>)</w:t>
      </w:r>
      <w:r w:rsidR="0093795E">
        <w:t>. Layer I corresponds to the dense mesh of the internal CW</w:t>
      </w:r>
      <w:r w:rsidR="00FB3CE5">
        <w:t xml:space="preserve"> (blue</w:t>
      </w:r>
      <w:r w:rsidR="00160175">
        <w:t xml:space="preserve"> in </w:t>
      </w:r>
      <w:r w:rsidR="00160175">
        <w:rPr>
          <w:b/>
          <w:bCs/>
        </w:rPr>
        <w:t>(A)</w:t>
      </w:r>
      <w:r w:rsidR="00FB3CE5">
        <w:t>)</w:t>
      </w:r>
      <w:r w:rsidR="0093795E">
        <w:t>.</w:t>
      </w:r>
      <w:r w:rsidR="0093795E" w:rsidRPr="00984716">
        <w:t xml:space="preserve"> </w:t>
      </w:r>
      <w:r w:rsidR="0093795E">
        <w:t xml:space="preserve">Layer II </w:t>
      </w:r>
      <w:r w:rsidR="00646C96">
        <w:t>could be</w:t>
      </w:r>
      <w:r w:rsidR="0093795E">
        <w:t xml:space="preserve"> made-up of </w:t>
      </w:r>
      <w:r w:rsidR="003A3BA7">
        <w:t xml:space="preserve">(a) </w:t>
      </w:r>
      <w:r w:rsidR="0093795E">
        <w:t>WTA or</w:t>
      </w:r>
      <w:r w:rsidR="00646C96">
        <w:t xml:space="preserve"> </w:t>
      </w:r>
      <w:r w:rsidR="003A3BA7">
        <w:t xml:space="preserve">(b) </w:t>
      </w:r>
      <w:r w:rsidR="0093795E">
        <w:t>LTA that delimit the outer and inner CW. The former theory (</w:t>
      </w:r>
      <w:r w:rsidR="003A3BA7">
        <w:t xml:space="preserve">scenario </w:t>
      </w:r>
      <w:r w:rsidR="0093795E">
        <w:t>2</w:t>
      </w:r>
      <w:r w:rsidR="003A3BA7">
        <w:t>a</w:t>
      </w:r>
      <w:r w:rsidR="0093795E">
        <w:t>) assumes WTA are absent from the inner dense mesh of PG while the latter (</w:t>
      </w:r>
      <w:r w:rsidR="003A3BA7">
        <w:t xml:space="preserve">scenario </w:t>
      </w:r>
      <w:r w:rsidR="0093795E">
        <w:t>2</w:t>
      </w:r>
      <w:r w:rsidR="003A3BA7">
        <w:t>b</w:t>
      </w:r>
      <w:r w:rsidR="0093795E">
        <w:t>) assumes that LTA branch outwards from the plasma membrane and the exoplasm, into the CW</w:t>
      </w:r>
      <w:r w:rsidR="007D2AF2">
        <w:t>.</w:t>
      </w:r>
      <w:r>
        <w:t xml:space="preserve"> </w:t>
      </w:r>
      <w:r w:rsidR="00AE0F21">
        <w:rPr>
          <w:b/>
          <w:bCs/>
        </w:rPr>
        <w:t>(C)</w:t>
      </w:r>
      <w:r w:rsidR="006B2F93">
        <w:rPr>
          <w:b/>
          <w:bCs/>
        </w:rPr>
        <w:t xml:space="preserve"> </w:t>
      </w:r>
      <w:r w:rsidR="006B2F93">
        <w:t xml:space="preserve">Representative FS micrographs of SH1000, </w:t>
      </w:r>
      <w:r w:rsidR="006B2F93">
        <w:rPr>
          <w:i/>
          <w:iCs/>
        </w:rPr>
        <w:t xml:space="preserve">iltaS </w:t>
      </w:r>
      <w:r w:rsidR="006B2F93">
        <w:t>and</w:t>
      </w:r>
      <w:r w:rsidR="006B2F93">
        <w:rPr>
          <w:b/>
          <w:bCs/>
        </w:rPr>
        <w:t xml:space="preserve"> </w:t>
      </w:r>
      <w:r w:rsidR="006B2F93">
        <w:rPr>
          <w:i/>
          <w:iCs/>
        </w:rPr>
        <w:t>ltaS gdpP::kan</w:t>
      </w:r>
      <w:r w:rsidR="006B2F93">
        <w:t>, as indicated. Layer I (</w:t>
      </w:r>
      <w:r w:rsidR="00C05DB4">
        <w:t>cyan</w:t>
      </w:r>
      <w:r w:rsidR="006B2F93">
        <w:t>) and layer II (</w:t>
      </w:r>
      <w:r w:rsidR="00C05DB4">
        <w:t>yellow</w:t>
      </w:r>
      <w:r w:rsidR="006B2F93">
        <w:t>) are two undefined layers. Scale bars 50 nm</w:t>
      </w:r>
      <w:r w:rsidR="006C613C">
        <w:t>.</w:t>
      </w:r>
      <w:r w:rsidR="00AE0F21">
        <w:t xml:space="preserve"> </w:t>
      </w:r>
      <w:r>
        <w:t>CW– cell wall, ES– exoplasmic space, PM– plasma membrane, WTA– wall teichoic acids, LTA– lipoteichoic acids</w:t>
      </w:r>
      <w:r w:rsidR="006B2F93">
        <w:t>.</w:t>
      </w:r>
    </w:p>
    <w:p w14:paraId="2CEC6269" w14:textId="13DB063F" w:rsidR="002D0888" w:rsidRPr="002D0888" w:rsidRDefault="006B54DD" w:rsidP="002D0888">
      <w:pPr>
        <w:pStyle w:val="Heading2"/>
      </w:pPr>
      <w:bookmarkStart w:id="872" w:name="_Toc90216920"/>
      <w:r>
        <w:lastRenderedPageBreak/>
        <w:t>D</w:t>
      </w:r>
      <w:r w:rsidR="00760DE6">
        <w:t>ynamics</w:t>
      </w:r>
      <w:r w:rsidR="00886F1B">
        <w:t xml:space="preserve"> of the bacterial envelope</w:t>
      </w:r>
      <w:r w:rsidR="009903CC">
        <w:t>.</w:t>
      </w:r>
      <w:bookmarkEnd w:id="872"/>
    </w:p>
    <w:p w14:paraId="0F8F2304" w14:textId="624469EC" w:rsidR="00A038EE" w:rsidRPr="00B76DD0" w:rsidRDefault="00A038EE" w:rsidP="00886F1B">
      <w:pPr>
        <w:pStyle w:val="Heading3"/>
      </w:pPr>
      <w:bookmarkStart w:id="873" w:name="_Toc90216921"/>
      <w:r w:rsidRPr="00B76DD0">
        <w:t>How is the exoplasmic space maintained?</w:t>
      </w:r>
      <w:bookmarkEnd w:id="873"/>
      <w:r w:rsidRPr="00B76DD0">
        <w:t xml:space="preserve"> </w:t>
      </w:r>
    </w:p>
    <w:p w14:paraId="013F0EDF" w14:textId="3D852776" w:rsidR="00A038EE" w:rsidRDefault="00A038EE" w:rsidP="00A038EE">
      <w:pPr>
        <w:jc w:val="both"/>
      </w:pPr>
      <w:r>
        <w:t xml:space="preserve">Unfortunately, due to time and laboratory access restrictions during the last year of research, </w:t>
      </w:r>
      <w:r w:rsidR="00496DE9">
        <w:t>p</w:t>
      </w:r>
      <w:r>
        <w:t xml:space="preserve">lanned cryo-EM analysis on vitrified thin sections of </w:t>
      </w:r>
      <w:r>
        <w:rPr>
          <w:i/>
          <w:iCs/>
        </w:rPr>
        <w:t>tarO</w:t>
      </w:r>
      <w:r>
        <w:t xml:space="preserve"> and </w:t>
      </w:r>
      <w:r>
        <w:rPr>
          <w:i/>
          <w:iCs/>
        </w:rPr>
        <w:t>ltaS gdpP::kan</w:t>
      </w:r>
      <w:r>
        <w:t xml:space="preserve"> could not be carried out</w:t>
      </w:r>
      <w:r w:rsidR="00496DE9">
        <w:t xml:space="preserve">. These experiments </w:t>
      </w:r>
      <w:r>
        <w:t xml:space="preserve">would have been critical to further study the proposed theories for </w:t>
      </w:r>
      <w:r w:rsidR="00496DE9">
        <w:t xml:space="preserve">the </w:t>
      </w:r>
      <w:r>
        <w:t xml:space="preserve">maintenance of the </w:t>
      </w:r>
      <w:r w:rsidR="00754DE7">
        <w:t>exoplasmic space (</w:t>
      </w:r>
      <w:r>
        <w:t>ES</w:t>
      </w:r>
      <w:r w:rsidR="00754DE7">
        <w:t>)</w:t>
      </w:r>
      <w:r>
        <w:t xml:space="preserve"> </w:t>
      </w:r>
      <w:r>
        <w:fldChar w:fldCharType="begin" w:fldLock="1"/>
      </w:r>
      <w:r w:rsidR="005F2DD4">
        <w:instrText xml:space="preserve">ADDIN CSL_CITATION {"citationItems":[{"id":"ITEM-1","itemData":{"DOI":"10.3389/fmicb.2021.664704","ISSN":"1664302X","abstract":"The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F2DD4">
        <w:rPr>
          <w:rFonts w:ascii="Cambria Math" w:hAnsi="Cambria Math" w:cs="Cambria Math"/>
        </w:rPr>
        <w:instrText>∼</w:instrText>
      </w:r>
      <w:r w:rsidR="005F2DD4">
        <w:instrText xml:space="preserve">0.5 M, which would bring in </w:instrText>
      </w:r>
      <w:r w:rsidR="005F2DD4">
        <w:rPr>
          <w:rFonts w:ascii="Cambria Math" w:hAnsi="Cambria Math" w:cs="Cambria Math"/>
        </w:rPr>
        <w:instrText>∼</w:instrText>
      </w:r>
      <w:r w:rsidR="005F2DD4">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Microbiology","id":"ITEM-1","issue":"May","issued":{"date-parts":[["2021"]]},"page":"1-11","title":"How Teichoic Acids Could Support a Periplasm in Gram-Positive Bacteria, and Let Cell Division Cheat Turgor Pressure","type":"article-journal","volume":"12"},"uris":["http://www.mendeley.com/documents/?uuid=8e106983-147c-42ae-88fd-3e44783b571f"]}],"mendeley":{"formattedCitation":"&lt;sup&gt;[166]&lt;/sup&gt;","plainTextFormattedCitation":"[166]","previouslyFormattedCitation":"&lt;sup&gt;[166]&lt;/sup&gt;"},"properties":{"noteIndex":0},"schema":"https://github.com/citation-style-language/schema/raw/master/csl-citation.json"}</w:instrText>
      </w:r>
      <w:r>
        <w:fldChar w:fldCharType="separate"/>
      </w:r>
      <w:r w:rsidR="0054658D" w:rsidRPr="0054658D">
        <w:rPr>
          <w:noProof/>
          <w:vertAlign w:val="superscript"/>
        </w:rPr>
        <w:t>[166]</w:t>
      </w:r>
      <w:r>
        <w:fldChar w:fldCharType="end"/>
      </w:r>
      <w:r w:rsidR="004F43D5">
        <w:t xml:space="preserve">. </w:t>
      </w:r>
      <w:r w:rsidR="00761A38">
        <w:t>At the time of writing this thesis, Erickson (2021)</w:t>
      </w:r>
      <w:r w:rsidR="00496DE9">
        <w:t xml:space="preserve"> </w:t>
      </w:r>
      <w:r w:rsidR="00496DE9">
        <w:fldChar w:fldCharType="begin" w:fldLock="1"/>
      </w:r>
      <w:r w:rsidR="005F2DD4">
        <w:instrText xml:space="preserve">ADDIN CSL_CITATION {"citationItems":[{"id":"ITEM-1","itemData":{"DOI":"10.3389/fmicb.2021.664704","ISSN":"1664302X","abstract":"The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F2DD4">
        <w:rPr>
          <w:rFonts w:ascii="Cambria Math" w:hAnsi="Cambria Math" w:cs="Cambria Math"/>
        </w:rPr>
        <w:instrText>∼</w:instrText>
      </w:r>
      <w:r w:rsidR="005F2DD4">
        <w:instrText xml:space="preserve">0.5 M, which would bring in </w:instrText>
      </w:r>
      <w:r w:rsidR="005F2DD4">
        <w:rPr>
          <w:rFonts w:ascii="Cambria Math" w:hAnsi="Cambria Math" w:cs="Cambria Math"/>
        </w:rPr>
        <w:instrText>∼</w:instrText>
      </w:r>
      <w:r w:rsidR="005F2DD4">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Microbiology","id":"ITEM-1","issue":"May","issued":{"date-parts":[["2021"]]},"page":"1-11","title":"How Teichoic Acids Could Support a Periplasm in Gram-Positive Bacteria, and Let Cell Division Cheat Turgor Pressure","type":"article-journal","volume":"12"},"uris":["http://www.mendeley.com/documents/?uuid=8e106983-147c-42ae-88fd-3e44783b571f"]}],"mendeley":{"formattedCitation":"&lt;sup&gt;[166]&lt;/sup&gt;","plainTextFormattedCitation":"[166]","previouslyFormattedCitation":"&lt;sup&gt;[166]&lt;/sup&gt;"},"properties":{"noteIndex":0},"schema":"https://github.com/citation-style-language/schema/raw/master/csl-citation.json"}</w:instrText>
      </w:r>
      <w:r w:rsidR="00496DE9">
        <w:fldChar w:fldCharType="separate"/>
      </w:r>
      <w:r w:rsidR="0054658D" w:rsidRPr="0054658D">
        <w:rPr>
          <w:noProof/>
          <w:vertAlign w:val="superscript"/>
        </w:rPr>
        <w:t>[166]</w:t>
      </w:r>
      <w:r w:rsidR="00496DE9">
        <w:fldChar w:fldCharType="end"/>
      </w:r>
      <w:r w:rsidR="00761A38">
        <w:t xml:space="preserve"> published a study that coincides with our theories on </w:t>
      </w:r>
      <w:r w:rsidR="00EB7296">
        <w:t xml:space="preserve">how </w:t>
      </w:r>
      <w:r w:rsidR="00761A38">
        <w:t xml:space="preserve">the </w:t>
      </w:r>
      <w:r w:rsidR="00496DE9">
        <w:t>ES is maintained</w:t>
      </w:r>
      <w:r w:rsidR="00761A38">
        <w:t xml:space="preserve">. </w:t>
      </w:r>
      <w:r w:rsidR="004F43D5">
        <w:t>Here we discuss said theories</w:t>
      </w:r>
      <w:r w:rsidR="00496DE9">
        <w:t>, compare them with our preliminary data on the role of teichoic acids (TA)</w:t>
      </w:r>
      <w:r w:rsidR="00754DE7">
        <w:t xml:space="preserve">, </w:t>
      </w:r>
      <w:r w:rsidR="00496DE9">
        <w:t xml:space="preserve">and mention </w:t>
      </w:r>
      <w:r w:rsidR="004F43D5">
        <w:t>planned experiments</w:t>
      </w:r>
      <w:r w:rsidR="00942890">
        <w:t xml:space="preserve"> that could have helped further understand the ES maintenance.</w:t>
      </w:r>
    </w:p>
    <w:p w14:paraId="6B2A4040" w14:textId="5FD40B97" w:rsidR="00A038EE" w:rsidRPr="00844665" w:rsidRDefault="00A038EE" w:rsidP="00FD1A64">
      <w:pPr>
        <w:pStyle w:val="BodyThesis"/>
        <w:rPr>
          <w:b/>
          <w:bCs/>
        </w:rPr>
      </w:pPr>
      <w:r>
        <w:rPr>
          <w:b/>
          <w:bCs/>
        </w:rPr>
        <w:t xml:space="preserve">TA act as the </w:t>
      </w:r>
      <w:r w:rsidRPr="00844665">
        <w:rPr>
          <w:b/>
          <w:bCs/>
        </w:rPr>
        <w:t xml:space="preserve">OPGs </w:t>
      </w:r>
      <w:r>
        <w:rPr>
          <w:b/>
          <w:bCs/>
        </w:rPr>
        <w:t>of</w:t>
      </w:r>
      <w:r w:rsidRPr="00844665">
        <w:rPr>
          <w:b/>
          <w:bCs/>
        </w:rPr>
        <w:t xml:space="preserve"> Gram-</w:t>
      </w:r>
      <w:r>
        <w:rPr>
          <w:b/>
          <w:bCs/>
        </w:rPr>
        <w:t>positive</w:t>
      </w:r>
      <w:r w:rsidRPr="00844665">
        <w:rPr>
          <w:b/>
          <w:bCs/>
        </w:rPr>
        <w:t xml:space="preserve"> bacteria.</w:t>
      </w:r>
    </w:p>
    <w:p w14:paraId="5E2A0877" w14:textId="7692F026" w:rsidR="00A038EE" w:rsidRPr="00787D78" w:rsidRDefault="00A038EE" w:rsidP="00A038EE">
      <w:pPr>
        <w:pStyle w:val="BodyThesis"/>
      </w:pPr>
      <w:r>
        <w:t xml:space="preserve">Erickson (2021) </w:t>
      </w:r>
      <w:r>
        <w:fldChar w:fldCharType="begin" w:fldLock="1"/>
      </w:r>
      <w:r w:rsidR="005F2DD4">
        <w:instrText xml:space="preserve">ADDIN CSL_CITATION {"citationItems":[{"id":"ITEM-1","itemData":{"DOI":"10.3389/fmicb.2021.664704","ISSN":"1664302X","abstract":"The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F2DD4">
        <w:rPr>
          <w:rFonts w:ascii="Cambria Math" w:hAnsi="Cambria Math" w:cs="Cambria Math"/>
        </w:rPr>
        <w:instrText>∼</w:instrText>
      </w:r>
      <w:r w:rsidR="005F2DD4">
        <w:instrText xml:space="preserve">0.5 M, which would bring in </w:instrText>
      </w:r>
      <w:r w:rsidR="005F2DD4">
        <w:rPr>
          <w:rFonts w:ascii="Cambria Math" w:hAnsi="Cambria Math" w:cs="Cambria Math"/>
        </w:rPr>
        <w:instrText>∼</w:instrText>
      </w:r>
      <w:r w:rsidR="005F2DD4">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Microbiology","id":"ITEM-1","issue":"May","issued":{"date-parts":[["2021"]]},"page":"1-11","title":"How Teichoic Acids Could Support a Periplasm in Gram-Positive Bacteria, and Let Cell Division Cheat Turgor Pressure","type":"article-journal","volume":"12"},"uris":["http://www.mendeley.com/documents/?uuid=8e106983-147c-42ae-88fd-3e44783b571f"]}],"mendeley":{"formattedCitation":"&lt;sup&gt;[166]&lt;/sup&gt;","plainTextFormattedCitation":"[166]","previouslyFormattedCitation":"&lt;sup&gt;[166]&lt;/sup&gt;"},"properties":{"noteIndex":0},"schema":"https://github.com/citation-style-language/schema/raw/master/csl-citation.json"}</w:instrText>
      </w:r>
      <w:r>
        <w:fldChar w:fldCharType="separate"/>
      </w:r>
      <w:r w:rsidR="0054658D" w:rsidRPr="0054658D">
        <w:rPr>
          <w:noProof/>
          <w:vertAlign w:val="superscript"/>
        </w:rPr>
        <w:t>[166]</w:t>
      </w:r>
      <w:r>
        <w:fldChar w:fldCharType="end"/>
      </w:r>
      <w:r>
        <w:t xml:space="preserve"> published a quantitative calculation of the net concentration of negatively charged phosphate groups present in both types of TA in the exoplasm, and he suggested that this together with the additional anionic membrane proteins, was enough to attract a sufficient concentration of cations able to neutralise those negative charges, and balance the excess osmolality of the cytoplasm. This means that TA in the exoplasm are acting like the </w:t>
      </w:r>
      <w:r w:rsidR="001F741F">
        <w:t>osmo-regulated periplasmic glucans (</w:t>
      </w:r>
      <w:r>
        <w:t>OPGs</w:t>
      </w:r>
      <w:r w:rsidR="001F741F">
        <w:t xml:space="preserve">, </w:t>
      </w:r>
      <w:r w:rsidR="00D74E81">
        <w:t xml:space="preserve">section </w:t>
      </w:r>
      <w:r w:rsidR="001C48C8">
        <w:fldChar w:fldCharType="begin"/>
      </w:r>
      <w:r w:rsidR="001C48C8">
        <w:instrText xml:space="preserve"> REF _Ref89351887 \r \h </w:instrText>
      </w:r>
      <w:r w:rsidR="001C48C8">
        <w:fldChar w:fldCharType="separate"/>
      </w:r>
      <w:r w:rsidR="00183CC8">
        <w:t>1.6.1</w:t>
      </w:r>
      <w:r w:rsidR="001C48C8">
        <w:fldChar w:fldCharType="end"/>
      </w:r>
      <w:r w:rsidR="001C48C8">
        <w:t xml:space="preserve"> and </w:t>
      </w:r>
      <w:r w:rsidR="001C48C8">
        <w:fldChar w:fldCharType="begin"/>
      </w:r>
      <w:r w:rsidR="001C48C8">
        <w:instrText xml:space="preserve"> REF _Ref89351913 \r \h </w:instrText>
      </w:r>
      <w:r w:rsidR="001C48C8">
        <w:fldChar w:fldCharType="separate"/>
      </w:r>
      <w:r w:rsidR="00183CC8">
        <w:t>4.1</w:t>
      </w:r>
      <w:r w:rsidR="001C48C8">
        <w:fldChar w:fldCharType="end"/>
      </w:r>
      <w:r w:rsidR="001C48C8">
        <w:t>)</w:t>
      </w:r>
      <w:r>
        <w:t xml:space="preserve"> of Gram-negative bacteria that help maintain the periplasmic space.</w:t>
      </w:r>
    </w:p>
    <w:p w14:paraId="0D93A5D5" w14:textId="4A6E8272" w:rsidR="00A038EE" w:rsidRDefault="00A038EE" w:rsidP="00A038EE">
      <w:pPr>
        <w:pStyle w:val="BodyThesis"/>
      </w:pPr>
      <w:r>
        <w:t xml:space="preserve">To test this further, </w:t>
      </w:r>
      <w:r>
        <w:rPr>
          <w:i/>
          <w:iCs/>
        </w:rPr>
        <w:t>ltaS gdpP::kan</w:t>
      </w:r>
      <w:r>
        <w:t xml:space="preserve"> should also have been analysed by CEMOVIS. If LTA were acting as the OPGs of Gram-negatives, the lack of LTA would mean that an isosmotic equilibrium would not be achieved and the exoplasm would collapse. This would also result in a narrower ES measurement of vitrified thin-sections in </w:t>
      </w:r>
      <w:r>
        <w:rPr>
          <w:i/>
          <w:iCs/>
        </w:rPr>
        <w:t>ltaS gdpP::kan.</w:t>
      </w:r>
      <w:r>
        <w:t xml:space="preserve"> Analysis of the </w:t>
      </w:r>
      <w:r>
        <w:rPr>
          <w:i/>
          <w:iCs/>
        </w:rPr>
        <w:t xml:space="preserve">tarO </w:t>
      </w:r>
      <w:r>
        <w:t xml:space="preserve">mutant could also give indication if both WTA and LTA are needed for attracting sufficient neutralising cations, or if only one type of TA is enough. An additional crucial experiment would involve modifying </w:t>
      </w:r>
      <w:r>
        <w:rPr>
          <w:i/>
          <w:iCs/>
        </w:rPr>
        <w:t>S. aureus</w:t>
      </w:r>
      <w:r>
        <w:t xml:space="preserve"> SH1000 growing conditions by increasing and reducing the concentration of divalent cations, </w:t>
      </w:r>
      <w:r w:rsidR="00FF6BEC">
        <w:t>such as</w:t>
      </w:r>
      <w:r>
        <w:t xml:space="preserve"> Mg</w:t>
      </w:r>
      <w:r>
        <w:rPr>
          <w:vertAlign w:val="superscript"/>
        </w:rPr>
        <w:t xml:space="preserve">2+, </w:t>
      </w:r>
      <w:r>
        <w:t>and slightly modifying the pH of the growing medium to modify the available D-alanine ester residues in TA</w:t>
      </w:r>
      <w:r w:rsidR="001777D1">
        <w:t xml:space="preserve"> </w:t>
      </w:r>
      <w:r w:rsidR="001777D1">
        <w:fldChar w:fldCharType="begin" w:fldLock="1"/>
      </w:r>
      <w:r w:rsidR="00C8038C">
        <w:instrText>ADDIN CSL_CITATION {"citationItems":[{"id":"ITEM-1","itemData":{"DOI":"10.1128/MMBR.67.4.686","ISBN":"1092-2172\\r10922172","author":[{"dropping-particle":"","family":"Neuhaus","given":"Francis C","non-dropping-particle":"","parse-names":false,"suffix":""},{"dropping-particle":"","family":"Baddiley","given":"James","non-dropping-particle":"","parse-names":false,"suffix":""}],"container-title":"Microbiology and Molecular Biology Reviews","id":"ITEM-1","issue":"4","issued":{"date-parts":[["2003"]]},"page":"686","title":"A Continuum of Anionic Charge: Structures and Functions of D- Alanyl- Teichoic Acids in Gram- Positive Bacteria","type":"article-journal","volume":"67"},"uris":["http://www.mendeley.com/documents/?uuid=7e867f96-1f6e-41bc-b793-1eac09cb173a"]},{"id":"ITEM-2","itemData":{"DOI":"10.1042/bj1490519","ISSN":"02646021","PMID":"994","abstract":"The binding of Mg2+ to the wall teichoic acid of Lactobacillus buchneri N.C.I.B. 8007 was measured by equilibrium dialysis at controlled ionic concentration and pH. In an aqueous solution containing 10mM-NaCl at pH 5.0 one Mg2+ ion was bound for every two phosphate groups of the teichoic acid, with an apparent association constant, K,.ssoc. = 2.7 x 103M-1. On lowering the pH below the pKa of the phosphate groups the amount of bound Mg2+ decreased concomitantly with decreasing ionization of the phosphate groups. Both the amount of Mg2+ bound to the teichoic acid and the apparent association constants were similar in the presence of 10mM concentrations of NaCl or KCI but decreased markedly in the presence of lOmM-CaCl2 because of competition between Ca2+ and Mge+ for the binding sites. A similar effect was found when the concentration ofNaCl was increased from 0 to 50mM. The results are discussed in relation to the function of teichoic acid in the walls of Gram-positive bacteria. A great deal of information is available about the occurrence and structure of teichoic acids in the cell walls of Gram-positive bacteria (Baddiley, 1972), but comparatively little is known of their function. The suggestion (Archibald et al., 1961) that teichoic acids are involved in ion exchange and in the control of access of ions, particularly Mg2+, to the inner regions of the cell is supported by a number of studies. For example, it has been shownthat Mg2+ binding bywalls containingteichoicacid depends on the presence ofthe teichoic acid (Heptinstall et al., 1970). Moreover the amount of Mg2+ bound is related, although not quantitatively, to the alanine ester content of the teichoic acid (Archibald et al., 1973). Hughes et al. (1973) showed that the activity of certain membrane-bound enzymes involved in the biosynthesis of wall polymers in Bacillus licheniformis strongly depends on Mg2+ and that these ions can be supplied to the cell membrane by wall and membrane teichoic acids. The importance of teichoic acid in the assimilation of Mg2+ from the environment has been illustrated by studies on the growth of Bacillus subtilis under conditions that impose a constraint on the availability of Mg2+. Thus when grown under conditions of Mg2+ limitation (Ellwood, 1970) or in a high concen-tration of competing Na+ (Meers &amp; Tempest, 1970; Ellwood, 1971) the cells respond by incorporating increased amounts of teichoic acid into their walls","author":[{"dropping-particle":"","family":"Lambert","given":"Peter A","non-dropping-particle":"","parse-names":false,"suffix":""},{"dropping-particle":"","family":"Hancock","given":"Ian C","non-dropping-particle":"","parse-names":false,"suffix":""},{"dropping-particle":"","family":"Baddiley","given":"James","non-dropping-particle":"","parse-names":false,"suffix":""}],"container-title":"Biochemical Journal","id":"ITEM-2","issue":"3","issued":{"date-parts":[["1975"]]},"page":"519-524","title":"The interaction of magnesium ions with teichoic acid","type":"article-journal","volume":"149"},"uris":["http://www.mendeley.com/documents/?uuid=f9a3d2f2-01f5-319d-a3dd-6a746ee8b350"]}],"mendeley":{"formattedCitation":"&lt;sup&gt;[85,87]&lt;/sup&gt;","plainTextFormattedCitation":"[85,87]","previouslyFormattedCitation":"&lt;sup&gt;[85,87]&lt;/sup&gt;"},"properties":{"noteIndex":0},"schema":"https://github.com/citation-style-language/schema/raw/master/csl-citation.json"}</w:instrText>
      </w:r>
      <w:r w:rsidR="001777D1">
        <w:fldChar w:fldCharType="separate"/>
      </w:r>
      <w:r w:rsidR="001777D1" w:rsidRPr="00DA0A83">
        <w:rPr>
          <w:noProof/>
          <w:vertAlign w:val="superscript"/>
        </w:rPr>
        <w:t>[85,87]</w:t>
      </w:r>
      <w:r w:rsidR="001777D1">
        <w:fldChar w:fldCharType="end"/>
      </w:r>
      <w:r>
        <w:t xml:space="preserve">. This would affect the binding of said </w:t>
      </w:r>
      <w:r w:rsidR="00F15D07">
        <w:t>cations and</w:t>
      </w:r>
      <w:r>
        <w:t xml:space="preserve"> could in turn result in differential ES measurement from frozen-hydrated thin-sections.</w:t>
      </w:r>
    </w:p>
    <w:p w14:paraId="112F13E6" w14:textId="490777E8" w:rsidR="00CC0826" w:rsidRDefault="00CC0826" w:rsidP="00A038EE">
      <w:pPr>
        <w:pStyle w:val="BodyThesis"/>
      </w:pPr>
    </w:p>
    <w:p w14:paraId="3E8FCE08" w14:textId="77777777" w:rsidR="00456FDA" w:rsidRDefault="00456FDA" w:rsidP="00A038EE">
      <w:pPr>
        <w:pStyle w:val="BodyThesis"/>
      </w:pPr>
    </w:p>
    <w:p w14:paraId="5228F701" w14:textId="548B64B8" w:rsidR="00FD1A64" w:rsidRDefault="00FD1A64" w:rsidP="00FD1A64">
      <w:pPr>
        <w:pStyle w:val="BodyThesis"/>
        <w:rPr>
          <w:b/>
          <w:bCs/>
        </w:rPr>
      </w:pPr>
      <w:r>
        <w:rPr>
          <w:b/>
          <w:bCs/>
        </w:rPr>
        <w:t>TA generate an electrostatic repulsion in the ES</w:t>
      </w:r>
      <w:r w:rsidR="009903CC">
        <w:rPr>
          <w:b/>
          <w:bCs/>
        </w:rPr>
        <w:t>.</w:t>
      </w:r>
    </w:p>
    <w:p w14:paraId="744DA5BB" w14:textId="2E4514EF" w:rsidR="00A038EE" w:rsidRPr="00FD1A64" w:rsidRDefault="00A038EE" w:rsidP="00FD1A64">
      <w:pPr>
        <w:pStyle w:val="BodyThesis"/>
        <w:rPr>
          <w:b/>
          <w:bCs/>
        </w:rPr>
      </w:pPr>
      <w:r>
        <w:t xml:space="preserve"> </w:t>
      </w:r>
      <w:r>
        <w:fldChar w:fldCharType="begin"/>
      </w:r>
      <w:r>
        <w:instrText xml:space="preserve"> REF _Ref75624818 \h </w:instrText>
      </w:r>
      <w:r>
        <w:fldChar w:fldCharType="separate"/>
      </w:r>
      <w:r w:rsidR="00183CC8">
        <w:t xml:space="preserve">Figure </w:t>
      </w:r>
      <w:r w:rsidR="00183CC8">
        <w:rPr>
          <w:noProof/>
        </w:rPr>
        <w:t>6</w:t>
      </w:r>
      <w:r w:rsidR="00183CC8">
        <w:t>.</w:t>
      </w:r>
      <w:r w:rsidR="00183CC8">
        <w:rPr>
          <w:noProof/>
        </w:rPr>
        <w:t>2</w:t>
      </w:r>
      <w:r>
        <w:fldChar w:fldCharType="end"/>
      </w:r>
      <w:r>
        <w:t>a is a schematic representation of Erickson’s model, w</w:t>
      </w:r>
      <w:r w:rsidR="003D1FE9">
        <w:t>h</w:t>
      </w:r>
      <w:r>
        <w:t xml:space="preserve">ere the interaction of WTA and LTA in the exoplasm leads to an electrostatic repulsion force that helps maintain the ES. Erickson also proposes that in an ideal space without turgor, WTA and LTA are long enough to be extended in the exoplasmic space, and LTA with its 25 Gro-P units measuring ~ 22 nm would fit perfectly in the exoplasm of </w:t>
      </w:r>
      <w:r>
        <w:rPr>
          <w:i/>
          <w:iCs/>
        </w:rPr>
        <w:t>B. subtills</w:t>
      </w:r>
      <w:r>
        <w:t xml:space="preserve"> of the same width </w:t>
      </w:r>
      <w:r>
        <w:fldChar w:fldCharType="begin" w:fldLock="1"/>
      </w:r>
      <w:r w:rsidR="005F2DD4">
        <w:instrText xml:space="preserve">ADDIN CSL_CITATION {"citationItems":[{"id":"ITEM-1","itemData":{"DOI":"10.1146/annurev-micro-091213-112949","abstract":"Lipoteichoic acid (LTA) is an important cell wall polymer found in gram- positive bacteria. Although the exact role of LTA is unknown, mutants dis- play significant growth and physiological defects. Additionally,modification of the LTA backbone structure can provide protection against cationic an- timicrobial peptides. This review provides an overview of the different LTA types and their chemical structures and synthesis pathways. The occurrence and mechanisms of LTA modifications with D-alanyl, glycosyl, and phos- phocholine residueswill be discussed alongwith their functions. Similarities between the production of type I LTA and osmoregulated periplasmic glu- cans in gram-negative bacteria are highlighted, indicating that LTA should perhaps be compared to these polymers rather than lipopolysaccharide, as is presently the case. Lastly, current efforts to use LTAs as vaccine candidates, synthesis proteins as novel antimicrobial targets, and LTAmutant strains as improved probiotics are highlighted. 81","author":[{"dropping-particle":"","family":"Percy","given":"Matthew G","non-dropping-particle":"","parse-names":false,"suffix":""},{"dropping-particle":"","family":"Grundling","given":"Angelika","non-dropping-particle":"","parse-names":false,"suffix":""}],"container-title":"Annual Review of Microbiology","id":"ITEM-1","issued":{"date-parts":[["2014"]]},"note":"LTA gram +\n\nevidence of a direct interaction between cell division proteins and LTA synthesis proteins was recently provided for S. aureus (105). An S. aureus ltaS mutant can only be maintained under osmotically stabilizing conditions in medium with a high concentration of NaCl or sucrose, after acquisition of compensatory mutations, or, for some strains, by lowering the growth temperature (22, 44, 97). The observa- tion that an S. aureus ltaS mutant can be rescued in high-osmolality medium or by an increase in the cellular concentration of cyclic-diadenosine-monophosphate (c-di-AMP), a nucleotide- signaling molecule that has been implicated in the control of potassium and/or other ion trans- port (9, 22–24, 94, 97), might indicate a crucial function of LTA in the osmoprotection of the cell.\nType","page":"81-100","title":"Lipoteichoic Acid Synthesis and Function in Gram-Positive Bacteria","type":"article-journal","volume":"68"},"uris":["http://www.mendeley.com/documents/?uuid=cf9f72fd-73c1-4d80-bfa0-ad9e73dc48f0"]},{"id":"ITEM-2","itemData":{"DOI":"10.3389/fmicb.2021.664704","ISSN":"1664302X","abstract":"The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F2DD4">
        <w:rPr>
          <w:rFonts w:ascii="Cambria Math" w:hAnsi="Cambria Math" w:cs="Cambria Math"/>
        </w:rPr>
        <w:instrText>∼</w:instrText>
      </w:r>
      <w:r w:rsidR="005F2DD4">
        <w:instrText xml:space="preserve">0.5 M, which would bring in </w:instrText>
      </w:r>
      <w:r w:rsidR="005F2DD4">
        <w:rPr>
          <w:rFonts w:ascii="Cambria Math" w:hAnsi="Cambria Math" w:cs="Cambria Math"/>
        </w:rPr>
        <w:instrText>∼</w:instrText>
      </w:r>
      <w:r w:rsidR="005F2DD4">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Microbiology","id":"ITEM-2","issue":"May","issued":{"date-parts":[["2021"]]},"page":"1-11","title":"How Teichoic Acids Could Support a Periplasm in Gram-Positive Bacteria, and Let Cell Division Cheat Turgor Pressure","type":"article-journal","volume":"12"},"uris":["http://www.mendeley.com/documents/?uuid=8e106983-147c-42ae-88fd-3e44783b571f"]},{"id":"ITEM-3","itemData":{"DOI":"10.1111/j.1365-2958.2005.04535.x","ISBN":"0950-382X (Print)\\r0950-382X (Linking)","ISSN":"0950382X","PMID":"15773993","abstract":"Ultrarapid freezing of bacteria (i.e. vitrification) results in optimal preservation of native structure. In this study, cryo-transmission electron microscopy of frozen-hydrated sections was used to gain insight into the organization of the Bacillus subtilis 168 cell envelope. A bipartite structure was seen above the plasma membrane consisting of a low-density 22 nm region above which a higher-density 33 nm region or outer wall zone (OWZ) resided. The interface between these two regions appeared to possess the most mass. In intact and in teichoic acid-extracted wall fragments, only a single region was seen but the mass distribution varied from being dense on the inside to less dense on the outside (i.e. similar to the OWZ). In plasmolysed cells, the inner wall zone (IWZ)'s thickness expanded in size but the OWZ's thickness remained constant. As the IWZ expanded it became filled with plasma membrane vesicles indicating that the IWZ had little substance and was empty of the wall's polymeric network of peptidoglycan and teichoic acid. Together these results strongly suggest that the inner zone actually represents a periplasmic space confined between the plasma membrane and the wall matrix and that the OWZ is the peptidoglycan-teichoic acid polymeric network of the wall.","author":[{"dropping-particle":"","family":"Matias","given":"V. R F","non-dropping-particle":"","parse-names":false,"suffix":""},{"dropping-particle":"","family":"Beveridge","given":"Terry J.","non-dropping-particle":"","parse-names":false,"suffix":""}],"container-title":"Molecular Microbiology","id":"ITEM-3","issue":"1","issued":{"date-parts":[["2005"]]},"page":"240-251","title":"Cryo-electron microscopy reveals native polymeric cell wall structure in Bacillus subtilis 168 and the existence of a periplasmic space","type":"article-journal","volume":"56"},"uris":["http://www.mendeley.com/documents/?uuid=3274a9ad-3640-4744-a55b-e8277897fa77"]}],"mendeley":{"formattedCitation":"&lt;sup&gt;[84,164,166]&lt;/sup&gt;","plainTextFormattedCitation":"[84,164,166]","previouslyFormattedCitation":"&lt;sup&gt;[84,164,166]&lt;/sup&gt;"},"properties":{"noteIndex":0},"schema":"https://github.com/citation-style-language/schema/raw/master/csl-citation.json"}</w:instrText>
      </w:r>
      <w:r>
        <w:fldChar w:fldCharType="separate"/>
      </w:r>
      <w:r w:rsidR="0054658D" w:rsidRPr="0054658D">
        <w:rPr>
          <w:noProof/>
          <w:vertAlign w:val="superscript"/>
        </w:rPr>
        <w:t>[84,164,166]</w:t>
      </w:r>
      <w:r>
        <w:fldChar w:fldCharType="end"/>
      </w:r>
      <w:r>
        <w:t xml:space="preserve">. However, </w:t>
      </w:r>
      <w:r>
        <w:rPr>
          <w:i/>
          <w:iCs/>
        </w:rPr>
        <w:t>S. aureus</w:t>
      </w:r>
      <w:r>
        <w:t xml:space="preserve"> has an exoplasmic space of 16 nm </w:t>
      </w:r>
      <w:r>
        <w:fldChar w:fldCharType="begin" w:fldLock="1"/>
      </w:r>
      <w:r w:rsidR="00DA0A83">
        <w:instrText>ADDIN CSL_CITATION {"citationItems":[{"id":"ITEM-1","itemData":{"DOI":"10.1128/JB.188.3.1011-1021.2006","ISBN":"0021-9193","ISSN":"00219193","PMID":"16428405","abstract":"The current perception of the ultrastructure of gram-positive cell envelopes relies mainly on electron microscopy of thin sections and on sample preparation. Freezing of cells into a matrix of amorphous ice (i.e., vitrification) results in optimal specimen preservation and allows the observation of cell envelope boundary layers in their (frozen) hydrated state. In this report, cryo-transmission electron microscopy of frozen-hydrated sections of Staphylococcus aureus D2C was used to examine cell envelope organization. A bipartite wall was positioned above the plasma membrane and consisted of a 16-nm low-density inner wall zone (IWZ), followed by a 19-nm high-density outer wall zone (OWZ). Observation of plasmolyzed cells, which were used to artificially separate the membrane from the wall, showed membrane vesicles within the space associated with the IWZ in native cells and a large gap between the membrane and OWZ, suggesting that the IWZ was devoid of a cross-linked polymeric cell wall network. Isolated wall fragments possessed only one zone of high density, with a constant level of density throughout their thickness, as was previously seen with the OWZs of intact cells. These results strongly indicate that the IWZ represents a periplasmic space, composed mostly of soluble low-density constituents confined between the plasma membrane and OWZ, and that the OWZ represents the peptidoglycan-teichoic acid cell wall network with its associated proteins. Cell wall differentiation was also seen at the septum of dividing cells. Here, two high-density zones were sandwiched between three low-density zones. It appeared that the septum consisted of an extension of the IWZ and OWZ from the outside peripheral wall, plus a low-density middle zone that separated adjacent septal cross walls, which could contribute to cell separation during division.","author":[{"dropping-particle":"","family":"Matias","given":"Valério R F","non-dropping-particle":"","parse-names":false,"suffix":""},{"dropping-particle":"","family":"Beveridge","given":"Terry J.","non-dropping-particle":"","parse-names":false,"suffix":""}],"container-title":"Journal of Bacteriology","id":"ITEM-1","issue":"3","issued":{"date-parts":[["2006"]]},"page":"1011-1021","title":"Native cell wall organization shown by cryo-electron microscopy confirms the existence of a periplasmic space in Staphylococcus aureus","type":"article-journal","volume":"188"},"uris":["http://www.mendeley.com/documents/?uuid=d0573240-3d12-4cf9-8413-79fe8dd7149d"]}],"mendeley":{"formattedCitation":"&lt;sup&gt;[16]&lt;/sup&gt;","plainTextFormattedCitation":"[16]","previouslyFormattedCitation":"&lt;sup&gt;[16]&lt;/sup&gt;"},"properties":{"noteIndex":0},"schema":"https://github.com/citation-style-language/schema/raw/master/csl-citation.json"}</w:instrText>
      </w:r>
      <w:r>
        <w:fldChar w:fldCharType="separate"/>
      </w:r>
      <w:r w:rsidR="00DA0A83" w:rsidRPr="00DA0A83">
        <w:rPr>
          <w:noProof/>
          <w:vertAlign w:val="superscript"/>
        </w:rPr>
        <w:t>[16]</w:t>
      </w:r>
      <w:r>
        <w:fldChar w:fldCharType="end"/>
      </w:r>
      <w:r>
        <w:t xml:space="preserve">, indicating that LTA chains could be slightly compressed or could extend into the CW. Erickson suggests that LTA would not be able to penetrate the inner dense mesh of the CW </w:t>
      </w:r>
      <w:r>
        <w:fldChar w:fldCharType="begin" w:fldLock="1"/>
      </w:r>
      <w:r w:rsidR="00B3106D">
        <w:instrText xml:space="preserve">ADDIN CSL_CITATION {"citationItems":[{"id":"ITEM-1","itemData":{"DOI":"10.3389/fmicb.2021.664704","ISSN":"1664302X","abstract":"The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B3106D">
        <w:rPr>
          <w:rFonts w:ascii="Cambria Math" w:hAnsi="Cambria Math" w:cs="Cambria Math"/>
        </w:rPr>
        <w:instrText>∼</w:instrText>
      </w:r>
      <w:r w:rsidR="00B3106D">
        <w:instrText xml:space="preserve">0.5 M, which would bring in </w:instrText>
      </w:r>
      <w:r w:rsidR="00B3106D">
        <w:rPr>
          <w:rFonts w:ascii="Cambria Math" w:hAnsi="Cambria Math" w:cs="Cambria Math"/>
        </w:rPr>
        <w:instrText>∼</w:instrText>
      </w:r>
      <w:r w:rsidR="00B3106D">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Microbiology","id":"ITEM-1","issue":"May","issued":{"date-parts":[["2021"]]},"page":"1-11","title":"How Teichoic Acids Could Support a Periplasm in Gram-Positive Bacteria, and Let Cell Division Cheat Turgor Pressure","type":"article-journal","volume":"12"},"uris":["http://www.mendeley.com/documents/?uuid=8e106983-147c-42ae-88fd-3e44783b571f"]},{"id":"ITEM-2","itemData":{"DOI":"10.1038/s41586-020-2236-6","ISSN":"14764687","PMID":"32523118","abstract":"The primary structural component of the bacterial cell wall is peptidoglycan, which is essential for viability and the synthesis of which is the target for crucial antibiotics1,2. Peptidoglycan is a single macromolecule made of glycan chains crosslinked by peptide side branches that surrounds the cell, acting as a constraint to internal turgor1,3. In Gram-positive bacteria, peptidoglycan is tens of nanometres thick, generally portrayed as a homogeneous structure that provides mechanical strength4–6. Here we applied atomic force microscopy7–12 to interrogate the morphologically distinct Staphylococcus aureus and Bacillus subtilis species, using live cells and purified peptidoglycan. The mature surface of live cells is characterized by a landscape of large (up to 60 nm in diameter), deep (up to 23 nm) pores constituting a disordered gel of peptidoglycan. The inner peptidoglycan surface, consisting of more nascent material, is much denser, with glycan strand spacing typically less than 7 nm. The inner surface architecture is location dependent; the cylinder of B. subtilis has dense circumferential orientation, while in S. aureus and division septa for both species, peptidoglycan is dense but randomly oriented. Revealing the molecular architecture of the cell envelope frames our understanding of its mechanical properties and role as the environmental interface13,14, providing information complementary to traditional structural biology approaches.","author":[{"dropping-particle":"","family":"Pasquina-Lemonche","given":"L.","non-dropping-particle":"","parse-names":false,"suffix":""},{"dropping-particle":"","family":"Burns","given":"J.","non-dropping-particle":"","parse-names":false,"suffix":""},{"dropping-particle":"","family":"Turner","given":"R. D.","non-dropping-particle":"","parse-names":false,"suffix":""},{"dropping-particle":"","family":"Kumar","given":"S.","non-dropping-particle":"","parse-names":false,"suffix":""},{"dropping-particle":"","family":"Tank","given":"R.","non-dropping-particle":"","parse-names":false,"suffix":""},{"dropping-particle":"","family":"Mullin","given":"N.","non-dropping-particle":"","parse-names":false,"suffix":""},{"dropping-particle":"","family":"Wilson","given":"J. S.","non-dropping-particle":"","parse-names":false,"suffix":""},{"dropping-particle":"","family":"Chakrabarti","given":"B.","non-dropping-particle":"","parse-names":false,"suffix":""},{"dropping-particle":"","family":"Bullough","given":"P. A.","non-dropping-particle":"","parse-names":false,"suffix":""},{"dropping-particle":"","family":"Foster","given":"S. J.","non-dropping-particle":"","parse-names":false,"suffix":""},{"dropping-particle":"","family":"Hobbs","given":"J. K.","non-dropping-particle":"","parse-names":false,"suffix":""}],"container-title":"Nature","id":"ITEM-2","issue":"7811","issued":{"date-parts":[["2020"]]},"page":"294-297","publisher":"Springer US","title":"The architecture of the Gram-positive bacterial cell wall","type":"article-journal","volume":"582"},"uris":["http://www.mendeley.com/documents/?uuid=59449879-cfbc-4ac6-815a-4c720a2f8b47"]}],"mendeley":{"formattedCitation":"&lt;sup&gt;[166,211]&lt;/sup&gt;","plainTextFormattedCitation":"[166,211]","previouslyFormattedCitation":"&lt;sup&gt;[166,211]&lt;/sup&gt;"},"properties":{"noteIndex":0},"schema":"https://github.com/citation-style-language/schema/raw/master/csl-citation.json"}</w:instrText>
      </w:r>
      <w:r>
        <w:fldChar w:fldCharType="separate"/>
      </w:r>
      <w:r w:rsidR="002659E5" w:rsidRPr="002659E5">
        <w:rPr>
          <w:noProof/>
          <w:vertAlign w:val="superscript"/>
        </w:rPr>
        <w:t>[166,211]</w:t>
      </w:r>
      <w:r>
        <w:fldChar w:fldCharType="end"/>
      </w:r>
      <w:r>
        <w:t>, and therefore would fold backwards. Thus, in a WTA-depleted cell, LTA would push against the CW and would be able to maintain the exoplasmic space (</w:t>
      </w:r>
      <w:r>
        <w:fldChar w:fldCharType="begin"/>
      </w:r>
      <w:r>
        <w:instrText xml:space="preserve"> REF _Ref75624818 \h </w:instrText>
      </w:r>
      <w:r>
        <w:fldChar w:fldCharType="separate"/>
      </w:r>
      <w:r w:rsidR="00183CC8">
        <w:t xml:space="preserve">Figure </w:t>
      </w:r>
      <w:r w:rsidR="00183CC8">
        <w:rPr>
          <w:noProof/>
        </w:rPr>
        <w:t>6</w:t>
      </w:r>
      <w:r w:rsidR="00183CC8">
        <w:t>.</w:t>
      </w:r>
      <w:r w:rsidR="00183CC8">
        <w:rPr>
          <w:noProof/>
        </w:rPr>
        <w:t>2</w:t>
      </w:r>
      <w:r>
        <w:fldChar w:fldCharType="end"/>
      </w:r>
      <w:r>
        <w:t xml:space="preserve">c). This </w:t>
      </w:r>
      <w:r w:rsidR="00D27DB2">
        <w:t>would also explain</w:t>
      </w:r>
      <w:r>
        <w:t xml:space="preserve"> why </w:t>
      </w:r>
      <w:r>
        <w:rPr>
          <w:i/>
          <w:iCs/>
        </w:rPr>
        <w:t>tarO</w:t>
      </w:r>
      <w:r>
        <w:t xml:space="preserve"> mutants are still viable. </w:t>
      </w:r>
      <w:r w:rsidR="007A7059">
        <w:t>A</w:t>
      </w:r>
      <w:r>
        <w:t>nalys</w:t>
      </w:r>
      <w:r w:rsidR="00127795">
        <w:t>is</w:t>
      </w:r>
      <w:r>
        <w:t xml:space="preserve"> </w:t>
      </w:r>
      <w:r w:rsidR="000E12CC">
        <w:t xml:space="preserve">of </w:t>
      </w:r>
      <w:r w:rsidR="000E12CC">
        <w:rPr>
          <w:i/>
          <w:iCs/>
        </w:rPr>
        <w:t xml:space="preserve">tarO </w:t>
      </w:r>
      <w:r>
        <w:t>by CEMOVIS</w:t>
      </w:r>
      <w:r w:rsidR="007A7059">
        <w:t xml:space="preserve"> would help test this assumption</w:t>
      </w:r>
      <w:r>
        <w:t xml:space="preserve">. If this theory is correct, the WTA-depleted mutant </w:t>
      </w:r>
      <w:r w:rsidR="00295180">
        <w:t>w</w:t>
      </w:r>
      <w:r>
        <w:t xml:space="preserve">ould have a narrower, although viable, </w:t>
      </w:r>
      <w:r w:rsidR="006C3B9D">
        <w:t>ES than the wildtype</w:t>
      </w:r>
      <w:r>
        <w:t xml:space="preserve"> due to the lack of repulsion/interaction </w:t>
      </w:r>
      <w:r w:rsidR="007A7059">
        <w:t>between LTA and</w:t>
      </w:r>
      <w:r>
        <w:t xml:space="preserve"> WTA.</w:t>
      </w:r>
      <w:r>
        <w:rPr>
          <w:i/>
          <w:iCs/>
        </w:rPr>
        <w:t xml:space="preserve"> </w:t>
      </w:r>
      <w:r>
        <w:t>The same experiment should be carried out with LTA-depleted mutants. Erickson proposes that in the absence of LTA, WTA chains that extend into the exoplasm would end-up folding backwards as they cannot penetrate the PM (</w:t>
      </w:r>
      <w:r>
        <w:fldChar w:fldCharType="begin"/>
      </w:r>
      <w:r>
        <w:instrText xml:space="preserve"> REF _Ref75624818 \h </w:instrText>
      </w:r>
      <w:r>
        <w:fldChar w:fldCharType="separate"/>
      </w:r>
      <w:r w:rsidR="00183CC8">
        <w:t xml:space="preserve">Figure </w:t>
      </w:r>
      <w:r w:rsidR="00183CC8">
        <w:rPr>
          <w:noProof/>
        </w:rPr>
        <w:t>6</w:t>
      </w:r>
      <w:r w:rsidR="00183CC8">
        <w:t>.</w:t>
      </w:r>
      <w:r w:rsidR="00183CC8">
        <w:rPr>
          <w:noProof/>
        </w:rPr>
        <w:t>2</w:t>
      </w:r>
      <w:r>
        <w:fldChar w:fldCharType="end"/>
      </w:r>
      <w:r>
        <w:t>b). In both cases, either lacking WTA or LTA, there would still be some electrostatic repulsion within the chains of the remaining polymer</w:t>
      </w:r>
      <w:r w:rsidR="00787381">
        <w:t>,</w:t>
      </w:r>
      <w:r>
        <w:t xml:space="preserve"> </w:t>
      </w:r>
      <w:r w:rsidR="00787381">
        <w:t>as</w:t>
      </w:r>
      <w:r>
        <w:t xml:space="preserve"> there would be enough density of negative charges. Consequently, that density would be higher if both types of polymers were present and interacting with each other. </w:t>
      </w:r>
    </w:p>
    <w:p w14:paraId="3BAA133B" w14:textId="725920B9" w:rsidR="0087280D" w:rsidRDefault="00A038EE" w:rsidP="00A038EE">
      <w:pPr>
        <w:pStyle w:val="BodyThesis"/>
      </w:pPr>
      <w:r>
        <w:t xml:space="preserve">This </w:t>
      </w:r>
      <w:r w:rsidR="00D37B1E">
        <w:t>electrostatic repulsion theory</w:t>
      </w:r>
      <w:r>
        <w:t xml:space="preserve"> raises </w:t>
      </w:r>
      <w:r w:rsidR="00D37B1E">
        <w:t>some</w:t>
      </w:r>
      <w:r>
        <w:t xml:space="preserve"> questions: why would LTA not be able to penetrate the CW, if they are structurally similar to WTA</w:t>
      </w:r>
      <w:r w:rsidR="00D37B1E">
        <w:t>?</w:t>
      </w:r>
      <w:r>
        <w:t xml:space="preserve"> Erickson took the AFM analysis of the inner CW of </w:t>
      </w:r>
      <w:r>
        <w:rPr>
          <w:i/>
          <w:iCs/>
        </w:rPr>
        <w:t>S. aureus</w:t>
      </w:r>
      <w:r>
        <w:t xml:space="preserve"> published by Dr. Pasquina Lemonche (2020) </w:t>
      </w:r>
      <w:r>
        <w:fldChar w:fldCharType="begin" w:fldLock="1"/>
      </w:r>
      <w:r w:rsidR="00B3106D">
        <w:instrText>ADDIN CSL_CITATION {"citationItems":[{"id":"ITEM-1","itemData":{"DOI":"10.1038/s41586-020-2236-6","ISSN":"14764687","PMID":"32523118","abstract":"The primary structural component of the bacterial cell wall is peptidoglycan, which is essential for viability and the synthesis of which is the target for crucial antibiotics1,2. Peptidoglycan is a single macromolecule made of glycan chains crosslinked by peptide side branches that surrounds the cell, acting as a constraint to internal turgor1,3. In Gram-positive bacteria, peptidoglycan is tens of nanometres thick, generally portrayed as a homogeneous structure that provides mechanical strength4–6. Here we applied atomic force microscopy7–12 to interrogate the morphologically distinct Staphylococcus aureus and Bacillus subtilis species, using live cells and purified peptidoglycan. The mature surface of live cells is characterized by a landscape of large (up to 60 nm in diameter), deep (up to 23 nm) pores constituting a disordered gel of peptidoglycan. The inner peptidoglycan surface, consisting of more nascent material, is much denser, with glycan strand spacing typically less than 7 nm. The inner surface architecture is location dependent; the cylinder of B. subtilis has dense circumferential orientation, while in S. aureus and division septa for both species, peptidoglycan is dense but randomly oriented. Revealing the molecular architecture of the cell envelope frames our understanding of its mechanical properties and role as the environmental interface13,14, providing information complementary to traditional structural biology approaches.","author":[{"dropping-particle":"","family":"Pasquina-Lemonche","given":"L.","non-dropping-particle":"","parse-names":false,"suffix":""},{"dropping-particle":"","family":"Burns","given":"J.","non-dropping-particle":"","parse-names":false,"suffix":""},{"dropping-particle":"","family":"Turner","given":"R. D.","non-dropping-particle":"","parse-names":false,"suffix":""},{"dropping-particle":"","family":"Kumar","given":"S.","non-dropping-particle":"","parse-names":false,"suffix":""},{"dropping-particle":"","family":"Tank","given":"R.","non-dropping-particle":"","parse-names":false,"suffix":""},{"dropping-particle":"","family":"Mullin","given":"N.","non-dropping-particle":"","parse-names":false,"suffix":""},{"dropping-particle":"","family":"Wilson","given":"J. S.","non-dropping-particle":"","parse-names":false,"suffix":""},{"dropping-particle":"","family":"Chakrabarti","given":"B.","non-dropping-particle":"","parse-names":false,"suffix":""},{"dropping-particle":"","family":"Bullough","given":"P. A.","non-dropping-particle":"","parse-names":false,"suffix":""},{"dropping-particle":"","family":"Foster","given":"S. J.","non-dropping-particle":"","parse-names":false,"suffix":""},{"dropping-particle":"","family":"Hobbs","given":"J. K.","non-dropping-particle":"","parse-names":false,"suffix":""}],"container-title":"Nature","id":"ITEM-1","issue":"7811","issued":{"date-parts":[["2020"]]},"page":"294-297","publisher":"Springer US","title":"The architecture of the Gram-positive bacterial cell wall","type":"article-journal","volume":"582"},"uris":["http://www.mendeley.com/documents/?uuid=59449879-cfbc-4ac6-815a-4c720a2f8b47"]}],"mendeley":{"formattedCitation":"&lt;sup&gt;[211]&lt;/sup&gt;","plainTextFormattedCitation":"[211]","previouslyFormattedCitation":"&lt;sup&gt;[211]&lt;/sup&gt;"},"properties":{"noteIndex":0},"schema":"https://github.com/citation-style-language/schema/raw/master/csl-citation.json"}</w:instrText>
      </w:r>
      <w:r>
        <w:fldChar w:fldCharType="separate"/>
      </w:r>
      <w:r w:rsidR="002659E5" w:rsidRPr="002659E5">
        <w:rPr>
          <w:noProof/>
          <w:vertAlign w:val="superscript"/>
        </w:rPr>
        <w:t>[211]</w:t>
      </w:r>
      <w:r>
        <w:fldChar w:fldCharType="end"/>
      </w:r>
      <w:r>
        <w:t>, and counted 30 pores over the 60 nm</w:t>
      </w:r>
      <w:r>
        <w:rPr>
          <w:vertAlign w:val="superscript"/>
        </w:rPr>
        <w:t>2</w:t>
      </w:r>
      <w:r>
        <w:t xml:space="preserve"> surface area of the published AFM image. Erickson suggests that in the same surface area there would be 667 LTA</w:t>
      </w:r>
      <w:r w:rsidR="00E412AE">
        <w:t xml:space="preserve"> molecules</w:t>
      </w:r>
      <w:r>
        <w:t xml:space="preserve">, and that with 1 pore </w:t>
      </w:r>
      <w:r w:rsidRPr="00ED6078">
        <w:rPr>
          <w:i/>
          <w:iCs/>
        </w:rPr>
        <w:t>per</w:t>
      </w:r>
      <w:r>
        <w:t xml:space="preserve"> 20 LTA it would be difficult for LTA to penetrate the CW as one LTA would result in loss of entropy and 2 LTA would encounter electrostatic repulsion </w:t>
      </w:r>
      <w:r>
        <w:fldChar w:fldCharType="begin" w:fldLock="1"/>
      </w:r>
      <w:r w:rsidR="005F2DD4">
        <w:instrText xml:space="preserve">ADDIN CSL_CITATION {"citationItems":[{"id":"ITEM-1","itemData":{"DOI":"10.3389/fmicb.2021.664704","ISSN":"1664302X","abstract":"The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sidR="005F2DD4">
        <w:rPr>
          <w:rFonts w:ascii="Cambria Math" w:hAnsi="Cambria Math" w:cs="Cambria Math"/>
        </w:rPr>
        <w:instrText>∼</w:instrText>
      </w:r>
      <w:r w:rsidR="005F2DD4">
        <w:instrText xml:space="preserve">0.5 M, which would bring in </w:instrText>
      </w:r>
      <w:r w:rsidR="005F2DD4">
        <w:rPr>
          <w:rFonts w:ascii="Cambria Math" w:hAnsi="Cambria Math" w:cs="Cambria Math"/>
        </w:rPr>
        <w:instrText>∼</w:instrText>
      </w:r>
      <w:r w:rsidR="005F2DD4">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Microbiology","id":"ITEM-1","issue":"May","issued":{"date-parts":[["2021"]]},"page":"1-11","title":"How Teichoic Acids Could Support a Periplasm in Gram-Positive Bacteria, and Let Cell Division Cheat Turgor Pressure","type":"article-journal","volume":"12"},"uris":["http://www.mendeley.com/documents/?uuid=8e106983-147c-42ae-88fd-3e44783b571f"]}],"mendeley":{"formattedCitation":"&lt;sup&gt;[166]&lt;/sup&gt;","plainTextFormattedCitation":"[166]","previouslyFormattedCitation":"&lt;sup&gt;[166]&lt;/sup&gt;"},"properties":{"noteIndex":0},"schema":"https://github.com/citation-style-language/schema/raw/master/csl-citation.json"}</w:instrText>
      </w:r>
      <w:r>
        <w:fldChar w:fldCharType="separate"/>
      </w:r>
      <w:r w:rsidR="0054658D" w:rsidRPr="0054658D">
        <w:rPr>
          <w:noProof/>
          <w:vertAlign w:val="superscript"/>
        </w:rPr>
        <w:t>[166]</w:t>
      </w:r>
      <w:r>
        <w:fldChar w:fldCharType="end"/>
      </w:r>
      <w:r>
        <w:t>. As WTA are structurally similar to LTA, it could be argued that WTA might not be present in the inner CW either. I have proposed above</w:t>
      </w:r>
      <w:r w:rsidR="00DD37D5">
        <w:t xml:space="preserve"> (section </w:t>
      </w:r>
      <w:r w:rsidR="00DD37D5">
        <w:fldChar w:fldCharType="begin"/>
      </w:r>
      <w:r w:rsidR="00DD37D5">
        <w:instrText xml:space="preserve"> REF _Ref79163686 \r \h </w:instrText>
      </w:r>
      <w:r w:rsidR="00DD37D5">
        <w:fldChar w:fldCharType="separate"/>
      </w:r>
      <w:r w:rsidR="00183CC8">
        <w:t>6.1.2</w:t>
      </w:r>
      <w:r w:rsidR="00DD37D5">
        <w:fldChar w:fldCharType="end"/>
      </w:r>
      <w:r w:rsidR="00DD37D5">
        <w:t>, scenario 2)</w:t>
      </w:r>
      <w:r>
        <w:t xml:space="preserve"> that the inner dense mesh of the CW might not have WTA, after observing a heavily stained layer present in the CW of freeze-substituted cells (layer II). </w:t>
      </w:r>
      <w:r w:rsidR="00DF2ADD">
        <w:t>I</w:t>
      </w:r>
      <w:r>
        <w:t>f t</w:t>
      </w:r>
      <w:r w:rsidR="00DF2ADD">
        <w:t>his</w:t>
      </w:r>
      <w:r>
        <w:t xml:space="preserve"> were true, </w:t>
      </w:r>
      <w:r w:rsidR="008C2480">
        <w:t>it</w:t>
      </w:r>
      <w:r>
        <w:t xml:space="preserve"> would imply that neither LTA or WTA are able to penetrate the inner CW because of </w:t>
      </w:r>
      <w:r w:rsidR="00B06263">
        <w:t>its</w:t>
      </w:r>
      <w:r>
        <w:t xml:space="preserve"> PG distribution</w:t>
      </w:r>
      <w:r w:rsidR="00D72D3D">
        <w:t xml:space="preserve"> </w:t>
      </w:r>
      <w:r w:rsidR="00D72D3D">
        <w:lastRenderedPageBreak/>
        <w:t>(dense mesh)</w:t>
      </w:r>
      <w:r>
        <w:t>. Thus, maintenance of the exoplasmic space would not be achieved by a</w:t>
      </w:r>
      <w:r w:rsidR="00CF121D">
        <w:t xml:space="preserve"> close</w:t>
      </w:r>
      <w:r>
        <w:t xml:space="preserve"> interaction of these two polymers</w:t>
      </w:r>
      <w:r w:rsidR="00625AFD">
        <w:t xml:space="preserve"> at the exoplasm. Further studies would be required to analyse if the WTA from the external CW would still generate an electrostatic repulsion with the LTA in the ES. Alternatively, </w:t>
      </w:r>
      <w:r w:rsidR="002F2F89">
        <w:t>the capability of LTA to bind to divalent cations and reach an isosmotic condition with the cytoplasm, in addition to the pressure generated by LTA against the CW</w:t>
      </w:r>
      <w:r w:rsidR="00625AFD">
        <w:t xml:space="preserve"> </w:t>
      </w:r>
      <w:r w:rsidR="00D84F98">
        <w:t>might</w:t>
      </w:r>
      <w:r w:rsidR="00625AFD">
        <w:t xml:space="preserve"> be enough</w:t>
      </w:r>
      <w:r w:rsidR="00EC70CA">
        <w:t xml:space="preserve"> to maintain the ES</w:t>
      </w:r>
      <w:r w:rsidR="00274E20">
        <w:t>.</w:t>
      </w:r>
      <w:r w:rsidR="00625AFD">
        <w:t xml:space="preserve"> </w:t>
      </w:r>
      <w:r w:rsidR="00801C3A">
        <w:t xml:space="preserve">LTA </w:t>
      </w:r>
      <w:r w:rsidR="00D84F98">
        <w:t>would then be mostly</w:t>
      </w:r>
      <w:r w:rsidR="00801C3A">
        <w:t xml:space="preserve"> responsible </w:t>
      </w:r>
      <w:r w:rsidR="00D84F98">
        <w:t>for</w:t>
      </w:r>
      <w:r w:rsidR="00801C3A">
        <w:t xml:space="preserve"> the ES</w:t>
      </w:r>
      <w:r w:rsidR="00D84F98">
        <w:t>, which</w:t>
      </w:r>
      <w:r w:rsidR="00801C3A">
        <w:t xml:space="preserve"> </w:t>
      </w:r>
      <w:r w:rsidR="00CE00CD">
        <w:t>support</w:t>
      </w:r>
      <w:r w:rsidR="00801C3A">
        <w:t>s</w:t>
      </w:r>
      <w:r w:rsidR="00CE00CD">
        <w:t xml:space="preserve"> the difference in viability between </w:t>
      </w:r>
      <w:r w:rsidR="00CE00CD">
        <w:rPr>
          <w:i/>
          <w:iCs/>
        </w:rPr>
        <w:t>tarO</w:t>
      </w:r>
      <w:r w:rsidR="00CE00CD">
        <w:t xml:space="preserve"> and </w:t>
      </w:r>
      <w:r w:rsidR="00CE00CD">
        <w:rPr>
          <w:i/>
          <w:iCs/>
        </w:rPr>
        <w:t>iltaS</w:t>
      </w:r>
      <w:r w:rsidR="00CE00CD">
        <w:t>.</w:t>
      </w:r>
      <w:r w:rsidR="0055335A">
        <w:t xml:space="preserve"> </w:t>
      </w:r>
      <w:r>
        <w:t>Th</w:t>
      </w:r>
      <w:r w:rsidR="006E2E9E">
        <w:t>ese assumptions</w:t>
      </w:r>
      <w:r>
        <w:t xml:space="preserve"> </w:t>
      </w:r>
      <w:r w:rsidR="00F335A0">
        <w:t>c</w:t>
      </w:r>
      <w:r w:rsidR="006E2E9E">
        <w:t>ould</w:t>
      </w:r>
      <w:r>
        <w:t xml:space="preserve"> be </w:t>
      </w:r>
      <w:r w:rsidR="00F34B57">
        <w:t>investigated</w:t>
      </w:r>
      <w:r>
        <w:t xml:space="preserve"> by</w:t>
      </w:r>
      <w:r w:rsidR="006E2E9E">
        <w:t xml:space="preserve"> various microscopy techniques including </w:t>
      </w:r>
      <w:r w:rsidR="00CF121D">
        <w:t>specific-</w:t>
      </w:r>
      <w:r w:rsidR="006E2E9E">
        <w:t>teichoic acid labelling, CLEM, and AFM of TA</w:t>
      </w:r>
      <w:r w:rsidR="00F335A0">
        <w:t>-lacking</w:t>
      </w:r>
      <w:r w:rsidR="006E2E9E">
        <w:t xml:space="preserve"> mutan</w:t>
      </w:r>
      <w:r w:rsidR="003F2D1B">
        <w:t>t</w:t>
      </w:r>
      <w:r w:rsidR="006E2E9E">
        <w:t>s.</w:t>
      </w:r>
      <w:r w:rsidR="0055335A">
        <w:t xml:space="preserve"> For instance, a</w:t>
      </w:r>
      <w:r w:rsidR="00F34B57">
        <w:t xml:space="preserve"> collapsed</w:t>
      </w:r>
      <w:r>
        <w:t xml:space="preserve"> </w:t>
      </w:r>
      <w:r w:rsidR="00E2273F">
        <w:t>ES</w:t>
      </w:r>
      <w:r>
        <w:t xml:space="preserve"> of frozen hydrated sam</w:t>
      </w:r>
      <w:r w:rsidR="00E2273F">
        <w:t>p</w:t>
      </w:r>
      <w:r>
        <w:t xml:space="preserve">les of </w:t>
      </w:r>
      <w:r w:rsidR="00F34B57">
        <w:rPr>
          <w:i/>
          <w:iCs/>
        </w:rPr>
        <w:t xml:space="preserve">iltaS </w:t>
      </w:r>
      <w:r w:rsidR="00F34B57">
        <w:t xml:space="preserve">or a </w:t>
      </w:r>
      <w:r w:rsidR="0041291F">
        <w:t xml:space="preserve">narrower </w:t>
      </w:r>
      <w:r w:rsidR="00F34B57">
        <w:t>ES</w:t>
      </w:r>
      <w:r w:rsidR="00CF121D">
        <w:t xml:space="preserve"> </w:t>
      </w:r>
      <w:r w:rsidR="00F34B57">
        <w:t xml:space="preserve">in </w:t>
      </w:r>
      <w:r w:rsidR="00F34B57">
        <w:rPr>
          <w:i/>
          <w:iCs/>
        </w:rPr>
        <w:t xml:space="preserve">ltaS gdpP::kan </w:t>
      </w:r>
      <w:r w:rsidR="00F34B57">
        <w:t xml:space="preserve">in comparison to the wildtype </w:t>
      </w:r>
      <w:r>
        <w:t>could indicate that it is LTA alone maintaining th</w:t>
      </w:r>
      <w:r w:rsidR="00766E9A">
        <w:t>is space</w:t>
      </w:r>
      <w:r>
        <w:t xml:space="preserve">. </w:t>
      </w:r>
      <w:r w:rsidR="00CE789B">
        <w:t>Equally</w:t>
      </w:r>
      <w:r w:rsidR="0055335A">
        <w:t xml:space="preserve">, a similar ES between </w:t>
      </w:r>
      <w:r w:rsidR="0055335A">
        <w:rPr>
          <w:i/>
          <w:iCs/>
        </w:rPr>
        <w:t xml:space="preserve">tarO </w:t>
      </w:r>
      <w:r w:rsidR="0055335A">
        <w:t>and SH1000 would suggest that there is no repulsion between WTA and LTA</w:t>
      </w:r>
      <w:r w:rsidR="00CF121D">
        <w:t xml:space="preserve"> </w:t>
      </w:r>
      <w:r w:rsidR="0055335A">
        <w:t>affecting the ES</w:t>
      </w:r>
      <w:r w:rsidR="00CF121D">
        <w:t xml:space="preserve"> and would support the idea that LTA is mainly responsible for the maintenance of the exoplasm</w:t>
      </w:r>
      <w:r w:rsidR="0055335A">
        <w:t xml:space="preserve">. </w:t>
      </w:r>
    </w:p>
    <w:p w14:paraId="4DA4F70C" w14:textId="2A0F9A3F" w:rsidR="00FF3F96" w:rsidRDefault="00A038EE" w:rsidP="00A038EE">
      <w:pPr>
        <w:pStyle w:val="BodyThesis"/>
      </w:pPr>
      <w:r>
        <w:t xml:space="preserve">Overall, </w:t>
      </w:r>
      <w:r w:rsidR="002D0888">
        <w:t>C</w:t>
      </w:r>
      <w:r>
        <w:t>hapter</w:t>
      </w:r>
      <w:r w:rsidR="002D0888">
        <w:t xml:space="preserve"> 4</w:t>
      </w:r>
      <w:r>
        <w:t xml:space="preserve"> has generated more questions than answers over the maintenance of the exoplasmic space. Nonetheless, it presents a good basis together with the recently optimised freeze-substitution technique and the newly CEMOVIS cryo-EM described in Chapter 3, for future detailed study of LTA and WTA-depleted cells.</w:t>
      </w:r>
    </w:p>
    <w:p w14:paraId="339D353C" w14:textId="77777777" w:rsidR="00FF3F96" w:rsidRDefault="00FF3F96">
      <w:pPr>
        <w:spacing w:before="0" w:line="259" w:lineRule="auto"/>
        <w:rPr>
          <w:rFonts w:ascii="Calibri" w:hAnsi="Calibri" w:cstheme="minorHAnsi"/>
          <w:szCs w:val="24"/>
        </w:rPr>
      </w:pPr>
      <w:r>
        <w:br w:type="page"/>
      </w:r>
    </w:p>
    <w:p w14:paraId="31100A2D" w14:textId="77777777" w:rsidR="00FF3F96" w:rsidRDefault="00FF3F96" w:rsidP="00FF3F96">
      <w:pPr>
        <w:pStyle w:val="BodyThesis"/>
        <w:keepNext/>
        <w:jc w:val="center"/>
      </w:pPr>
      <w:r>
        <w:rPr>
          <w:noProof/>
        </w:rPr>
        <w:lastRenderedPageBreak/>
        <w:drawing>
          <wp:inline distT="0" distB="0" distL="0" distR="0" wp14:anchorId="548D97A6" wp14:editId="56FFA28E">
            <wp:extent cx="4798608" cy="7536873"/>
            <wp:effectExtent l="0" t="0" r="2540" b="0"/>
            <wp:docPr id="112" name="Picture 11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804051" cy="7545421"/>
                    </a:xfrm>
                    <a:prstGeom prst="rect">
                      <a:avLst/>
                    </a:prstGeom>
                  </pic:spPr>
                </pic:pic>
              </a:graphicData>
            </a:graphic>
          </wp:inline>
        </w:drawing>
      </w:r>
    </w:p>
    <w:p w14:paraId="4F632FD9" w14:textId="552F058F" w:rsidR="00FF3F96" w:rsidRDefault="00FF3F96" w:rsidP="00FF3F96">
      <w:pPr>
        <w:pStyle w:val="Caption"/>
      </w:pPr>
      <w:bookmarkStart w:id="874" w:name="_Ref75624818"/>
      <w:bookmarkStart w:id="875" w:name="_Toc90217042"/>
      <w:r>
        <w:t xml:space="preserve">Figure </w:t>
      </w:r>
      <w:fldSimple w:instr=" STYLEREF 1 \s ">
        <w:r w:rsidR="00183CC8">
          <w:rPr>
            <w:noProof/>
          </w:rPr>
          <w:t>6</w:t>
        </w:r>
      </w:fldSimple>
      <w:r>
        <w:t>.</w:t>
      </w:r>
      <w:fldSimple w:instr=" SEQ Figure \* ARABIC \s 1 ">
        <w:r w:rsidR="00183CC8">
          <w:rPr>
            <w:noProof/>
          </w:rPr>
          <w:t>2</w:t>
        </w:r>
      </w:fldSimple>
      <w:bookmarkEnd w:id="874"/>
      <w:r>
        <w:t xml:space="preserve"> Maintenance of the exoplasmic space of Gram-positives.</w:t>
      </w:r>
      <w:bookmarkEnd w:id="875"/>
    </w:p>
    <w:p w14:paraId="2B2F66F5" w14:textId="77777777" w:rsidR="00FF3F96" w:rsidRDefault="00FF3F96" w:rsidP="00FF3F96">
      <w:pPr>
        <w:pStyle w:val="NoSpacing"/>
        <w:sectPr w:rsidR="00FF3F96" w:rsidSect="004D0E05">
          <w:pgSz w:w="11906" w:h="16838"/>
          <w:pgMar w:top="1191" w:right="1247" w:bottom="1191" w:left="1247" w:header="709" w:footer="709" w:gutter="0"/>
          <w:cols w:space="708"/>
          <w:titlePg/>
          <w:docGrid w:linePitch="360"/>
        </w:sectPr>
      </w:pPr>
      <w:r>
        <w:t xml:space="preserve">Schema showing the theoretical maintenance of the exoplasmic space in the presence of </w:t>
      </w:r>
      <w:r>
        <w:rPr>
          <w:b/>
          <w:bCs/>
        </w:rPr>
        <w:t>(A)</w:t>
      </w:r>
      <w:r>
        <w:t xml:space="preserve"> both WTA and LTA, </w:t>
      </w:r>
      <w:r>
        <w:rPr>
          <w:b/>
          <w:bCs/>
        </w:rPr>
        <w:t>(B)</w:t>
      </w:r>
      <w:r>
        <w:t xml:space="preserve"> WTA alone, or </w:t>
      </w:r>
      <w:r>
        <w:rPr>
          <w:b/>
          <w:bCs/>
        </w:rPr>
        <w:t>(C)</w:t>
      </w:r>
      <w:r>
        <w:t xml:space="preserve"> LTA alone. This theory assumes that LTA are not able to penetrate the inner CW, and that WTA and LTA polymer brushes generate enough electrostatic repulsion to maintain the exoplasm. Cytoplasm (yellow), PM– plasma membrane (two parallel black lines), ES– exoplasmic space (pink), CW– cell wall (grey), LTA– lipoteichoic acids (blue lines), WTA– wall teichoic acids (green lines). Based on Erickson (2021) </w:t>
      </w:r>
      <w:r>
        <w:fldChar w:fldCharType="begin" w:fldLock="1"/>
      </w:r>
      <w:r>
        <w:instrText xml:space="preserve">ADDIN CSL_CITATION {"citationItems":[{"id":"ITEM-1","itemData":{"DOI":"10.3389/fmicb.2021.664704","ISSN":"1664302X","abstract":"The cytoplasm of bacteria is maintained at a higher osmolality than the growth medium, which generates a turgor pressure. The cell membrane (CM) cannot support a large turgor, so there are two possibilities for transferring the pressure to the peptidoglycan cell wall (PGW): (1) the CM could be pressed directly against the PGW, or (2) the CM could be separated from the PGW by a periplasmic space that is isoosmotic with the cytoplasm. There is strong evidence for gram-negative bacteria that a periplasm exists and is isoosmotic with the cytoplasm. No comparable studies have been done for gram-positive bacteria. Here I suggest that a periplasmic space is probably essential in order for the periplasmic proteins to function, including especially the PBPs that remodel the peptidoglycan wall. I then present a semi-quantitative analysis of how teichoic acids could support a periplasm that is isoosmotic with the cytoplasm. The fixed anionic charge density of teichoic acids in the periplasm is </w:instrText>
      </w:r>
      <w:r>
        <w:rPr>
          <w:rFonts w:ascii="Cambria Math" w:hAnsi="Cambria Math" w:cs="Cambria Math"/>
        </w:rPr>
        <w:instrText>∼</w:instrText>
      </w:r>
      <w:r>
        <w:instrText xml:space="preserve">0.5 M, which would bring in </w:instrText>
      </w:r>
      <w:r>
        <w:rPr>
          <w:rFonts w:ascii="Cambria Math" w:hAnsi="Cambria Math" w:cs="Cambria Math"/>
        </w:rPr>
        <w:instrText>∼</w:instrText>
      </w:r>
      <w:r>
        <w:instrText>0.5 M Na+ neutralizing ions. This approximately balances the excess osmolality of the cytoplasm that would produce a turgor pressure of 19 atm. The 0.5 M fixed charge density is similar to that of proteoglycans in articular cartilage, suggesting a comparability ability to support pressure. An isoosmotic periplasm would be especially important for cell division, since it would allow CM constriction and PGW synthesis to avoid turgor pressure.","author":[{"dropping-particle":"","family":"Erickson","given":"Harold P.","non-dropping-particle":"","parse-names":false,"suffix":""}],"container-title":"Frontiers in Microbiology","id":"ITEM-1","issue":"May","issued":{"date-parts":[["2021"]]},"page":"1-11","title":"How Teichoic Acids Could Support a Periplasm in Gram-Positive Bacteria, and Let Cell Division Cheat Turgor Pressure","type":"article-journal","volume":"12"},"uris":["http://www.mendeley.com/documents/?uuid=8e106983-147c-42ae-88fd-3e44783b571f"]}],"mendeley":{"formattedCitation":"&lt;sup&gt;[166]&lt;/sup&gt;","plainTextFormattedCitation":"[166]","previouslyFormattedCitation":"&lt;sup&gt;[166]&lt;/sup&gt;"},"properties":{"noteIndex":0},"schema":"https://github.com/citation-style-language/schema/raw/master/csl-citation.json"}</w:instrText>
      </w:r>
      <w:r>
        <w:fldChar w:fldCharType="separate"/>
      </w:r>
      <w:r w:rsidRPr="0054658D">
        <w:rPr>
          <w:noProof/>
          <w:vertAlign w:val="superscript"/>
        </w:rPr>
        <w:t>[166]</w:t>
      </w:r>
      <w:r>
        <w:fldChar w:fldCharType="end"/>
      </w:r>
      <w:r>
        <w:t>.</w:t>
      </w:r>
    </w:p>
    <w:p w14:paraId="4A9C288B" w14:textId="02A3CBC7" w:rsidR="002D0888" w:rsidRDefault="004F0D00" w:rsidP="002D0888">
      <w:pPr>
        <w:pStyle w:val="Heading3"/>
      </w:pPr>
      <w:bookmarkStart w:id="876" w:name="_Toc90216922"/>
      <w:r>
        <w:lastRenderedPageBreak/>
        <w:t>The balance between bacterial life and death</w:t>
      </w:r>
      <w:r w:rsidR="009903CC">
        <w:t>.</w:t>
      </w:r>
      <w:bookmarkEnd w:id="876"/>
    </w:p>
    <w:p w14:paraId="2D61FB5D" w14:textId="0542045D" w:rsidR="004C2DD4" w:rsidRDefault="00694161" w:rsidP="004C2DD4">
      <w:r>
        <w:t xml:space="preserve">Chapter 5 </w:t>
      </w:r>
      <w:r w:rsidR="009F767A">
        <w:t xml:space="preserve">emphasized the intricate processes that regulate the balance </w:t>
      </w:r>
      <w:r w:rsidR="00F15D07">
        <w:t>between bacterial</w:t>
      </w:r>
      <w:r w:rsidR="0056639B">
        <w:t xml:space="preserve"> </w:t>
      </w:r>
      <w:r w:rsidR="009F767A">
        <w:t>life and death.</w:t>
      </w:r>
      <w:r w:rsidR="00590FA6">
        <w:t xml:space="preserve"> </w:t>
      </w:r>
      <w:r>
        <w:t>Our research with bactericidal antibiotics has shown that a halt in peptidoglycan</w:t>
      </w:r>
      <w:r w:rsidR="004C2DD4">
        <w:t xml:space="preserve"> (PG)</w:t>
      </w:r>
      <w:r>
        <w:t xml:space="preserve"> synthesis in the presence of ongoing hydrolysis results in the unbalanced continuation of growth-associated processes until reaching lysis.</w:t>
      </w:r>
      <w:r w:rsidR="0070162D">
        <w:t xml:space="preserve"> Similarly, a reduction in PG hydrolysis</w:t>
      </w:r>
      <w:r w:rsidR="004C2DD4">
        <w:t>,</w:t>
      </w:r>
      <w:r w:rsidR="0070162D">
        <w:t xml:space="preserve"> as seen in genetically modified </w:t>
      </w:r>
      <w:r w:rsidR="0070162D">
        <w:rPr>
          <w:i/>
          <w:iCs/>
        </w:rPr>
        <w:t>S. aureus</w:t>
      </w:r>
      <w:r w:rsidR="004C2DD4">
        <w:rPr>
          <w:i/>
          <w:iCs/>
        </w:rPr>
        <w:t>,</w:t>
      </w:r>
      <w:r w:rsidR="004C2DD4">
        <w:t xml:space="preserve"> increases survival when treated with bactericidal antibiotics. These results have shown the importance of both PG synthesis and hydrolysis for bacterial growth, as loss of either leads to cell death. </w:t>
      </w:r>
      <w:r w:rsidR="00DA431E">
        <w:t>Paradoxically</w:t>
      </w:r>
      <w:r w:rsidR="004C2DD4">
        <w:t>, loss of both of these processes leads to stasis, as seen by the treatment of WalKR-de</w:t>
      </w:r>
      <w:r w:rsidR="007E61EB">
        <w:t>p</w:t>
      </w:r>
      <w:r w:rsidR="004C2DD4">
        <w:t xml:space="preserve">leted cells treated with CW antibiotics. </w:t>
      </w:r>
    </w:p>
    <w:p w14:paraId="57B1D46E" w14:textId="7471C574" w:rsidR="002D0888" w:rsidRDefault="00434796" w:rsidP="002D0888">
      <w:pPr>
        <w:rPr>
          <w:i/>
          <w:iCs/>
        </w:rPr>
      </w:pPr>
      <w:r>
        <w:t>We</w:t>
      </w:r>
      <w:r w:rsidR="004C2DD4">
        <w:t xml:space="preserve"> have </w:t>
      </w:r>
      <w:r w:rsidR="00494568">
        <w:t xml:space="preserve">therefore </w:t>
      </w:r>
      <w:r w:rsidR="004C2DD4">
        <w:t>presented a predictive model for cell wall homeostasis (</w:t>
      </w:r>
      <w:r w:rsidR="004C2DD4">
        <w:fldChar w:fldCharType="begin"/>
      </w:r>
      <w:r w:rsidR="004C2DD4">
        <w:instrText xml:space="preserve"> REF _Ref71110058 \h </w:instrText>
      </w:r>
      <w:r w:rsidR="004C2DD4">
        <w:fldChar w:fldCharType="separate"/>
      </w:r>
      <w:r w:rsidR="00183CC8">
        <w:t xml:space="preserve">Figure </w:t>
      </w:r>
      <w:r w:rsidR="00183CC8">
        <w:rPr>
          <w:noProof/>
        </w:rPr>
        <w:t>5</w:t>
      </w:r>
      <w:r w:rsidR="00183CC8">
        <w:t>.</w:t>
      </w:r>
      <w:r w:rsidR="00183CC8">
        <w:rPr>
          <w:noProof/>
        </w:rPr>
        <w:t>1</w:t>
      </w:r>
      <w:r w:rsidR="004C2DD4">
        <w:fldChar w:fldCharType="end"/>
      </w:r>
      <w:r w:rsidR="004C2DD4">
        <w:t xml:space="preserve">) </w:t>
      </w:r>
      <w:r w:rsidR="000C4CAD">
        <w:t>and successfully established the molecular basis explaining why PG</w:t>
      </w:r>
      <w:r w:rsidR="004C2DD4">
        <w:t xml:space="preserve"> synthesis and hydrolysis </w:t>
      </w:r>
      <w:r w:rsidR="000C4CAD">
        <w:t>are both require</w:t>
      </w:r>
      <w:r w:rsidR="00EA45C4">
        <w:t>d</w:t>
      </w:r>
      <w:r w:rsidR="000C4CAD">
        <w:t xml:space="preserve"> for bacterial growth, and how interruption of either leads to death, while lack of both results in stasis.</w:t>
      </w:r>
      <w:r w:rsidR="00FE3638">
        <w:t xml:space="preserve"> This information is of great importance as </w:t>
      </w:r>
      <w:r w:rsidR="00EA1C40">
        <w:t xml:space="preserve">it provides </w:t>
      </w:r>
      <w:r w:rsidR="00FE7D73">
        <w:t>the basis f</w:t>
      </w:r>
      <w:r w:rsidR="00EA1C40">
        <w:t>or</w:t>
      </w:r>
      <w:r w:rsidR="00FE7D73">
        <w:t xml:space="preserve"> future research focused on alternative treatment of antibiotic-resistant </w:t>
      </w:r>
      <w:r w:rsidR="00FE7D73">
        <w:rPr>
          <w:i/>
          <w:iCs/>
        </w:rPr>
        <w:t>S. aureus.</w:t>
      </w:r>
    </w:p>
    <w:p w14:paraId="6507831F" w14:textId="77777777" w:rsidR="00B128D2" w:rsidRPr="002D0888" w:rsidRDefault="00B128D2" w:rsidP="002D0888"/>
    <w:p w14:paraId="4F094459" w14:textId="60CD381B" w:rsidR="00760DE6" w:rsidRDefault="00760DE6" w:rsidP="00760DE6">
      <w:pPr>
        <w:pStyle w:val="Heading2"/>
      </w:pPr>
      <w:bookmarkStart w:id="877" w:name="_Toc90216923"/>
      <w:r>
        <w:t>Intervention</w:t>
      </w:r>
      <w:r w:rsidR="00886F1B">
        <w:t xml:space="preserve"> </w:t>
      </w:r>
      <w:r w:rsidR="0072260D">
        <w:t xml:space="preserve">for treatment </w:t>
      </w:r>
      <w:r w:rsidR="001944E1">
        <w:t xml:space="preserve">of </w:t>
      </w:r>
      <w:r w:rsidR="0072260D">
        <w:t xml:space="preserve">antibiotic-resistant </w:t>
      </w:r>
      <w:r w:rsidR="0072260D">
        <w:rPr>
          <w:i/>
          <w:iCs/>
        </w:rPr>
        <w:t>S. aureus</w:t>
      </w:r>
      <w:r w:rsidR="009903CC">
        <w:rPr>
          <w:i/>
          <w:iCs/>
        </w:rPr>
        <w:t>.</w:t>
      </w:r>
      <w:bookmarkEnd w:id="877"/>
    </w:p>
    <w:p w14:paraId="251EDFE8" w14:textId="68944E1F" w:rsidR="00CF2BA6" w:rsidRDefault="00F354DE" w:rsidP="006B54DD">
      <w:r>
        <w:t>Chapter 5</w:t>
      </w:r>
      <w:r w:rsidR="00EC3846">
        <w:t xml:space="preserve"> has </w:t>
      </w:r>
      <w:r w:rsidR="00C26DEA">
        <w:t>established</w:t>
      </w:r>
      <w:r w:rsidR="00EC3846">
        <w:t xml:space="preserve"> the action of bactericidal antibiotics in </w:t>
      </w:r>
      <w:r w:rsidR="00EC3846">
        <w:rPr>
          <w:i/>
          <w:iCs/>
        </w:rPr>
        <w:t>S. aureus</w:t>
      </w:r>
      <w:r w:rsidR="00EC3846">
        <w:t>, and their role in the highly regulated balance between life and death</w:t>
      </w:r>
      <w:r w:rsidR="00314023">
        <w:t>.</w:t>
      </w:r>
      <w:r w:rsidR="00CE3F26">
        <w:t xml:space="preserve"> The exact molecular mechanism that leads to cell death is still unknown, as</w:t>
      </w:r>
      <w:r w:rsidR="00FF5224">
        <w:t xml:space="preserve"> the ongoing</w:t>
      </w:r>
      <w:r w:rsidR="00CE3F26">
        <w:t xml:space="preserve"> PG hydrolysis implicates multiple</w:t>
      </w:r>
      <w:r w:rsidR="0045168B">
        <w:t xml:space="preserve"> highly regulated</w:t>
      </w:r>
      <w:r w:rsidR="00CE3F26">
        <w:t xml:space="preserve"> hydrolases </w:t>
      </w:r>
      <w:r w:rsidR="0045168B">
        <w:t>with redundancy in function. Although none of the hydrolases studied here are solely responsible for vancomycin or methicillin induced death, we have show</w:t>
      </w:r>
      <w:r w:rsidR="00AE59B3">
        <w:t>n</w:t>
      </w:r>
      <w:r w:rsidR="0045168B">
        <w:t xml:space="preserve"> that SagB</w:t>
      </w:r>
      <w:r w:rsidR="00CD7ACC">
        <w:t xml:space="preserve"> is a key component in the molecular killing mode of bactericidal antibiotics.</w:t>
      </w:r>
      <w:r w:rsidR="00704606">
        <w:t xml:space="preserve"> This major growth-associated hydrolase can lead to an increase in size and number </w:t>
      </w:r>
      <w:r w:rsidR="009C0A25">
        <w:t xml:space="preserve">of CW </w:t>
      </w:r>
      <w:r w:rsidR="00704606">
        <w:t>perforating holes that eventually lead to cell lysis.</w:t>
      </w:r>
      <w:r w:rsidR="00CD7ACC">
        <w:t xml:space="preserve"> We have also demonstrated </w:t>
      </w:r>
      <w:r w:rsidR="001A10C1">
        <w:t xml:space="preserve">that </w:t>
      </w:r>
      <w:r w:rsidR="00CD7ACC">
        <w:rPr>
          <w:lang w:val="el-GR"/>
        </w:rPr>
        <w:t>β</w:t>
      </w:r>
      <w:r w:rsidR="00CD7ACC" w:rsidRPr="00CD7ACC">
        <w:t>-</w:t>
      </w:r>
      <w:r w:rsidR="00CD7ACC">
        <w:t>lactam antibiotics have an additional killing mode which lead</w:t>
      </w:r>
      <w:r w:rsidR="00C4593A">
        <w:t>s to</w:t>
      </w:r>
      <w:r w:rsidR="00CD7ACC">
        <w:t xml:space="preserve"> plasmolysis and a faster death.</w:t>
      </w:r>
      <w:r w:rsidR="009442C4">
        <w:t xml:space="preserve"> We have identified Atl</w:t>
      </w:r>
      <w:r w:rsidR="006124A7">
        <w:t xml:space="preserve"> as a major hydrolase involved in th</w:t>
      </w:r>
      <w:r w:rsidR="00704606">
        <w:t>is</w:t>
      </w:r>
      <w:r w:rsidR="006124A7">
        <w:t xml:space="preserve"> </w:t>
      </w:r>
      <w:r w:rsidR="006124A7">
        <w:rPr>
          <w:lang w:val="el-GR"/>
        </w:rPr>
        <w:t>β</w:t>
      </w:r>
      <w:r w:rsidR="006124A7" w:rsidRPr="00CD7ACC">
        <w:t>-</w:t>
      </w:r>
      <w:r w:rsidR="006124A7">
        <w:t>lactam-induced death, as it plays a part</w:t>
      </w:r>
      <w:r w:rsidR="006B681D">
        <w:t>,</w:t>
      </w:r>
      <w:r w:rsidR="001A10C1">
        <w:t xml:space="preserve"> together with other hydrolases involved in cell separation,</w:t>
      </w:r>
      <w:r w:rsidR="006124A7">
        <w:t xml:space="preserve"> in early septal scission of incomplete septa</w:t>
      </w:r>
      <w:r w:rsidR="001A10C1">
        <w:t xml:space="preserve"> and plasmolysis.</w:t>
      </w:r>
    </w:p>
    <w:p w14:paraId="79D276A4" w14:textId="1CC359F7" w:rsidR="006B54DD" w:rsidRDefault="006B54DD" w:rsidP="006B54DD">
      <w:r>
        <w:lastRenderedPageBreak/>
        <w:t xml:space="preserve">Our research has </w:t>
      </w:r>
      <w:r w:rsidRPr="00573099">
        <w:t>provided</w:t>
      </w:r>
      <w:r>
        <w:t xml:space="preserve"> further</w:t>
      </w:r>
      <w:r w:rsidRPr="00573099">
        <w:t xml:space="preserve"> evidence of what </w:t>
      </w:r>
      <w:r>
        <w:t>started as</w:t>
      </w:r>
      <w:r w:rsidRPr="00573099">
        <w:t xml:space="preserve"> </w:t>
      </w:r>
      <w:r>
        <w:t>the</w:t>
      </w:r>
      <w:r w:rsidRPr="00573099">
        <w:t xml:space="preserve"> original model </w:t>
      </w:r>
      <w:r>
        <w:t xml:space="preserve">for </w:t>
      </w:r>
      <w:r>
        <w:rPr>
          <w:lang w:val="el-GR"/>
        </w:rPr>
        <w:t>β</w:t>
      </w:r>
      <w:r>
        <w:t>-lactam killing</w:t>
      </w:r>
      <w:r w:rsidRPr="00573099">
        <w:t xml:space="preserve"> </w:t>
      </w:r>
      <w:r w:rsidR="00CA2308">
        <w:t xml:space="preserve">in </w:t>
      </w:r>
      <w:r w:rsidRPr="00573099">
        <w:t xml:space="preserve">the </w:t>
      </w:r>
      <w:r>
        <w:t xml:space="preserve">1960s </w:t>
      </w:r>
      <w:r>
        <w:fldChar w:fldCharType="begin" w:fldLock="1"/>
      </w:r>
      <w:r w:rsidR="009D34AE">
        <w:instrText>ADDIN CSL_CITATION {"citationItems":[{"id":"ITEM-1","itemData":{"DOI":"10.1073/pnas.54.1.75","ISSN":"00278424","PMID":"5216369","author":[{"dropping-particle":"","family":"Wise","given":"E. M.","non-dropping-particle":"","parse-names":false,"suffix":""},{"dropping-particle":"","family":"Park","given":"J. T.","non-dropping-particle":"","parse-names":false,"suffix":""}],"container-title":"Proceedings of the National Academy of Sciences of the United States of America","id":"ITEM-1","issue":"1","issued":{"date-parts":[["1965"]]},"page":"75-81","title":"Penicillin: its basic site of action as an inhibitor of a peptide cross-linking reaction in cell wall mucopeptide synthesis.","type":"article-journal","volume":"54"},"uris":["http://www.mendeley.com/documents/?uuid=dccea220-d722-37b6-8659-b7af33e2e112"]},{"id":"ITEM-2","itemData":{"DOI":"10.1073/pnas.54.4.1133","ISSN":"00278424","PMID":"5219821","author":[{"dropping-particle":"","family":"Tipper","given":"D. J.","non-dropping-particle":"","parse-names":false,"suffix":""},{"dropping-particle":"","family":"Strominger","given":"J. L.","non-dropping-particle":"","parse-names":false,"suffix":""}],"container-title":"Proceedings of the National Academy of Sciences of the United States of America","id":"ITEM-2","issue":"4","issued":{"date-parts":[["1965"]]},"page":"1133-1141","title":"Mechanism of action of penicillins: a proposal based on their structural similarity to acyl-D-alanyl-D-alanine.","type":"article-journal","volume":"54"},"uris":["http://www.mendeley.com/documents/?uuid=eebdd0e8-0144-333e-b884-d4033816f4f1"]},{"id":"ITEM-3","itemData":{"DOI":"10.1146/annurev.mi.33.100179.000553","ISSN":"00664227","PMID":"40528","author":[{"dropping-particle":"","family":"Tomasz","given":"A.","non-dropping-particle":"","parse-names":false,"suffix":""}],"container-title":"Annual review of microbiology","id":"ITEM-3","issued":{"date-parts":[["1979"]]},"page":"113-137","title":"The mechanism of the irreversible antimicrobial effects of penicillins: how the beta-lactam antibiotics kill and lyse bacteria.","type":"article-journal","volume":"33"},"uris":["http://www.mendeley.com/documents/?uuid=c140ee03-0eef-4661-affd-e49869dcb744"]}],"mendeley":{"formattedCitation":"&lt;sup&gt;[181,182,280]&lt;/sup&gt;","plainTextFormattedCitation":"[181,182,280]","previouslyFormattedCitation":"&lt;sup&gt;[181,182,280]&lt;/sup&gt;"},"properties":{"noteIndex":0},"schema":"https://github.com/citation-style-language/schema/raw/master/csl-citation.json"}</w:instrText>
      </w:r>
      <w:r>
        <w:fldChar w:fldCharType="separate"/>
      </w:r>
      <w:r w:rsidR="009D34AE" w:rsidRPr="009D34AE">
        <w:rPr>
          <w:noProof/>
          <w:vertAlign w:val="superscript"/>
        </w:rPr>
        <w:t>[181,182,280]</w:t>
      </w:r>
      <w:r>
        <w:fldChar w:fldCharType="end"/>
      </w:r>
      <w:r>
        <w:t>. The penicillin-induced death model mentioned a weaker cell wall of uncrosslinked PG, which eventually ruptures because of the high osmotic pressure within the cell</w:t>
      </w:r>
      <w:r w:rsidR="00C561D3">
        <w:t xml:space="preserve"> </w:t>
      </w:r>
      <w:r w:rsidR="00C561D3">
        <w:fldChar w:fldCharType="begin" w:fldLock="1"/>
      </w:r>
      <w:r w:rsidR="009D34AE">
        <w:instrText>ADDIN CSL_CITATION {"citationItems":[{"id":"ITEM-1","itemData":{"DOI":"10.1073/pnas.54.1.75","ISSN":"00278424","PMID":"5216369","author":[{"dropping-particle":"","family":"Wise","given":"E. M.","non-dropping-particle":"","parse-names":false,"suffix":""},{"dropping-particle":"","family":"Park","given":"J. T.","non-dropping-particle":"","parse-names":false,"suffix":""}],"container-title":"Proceedings of the National Academy of Sciences of the United States of America","id":"ITEM-1","issue":"1","issued":{"date-parts":[["1965"]]},"page":"75-81","title":"Penicillin: its basic site of action as an inhibitor of a peptide cross-linking reaction in cell wall mucopeptide synthesis.","type":"article-journal","volume":"54"},"uris":["http://www.mendeley.com/documents/?uuid=dccea220-d722-37b6-8659-b7af33e2e112"]},{"id":"ITEM-2","itemData":{"DOI":"10.1073/pnas.54.4.1133","ISSN":"00278424","PMID":"5219821","author":[{"dropping-particle":"","family":"Tipper","given":"D. J.","non-dropping-particle":"","parse-names":false,"suffix":""},{"dropping-particle":"","family":"Strominger","given":"J. L.","non-dropping-particle":"","parse-names":false,"suffix":""}],"container-title":"Proceedings of the National Academy of Sciences of the United States of America","id":"ITEM-2","issue":"4","issued":{"date-parts":[["1965"]]},"page":"1133-1141","title":"Mechanism of action of penicillins: a proposal based on their structural similarity to acyl-D-alanyl-D-alanine.","type":"article-journal","volume":"54"},"uris":["http://www.mendeley.com/documents/?uuid=eebdd0e8-0144-333e-b884-d4033816f4f1"]},{"id":"ITEM-3","itemData":{"DOI":"10.1146/annurev.mi.33.100179.000553","ISSN":"00664227","PMID":"40528","author":[{"dropping-particle":"","family":"Tomasz","given":"A.","non-dropping-particle":"","parse-names":false,"suffix":""}],"container-title":"Annual review of microbiology","id":"ITEM-3","issued":{"date-parts":[["1979"]]},"page":"113-137","title":"The mechanism of the irreversible antimicrobial effects of penicillins: how the beta-lactam antibiotics kill and lyse bacteria.","type":"article-journal","volume":"33"},"uris":["http://www.mendeley.com/documents/?uuid=c140ee03-0eef-4661-affd-e49869dcb744"]}],"mendeley":{"formattedCitation":"&lt;sup&gt;[181,182,280]&lt;/sup&gt;","plainTextFormattedCitation":"[181,182,280]","previouslyFormattedCitation":"&lt;sup&gt;[181,182,280]&lt;/sup&gt;"},"properties":{"noteIndex":0},"schema":"https://github.com/citation-style-language/schema/raw/master/csl-citation.json"}</w:instrText>
      </w:r>
      <w:r w:rsidR="00C561D3">
        <w:fldChar w:fldCharType="separate"/>
      </w:r>
      <w:r w:rsidR="009D34AE" w:rsidRPr="009D34AE">
        <w:rPr>
          <w:noProof/>
          <w:vertAlign w:val="superscript"/>
        </w:rPr>
        <w:t>[181,182,280]</w:t>
      </w:r>
      <w:r w:rsidR="00C561D3">
        <w:fldChar w:fldCharType="end"/>
      </w:r>
      <w:r>
        <w:t>. Further studies showed this rupture was not mechanical but enzymatic</w:t>
      </w:r>
      <w:r w:rsidR="00C561D3">
        <w:t xml:space="preserve"> </w:t>
      </w:r>
      <w:r w:rsidR="00C561D3" w:rsidRPr="005F4D53">
        <w:fldChar w:fldCharType="begin" w:fldLock="1"/>
      </w:r>
      <w:r w:rsidR="009D34AE">
        <w:instrText>ADDIN CSL_CITATION {"citationItems":[{"id":"ITEM-1","itemData":{"DOI":"10.1128/jb.108.3.1235-1243.1971","ISSN":"00219193","PMID":"5003174","abstract":"The rapid lysis of Bacillus licheniformis NCTC 6346 and B. sublilis 168 trp caused by vancomycin and D-cycloserine can be inhibited by stopping protein synthesis. Protein synthesis must be stopped for more than one doubling time of the cells before addition of wall inhibitors. Poorly lytic mutants (lyt-) of B. licheni-formis required 10 to 20 times the concentration of vancomycin or cycloserine to be added to growing cultures to cause even slow lysis. At lower concentrations growth of the mutants is stopped, but the bacteria remain fully viable. Sensitivity of mucopep-tide synthesis to vancomycin is the same in both mutants and parent. Sensitivity to the action of D-cycloserine is slightly less in the mutant than in the parent.","author":[{"dropping-particle":"","family":"Rogers","given":"H J","non-dropping-particle":"","parse-names":false,"suffix":""},{"dropping-particle":"","family":"Forsberg","given":"C W","non-dropping-particle":"","parse-names":false,"suffix":""}],"container-title":"Journal of Bacteriology","id":"ITEM-1","issue":"3","issued":{"date-parts":[["1971"]]},"page":"1235-1243","title":"Role of autolysins in the killing of bacteria by some bactericidal antibiotics.","type":"article-journal","volume":"108"},"uris":["http://www.mendeley.com/documents/?uuid=972da214-1761-39c5-8c39-c28ce4de7250"]},{"id":"ITEM-2","itemData":{"DOI":"10.1128/jb.124.1.459-469.1975","ISSN":"00219193","PMID":"809421","abstract":"A mutant of B. subtilis 6160 that had been isolated by its hyperproduction of α amylase and protease lacked flagella and motility, and its content of autolytic enzyme(s) was reduced to one third to one fourth that of the parent. These phenotypic differences were completely co transferred by the deoxyribonucleic acid (DNA) of the mutant when five DNA recipient strains of B. subtilis were transformed. The revertants, isolated by motility with a frequency of approximately 10-7, recovered a normal level of autolytic activity and showed reduced productivity of α amylase and protease. This point mutation allowed normal flagellin synthesis, spore formation, and rate of growth. The comparison of cell envelope of the mutant with that of the parent indicated that there was no significant difference except loss of flagella. Therefore the association at the cell surface of a group of extracellular proteins consisting at least of α amylase, proteases, flagellin, and autolytic enzyme(s) seem to be coordinately regulated by the gene or seem to be affected coordinately by certain undetected alterations of the cell envelope.","author":[{"dropping-particle":"","family":"Ayusawa","given":"D","non-dropping-particle":"","parse-names":false,"suffix":""},{"dropping-particle":"","family":"Yoneda","given":"Y","non-dropping-particle":"","parse-names":false,"suffix":""},{"dropping-particle":"","family":"Yamane","given":"K","non-dropping-particle":"","parse-names":false,"suffix":""},{"dropping-particle":"","family":"Maruo","given":"B","non-dropping-particle":"","parse-names":false,"suffix":""}],"container-title":"Journal of Bacteriology","id":"ITEM-2","issue":"1","issued":{"date-parts":[["1975"]]},"page":"459-469","publisher":"American Society for Microbiology (ASM)","title":"Pleiotropic phenomena in autolytic enzyme(s) content, flagellation, and simultaneous hyperproduction of extracellular α amylase and protease in a Bacillus subtilis mutant","type":"article-journal","volume":"124"},"uris":["http://www.mendeley.com/documents/?uuid=c7a89528-9e49-3cec-9340-91fe92570f4f"]},{"id":"ITEM-3","itemData":{"DOI":"10.1038/227138a0","ISSN":"00280836","PMID":"4393335","abstract":"Suppression of the activity of the cellular autolytic system of pneumococci causes simultaneous resistance against penicillin, D-cycloserine and phosphonomycin. This phenomenon represents a novel type of drug resistance mechanism in bacteria. © 1970 Nature Publishing Group.","author":[{"dropping-particle":"","family":"Tomasz","given":"Alexander","non-dropping-particle":"","parse-names":false,"suffix":""},{"dropping-particle":"","family":"Albino","given":"Anthony","non-dropping-particle":"","parse-names":false,"suffix":""},{"dropping-particle":"","family":"Zanati","given":"Eve","non-dropping-particle":"","parse-names":false,"suffix":""}],"container-title":"Nature","id":"ITEM-3","issue":"5254","issued":{"date-parts":[["1970"]]},"page":"138-140","publisher":"Nature Publishing Group","title":"Multiple antibiotic resistance in a Bacterium with suppressed autolytic System","type":"article-journal","volume":"227"},"uris":["http://www.mendeley.com/documents/?uuid=ace3bcc1-47f9-3879-b83d-318c7e49f83e"]}],"mendeley":{"formattedCitation":"&lt;sup&gt;[281–283]&lt;/sup&gt;","plainTextFormattedCitation":"[281–283]","previouslyFormattedCitation":"&lt;sup&gt;[281–283]&lt;/sup&gt;"},"properties":{"noteIndex":0},"schema":"https://github.com/citation-style-language/schema/raw/master/csl-citation.json"}</w:instrText>
      </w:r>
      <w:r w:rsidR="00C561D3" w:rsidRPr="005F4D53">
        <w:fldChar w:fldCharType="separate"/>
      </w:r>
      <w:r w:rsidR="009D34AE" w:rsidRPr="009D34AE">
        <w:rPr>
          <w:noProof/>
          <w:vertAlign w:val="superscript"/>
        </w:rPr>
        <w:t>[281–283]</w:t>
      </w:r>
      <w:r w:rsidR="00C561D3" w:rsidRPr="005F4D53">
        <w:fldChar w:fldCharType="end"/>
      </w:r>
      <w:r>
        <w:t>, and in this investigation we have provided evidence that both theories are correct. There is a weaker cell wall that results not only from uncrosslinked PG, but mostly from the ongoing action of PGH. However, the former might still be capable of withstanding high cellular turgor pressure, if it was</w:t>
      </w:r>
      <w:r w:rsidR="00104384">
        <w:t xml:space="preserve"> not</w:t>
      </w:r>
      <w:r>
        <w:t xml:space="preserve"> for the continued action of these hydrolases that weaken the CW structural integrity to a point where mechanical rupture occurs, leading to cell lysis. </w:t>
      </w:r>
      <w:r w:rsidR="00D76861">
        <w:t>This</w:t>
      </w:r>
      <w:r>
        <w:t xml:space="preserve"> results from the imbalance between synthesis and hydrolysis</w:t>
      </w:r>
      <w:r w:rsidR="00E279D6">
        <w:t>, as predicted by our bacterial model of life and death</w:t>
      </w:r>
      <w:r>
        <w:t xml:space="preserve"> (</w:t>
      </w:r>
      <w:r>
        <w:fldChar w:fldCharType="begin"/>
      </w:r>
      <w:r>
        <w:instrText xml:space="preserve"> REF _Ref71110058 \h </w:instrText>
      </w:r>
      <w:r>
        <w:fldChar w:fldCharType="separate"/>
      </w:r>
      <w:r w:rsidR="00183CC8">
        <w:t xml:space="preserve">Figure </w:t>
      </w:r>
      <w:r w:rsidR="00183CC8">
        <w:rPr>
          <w:noProof/>
        </w:rPr>
        <w:t>5</w:t>
      </w:r>
      <w:r w:rsidR="00183CC8">
        <w:t>.</w:t>
      </w:r>
      <w:r w:rsidR="00183CC8">
        <w:rPr>
          <w:noProof/>
        </w:rPr>
        <w:t>1</w:t>
      </w:r>
      <w:r>
        <w:fldChar w:fldCharType="end"/>
      </w:r>
      <w:r>
        <w:t xml:space="preserve">). </w:t>
      </w:r>
    </w:p>
    <w:p w14:paraId="75BB83CE" w14:textId="448AF6CF" w:rsidR="0090641E" w:rsidRDefault="00990AA6" w:rsidP="006B54DD">
      <w:r>
        <w:t xml:space="preserve">This collaborative investigation has provided further understanding on the action of bactericidal antibiotics and bacterial life and death in </w:t>
      </w:r>
      <w:r>
        <w:rPr>
          <w:i/>
          <w:iCs/>
        </w:rPr>
        <w:t>S. aureus</w:t>
      </w:r>
      <w:r>
        <w:t xml:space="preserve">. </w:t>
      </w:r>
      <w:r w:rsidR="006B54DD">
        <w:t>Further stud</w:t>
      </w:r>
      <w:r w:rsidR="002B1004">
        <w:t>ies</w:t>
      </w:r>
      <w:r w:rsidR="006B54DD">
        <w:t xml:space="preserve"> </w:t>
      </w:r>
      <w:r w:rsidR="002B1004">
        <w:t>are</w:t>
      </w:r>
      <w:r w:rsidR="006B54DD">
        <w:t xml:space="preserve"> necessary to identify the specific enzymatic players that lead to </w:t>
      </w:r>
      <w:r w:rsidR="006B54DD">
        <w:rPr>
          <w:lang w:val="el-GR"/>
        </w:rPr>
        <w:t>β</w:t>
      </w:r>
      <w:r w:rsidR="006B54DD">
        <w:t xml:space="preserve">-lactam induced death. This will be a difficult task, as there are multiple and essential PGH involved in cell growth; </w:t>
      </w:r>
      <w:r w:rsidR="00F15D07">
        <w:t>albeit</w:t>
      </w:r>
      <w:r w:rsidR="006B54DD">
        <w:t xml:space="preserve"> an important one given that </w:t>
      </w:r>
      <w:r>
        <w:t>it could</w:t>
      </w:r>
      <w:r w:rsidR="006B54DD">
        <w:t xml:space="preserve"> </w:t>
      </w:r>
      <w:r w:rsidR="000326FB">
        <w:t xml:space="preserve">help uncover new pathways of </w:t>
      </w:r>
      <w:r w:rsidR="006B54DD">
        <w:t xml:space="preserve">treatment </w:t>
      </w:r>
      <w:r w:rsidR="000326FB">
        <w:t>for</w:t>
      </w:r>
      <w:r w:rsidR="006B54DD">
        <w:t xml:space="preserve"> </w:t>
      </w:r>
      <w:r w:rsidR="000326FB">
        <w:t>antibiotic-resistant</w:t>
      </w:r>
      <w:r w:rsidR="006B54DD">
        <w:t xml:space="preserve"> pathogens.</w:t>
      </w:r>
      <w:r w:rsidR="0090641E">
        <w:t xml:space="preserve"> </w:t>
      </w:r>
    </w:p>
    <w:p w14:paraId="40562718" w14:textId="77777777" w:rsidR="00182281" w:rsidRDefault="00182281" w:rsidP="00E40F77"/>
    <w:p w14:paraId="4F61259E" w14:textId="11C7FD89" w:rsidR="007A7E64" w:rsidRDefault="007A7E64" w:rsidP="00E40F77">
      <w:pPr>
        <w:sectPr w:rsidR="007A7E64" w:rsidSect="004D0E05">
          <w:pgSz w:w="11906" w:h="16838"/>
          <w:pgMar w:top="1191" w:right="1247" w:bottom="1191" w:left="1247" w:header="709" w:footer="709" w:gutter="0"/>
          <w:cols w:space="708"/>
          <w:titlePg/>
          <w:docGrid w:linePitch="360"/>
        </w:sectPr>
      </w:pPr>
    </w:p>
    <w:p w14:paraId="44C56E62" w14:textId="1FF32F0F" w:rsidR="00182281" w:rsidRPr="005B0F81" w:rsidRDefault="00182281" w:rsidP="00E40F77"/>
    <w:p w14:paraId="474FED58" w14:textId="73770A2F" w:rsidR="00767225" w:rsidRPr="00E52ED5" w:rsidRDefault="00E660FC" w:rsidP="00767225">
      <w:pPr>
        <w:pStyle w:val="ChaptertitleThesis"/>
      </w:pPr>
      <w:bookmarkStart w:id="878" w:name="_Toc64276398"/>
      <w:bookmarkStart w:id="879" w:name="_Toc64276702"/>
      <w:bookmarkStart w:id="880" w:name="_Toc64276914"/>
      <w:bookmarkStart w:id="881" w:name="_Toc90216924"/>
      <w:r w:rsidRPr="00E52ED5">
        <w:t>References</w:t>
      </w:r>
      <w:bookmarkStart w:id="882" w:name="_Hlk519677459"/>
      <w:bookmarkEnd w:id="878"/>
      <w:bookmarkEnd w:id="879"/>
      <w:bookmarkEnd w:id="880"/>
      <w:bookmarkEnd w:id="881"/>
    </w:p>
    <w:p w14:paraId="1B577167" w14:textId="13F6A9DF" w:rsidR="008828BA" w:rsidRPr="008828BA" w:rsidRDefault="00767225" w:rsidP="008828BA">
      <w:pPr>
        <w:widowControl w:val="0"/>
        <w:autoSpaceDE w:val="0"/>
        <w:autoSpaceDN w:val="0"/>
        <w:adjustRightInd w:val="0"/>
        <w:spacing w:before="0" w:after="360" w:line="240" w:lineRule="auto"/>
        <w:ind w:left="640" w:hanging="640"/>
        <w:rPr>
          <w:rFonts w:ascii="Calibri" w:hAnsi="Calibri" w:cs="Calibri"/>
          <w:noProof/>
        </w:rPr>
      </w:pPr>
      <w:r>
        <w:fldChar w:fldCharType="begin" w:fldLock="1"/>
      </w:r>
      <w:r w:rsidRPr="00E52ED5">
        <w:instrText xml:space="preserve">ADDIN Mendeley Bibliography CSL_BIBLIOGRAPHY </w:instrText>
      </w:r>
      <w:r>
        <w:fldChar w:fldCharType="separate"/>
      </w:r>
      <w:r w:rsidR="008828BA" w:rsidRPr="008828BA">
        <w:rPr>
          <w:rFonts w:ascii="Calibri" w:hAnsi="Calibri" w:cs="Calibri"/>
          <w:noProof/>
        </w:rPr>
        <w:t xml:space="preserve">1. </w:t>
      </w:r>
      <w:r w:rsidR="008828BA" w:rsidRPr="008828BA">
        <w:rPr>
          <w:rFonts w:ascii="Calibri" w:hAnsi="Calibri" w:cs="Calibri"/>
          <w:noProof/>
        </w:rPr>
        <w:tab/>
        <w:t xml:space="preserve">Ogston A. “On Abscesses.” Clinical Infectious Diseases. 1984;6(1):122–8. </w:t>
      </w:r>
    </w:p>
    <w:p w14:paraId="04A62DA6"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 </w:t>
      </w:r>
      <w:r w:rsidRPr="008828BA">
        <w:rPr>
          <w:rFonts w:ascii="Calibri" w:hAnsi="Calibri" w:cs="Calibri"/>
          <w:noProof/>
        </w:rPr>
        <w:tab/>
        <w:t xml:space="preserve">Smith G, Macdonald A. The staphylococci : proceedings of the Alexander Ogston Centennial Conference. Rotterdam EMUMC, editor. 1981. viii, 288 p., [1] folded leaf of plates. </w:t>
      </w:r>
    </w:p>
    <w:p w14:paraId="7631F9BD"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3. </w:t>
      </w:r>
      <w:r w:rsidRPr="008828BA">
        <w:rPr>
          <w:rFonts w:ascii="Calibri" w:hAnsi="Calibri" w:cs="Calibri"/>
          <w:noProof/>
        </w:rPr>
        <w:tab/>
        <w:t xml:space="preserve">Newsom SWB. Ogston’s coccus. Journal of Hospital Infection. 2008;70(4):369–72. </w:t>
      </w:r>
    </w:p>
    <w:p w14:paraId="7646CFF4"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4. </w:t>
      </w:r>
      <w:r w:rsidRPr="008828BA">
        <w:rPr>
          <w:rFonts w:ascii="Calibri" w:hAnsi="Calibri" w:cs="Calibri"/>
          <w:noProof/>
        </w:rPr>
        <w:tab/>
        <w:t xml:space="preserve">Baird-Parker A.C. Staphylococci and their classification. Annals of the New York Academy of Sciences. 1965;128(1):4–25. </w:t>
      </w:r>
    </w:p>
    <w:p w14:paraId="15A4AD11"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5. </w:t>
      </w:r>
      <w:r w:rsidRPr="008828BA">
        <w:rPr>
          <w:rFonts w:ascii="Calibri" w:hAnsi="Calibri" w:cs="Calibri"/>
          <w:noProof/>
        </w:rPr>
        <w:tab/>
        <w:t xml:space="preserve">Baird-Parker AC. the Basis for the Present Classification of Staphylococci and Micrococci. Annals of the New York Academy of Sciences. 1974;236(1):7–14. </w:t>
      </w:r>
    </w:p>
    <w:p w14:paraId="69902E87"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6. </w:t>
      </w:r>
      <w:r w:rsidRPr="008828BA">
        <w:rPr>
          <w:rFonts w:ascii="Calibri" w:hAnsi="Calibri" w:cs="Calibri"/>
          <w:noProof/>
        </w:rPr>
        <w:tab/>
        <w:t xml:space="preserve">Tzagoloff H, Novick RP. Geometry of cell division in </w:t>
      </w:r>
      <w:r w:rsidRPr="008828BA">
        <w:rPr>
          <w:rFonts w:ascii="Calibri" w:hAnsi="Calibri" w:cs="Calibri"/>
          <w:i/>
          <w:iCs/>
          <w:noProof/>
        </w:rPr>
        <w:t>Staphylococcus aureus</w:t>
      </w:r>
      <w:r w:rsidRPr="008828BA">
        <w:rPr>
          <w:rFonts w:ascii="Calibri" w:hAnsi="Calibri" w:cs="Calibri"/>
          <w:noProof/>
        </w:rPr>
        <w:t xml:space="preserve">. Journal of Bacteriology. 1977;129(1):343–50. </w:t>
      </w:r>
    </w:p>
    <w:p w14:paraId="5B55EA9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7. </w:t>
      </w:r>
      <w:r w:rsidRPr="008828BA">
        <w:rPr>
          <w:rFonts w:ascii="Calibri" w:hAnsi="Calibri" w:cs="Calibri"/>
          <w:noProof/>
        </w:rPr>
        <w:tab/>
        <w:t xml:space="preserve">Stapleton PD, Taylor PW. Methicillin Resistance in Staphylococcus aureus: mechanisms and modulation. Science Progress (1916). 2002;85(1):57–72. </w:t>
      </w:r>
    </w:p>
    <w:p w14:paraId="0A14FB12"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8. </w:t>
      </w:r>
      <w:r w:rsidRPr="008828BA">
        <w:rPr>
          <w:rFonts w:ascii="Calibri" w:hAnsi="Calibri" w:cs="Calibri"/>
          <w:noProof/>
        </w:rPr>
        <w:tab/>
        <w:t xml:space="preserve">Lowy F. Staphylococcus aureus infections. New England Journal of Medicine. 1998;339:520–32. </w:t>
      </w:r>
    </w:p>
    <w:p w14:paraId="61F0AA11"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9. </w:t>
      </w:r>
      <w:r w:rsidRPr="008828BA">
        <w:rPr>
          <w:rFonts w:ascii="Calibri" w:hAnsi="Calibri" w:cs="Calibri"/>
          <w:noProof/>
        </w:rPr>
        <w:tab/>
        <w:t xml:space="preserve">Lowy F. Antimicrobial resistance: the example of Staphylococcus aureus. Journal of Clinical Investigation. 2003;111(9):1265–73. </w:t>
      </w:r>
    </w:p>
    <w:p w14:paraId="68B947C8"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10. </w:t>
      </w:r>
      <w:r w:rsidRPr="008828BA">
        <w:rPr>
          <w:rFonts w:ascii="Calibri" w:hAnsi="Calibri" w:cs="Calibri"/>
          <w:noProof/>
        </w:rPr>
        <w:tab/>
        <w:t xml:space="preserve">Kirby WMM. Extraction of a highly potent penicillin inactivator from penicillin resistant staphylococci. Science. 1944;99(2579):452–3. </w:t>
      </w:r>
    </w:p>
    <w:p w14:paraId="2703BC4B"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11. </w:t>
      </w:r>
      <w:r w:rsidRPr="008828BA">
        <w:rPr>
          <w:rFonts w:ascii="Calibri" w:hAnsi="Calibri" w:cs="Calibri"/>
          <w:noProof/>
        </w:rPr>
        <w:tab/>
        <w:t xml:space="preserve">Foster TJ. Antibiotic resistance in Staphylococcus aureus. Current status and future prospects. FEMS Microbiology Reviews. 2017;41(3):430–49. </w:t>
      </w:r>
    </w:p>
    <w:p w14:paraId="555B4DA8"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12. </w:t>
      </w:r>
      <w:r w:rsidRPr="008828BA">
        <w:rPr>
          <w:rFonts w:ascii="Calibri" w:hAnsi="Calibri" w:cs="Calibri"/>
          <w:noProof/>
        </w:rPr>
        <w:tab/>
        <w:t xml:space="preserve">Gould IM. The clinical significance of methicillin-resistant Staphylococcus aureus. Journal of Hospital Infection. 2005;61(4):277–82. </w:t>
      </w:r>
    </w:p>
    <w:p w14:paraId="2ABEF9A7"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13. </w:t>
      </w:r>
      <w:r w:rsidRPr="008828BA">
        <w:rPr>
          <w:rFonts w:ascii="Calibri" w:hAnsi="Calibri" w:cs="Calibri"/>
          <w:noProof/>
        </w:rPr>
        <w:tab/>
        <w:t xml:space="preserve">Chambers HF. The changing epidemiology of staphylococcus aureus? In: Emerging Infectious Diseases. Centers for Disease Control and Prevention; 2001. p. 178–82. </w:t>
      </w:r>
    </w:p>
    <w:p w14:paraId="7B7C4A6A"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14. </w:t>
      </w:r>
      <w:r w:rsidRPr="008828BA">
        <w:rPr>
          <w:rFonts w:ascii="Calibri" w:hAnsi="Calibri" w:cs="Calibri"/>
          <w:noProof/>
        </w:rPr>
        <w:tab/>
        <w:t xml:space="preserve">Silhavy T, Kahne D, Walker S. The bacterial cell envelope. Cold Spring Harbor perspectives </w:t>
      </w:r>
      <w:r w:rsidRPr="008828BA">
        <w:rPr>
          <w:rFonts w:ascii="Calibri" w:hAnsi="Calibri" w:cs="Calibri"/>
          <w:noProof/>
        </w:rPr>
        <w:lastRenderedPageBreak/>
        <w:t xml:space="preserve">in biology. 2010;2(5):1–16. </w:t>
      </w:r>
    </w:p>
    <w:p w14:paraId="6A3FC109"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15. </w:t>
      </w:r>
      <w:r w:rsidRPr="008828BA">
        <w:rPr>
          <w:rFonts w:ascii="Calibri" w:hAnsi="Calibri" w:cs="Calibri"/>
          <w:noProof/>
        </w:rPr>
        <w:tab/>
        <w:t xml:space="preserve">Madigan MT, Bender KS, Buckley DH, Stahl DA. Brock Biology of Microorganisms. 15th ed. New York: Pearson Education; 2019. </w:t>
      </w:r>
    </w:p>
    <w:p w14:paraId="2ADD7247"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16. </w:t>
      </w:r>
      <w:r w:rsidRPr="008828BA">
        <w:rPr>
          <w:rFonts w:ascii="Calibri" w:hAnsi="Calibri" w:cs="Calibri"/>
          <w:noProof/>
        </w:rPr>
        <w:tab/>
        <w:t xml:space="preserve">Matias VRF, Beveridge TJ. Native cell wall organization shown by cryo-electron microscopy confirms the existence of a periplasmic space in Staphylococcus aureus. Journal of Bacteriology. 2006;188(3):1011–21. </w:t>
      </w:r>
    </w:p>
    <w:p w14:paraId="0C75D8E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17. </w:t>
      </w:r>
      <w:r w:rsidRPr="008828BA">
        <w:rPr>
          <w:rFonts w:ascii="Calibri" w:hAnsi="Calibri" w:cs="Calibri"/>
          <w:noProof/>
        </w:rPr>
        <w:tab/>
        <w:t xml:space="preserve">Vollmer W, Blanot D, De Pedro MA. Peptidoglycan structure and architecture. FEMS Microbiology Reviews. 2008;32(2):149–67. </w:t>
      </w:r>
    </w:p>
    <w:p w14:paraId="200DBD01"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18. </w:t>
      </w:r>
      <w:r w:rsidRPr="008828BA">
        <w:rPr>
          <w:rFonts w:ascii="Calibri" w:hAnsi="Calibri" w:cs="Calibri"/>
          <w:noProof/>
        </w:rPr>
        <w:tab/>
        <w:t xml:space="preserve">Tipper DJ, Strominger JL, Ensign JC. Structure of the Cell Wall of Staphylococcus aureus, Strain Copenhagen. VII. Mode of Action of the Bacteriolytic Peptidase from Myxobacter and the Isolation of Intact Cell Wall Polysaccharides. Biochemistry. 1967;6(3):906–20. </w:t>
      </w:r>
    </w:p>
    <w:p w14:paraId="4A18889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19. </w:t>
      </w:r>
      <w:r w:rsidRPr="008828BA">
        <w:rPr>
          <w:rFonts w:ascii="Calibri" w:hAnsi="Calibri" w:cs="Calibri"/>
          <w:noProof/>
        </w:rPr>
        <w:tab/>
        <w:t xml:space="preserve">Ward BJ. The chain length of the glycans in bacterial cell walls. Biochemical Journal. 1973;133(2):395–8. </w:t>
      </w:r>
    </w:p>
    <w:p w14:paraId="2A3D99D2"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20. </w:t>
      </w:r>
      <w:r w:rsidRPr="008828BA">
        <w:rPr>
          <w:rFonts w:ascii="Calibri" w:hAnsi="Calibri" w:cs="Calibri"/>
          <w:noProof/>
        </w:rPr>
        <w:tab/>
        <w:t xml:space="preserve">Boneca IG, Huang ZH, Gage DA, Tomasz A. Characterization of Staphylococcus aureus cell wall glycan strands, evidence for a new β-N-acetylglucosaminidase activity. Journal of Biological Chemistry. 2000;275(14):9910–8. </w:t>
      </w:r>
    </w:p>
    <w:p w14:paraId="1842DC44"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21. </w:t>
      </w:r>
      <w:r w:rsidRPr="008828BA">
        <w:rPr>
          <w:rFonts w:ascii="Calibri" w:hAnsi="Calibri" w:cs="Calibri"/>
          <w:noProof/>
        </w:rPr>
        <w:tab/>
        <w:t xml:space="preserve">Porfírio S, Carlson RW, Azadi P. Elucidating Peptidoglycan Structure: An Analytical Toolset. Vol. 27, Trends in Microbiology. 2019. p. 607–22. </w:t>
      </w:r>
    </w:p>
    <w:p w14:paraId="5808E169"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22. </w:t>
      </w:r>
      <w:r w:rsidRPr="008828BA">
        <w:rPr>
          <w:rFonts w:ascii="Calibri" w:hAnsi="Calibri" w:cs="Calibri"/>
          <w:noProof/>
        </w:rPr>
        <w:tab/>
        <w:t xml:space="preserve">Vermassen A, Leroy S, Talon R, Provot C, Popowska M, Desvaux M. Cell wall hydrolases in bacteria: Insight on the diversity of cell wall amidases, glycosidases and peptidases toward peptidoglycan. Frontiers in Microbiology. 2019;10(FEB). </w:t>
      </w:r>
    </w:p>
    <w:p w14:paraId="67BC68A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23. </w:t>
      </w:r>
      <w:r w:rsidRPr="008828BA">
        <w:rPr>
          <w:rFonts w:ascii="Calibri" w:hAnsi="Calibri" w:cs="Calibri"/>
          <w:noProof/>
        </w:rPr>
        <w:tab/>
        <w:t xml:space="preserve">Typas A, Banzhaf M, Gross CA, Vollmer W. From the regulation of peptidoglycan synthesis to bacterial growth and morphology. Nature Reviews Microbiology. 2012;10(2):123–36. </w:t>
      </w:r>
    </w:p>
    <w:p w14:paraId="420719D8"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24. </w:t>
      </w:r>
      <w:r w:rsidRPr="008828BA">
        <w:rPr>
          <w:rFonts w:ascii="Calibri" w:hAnsi="Calibri" w:cs="Calibri"/>
          <w:noProof/>
        </w:rPr>
        <w:tab/>
        <w:t xml:space="preserve">Egan AJF, Errington J, Vollmer W. Regulation of peptidoglycan synthesis and remodelling. Nature Reviews Microbiology. 2020;18(8):446–60. </w:t>
      </w:r>
    </w:p>
    <w:p w14:paraId="25774B2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25. </w:t>
      </w:r>
      <w:r w:rsidRPr="008828BA">
        <w:rPr>
          <w:rFonts w:ascii="Calibri" w:hAnsi="Calibri" w:cs="Calibri"/>
          <w:noProof/>
        </w:rPr>
        <w:tab/>
        <w:t xml:space="preserve">Scheffers DJ, Tol MB. LipidII: Just Another Brick in the Wall? Vol. 11, PLoS Pathogens. 2015. </w:t>
      </w:r>
    </w:p>
    <w:p w14:paraId="6C8A451E"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26. </w:t>
      </w:r>
      <w:r w:rsidRPr="008828BA">
        <w:rPr>
          <w:rFonts w:ascii="Calibri" w:hAnsi="Calibri" w:cs="Calibri"/>
          <w:noProof/>
        </w:rPr>
        <w:tab/>
        <w:t xml:space="preserve">Bouhss A, Trunkfield AE, Bugg TDH, Mengin-Lecreulx D. The biosynthesis of peptidoglycan lipid-linked intermediates. Vol. 32, FEMS Microbiology Reviews. 2008. p. 208–33. </w:t>
      </w:r>
    </w:p>
    <w:p w14:paraId="0F8A941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27. </w:t>
      </w:r>
      <w:r w:rsidRPr="008828BA">
        <w:rPr>
          <w:rFonts w:ascii="Calibri" w:hAnsi="Calibri" w:cs="Calibri"/>
          <w:noProof/>
        </w:rPr>
        <w:tab/>
        <w:t xml:space="preserve">Lovering AL, Safadi SS, Strynadka NCJ. Structural Perspective of Peptidoglycan Biosynthesis and Assembly. Annual Review of Biochemistry. 2012;81:451–78. </w:t>
      </w:r>
    </w:p>
    <w:p w14:paraId="525F604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lastRenderedPageBreak/>
        <w:t xml:space="preserve">28. </w:t>
      </w:r>
      <w:r w:rsidRPr="008828BA">
        <w:rPr>
          <w:rFonts w:ascii="Calibri" w:hAnsi="Calibri" w:cs="Calibri"/>
          <w:noProof/>
        </w:rPr>
        <w:tab/>
        <w:t xml:space="preserve">Ward JB, Perkins HR. The direction of glycan synthesis in a bacterial peptidoglycan. Biochemical Journal. 1973;135(4):721–8. </w:t>
      </w:r>
    </w:p>
    <w:p w14:paraId="2FFCCF7F"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29. </w:t>
      </w:r>
      <w:r w:rsidRPr="008828BA">
        <w:rPr>
          <w:rFonts w:ascii="Calibri" w:hAnsi="Calibri" w:cs="Calibri"/>
          <w:noProof/>
        </w:rPr>
        <w:tab/>
        <w:t xml:space="preserve">Goffin C, Ghuysen J-M. Multimodular Penicillin-Binding Proteins: An Enigmatic Family of Orthologs and Paralogs. Microbiology and Molecular Biology Reviews. 1998 Dec 1;62(4):1079–93. </w:t>
      </w:r>
    </w:p>
    <w:p w14:paraId="10B0F6D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30. </w:t>
      </w:r>
      <w:r w:rsidRPr="008828BA">
        <w:rPr>
          <w:rFonts w:ascii="Calibri" w:hAnsi="Calibri" w:cs="Calibri"/>
          <w:noProof/>
        </w:rPr>
        <w:tab/>
        <w:t xml:space="preserve">Sauvage E, Kerff F, Terrak M, Ayala JA, Charlier P. The penicillin-binding proteins: Structure and role in peptidoglycan biosynthesis. Vol. 32, FEMS Microbiology Reviews. John Wiley &amp; Sons, Ltd; 2008. p. 234–58. </w:t>
      </w:r>
    </w:p>
    <w:p w14:paraId="6FFB007B"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31. </w:t>
      </w:r>
      <w:r w:rsidRPr="008828BA">
        <w:rPr>
          <w:rFonts w:ascii="Calibri" w:hAnsi="Calibri" w:cs="Calibri"/>
          <w:noProof/>
        </w:rPr>
        <w:tab/>
        <w:t xml:space="preserve">Monteiro JM, Pereira AR, Reichmann NT, Saraiva BM, Fernandes PB, Veiga H, et al. Peptidoglycan synthesis drives an FtsZ-treadmilling-independent step of cytokinesis. Nature. 2018;554(7693):528–32. </w:t>
      </w:r>
    </w:p>
    <w:p w14:paraId="0B4E4F1F"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32. </w:t>
      </w:r>
      <w:r w:rsidRPr="008828BA">
        <w:rPr>
          <w:rFonts w:ascii="Calibri" w:hAnsi="Calibri" w:cs="Calibri"/>
          <w:noProof/>
        </w:rPr>
        <w:tab/>
        <w:t xml:space="preserve">Wada A, Watanabe H. Penicillin-binding protein 1 of Staphylococcus aureus is essential for growth. Journal of Bacteriology. 1998;180(10):2759–65. </w:t>
      </w:r>
    </w:p>
    <w:p w14:paraId="563E030B"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33. </w:t>
      </w:r>
      <w:r w:rsidRPr="008828BA">
        <w:rPr>
          <w:rFonts w:ascii="Calibri" w:hAnsi="Calibri" w:cs="Calibri"/>
          <w:noProof/>
        </w:rPr>
        <w:tab/>
        <w:t xml:space="preserve">Pinho MG, Filipe SR, De Lencastre H, Tomasz A. Complementation of the essential peptidoglycan transpeptidase function of penicillin-binding protein 2 (PBP2) by the drug resistance protein PBP2A in Staphylococcus aureus. Journal of Bacteriology. 2001;183(22):6525–31. </w:t>
      </w:r>
    </w:p>
    <w:p w14:paraId="2407B256"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34. </w:t>
      </w:r>
      <w:r w:rsidRPr="008828BA">
        <w:rPr>
          <w:rFonts w:ascii="Calibri" w:hAnsi="Calibri" w:cs="Calibri"/>
          <w:noProof/>
        </w:rPr>
        <w:tab/>
        <w:t xml:space="preserve">Pereira SFF, Henriques AO, Pinho MG, De Lencastre H, Tomasz A. Role of PBP1 in cell division of Staphylococcus aureus. Journal of Bacteriology. 2007;189(9):3525–31. </w:t>
      </w:r>
    </w:p>
    <w:p w14:paraId="565151F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35. </w:t>
      </w:r>
      <w:r w:rsidRPr="008828BA">
        <w:rPr>
          <w:rFonts w:ascii="Calibri" w:hAnsi="Calibri" w:cs="Calibri"/>
          <w:noProof/>
        </w:rPr>
        <w:tab/>
        <w:t xml:space="preserve">Pereira SFF, Henriques AO, Pinho MG, De Lencastre H, Tomasz A. Evidence for a dual role of PBP1 in the cell division and cell separation of Staphylococcus aureus. Molecular Microbiology. 2009 May;72(4):895–904. </w:t>
      </w:r>
    </w:p>
    <w:p w14:paraId="08C1C6C6"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36. </w:t>
      </w:r>
      <w:r w:rsidRPr="008828BA">
        <w:rPr>
          <w:rFonts w:ascii="Calibri" w:hAnsi="Calibri" w:cs="Calibri"/>
          <w:noProof/>
        </w:rPr>
        <w:tab/>
        <w:t xml:space="preserve">Reichmann NT, Tavares AC, Saraiva BM, Jousselin A, Reed P, Pereira AR, et al. SEDS–bPBP pairs direct lateral and septal peptidoglycan synthesis in Staphylococcus aureus. Nature Microbiology. 2019;4(8):1368–77. </w:t>
      </w:r>
    </w:p>
    <w:p w14:paraId="0CF3583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37. </w:t>
      </w:r>
      <w:r w:rsidRPr="008828BA">
        <w:rPr>
          <w:rFonts w:ascii="Calibri" w:hAnsi="Calibri" w:cs="Calibri"/>
          <w:noProof/>
        </w:rPr>
        <w:tab/>
        <w:t xml:space="preserve">Pinho MG, Errington J. Dispersed mode of Staphylococcus aureus cell wall synthesis in the absence of the division machinery. Molecular Microbiology. 2003;50(3):871–81. </w:t>
      </w:r>
    </w:p>
    <w:p w14:paraId="6E8B4DD4"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38. </w:t>
      </w:r>
      <w:r w:rsidRPr="008828BA">
        <w:rPr>
          <w:rFonts w:ascii="Calibri" w:hAnsi="Calibri" w:cs="Calibri"/>
          <w:noProof/>
        </w:rPr>
        <w:tab/>
        <w:t xml:space="preserve">Pinho MG, De Lencastre H, Tomasz A. Cloning, characterization, and inactivation of the gene pbpC, encoding penicillin-binding protein 3 of Staphylococcus aureus. Journal of Bacteriology. 2000;182(4):1074–9. </w:t>
      </w:r>
    </w:p>
    <w:p w14:paraId="7135ABC8"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39. </w:t>
      </w:r>
      <w:r w:rsidRPr="008828BA">
        <w:rPr>
          <w:rFonts w:ascii="Calibri" w:hAnsi="Calibri" w:cs="Calibri"/>
          <w:noProof/>
        </w:rPr>
        <w:tab/>
        <w:t xml:space="preserve">Zapun A, Contreras-Martel C, Vernet T. Penicillin-binding proteins and β-lactam resistance. Vol. 32, FEMS Microbiology Reviews. 2008. p. 361–85. </w:t>
      </w:r>
    </w:p>
    <w:p w14:paraId="330C1BE8"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40. </w:t>
      </w:r>
      <w:r w:rsidRPr="008828BA">
        <w:rPr>
          <w:rFonts w:ascii="Calibri" w:hAnsi="Calibri" w:cs="Calibri"/>
          <w:noProof/>
        </w:rPr>
        <w:tab/>
        <w:t xml:space="preserve">Pinho MG, De Lencastre H, Tomasz A. An acquired and a native penicillin-binding protein cooperate in building the cell wall of drug-resistant staphylococci. Proceedings of the </w:t>
      </w:r>
      <w:r w:rsidRPr="008828BA">
        <w:rPr>
          <w:rFonts w:ascii="Calibri" w:hAnsi="Calibri" w:cs="Calibri"/>
          <w:noProof/>
        </w:rPr>
        <w:lastRenderedPageBreak/>
        <w:t xml:space="preserve">National Academy of Sciences of the United States of America. 2001;98(19):10886–91. </w:t>
      </w:r>
    </w:p>
    <w:p w14:paraId="72975DAF"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41. </w:t>
      </w:r>
      <w:r w:rsidRPr="008828BA">
        <w:rPr>
          <w:rFonts w:ascii="Calibri" w:hAnsi="Calibri" w:cs="Calibri"/>
          <w:noProof/>
        </w:rPr>
        <w:tab/>
        <w:t xml:space="preserve">Wyke AW, Ward JB, Hayes M V., Curtis NAC. A Role in vivo for Penicillin‐Binding Protein‐4 of Staphylococcus aureus. European Journal of Biochemistry. 1981;119(2):389–93. </w:t>
      </w:r>
    </w:p>
    <w:p w14:paraId="33F1EA9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42. </w:t>
      </w:r>
      <w:r w:rsidRPr="008828BA">
        <w:rPr>
          <w:rFonts w:ascii="Calibri" w:hAnsi="Calibri" w:cs="Calibri"/>
          <w:noProof/>
        </w:rPr>
        <w:tab/>
        <w:t xml:space="preserve">Taguchi A, Welsh MA, Marmont LS, Lee W, Sjodt M, Kruse AC, et al. FtsW is a peptidoglycan polymerase that is functional only in complex with its cognate penicillin-binding protein. Nature Microbiology. 2019;4(4):587–94. </w:t>
      </w:r>
    </w:p>
    <w:p w14:paraId="62C0E7B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43. </w:t>
      </w:r>
      <w:r w:rsidRPr="008828BA">
        <w:rPr>
          <w:rFonts w:ascii="Calibri" w:hAnsi="Calibri" w:cs="Calibri"/>
          <w:noProof/>
        </w:rPr>
        <w:tab/>
        <w:t xml:space="preserve">Meeske AJ, Riley EP, Robins WP, Uehara T, Mekalanos JJ, Kahne D, et al. SEDS proteins are a widespread family of bacterial cell wall polymerases. Nature. 2016;537(7622):634–8. </w:t>
      </w:r>
    </w:p>
    <w:p w14:paraId="1D870B7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44. </w:t>
      </w:r>
      <w:r w:rsidRPr="008828BA">
        <w:rPr>
          <w:rFonts w:ascii="Calibri" w:hAnsi="Calibri" w:cs="Calibri"/>
          <w:noProof/>
        </w:rPr>
        <w:tab/>
        <w:t xml:space="preserve">Do T, Page JE, Walker S. Uncovering the activities, biological roles, and regulation of bacterial cell wall hydrolases and tailoring enzymes. Vol. 295, Journal of Biological Chemistry. American Society for Biochemistry and Molecular Biology Inc.; 2020. p. 3347–61. </w:t>
      </w:r>
    </w:p>
    <w:p w14:paraId="60CE8FFE"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45. </w:t>
      </w:r>
      <w:r w:rsidRPr="008828BA">
        <w:rPr>
          <w:rFonts w:ascii="Calibri" w:hAnsi="Calibri" w:cs="Calibri"/>
          <w:noProof/>
        </w:rPr>
        <w:tab/>
        <w:t xml:space="preserve">Spratt BG, Zhou J, Taylor M, Merrick MJ. Monofunctional biosynthetic peptidoglycan transglycosylases [1]. Molecular Microbiology. 1996;19(3):639–40. </w:t>
      </w:r>
    </w:p>
    <w:p w14:paraId="6F76E7F9"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46. </w:t>
      </w:r>
      <w:r w:rsidRPr="008828BA">
        <w:rPr>
          <w:rFonts w:ascii="Calibri" w:hAnsi="Calibri" w:cs="Calibri"/>
          <w:noProof/>
        </w:rPr>
        <w:tab/>
        <w:t xml:space="preserve">Reed P, Veiga H, Jorge AM, Terrak M, Pinho MG. Monofunctional transglycosylases are not essential for Staphylococcus aureus cell wall synthesis. Journal of Bacteriology. 2011 May;193(10):2549–56. </w:t>
      </w:r>
    </w:p>
    <w:p w14:paraId="3FAE4075"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47. </w:t>
      </w:r>
      <w:r w:rsidRPr="008828BA">
        <w:rPr>
          <w:rFonts w:ascii="Calibri" w:hAnsi="Calibri" w:cs="Calibri"/>
          <w:noProof/>
        </w:rPr>
        <w:tab/>
        <w:t xml:space="preserve">Pazos M, Peters K, Vollmer W. Robust peptidoglycan growth by dynamic and variable multi-protein complexes. Vol. 36, Current Opinion in Microbiology. 2017. p. 55–61. </w:t>
      </w:r>
    </w:p>
    <w:p w14:paraId="1AEB8BDE"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48. </w:t>
      </w:r>
      <w:r w:rsidRPr="008828BA">
        <w:rPr>
          <w:rFonts w:ascii="Calibri" w:hAnsi="Calibri" w:cs="Calibri"/>
          <w:noProof/>
        </w:rPr>
        <w:tab/>
        <w:t xml:space="preserve">Komatsuzawa H, Ohta K, Labischinski H, Sugai M, Suginaka H. Characterization of fmtA, a gene that modulates the expression of methicillin resistance in Staphylococcus aureus. Antimicrobial Agents and Chemotherapy. 1999;43(9):2121–5. </w:t>
      </w:r>
    </w:p>
    <w:p w14:paraId="5961827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49. </w:t>
      </w:r>
      <w:r w:rsidRPr="008828BA">
        <w:rPr>
          <w:rFonts w:ascii="Calibri" w:hAnsi="Calibri" w:cs="Calibri"/>
          <w:noProof/>
        </w:rPr>
        <w:tab/>
        <w:t xml:space="preserve">Komatsuzawa H, Ohta K, Sugai M, Fujiwara T, Glanzmann P, Berger-Bächi B, et al. Tn551-mediated insertional inactivation of the fmtB gene encoding a cell wall-associated protein abolishes methicillin resistance in Staphylococcus aureus. Journal of Antimicrobial Chemotherapy. 2000;45(4):421–31. </w:t>
      </w:r>
    </w:p>
    <w:p w14:paraId="0CD5E4C6"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50. </w:t>
      </w:r>
      <w:r w:rsidRPr="008828BA">
        <w:rPr>
          <w:rFonts w:ascii="Calibri" w:hAnsi="Calibri" w:cs="Calibri"/>
          <w:noProof/>
        </w:rPr>
        <w:tab/>
        <w:t xml:space="preserve">Reed P, Atilano ML, Alves R, Hoiczyk E, Sher X, Reichmann NT, et al. Staphylococcus aureus Survives with a Minimal Peptidoglycan Synthesis Machine but Sacrifices Virulence and Antibiotic Resistance. PLoS Pathogens. 2015 May 1;11(5):e1004891. </w:t>
      </w:r>
    </w:p>
    <w:p w14:paraId="04B62A7E"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51. </w:t>
      </w:r>
      <w:r w:rsidRPr="008828BA">
        <w:rPr>
          <w:rFonts w:ascii="Calibri" w:hAnsi="Calibri" w:cs="Calibri"/>
          <w:noProof/>
        </w:rPr>
        <w:tab/>
        <w:t xml:space="preserve">Panchal VV. The molecular basis of high-level methicillin resistance in Staphylococcus aureus. The University of Sheffield; 2018. </w:t>
      </w:r>
    </w:p>
    <w:p w14:paraId="5B88DDD7"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52. </w:t>
      </w:r>
      <w:r w:rsidRPr="008828BA">
        <w:rPr>
          <w:rFonts w:ascii="Calibri" w:hAnsi="Calibri" w:cs="Calibri"/>
          <w:noProof/>
        </w:rPr>
        <w:tab/>
        <w:t xml:space="preserve">Sutton J. Murine murein: The role of Staphylococcus aureus cell wall structure during host-pathogen interaction. The University of Sheffield; 2020. </w:t>
      </w:r>
    </w:p>
    <w:p w14:paraId="2CB3788B"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lastRenderedPageBreak/>
        <w:t xml:space="preserve">53. </w:t>
      </w:r>
      <w:r w:rsidRPr="008828BA">
        <w:rPr>
          <w:rFonts w:ascii="Calibri" w:hAnsi="Calibri" w:cs="Calibri"/>
          <w:noProof/>
        </w:rPr>
        <w:tab/>
        <w:t xml:space="preserve">Wheeler R, Turner RD, Bailey RG, Salamaga B, Mesnage S, Mohamad SAS, et al. Bacterial cell enlargement requires control of cell wall stiffness mediated by peptidoglycan hydrolases. mBio. 2015;6(4):1–10. </w:t>
      </w:r>
    </w:p>
    <w:p w14:paraId="7C24348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54. </w:t>
      </w:r>
      <w:r w:rsidRPr="008828BA">
        <w:rPr>
          <w:rFonts w:ascii="Calibri" w:hAnsi="Calibri" w:cs="Calibri"/>
          <w:noProof/>
        </w:rPr>
        <w:tab/>
        <w:t xml:space="preserve">Foster SJ. Molecular characterization and functional analysis of the major autolysin of Staphylococcus aureus 8325/4. Journal of Bacteriology. 1995;177(19):5723–5. </w:t>
      </w:r>
    </w:p>
    <w:p w14:paraId="13FF01B2"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55. </w:t>
      </w:r>
      <w:r w:rsidRPr="008828BA">
        <w:rPr>
          <w:rFonts w:ascii="Calibri" w:hAnsi="Calibri" w:cs="Calibri"/>
          <w:noProof/>
        </w:rPr>
        <w:tab/>
        <w:t xml:space="preserve">Oshida T, Sugai M, Komatsuzawa H, Hong YM, Suginaka H, Tomasz A. A Staphylococcus aureus autolysin that has an N-acetylmuramoyl-L-alanine amidase domain and an endo-β-N-acetylglucosaminidase domain: Cloning, sequence analysis, and characterization. Proceedings of the National Academy of Sciences of the United States of America. 1995;92(1):285–9. </w:t>
      </w:r>
    </w:p>
    <w:p w14:paraId="38F0D26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56. </w:t>
      </w:r>
      <w:r w:rsidRPr="008828BA">
        <w:rPr>
          <w:rFonts w:ascii="Calibri" w:hAnsi="Calibri" w:cs="Calibri"/>
          <w:noProof/>
        </w:rPr>
        <w:tab/>
        <w:t xml:space="preserve">Nega M, Tribelli PM, Hipp K, Stahl M, Götz F. New insights in the coordinated amidase and glucosaminidase activity of the major autolysin (Atl) in Staphylococcus aureus. Communications Biology. 2020;3(1):1–10. </w:t>
      </w:r>
    </w:p>
    <w:p w14:paraId="09C53B06"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57. </w:t>
      </w:r>
      <w:r w:rsidRPr="008828BA">
        <w:rPr>
          <w:rFonts w:ascii="Calibri" w:hAnsi="Calibri" w:cs="Calibri"/>
          <w:noProof/>
        </w:rPr>
        <w:tab/>
        <w:t xml:space="preserve">Biswas R, Voggu L, Simon UK, Hentschel P, Thumm G, Götz F. Activity of the major staphylococcal autolysin Atl. FEMS Microbiology Letters. 2006;259(2):260–8. </w:t>
      </w:r>
    </w:p>
    <w:p w14:paraId="6E761B16"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58. </w:t>
      </w:r>
      <w:r w:rsidRPr="008828BA">
        <w:rPr>
          <w:rFonts w:ascii="Calibri" w:hAnsi="Calibri" w:cs="Calibri"/>
          <w:noProof/>
        </w:rPr>
        <w:tab/>
        <w:t xml:space="preserve">Heilmann C, Hartleib J, Hussain MS, Peters G. The multifunctional Staphylococcus aureus autolysin Aaa mediates adherence to immobilized fibrinogen and fibronectin. Infection and Immunity. 2005;73(8):4793–802. </w:t>
      </w:r>
    </w:p>
    <w:p w14:paraId="43FA06E4"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59. </w:t>
      </w:r>
      <w:r w:rsidRPr="008828BA">
        <w:rPr>
          <w:rFonts w:ascii="Calibri" w:hAnsi="Calibri" w:cs="Calibri"/>
          <w:noProof/>
        </w:rPr>
        <w:tab/>
        <w:t xml:space="preserve">Schlag M, Biswas R, Krismer B, Kohler T, Zoll S, Yu W, et al. Role of staphylococcal wall teichoic acid in targeting the major autolysin Atl. Molecular Microbiology. 2010;75(4):864–73. </w:t>
      </w:r>
    </w:p>
    <w:p w14:paraId="69E721E2"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60. </w:t>
      </w:r>
      <w:r w:rsidRPr="008828BA">
        <w:rPr>
          <w:rFonts w:ascii="Calibri" w:hAnsi="Calibri" w:cs="Calibri"/>
          <w:noProof/>
        </w:rPr>
        <w:tab/>
        <w:t xml:space="preserve">Yamada S, Sugai M, Komatsuzawa H, Nakashima S, Oshida T, Matsumoto A, et al. An autolysin ring associated with cell separation of Staphylococcus aureus. Journal of Bacteriology. 1996;178(6):1565–71. </w:t>
      </w:r>
    </w:p>
    <w:p w14:paraId="630BB8C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61. </w:t>
      </w:r>
      <w:r w:rsidRPr="008828BA">
        <w:rPr>
          <w:rFonts w:ascii="Calibri" w:hAnsi="Calibri" w:cs="Calibri"/>
          <w:noProof/>
        </w:rPr>
        <w:tab/>
        <w:t xml:space="preserve">Kent VL. Cell wall architecture and the role of wall teichoic acid in Staphylococcus aureus By. 2013. </w:t>
      </w:r>
    </w:p>
    <w:p w14:paraId="53BBECA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62. </w:t>
      </w:r>
      <w:r w:rsidRPr="008828BA">
        <w:rPr>
          <w:rFonts w:ascii="Calibri" w:hAnsi="Calibri" w:cs="Calibri"/>
          <w:noProof/>
        </w:rPr>
        <w:tab/>
        <w:t xml:space="preserve">Zoll S, Schlag M, Shkumatov A V., Rautenberg M, Svergun DI, Götz F, et al. Ligand-binding properties and conformational dynamics of autolysin repeat domains in staphylococcal cell wall recognition. Journal of Bacteriology. 2012;194(15):3789–802. </w:t>
      </w:r>
    </w:p>
    <w:p w14:paraId="6B71A385"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63. </w:t>
      </w:r>
      <w:r w:rsidRPr="008828BA">
        <w:rPr>
          <w:rFonts w:ascii="Calibri" w:hAnsi="Calibri" w:cs="Calibri"/>
          <w:noProof/>
        </w:rPr>
        <w:tab/>
        <w:t xml:space="preserve">Corrigan RM, Abbott JC, Burhenne H, Kaever V, Gründling A. C-di-amp is a new second messenger in staphylococcus aureus with a role in controlling cell size and envelope stress. PLoS Pathogens. 2011;7(9). </w:t>
      </w:r>
    </w:p>
    <w:p w14:paraId="019B06A7"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64. </w:t>
      </w:r>
      <w:r w:rsidRPr="008828BA">
        <w:rPr>
          <w:rFonts w:ascii="Calibri" w:hAnsi="Calibri" w:cs="Calibri"/>
          <w:noProof/>
        </w:rPr>
        <w:tab/>
        <w:t xml:space="preserve">Chan YGY, Frankel MB, Missiakas D, Schneewind O. SagB glucosaminidase is a determinant of Staphylococcus aureus glycan chain length, antibiotic susceptibility, and protein secretion. Journal of Bacteriology. 2016;198(7):1123–36. </w:t>
      </w:r>
    </w:p>
    <w:p w14:paraId="335AE659"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lastRenderedPageBreak/>
        <w:t xml:space="preserve">65. </w:t>
      </w:r>
      <w:r w:rsidRPr="008828BA">
        <w:rPr>
          <w:rFonts w:ascii="Calibri" w:hAnsi="Calibri" w:cs="Calibri"/>
          <w:noProof/>
        </w:rPr>
        <w:tab/>
        <w:t xml:space="preserve">Pourmand MR, Clarke SR, Schuman RF, Mond JJ, Foster SJ. Identification of antigenic components of Staphylococcus epidermidis expressed during human infection. Infection and Immunity. 2006 Aug;74(8):4644–54. </w:t>
      </w:r>
    </w:p>
    <w:p w14:paraId="4143A838"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66. </w:t>
      </w:r>
      <w:r w:rsidRPr="008828BA">
        <w:rPr>
          <w:rFonts w:ascii="Calibri" w:hAnsi="Calibri" w:cs="Calibri"/>
          <w:noProof/>
        </w:rPr>
        <w:tab/>
        <w:t xml:space="preserve">Stapleton MR, Horsburgh MJ, Hayhurst EJ, Wright L, Jonsson IM, Tarkowski A, et al. Characterization of IsaA and SceD, two putative lytic transglycosylases of Staphylococcus aureus. Journal of Bacteriology. 2007 Oct;189(20):7316–25. </w:t>
      </w:r>
    </w:p>
    <w:p w14:paraId="5B99410D"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67. </w:t>
      </w:r>
      <w:r w:rsidRPr="008828BA">
        <w:rPr>
          <w:rFonts w:ascii="Calibri" w:hAnsi="Calibri" w:cs="Calibri"/>
          <w:noProof/>
        </w:rPr>
        <w:tab/>
        <w:t xml:space="preserve">Lioliou E, Fechter P, Caldelari I, Jester BC, Dubrac S, Helfer AC, et al. Various checkpoints prevent the synthesis of Staphylococcus aureus peptidoglycan hydrolase LytM in the stationary growth phase. RNA Biology. 2016 Apr 2;13(4):427–40. </w:t>
      </w:r>
    </w:p>
    <w:p w14:paraId="216163A5"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68. </w:t>
      </w:r>
      <w:r w:rsidRPr="008828BA">
        <w:rPr>
          <w:rFonts w:ascii="Calibri" w:hAnsi="Calibri" w:cs="Calibri"/>
          <w:noProof/>
        </w:rPr>
        <w:tab/>
        <w:t xml:space="preserve">Sugai M, Fujiwara T, Komatsuzawa H, Hidekazu Suginaka. Identification and molecular characterization of a gene homologous to epr (endopeptidase resistance gene) in Staphylococcus aureus. Gene. 1998 Dec 11;224(1–2):67–75. </w:t>
      </w:r>
    </w:p>
    <w:p w14:paraId="30387534"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69. </w:t>
      </w:r>
      <w:r w:rsidRPr="008828BA">
        <w:rPr>
          <w:rFonts w:ascii="Calibri" w:hAnsi="Calibri" w:cs="Calibri"/>
          <w:noProof/>
        </w:rPr>
        <w:tab/>
        <w:t>Wheeler R. Peptidoglycan architecture and dynamics in Gram-positive bacteria [Internet]. The University of Sheffield; 2012. Available from: http://etheses.whiterose.ac.uk/2741/1/Peptidoglycan_architecture_and_dynamics_in_Gram-positive_bacteria_thesis.docx</w:t>
      </w:r>
    </w:p>
    <w:p w14:paraId="00F51194"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70. </w:t>
      </w:r>
      <w:r w:rsidRPr="008828BA">
        <w:rPr>
          <w:rFonts w:ascii="Calibri" w:hAnsi="Calibri" w:cs="Calibri"/>
          <w:noProof/>
        </w:rPr>
        <w:tab/>
        <w:t xml:space="preserve">Do T, Schaefer K, Santiago AG, Coe KA, Fernandes PB, Kahne D, et al. Staphylococcus aureus cell growth and division are regulated by an amidase that trims peptides from uncrosslinked peptidoglycan. Nature Microbiology. 2020;5(2):291–303. </w:t>
      </w:r>
    </w:p>
    <w:p w14:paraId="54B00B65"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71. </w:t>
      </w:r>
      <w:r w:rsidRPr="008828BA">
        <w:rPr>
          <w:rFonts w:ascii="Calibri" w:hAnsi="Calibri" w:cs="Calibri"/>
          <w:noProof/>
        </w:rPr>
        <w:tab/>
        <w:t>von und zur Mühlen ML. Life and Death: Cell Wall Antibiotic killing of Staphylococcus aureus [Internet]. The University of Sheffield; 2019. Available from: http://etheses.whiterose.ac.uk/26028/</w:t>
      </w:r>
    </w:p>
    <w:p w14:paraId="00B1F71D"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72. </w:t>
      </w:r>
      <w:r w:rsidRPr="008828BA">
        <w:rPr>
          <w:rFonts w:ascii="Calibri" w:hAnsi="Calibri" w:cs="Calibri"/>
          <w:noProof/>
        </w:rPr>
        <w:tab/>
        <w:t xml:space="preserve">Fabret C, Hoch JA. A two-component signal transduction system essential for growth of Bacillus subtilis: Implications for anti-infective therapy. Journal of Bacteriology. 1998;180(23):6375–83. </w:t>
      </w:r>
    </w:p>
    <w:p w14:paraId="4661D52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73. </w:t>
      </w:r>
      <w:r w:rsidRPr="008828BA">
        <w:rPr>
          <w:rFonts w:ascii="Calibri" w:hAnsi="Calibri" w:cs="Calibri"/>
          <w:noProof/>
        </w:rPr>
        <w:tab/>
        <w:t xml:space="preserve">Fabret C, Feher VA, Hoch JA. Two-component signal transduction in Bacillus subtilis: How one organism sees its world. Journal of Bacteriology. 1999;181(7):1975–83. </w:t>
      </w:r>
    </w:p>
    <w:p w14:paraId="323BD752"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74. </w:t>
      </w:r>
      <w:r w:rsidRPr="008828BA">
        <w:rPr>
          <w:rFonts w:ascii="Calibri" w:hAnsi="Calibri" w:cs="Calibri"/>
          <w:noProof/>
        </w:rPr>
        <w:tab/>
        <w:t xml:space="preserve">Dubrac S, Msadek T. Identification of Genes Controlled by the Essential YycG/YycF Two-Component System of Staphylococcus aureus. Journal of Bacteriology. 2004;186(4):1175–81. </w:t>
      </w:r>
    </w:p>
    <w:p w14:paraId="3CC03E07"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75. </w:t>
      </w:r>
      <w:r w:rsidRPr="008828BA">
        <w:rPr>
          <w:rFonts w:ascii="Calibri" w:hAnsi="Calibri" w:cs="Calibri"/>
          <w:noProof/>
        </w:rPr>
        <w:tab/>
        <w:t xml:space="preserve">Dubrac S, Boneca IG, Poupel O, Msadek T. New insights into the WalK/WalR (YycG/YycF) essential signal transduction pathway reveal a major role in controlling cell wall metabolism and biofilm formation in Staphylococcus aureus. Journal of Bacteriology. 2007;189(22):8257–69. </w:t>
      </w:r>
    </w:p>
    <w:p w14:paraId="36187932" w14:textId="77777777" w:rsidR="008828BA" w:rsidRPr="00AA0383" w:rsidRDefault="008828BA" w:rsidP="008828BA">
      <w:pPr>
        <w:widowControl w:val="0"/>
        <w:autoSpaceDE w:val="0"/>
        <w:autoSpaceDN w:val="0"/>
        <w:adjustRightInd w:val="0"/>
        <w:spacing w:before="0" w:after="360" w:line="240" w:lineRule="auto"/>
        <w:ind w:left="640" w:hanging="640"/>
        <w:rPr>
          <w:rFonts w:ascii="Calibri" w:hAnsi="Calibri" w:cs="Calibri"/>
          <w:noProof/>
          <w:lang w:val="es-ES"/>
        </w:rPr>
      </w:pPr>
      <w:r w:rsidRPr="008828BA">
        <w:rPr>
          <w:rFonts w:ascii="Calibri" w:hAnsi="Calibri" w:cs="Calibri"/>
          <w:noProof/>
        </w:rPr>
        <w:t xml:space="preserve">76. </w:t>
      </w:r>
      <w:r w:rsidRPr="008828BA">
        <w:rPr>
          <w:rFonts w:ascii="Calibri" w:hAnsi="Calibri" w:cs="Calibri"/>
          <w:noProof/>
        </w:rPr>
        <w:tab/>
        <w:t xml:space="preserve">Dubrac S, Bisicchia P, Devine KM, Msadek T. A matter of life and death: Cell wall </w:t>
      </w:r>
      <w:r w:rsidRPr="008828BA">
        <w:rPr>
          <w:rFonts w:ascii="Calibri" w:hAnsi="Calibri" w:cs="Calibri"/>
          <w:noProof/>
        </w:rPr>
        <w:lastRenderedPageBreak/>
        <w:t xml:space="preserve">homeostasis and the WalKR (YycGF) essential signal transduction pathway. </w:t>
      </w:r>
      <w:r w:rsidRPr="00AA0383">
        <w:rPr>
          <w:rFonts w:ascii="Calibri" w:hAnsi="Calibri" w:cs="Calibri"/>
          <w:noProof/>
          <w:lang w:val="es-ES"/>
        </w:rPr>
        <w:t xml:space="preserve">Molecular Microbiology. 2008;70(6):1307–22. </w:t>
      </w:r>
    </w:p>
    <w:p w14:paraId="63EE4728"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AA0383">
        <w:rPr>
          <w:rFonts w:ascii="Calibri" w:hAnsi="Calibri" w:cs="Calibri"/>
          <w:noProof/>
          <w:lang w:val="es-ES"/>
        </w:rPr>
        <w:t xml:space="preserve">77. </w:t>
      </w:r>
      <w:r w:rsidRPr="00AA0383">
        <w:rPr>
          <w:rFonts w:ascii="Calibri" w:hAnsi="Calibri" w:cs="Calibri"/>
          <w:noProof/>
          <w:lang w:val="es-ES"/>
        </w:rPr>
        <w:tab/>
        <w:t xml:space="preserve">Delauné A, Dubrac S, Blanchet C, Poupel O, Mäder U, Hiron A, et al. </w:t>
      </w:r>
      <w:r w:rsidRPr="008828BA">
        <w:rPr>
          <w:rFonts w:ascii="Calibri" w:hAnsi="Calibri" w:cs="Calibri"/>
          <w:noProof/>
        </w:rPr>
        <w:t xml:space="preserve">The WalKR system controls major staphylococcal virulence genes and is involved in triggering the host inflammatory response. Infection and Immunity. 2012;80(10):3438–53. </w:t>
      </w:r>
    </w:p>
    <w:p w14:paraId="472CBB1F"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78. </w:t>
      </w:r>
      <w:r w:rsidRPr="008828BA">
        <w:rPr>
          <w:rFonts w:ascii="Calibri" w:hAnsi="Calibri" w:cs="Calibri"/>
          <w:noProof/>
        </w:rPr>
        <w:tab/>
        <w:t xml:space="preserve">Delaune A, Poupel O, Mallet A, Coic YM, Msadek T, Dubrac S. Peptidoglycan crosslinking relaxation plays an important role in staphylococcus aureus walkr-dependent cell viability. PLoS ONE. 2011;6(2). </w:t>
      </w:r>
    </w:p>
    <w:p w14:paraId="1A137C31"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79. </w:t>
      </w:r>
      <w:r w:rsidRPr="008828BA">
        <w:rPr>
          <w:rFonts w:ascii="Calibri" w:hAnsi="Calibri" w:cs="Calibri"/>
          <w:noProof/>
        </w:rPr>
        <w:tab/>
        <w:t xml:space="preserve">Xia G, Kohler T, Peschel A. The wall teichoic acid and lipoteichoic acid polymers of Staphylococcus aureus. International Journal of Medical Microbiology. 2010;300(2–3):148–54. </w:t>
      </w:r>
    </w:p>
    <w:p w14:paraId="789014CD"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80. </w:t>
      </w:r>
      <w:r w:rsidRPr="008828BA">
        <w:rPr>
          <w:rFonts w:ascii="Calibri" w:hAnsi="Calibri" w:cs="Calibri"/>
          <w:noProof/>
        </w:rPr>
        <w:tab/>
        <w:t xml:space="preserve">van der Es D, Hogendorf WFJ, Overkleeft HS, van der Marel GA, Codée JDC. Teichoic acids: synthesis and applications. Chem Soc Rev. 2017;46(5):1464–82. </w:t>
      </w:r>
    </w:p>
    <w:p w14:paraId="4A7AF4BB"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81. </w:t>
      </w:r>
      <w:r w:rsidRPr="008828BA">
        <w:rPr>
          <w:rFonts w:ascii="Calibri" w:hAnsi="Calibri" w:cs="Calibri"/>
          <w:noProof/>
        </w:rPr>
        <w:tab/>
        <w:t xml:space="preserve">Fischer W, Mannsfeld T, Hagen G. On the basic structure of poly(glycerophosphate) lipoteichoic acids. Biochemistry and Cell Biology. 1990;68(1):33–43. </w:t>
      </w:r>
    </w:p>
    <w:p w14:paraId="6A0B984D"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82. </w:t>
      </w:r>
      <w:r w:rsidRPr="008828BA">
        <w:rPr>
          <w:rFonts w:ascii="Calibri" w:hAnsi="Calibri" w:cs="Calibri"/>
          <w:noProof/>
        </w:rPr>
        <w:tab/>
        <w:t xml:space="preserve">Fischer W. Bacterial Phosphoglycolipids and Lipoteichoic Acids. In: Kates M, editor. Handbook of Lipid Research. Boston, MA: Springer US; 1990. p. 123–234. </w:t>
      </w:r>
    </w:p>
    <w:p w14:paraId="59DEB12A"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83. </w:t>
      </w:r>
      <w:r w:rsidRPr="008828BA">
        <w:rPr>
          <w:rFonts w:ascii="Calibri" w:hAnsi="Calibri" w:cs="Calibri"/>
          <w:noProof/>
        </w:rPr>
        <w:tab/>
        <w:t xml:space="preserve">Naumova IB, Shashkov AS, Tul’skaya EM, Streshinskaya GM, Kozlova YI, Potekhina N V, et al. Cell wall teichoic acids : structural diversity , species speci ¢ city in the genus Nocardiopsis , and chemotaxonomic perspective. FEMS Microbiology Reviews. 2001;25(April):269–83. </w:t>
      </w:r>
    </w:p>
    <w:p w14:paraId="4F3F876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84. </w:t>
      </w:r>
      <w:r w:rsidRPr="008828BA">
        <w:rPr>
          <w:rFonts w:ascii="Calibri" w:hAnsi="Calibri" w:cs="Calibri"/>
          <w:noProof/>
        </w:rPr>
        <w:tab/>
        <w:t xml:space="preserve">Percy MG, Grundling A. Lipoteichoic Acid Synthesis and Function in Gram-Positive Bacteria. Annual Review of Microbiology. 2014;68:81–100. </w:t>
      </w:r>
    </w:p>
    <w:p w14:paraId="53395606"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85. </w:t>
      </w:r>
      <w:r w:rsidRPr="008828BA">
        <w:rPr>
          <w:rFonts w:ascii="Calibri" w:hAnsi="Calibri" w:cs="Calibri"/>
          <w:noProof/>
        </w:rPr>
        <w:tab/>
        <w:t xml:space="preserve">Neuhaus FC, Baddiley J. A Continuum of Anionic Charge: Structures and Functions of D- Alanyl- Teichoic Acids in Gram- Positive Bacteria. Microbiology and Molecular Biology Reviews. 2003;67(4):686. </w:t>
      </w:r>
    </w:p>
    <w:p w14:paraId="59A6107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86. </w:t>
      </w:r>
      <w:r w:rsidRPr="008828BA">
        <w:rPr>
          <w:rFonts w:ascii="Calibri" w:hAnsi="Calibri" w:cs="Calibri"/>
          <w:noProof/>
        </w:rPr>
        <w:tab/>
        <w:t xml:space="preserve">Brown S, Santa Maria JP, Walker S. Wall Teichoic Acids of Gram-Positive Bacteria. Annual Review of Microbiology. 2013;67(1):313–36. </w:t>
      </w:r>
    </w:p>
    <w:p w14:paraId="52D1F7A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87. </w:t>
      </w:r>
      <w:r w:rsidRPr="008828BA">
        <w:rPr>
          <w:rFonts w:ascii="Calibri" w:hAnsi="Calibri" w:cs="Calibri"/>
          <w:noProof/>
        </w:rPr>
        <w:tab/>
        <w:t xml:space="preserve">Lambert PA, Hancock IC, Baddiley J. The interaction of magnesium ions with teichoic acid. Biochemical Journal. 1975;149(3):519–24. </w:t>
      </w:r>
    </w:p>
    <w:p w14:paraId="5C1770E7"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88. </w:t>
      </w:r>
      <w:r w:rsidRPr="008828BA">
        <w:rPr>
          <w:rFonts w:ascii="Calibri" w:hAnsi="Calibri" w:cs="Calibri"/>
          <w:noProof/>
        </w:rPr>
        <w:tab/>
        <w:t xml:space="preserve">Erickson HP. How bacterial cell division might cheat turgor pressure – a unified mechanism of septal division in Gram-positive and Gram-negative bacteria. Vol. 39, BioEssays. 2017. p. 1–10. </w:t>
      </w:r>
    </w:p>
    <w:p w14:paraId="0A532B95"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lastRenderedPageBreak/>
        <w:t xml:space="preserve">89. </w:t>
      </w:r>
      <w:r w:rsidRPr="008828BA">
        <w:rPr>
          <w:rFonts w:ascii="Calibri" w:hAnsi="Calibri" w:cs="Calibri"/>
          <w:noProof/>
        </w:rPr>
        <w:tab/>
        <w:t xml:space="preserve">Weidenmaier C, Peschel A. Teichoic acids and related cell-wall glycopolymers in Gram-positive physiology and host interactions. Nature Reviews Microbiology. 2008;6(4):276–87. </w:t>
      </w:r>
    </w:p>
    <w:p w14:paraId="33BBA88E"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90. </w:t>
      </w:r>
      <w:r w:rsidRPr="008828BA">
        <w:rPr>
          <w:rFonts w:ascii="Calibri" w:hAnsi="Calibri" w:cs="Calibri"/>
          <w:noProof/>
        </w:rPr>
        <w:tab/>
        <w:t xml:space="preserve">Fabretti F, Theilacker C, Baldassarri L, Kaczynski Z, Kropec A, Holst O, et al. Alanine esters of enterococcal lipoteichoic acid play a role in biofilm formation and resistance to antimicrobial peptides. Infection and Immunity. 2006;74(7):4164–71. </w:t>
      </w:r>
    </w:p>
    <w:p w14:paraId="413E169E"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91. </w:t>
      </w:r>
      <w:r w:rsidRPr="008828BA">
        <w:rPr>
          <w:rFonts w:ascii="Calibri" w:hAnsi="Calibri" w:cs="Calibri"/>
          <w:noProof/>
        </w:rPr>
        <w:tab/>
        <w:t xml:space="preserve">Oku Y, Kurokawa K, Matsuo M, Yamada S, Lee BL, Sekimizu K. Pleiotropic roles of polyglycerolphosphate synthase of lipoteichoic acid in growth of Staphylococcus aureus cells. Journal of Bacteriology. 2009;91(1):141–51. </w:t>
      </w:r>
    </w:p>
    <w:p w14:paraId="05F68CB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92. </w:t>
      </w:r>
      <w:r w:rsidRPr="008828BA">
        <w:rPr>
          <w:rFonts w:ascii="Calibri" w:hAnsi="Calibri" w:cs="Calibri"/>
          <w:noProof/>
        </w:rPr>
        <w:tab/>
        <w:t xml:space="preserve">Schirner K, Marles-Wright J, Lewis RJ, Errington J. Distinct and essential morphogenic functions for wall- and lipo-teichoic acids in Bacillus subtilis. EMBO Journal. 2009;28(7):830–42. </w:t>
      </w:r>
    </w:p>
    <w:p w14:paraId="5E81B9E6"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93. </w:t>
      </w:r>
      <w:r w:rsidRPr="008828BA">
        <w:rPr>
          <w:rFonts w:ascii="Calibri" w:hAnsi="Calibri" w:cs="Calibri"/>
          <w:noProof/>
        </w:rPr>
        <w:tab/>
        <w:t xml:space="preserve">Endl J, Seidl HP, Fiedler F, Schleider KH. Chemical composition and structure of cell wall teichoic acids of staphylococci. Archives of Microbiology. 1983;135(3):215–23. </w:t>
      </w:r>
    </w:p>
    <w:p w14:paraId="31C58FD6"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94. </w:t>
      </w:r>
      <w:r w:rsidRPr="008828BA">
        <w:rPr>
          <w:rFonts w:ascii="Calibri" w:hAnsi="Calibri" w:cs="Calibri"/>
          <w:noProof/>
        </w:rPr>
        <w:tab/>
        <w:t xml:space="preserve">Vinogradov E, Sadovskaya I, Li J, Jabbouri S. Structural elucidation of the extracellular and cell-wall teichoic acids of Staphylococcus aureus MN8m, a biofilm forming strain. Carbohydrate Research. 2006;341(6):738–43. </w:t>
      </w:r>
    </w:p>
    <w:p w14:paraId="032BD212"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95. </w:t>
      </w:r>
      <w:r w:rsidRPr="008828BA">
        <w:rPr>
          <w:rFonts w:ascii="Calibri" w:hAnsi="Calibri" w:cs="Calibri"/>
          <w:noProof/>
        </w:rPr>
        <w:tab/>
        <w:t xml:space="preserve">Sanderson AR, Strominger JL, NAathenson SG. Chemical structure of teichoic acid from Staphylococcus aureus, strain Copenhagen. The Journal of biological chemistry. 1962 Dec 1;237(12):3603–13. </w:t>
      </w:r>
    </w:p>
    <w:p w14:paraId="4326C166"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96. </w:t>
      </w:r>
      <w:r w:rsidRPr="008828BA">
        <w:rPr>
          <w:rFonts w:ascii="Calibri" w:hAnsi="Calibri" w:cs="Calibri"/>
          <w:noProof/>
        </w:rPr>
        <w:tab/>
        <w:t xml:space="preserve">Brown S, Zhang YH, Walker S. A Revised Pathway Proposed for Staphylococcus aureus Wall Teichoic Acid Biosynthesis Based on In Vitro Reconstitution of the Intracellular Steps. Chemistry and Biology. 2008;15(1):12–21. </w:t>
      </w:r>
    </w:p>
    <w:p w14:paraId="40D63D2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97. </w:t>
      </w:r>
      <w:r w:rsidRPr="008828BA">
        <w:rPr>
          <w:rFonts w:ascii="Calibri" w:hAnsi="Calibri" w:cs="Calibri"/>
          <w:noProof/>
        </w:rPr>
        <w:tab/>
        <w:t xml:space="preserve">Araki Y, Ito E. Linkage units in cell walls of gram-positive bacteria. Critical Reviews in Microbiology. 1989;17(2):121–35. </w:t>
      </w:r>
    </w:p>
    <w:p w14:paraId="75F3C1A6"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98. </w:t>
      </w:r>
      <w:r w:rsidRPr="008828BA">
        <w:rPr>
          <w:rFonts w:ascii="Calibri" w:hAnsi="Calibri" w:cs="Calibri"/>
          <w:noProof/>
        </w:rPr>
        <w:tab/>
        <w:t xml:space="preserve">Schade J, Weidenmaier C. Cell wall glycopolymers of Firmicutes and their role as nonprotein adhesins. FEBS Letters. 2016;590(21):3758–71. </w:t>
      </w:r>
    </w:p>
    <w:p w14:paraId="2358F305"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99. </w:t>
      </w:r>
      <w:r w:rsidRPr="008828BA">
        <w:rPr>
          <w:rFonts w:ascii="Calibri" w:hAnsi="Calibri" w:cs="Calibri"/>
          <w:noProof/>
        </w:rPr>
        <w:tab/>
        <w:t xml:space="preserve">Grundling A, Schneewind O. Synthesis of glycerol phosphate lipoteichoic acid in Staphylococcus aureus. Proceedings of the National Academy of Sciences. 2007;104(20):8478–83. </w:t>
      </w:r>
    </w:p>
    <w:p w14:paraId="266FC815"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100. </w:t>
      </w:r>
      <w:r w:rsidRPr="008828BA">
        <w:rPr>
          <w:rFonts w:ascii="Calibri" w:hAnsi="Calibri" w:cs="Calibri"/>
          <w:noProof/>
        </w:rPr>
        <w:tab/>
        <w:t xml:space="preserve">Peschel A, Otto M, Jack RW, Kalbacher H, Jung G, Götz F. Inactivation of the dlt operon in Staphylococcus aureus confers sensitivity to defensins, protegrins, and other antimicrobial peptides. The Journal of Biological Chemistry. 1999;274(13):8405–10. </w:t>
      </w:r>
    </w:p>
    <w:p w14:paraId="295B892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101. </w:t>
      </w:r>
      <w:r w:rsidRPr="008828BA">
        <w:rPr>
          <w:rFonts w:ascii="Calibri" w:hAnsi="Calibri" w:cs="Calibri"/>
          <w:noProof/>
        </w:rPr>
        <w:tab/>
        <w:t xml:space="preserve">Collins LV, Kristian SA, Weidenmaier C, Faigle M, van Kessel KPM, van Strijp JAG, et al. </w:t>
      </w:r>
      <w:r w:rsidRPr="008828BA">
        <w:rPr>
          <w:rFonts w:ascii="Calibri" w:hAnsi="Calibri" w:cs="Calibri"/>
          <w:noProof/>
        </w:rPr>
        <w:lastRenderedPageBreak/>
        <w:t xml:space="preserve">Staphylococcus aureus Strains Lacking D‐Alanine Modifications of Teichoic Acids Are Highly Susceptible to Human Neutrophil Killing and Are Virulence Attenuated in Mice. The Journal of Infectious Diseases. 2002;186(2):214–9. </w:t>
      </w:r>
    </w:p>
    <w:p w14:paraId="37A84CA5"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102. </w:t>
      </w:r>
      <w:r w:rsidRPr="008828BA">
        <w:rPr>
          <w:rFonts w:ascii="Calibri" w:hAnsi="Calibri" w:cs="Calibri"/>
          <w:noProof/>
        </w:rPr>
        <w:tab/>
        <w:t xml:space="preserve">Koprivnjak T, Peschel A, Gelb MH, Liang NS, Weiss JP. Role of charge properties of bacterial envelope in bactericidal action of human Group IIA phospholipase A2 against Staphylococcus aureus. Journal of Biological Chemistry. 2002;277(49):47636–44. </w:t>
      </w:r>
    </w:p>
    <w:p w14:paraId="4E911C6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103. </w:t>
      </w:r>
      <w:r w:rsidRPr="008828BA">
        <w:rPr>
          <w:rFonts w:ascii="Calibri" w:hAnsi="Calibri" w:cs="Calibri"/>
          <w:noProof/>
        </w:rPr>
        <w:tab/>
        <w:t xml:space="preserve">Weidenmaier C, Peschel A, Xiong Y, Kristian SA, Dietz K, Yeaman MR, et al. Lack of Wall Teichoic Acids in Staphylococcus aureus Leads to Reduced Interactions with Endothelial Cells and to Attenuated Virulence in a Rabbit Model of Endocarditis. The Journal of Infectious Diseases. 2005;191(10):1771–7. </w:t>
      </w:r>
    </w:p>
    <w:p w14:paraId="2FFA5ED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104. </w:t>
      </w:r>
      <w:r w:rsidRPr="008828BA">
        <w:rPr>
          <w:rFonts w:ascii="Calibri" w:hAnsi="Calibri" w:cs="Calibri"/>
          <w:noProof/>
        </w:rPr>
        <w:tab/>
        <w:t xml:space="preserve">Peschel A, Vuong C, Otto M, Genetics M. The D -Alanine Residues of Staphylococcus aureus Teichoic Acids Alter the Susceptibility to Vancomycin and the Activity of Autolytic Enzymes. 2000;44(10):2845–7. </w:t>
      </w:r>
    </w:p>
    <w:p w14:paraId="33149739"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105. </w:t>
      </w:r>
      <w:r w:rsidRPr="008828BA">
        <w:rPr>
          <w:rFonts w:ascii="Calibri" w:hAnsi="Calibri" w:cs="Calibri"/>
          <w:noProof/>
        </w:rPr>
        <w:tab/>
        <w:t xml:space="preserve">Bera A, Biswas R, Herbert S, Kulauzovic E, Weidenmaier C, Peschel A, et al. Influence of wall teichoic acid on lysozyme resistance in Staphylococcus aureus. Journal of Bacteriology. 2007;189(1):280–3. </w:t>
      </w:r>
    </w:p>
    <w:p w14:paraId="37FA45FE"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106. </w:t>
      </w:r>
      <w:r w:rsidRPr="008828BA">
        <w:rPr>
          <w:rFonts w:ascii="Calibri" w:hAnsi="Calibri" w:cs="Calibri"/>
          <w:noProof/>
        </w:rPr>
        <w:tab/>
        <w:t xml:space="preserve">Kohler T, Weidenmaier C, Peschel A. Wall teichoic acid protects Staphylococcus aureus against antimicrobial fatty acids from human skin. Journal of Bacteriology. 2009;191(13):4482–4. </w:t>
      </w:r>
    </w:p>
    <w:p w14:paraId="175BE469"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107. </w:t>
      </w:r>
      <w:r w:rsidRPr="008828BA">
        <w:rPr>
          <w:rFonts w:ascii="Calibri" w:hAnsi="Calibri" w:cs="Calibri"/>
          <w:noProof/>
        </w:rPr>
        <w:tab/>
        <w:t xml:space="preserve">Hoover DG, Gray RJ. Function of cell wall teichoic acid in thermally injured Staphylococcus aureus. Journal of Bacteriology. 1977; </w:t>
      </w:r>
    </w:p>
    <w:p w14:paraId="3B566065"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108. </w:t>
      </w:r>
      <w:r w:rsidRPr="008828BA">
        <w:rPr>
          <w:rFonts w:ascii="Calibri" w:hAnsi="Calibri" w:cs="Calibri"/>
          <w:noProof/>
        </w:rPr>
        <w:tab/>
        <w:t xml:space="preserve">Vergara-Irigaray M, Maira-Litrán T, Merino N, Pier GB, Penadés JR, Lasa I. Wall teichoic acids are dispensable for anchoring the PNAG exopolysaccharide to the Staphylococcus aureus cell surface. Microbiology. 2008;154(3):865–77. </w:t>
      </w:r>
    </w:p>
    <w:p w14:paraId="7BBCCAC5"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109. </w:t>
      </w:r>
      <w:r w:rsidRPr="008828BA">
        <w:rPr>
          <w:rFonts w:ascii="Calibri" w:hAnsi="Calibri" w:cs="Calibri"/>
          <w:noProof/>
        </w:rPr>
        <w:tab/>
        <w:t xml:space="preserve">Bierbaum G, Sahl HG. Induction of autolysis of staphylococci by the basic peptide antibiotics Pep 5 and nisin and their influence on the activity of autolytic enzymes. Archives of Microbiology. 1985;141(3):249–54. </w:t>
      </w:r>
    </w:p>
    <w:p w14:paraId="14BBDDBB"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110. </w:t>
      </w:r>
      <w:r w:rsidRPr="008828BA">
        <w:rPr>
          <w:rFonts w:ascii="Calibri" w:hAnsi="Calibri" w:cs="Calibri"/>
          <w:noProof/>
        </w:rPr>
        <w:tab/>
        <w:t xml:space="preserve">Fedtke I, Mader D, Kohler T, Moll H, Nicholson G, Biswas R, et al. A Staphylococcus aureus ypfP mutant with strongly reduced lipoteichoic acid (LTA) content: LTA governs bacterial surface properties and autolysin activity. Molecular Microbiology. 2007;65(4):1078–91. </w:t>
      </w:r>
    </w:p>
    <w:p w14:paraId="063613A6"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111. </w:t>
      </w:r>
      <w:r w:rsidRPr="008828BA">
        <w:rPr>
          <w:rFonts w:ascii="Calibri" w:hAnsi="Calibri" w:cs="Calibri"/>
          <w:noProof/>
        </w:rPr>
        <w:tab/>
        <w:t xml:space="preserve">Qamar A, Golemi-Kotra D. Dual roles of FmtA in Staphylococcus aureus cell wall biosynthesis and autolysis. Antimicrobial Agents and Chemotherapy. 2012;56(7):3797–805. </w:t>
      </w:r>
    </w:p>
    <w:p w14:paraId="639C6A12"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112. </w:t>
      </w:r>
      <w:r w:rsidRPr="008828BA">
        <w:rPr>
          <w:rFonts w:ascii="Calibri" w:hAnsi="Calibri" w:cs="Calibri"/>
          <w:noProof/>
        </w:rPr>
        <w:tab/>
        <w:t xml:space="preserve">Weidenmaier C, Kokai-Kun JF, Kristian SA, Chanturiya T, Kalbacher H, Gross M, et al. Role of teichoic acids in Staphylococcus aureus nasal colonization, a major risk factor in </w:t>
      </w:r>
      <w:r w:rsidRPr="008828BA">
        <w:rPr>
          <w:rFonts w:ascii="Calibri" w:hAnsi="Calibri" w:cs="Calibri"/>
          <w:noProof/>
        </w:rPr>
        <w:lastRenderedPageBreak/>
        <w:t xml:space="preserve">nosocomial infections. Nature Medicine. 2004;10(3):243–5. </w:t>
      </w:r>
    </w:p>
    <w:p w14:paraId="029E192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113. </w:t>
      </w:r>
      <w:r w:rsidRPr="008828BA">
        <w:rPr>
          <w:rFonts w:ascii="Calibri" w:hAnsi="Calibri" w:cs="Calibri"/>
          <w:noProof/>
        </w:rPr>
        <w:tab/>
        <w:t xml:space="preserve">Weidenmaier C, Kokai-Kun JF, Kulauzovic E, Kohler T, Thumm G, Stoll H, et al. Differential roles of sortase-anchored surface proteins and wall teichoic acid in Staphylococcus aureus nasal colonization. International Journal of Medical Microbiology. 2008;298(5–6):505–13. </w:t>
      </w:r>
    </w:p>
    <w:p w14:paraId="06385E4B"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114. </w:t>
      </w:r>
      <w:r w:rsidRPr="008828BA">
        <w:rPr>
          <w:rFonts w:ascii="Calibri" w:hAnsi="Calibri" w:cs="Calibri"/>
          <w:noProof/>
        </w:rPr>
        <w:tab/>
        <w:t xml:space="preserve">Greenberg JW, Fischer W, Joiner KA. Influence of Lipoteichoic Acid Structure on Recognition by the Macrophage Scavenger Receptor. Microbiology. 1996;64(8):3318–25. </w:t>
      </w:r>
    </w:p>
    <w:p w14:paraId="3B86044B"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115. </w:t>
      </w:r>
      <w:r w:rsidRPr="008828BA">
        <w:rPr>
          <w:rFonts w:ascii="Calibri" w:hAnsi="Calibri" w:cs="Calibri"/>
          <w:noProof/>
        </w:rPr>
        <w:tab/>
        <w:t xml:space="preserve">Dunne DW, Resnick D, Greenberg J, Krieger M, Joiner KA. The type I macrophage scavenger receptor binds to gram-positive bacteria and recognizes lipoteichoic acid. Proceedings of the National Academy of Sciences of the United States of America. 1994;91(5):1863–7. </w:t>
      </w:r>
    </w:p>
    <w:p w14:paraId="1F5F7FB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116. </w:t>
      </w:r>
      <w:r w:rsidRPr="008828BA">
        <w:rPr>
          <w:rFonts w:ascii="Calibri" w:hAnsi="Calibri" w:cs="Calibri"/>
          <w:noProof/>
        </w:rPr>
        <w:tab/>
        <w:t xml:space="preserve">Baur S, Rautenberg M, Faulstich M, Grau T, Severin Y, Unger C, et al. A Nasal Epithelial Receptor for Staphylococcus aureus WTA Governs Adhesion to Epithelial Cells and Modulates Nasal Colonization. PLoS Pathogens. 2014;10(5):1–13. </w:t>
      </w:r>
    </w:p>
    <w:p w14:paraId="2DB2545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117. </w:t>
      </w:r>
      <w:r w:rsidRPr="008828BA">
        <w:rPr>
          <w:rFonts w:ascii="Calibri" w:hAnsi="Calibri" w:cs="Calibri"/>
          <w:noProof/>
        </w:rPr>
        <w:tab/>
        <w:t xml:space="preserve">Polotsky VY, Fischer W, Ezekowitz RAB, Joiner KA. Interactions of human mannose-binding protein with lipoteichoic acids. Infection and Immunity. 1996;64(1):380–3. </w:t>
      </w:r>
    </w:p>
    <w:p w14:paraId="2D593E95"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118. </w:t>
      </w:r>
      <w:r w:rsidRPr="008828BA">
        <w:rPr>
          <w:rFonts w:ascii="Calibri" w:hAnsi="Calibri" w:cs="Calibri"/>
          <w:noProof/>
        </w:rPr>
        <w:tab/>
        <w:t xml:space="preserve">Lynch NJ, Roscher S, Hartung T, Morath S, Matsushita M, Maennel DN, et al. L-Ficolin Specifically Binds to Lipoteichoic Acid, a Cell Wall Constituent of Gram-Positive Bacteria, and Activates the Lectin Pathway of Complement. The Journal of Immunology. 2004;172(2):1198–202. </w:t>
      </w:r>
    </w:p>
    <w:p w14:paraId="53C29279"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119. </w:t>
      </w:r>
      <w:r w:rsidRPr="008828BA">
        <w:rPr>
          <w:rFonts w:ascii="Calibri" w:hAnsi="Calibri" w:cs="Calibri"/>
          <w:noProof/>
        </w:rPr>
        <w:tab/>
        <w:t xml:space="preserve">Nahid AM, Sugii S. Binding of porcine ficolin-α to lipopolysaccharides from Gram-negative bacteria and lipoteichoic acids from Gram-positive bacteria. Developmental and Comparative Immunology. 2006;30(3):335–43. </w:t>
      </w:r>
    </w:p>
    <w:p w14:paraId="6A7A1C92"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120. </w:t>
      </w:r>
      <w:r w:rsidRPr="008828BA">
        <w:rPr>
          <w:rFonts w:ascii="Calibri" w:hAnsi="Calibri" w:cs="Calibri"/>
          <w:noProof/>
        </w:rPr>
        <w:tab/>
        <w:t xml:space="preserve">Park KH, Kurokawa K, Zheng L, Jung DJ, Tateishi K, Jin JO, et al. Human serum mannose-binding lectin senses wall teichoic acid glycopolymer of Staphylococcus aureus, which is restricted in infancy. Journal of Biological Chemistry. 2010;285(35):27167–75. </w:t>
      </w:r>
    </w:p>
    <w:p w14:paraId="69A70D77"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121. </w:t>
      </w:r>
      <w:r w:rsidRPr="008828BA">
        <w:rPr>
          <w:rFonts w:ascii="Calibri" w:hAnsi="Calibri" w:cs="Calibri"/>
          <w:noProof/>
        </w:rPr>
        <w:tab/>
        <w:t xml:space="preserve">Morath S. Structure-Function Relationship of Cytokine Induction by Lipoteichoic Acid from Staphylococcus aureus. Journal of Experimental Medicine. 2001;193(3):393–8. </w:t>
      </w:r>
    </w:p>
    <w:p w14:paraId="48BC74CF"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122. </w:t>
      </w:r>
      <w:r w:rsidRPr="008828BA">
        <w:rPr>
          <w:rFonts w:ascii="Calibri" w:hAnsi="Calibri" w:cs="Calibri"/>
          <w:noProof/>
        </w:rPr>
        <w:tab/>
        <w:t xml:space="preserve">Morath S, Stadelmaier A, Geyer A, Schmidt RR, Hartung T. Synthetic Lipoteichoic Acid from Staphylococcus aureus Is a Potent Stimulus of Cytokine Release. The Journal of Experimental Medicine. 2002;195(12):1635–40. </w:t>
      </w:r>
    </w:p>
    <w:p w14:paraId="00D9F63B"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123. </w:t>
      </w:r>
      <w:r w:rsidRPr="008828BA">
        <w:rPr>
          <w:rFonts w:ascii="Calibri" w:hAnsi="Calibri" w:cs="Calibri"/>
          <w:noProof/>
        </w:rPr>
        <w:tab/>
        <w:t xml:space="preserve">Hermann C, Spreitzer I, Schröder NWJ, Morath S, Lehner MD, Fischer W, et al. Cytokine induction by purified lipoteichoic acids from various bacterial species - Role of LBP, sCD14, CD14 and failure to induce IL-12 and subsequent IFN-γ release. European Journal of Immunology. 2002;32(2):541–51. </w:t>
      </w:r>
    </w:p>
    <w:p w14:paraId="44C7DE6B"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lastRenderedPageBreak/>
        <w:t xml:space="preserve">124. </w:t>
      </w:r>
      <w:r w:rsidRPr="008828BA">
        <w:rPr>
          <w:rFonts w:ascii="Calibri" w:hAnsi="Calibri" w:cs="Calibri"/>
          <w:noProof/>
        </w:rPr>
        <w:tab/>
        <w:t xml:space="preserve">Hoebe K, Georgel P, Rutschmann S, Du X, Mudd S, Crozat K, et al. CD36 is a sensor of diacylglycerides. Nature. 2005;433(7025):523–7. </w:t>
      </w:r>
    </w:p>
    <w:p w14:paraId="42AC966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125. </w:t>
      </w:r>
      <w:r w:rsidRPr="008828BA">
        <w:rPr>
          <w:rFonts w:ascii="Calibri" w:hAnsi="Calibri" w:cs="Calibri"/>
          <w:noProof/>
        </w:rPr>
        <w:tab/>
        <w:t xml:space="preserve">Draing C, Sigel S, Deininger S, Traub S, Munke R, Mayer C, et al. Cytokine induction by Gram-positive bacteria. Immunobiology. 2008;213(3–4):285–96. </w:t>
      </w:r>
    </w:p>
    <w:p w14:paraId="72139395"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126. </w:t>
      </w:r>
      <w:r w:rsidRPr="008828BA">
        <w:rPr>
          <w:rFonts w:ascii="Calibri" w:hAnsi="Calibri" w:cs="Calibri"/>
          <w:noProof/>
        </w:rPr>
        <w:tab/>
        <w:t xml:space="preserve">van Dalen R, Diaz JS d. la C, Rumpret M, Fuchsberger FF, van Teijlingen NH, Hanske J, et al. Langerhans cells sense Staphylococcus aureus wall teichoic acid through langerin to induce inflammatory responses. Gründling A, Msadek T, editors. mBio. 2019 Jun 25;10(3). </w:t>
      </w:r>
    </w:p>
    <w:p w14:paraId="7411BFF9"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127. </w:t>
      </w:r>
      <w:r w:rsidRPr="008828BA">
        <w:rPr>
          <w:rFonts w:ascii="Calibri" w:hAnsi="Calibri" w:cs="Calibri"/>
          <w:noProof/>
        </w:rPr>
        <w:tab/>
        <w:t xml:space="preserve">Mnich ME, van Dalen R, Gerlach D, Hendriks A, Xia G, Peschel A, et al. The C-type lectin receptor MGL senses N-acetylgalactosamine on the unique Staphylococcus aureus ST395 wall teichoic acid. Cellular Microbiology. 2019;21(10):13072. </w:t>
      </w:r>
    </w:p>
    <w:p w14:paraId="67FEB59B"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128. </w:t>
      </w:r>
      <w:r w:rsidRPr="008828BA">
        <w:rPr>
          <w:rFonts w:ascii="Calibri" w:hAnsi="Calibri" w:cs="Calibri"/>
          <w:noProof/>
        </w:rPr>
        <w:tab/>
        <w:t xml:space="preserve">Chatterjee AN. Use of Bacteriophage-resistant Mutants to Study the Nature of the Bacteriophage Receptor Site of Staphylococcus aureus Use of Bacteriophage-resistant Mutants to Study the Nature of the Bacteriophage Receptor Site of Staphylococcus aureus. 1969;98(2):519–27. </w:t>
      </w:r>
    </w:p>
    <w:p w14:paraId="3189E8C8"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129. </w:t>
      </w:r>
      <w:r w:rsidRPr="008828BA">
        <w:rPr>
          <w:rFonts w:ascii="Calibri" w:hAnsi="Calibri" w:cs="Calibri"/>
          <w:noProof/>
        </w:rPr>
        <w:tab/>
        <w:t xml:space="preserve">Park JT, Shaw DRD, Chatterjee AN, Mirelman D, Wu T. Mutants of Staphylococci With Altered Cell Walls. Annals of the New York Academy of Sciences. 1974;236(1):54–62. </w:t>
      </w:r>
    </w:p>
    <w:p w14:paraId="12B40299"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130. </w:t>
      </w:r>
      <w:r w:rsidRPr="008828BA">
        <w:rPr>
          <w:rFonts w:ascii="Calibri" w:hAnsi="Calibri" w:cs="Calibri"/>
          <w:noProof/>
        </w:rPr>
        <w:tab/>
        <w:t xml:space="preserve">Chapot-Chartier MP. Interactions of the cell-wall glycopolymers of lactic acid bacteria with their bacteriophages. Frontiers in Microbiology. 2014;5(MAY):1–10. </w:t>
      </w:r>
    </w:p>
    <w:p w14:paraId="1ED45511"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131. </w:t>
      </w:r>
      <w:r w:rsidRPr="008828BA">
        <w:rPr>
          <w:rFonts w:ascii="Calibri" w:hAnsi="Calibri" w:cs="Calibri"/>
          <w:noProof/>
        </w:rPr>
        <w:tab/>
        <w:t xml:space="preserve">Gross M, Cramton SE, Götz F, Peschel A. Key Role of Teichoic Acid Net Charge in Staphylococcus aureus Colonization of Artificial Surfaces Key Role of Teichoic Acid Net Charge in Staphylococcus aureus Colonization of Artificial Surfaces. Infection and Immunity. 2001;69(5):3423–2426. </w:t>
      </w:r>
    </w:p>
    <w:p w14:paraId="52D02A77"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132. </w:t>
      </w:r>
      <w:r w:rsidRPr="008828BA">
        <w:rPr>
          <w:rFonts w:ascii="Calibri" w:hAnsi="Calibri" w:cs="Calibri"/>
          <w:noProof/>
        </w:rPr>
        <w:tab/>
        <w:t xml:space="preserve">Soldo B, Lazarevic V, Karamata D. tagO is involved in the synthesis of all anionic cell-wall polymers in Bacillus subtilis 168. Microbiology (Reading, England). 2002;148(Pt 7):2079–87. </w:t>
      </w:r>
    </w:p>
    <w:p w14:paraId="16FA0767"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133. </w:t>
      </w:r>
      <w:r w:rsidRPr="008828BA">
        <w:rPr>
          <w:rFonts w:ascii="Calibri" w:hAnsi="Calibri" w:cs="Calibri"/>
          <w:noProof/>
        </w:rPr>
        <w:tab/>
        <w:t xml:space="preserve">Watkinson RJ, Hussey H, Baddiley J. Shared lipid phosphate carrier in the biosynthesis of teichoic acid and peptidoglycan. Nature New Biology. 1971 Jan 13;229(2):57–9. </w:t>
      </w:r>
    </w:p>
    <w:p w14:paraId="10FAAAAD"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134. </w:t>
      </w:r>
      <w:r w:rsidRPr="008828BA">
        <w:rPr>
          <w:rFonts w:ascii="Calibri" w:hAnsi="Calibri" w:cs="Calibri"/>
          <w:noProof/>
        </w:rPr>
        <w:tab/>
        <w:t xml:space="preserve">Winstel V, Xia G, Peschel A. Pathways and roles of wall teichoic acid glycosylation in Staphylococcus aureus. International Journal of Medical Microbiology. 2014;304(3–4):215–21. </w:t>
      </w:r>
    </w:p>
    <w:p w14:paraId="7B72616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135. </w:t>
      </w:r>
      <w:r w:rsidRPr="008828BA">
        <w:rPr>
          <w:rFonts w:ascii="Calibri" w:hAnsi="Calibri" w:cs="Calibri"/>
          <w:noProof/>
        </w:rPr>
        <w:tab/>
        <w:t xml:space="preserve">Mistretta N, Brossaud M, Telles F, Sanchez V, Talaga P, Rokbi B. Glycosylation of Staphylococcus aureus cell wall teichoic acid is influenced by environmental conditions. Scientific Reports. 2019 Mar 1;9(1):1–11. </w:t>
      </w:r>
    </w:p>
    <w:p w14:paraId="6E105D6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136. </w:t>
      </w:r>
      <w:r w:rsidRPr="008828BA">
        <w:rPr>
          <w:rFonts w:ascii="Calibri" w:hAnsi="Calibri" w:cs="Calibri"/>
          <w:noProof/>
        </w:rPr>
        <w:tab/>
        <w:t xml:space="preserve">Dengler V, Meier PS, Heusser R, Kupferschmied P, Fazekas J, Friebe S, et al. Deletion of </w:t>
      </w:r>
      <w:r w:rsidRPr="008828BA">
        <w:rPr>
          <w:rFonts w:ascii="Calibri" w:hAnsi="Calibri" w:cs="Calibri"/>
          <w:noProof/>
        </w:rPr>
        <w:lastRenderedPageBreak/>
        <w:t xml:space="preserve">hypothetical wall teichoic acid ligases in Staphylococcus aureus activates the cell wall stress response. FEMS Microbiology Letters. 2012;333(2):109–20. </w:t>
      </w:r>
    </w:p>
    <w:p w14:paraId="04DB1082"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137. </w:t>
      </w:r>
      <w:r w:rsidRPr="008828BA">
        <w:rPr>
          <w:rFonts w:ascii="Calibri" w:hAnsi="Calibri" w:cs="Calibri"/>
          <w:noProof/>
        </w:rPr>
        <w:tab/>
        <w:t xml:space="preserve">Hübscher J, McCallum N, Sifri CD, Majcherczyk PA, Entenza JM, Heusser R, et al. MsrR contributes to cell surface characteristics and virulence in Staphylococcus aureus. FEMS Microbiology Letters. 2009;295(2):251–60. </w:t>
      </w:r>
    </w:p>
    <w:p w14:paraId="6314FC9A"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138. </w:t>
      </w:r>
      <w:r w:rsidRPr="008828BA">
        <w:rPr>
          <w:rFonts w:ascii="Calibri" w:hAnsi="Calibri" w:cs="Calibri"/>
          <w:noProof/>
        </w:rPr>
        <w:tab/>
        <w:t xml:space="preserve">Over B, Heusser R, Mccallum N, Schulthess B, Kupferschmied P, Gaiani JM, et al. LytR-CpsA-Psr proteins in Staphylococcus aureus display partial functional redundancy and the deletion of all three severely impairs septum placement and cell separation. FEMS Microbiology Letters. 2011;320(2):142–51. </w:t>
      </w:r>
    </w:p>
    <w:p w14:paraId="372B94AF"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139. </w:t>
      </w:r>
      <w:r w:rsidRPr="008828BA">
        <w:rPr>
          <w:rFonts w:ascii="Calibri" w:hAnsi="Calibri" w:cs="Calibri"/>
          <w:noProof/>
        </w:rPr>
        <w:tab/>
        <w:t xml:space="preserve">Stefanović C, Hager FF, Schäffer C. Lytr-cpsa-psr glycopolymer transferases: Essential bricks in gram-positive bacterial cell wall assembly. International Journal of Molecular Sciences. 2021 Jan 18;22(2):1–34. </w:t>
      </w:r>
    </w:p>
    <w:p w14:paraId="1DF3D744"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140. </w:t>
      </w:r>
      <w:r w:rsidRPr="008828BA">
        <w:rPr>
          <w:rFonts w:ascii="Calibri" w:hAnsi="Calibri" w:cs="Calibri"/>
          <w:noProof/>
        </w:rPr>
        <w:tab/>
        <w:t xml:space="preserve">Schaefer K, Owens TW, Kahne D, Walker S. Substrate Preferences Establish the Order of Cell Wall Assembly in Staphylococcus aureus. Journal of the American Chemical Society. 2018;140(7):2442–5. </w:t>
      </w:r>
    </w:p>
    <w:p w14:paraId="2E960F71"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141. </w:t>
      </w:r>
      <w:r w:rsidRPr="008828BA">
        <w:rPr>
          <w:rFonts w:ascii="Calibri" w:hAnsi="Calibri" w:cs="Calibri"/>
          <w:noProof/>
        </w:rPr>
        <w:tab/>
        <w:t xml:space="preserve">Schneewind O, Missiakas D. Lipoteichoic acids, phosphate-containing polymers in the envelope of gram-positive bacteria. Journal of Bacteriology. 2014;196(6):1133–42. </w:t>
      </w:r>
    </w:p>
    <w:p w14:paraId="4DDB1D52"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142. </w:t>
      </w:r>
      <w:r w:rsidRPr="008828BA">
        <w:rPr>
          <w:rFonts w:ascii="Calibri" w:hAnsi="Calibri" w:cs="Calibri"/>
          <w:noProof/>
        </w:rPr>
        <w:tab/>
        <w:t xml:space="preserve">Weidenmaier C, Kokai-Kun JF, Kristian SA, Chanturiya T, Kalbacher H, Gross M, et al. Role of teichoic acids in Staphylococcus aureus nasal colonization, a major risk factor in nosocomial infections. Nature Medicine. 2004;10(3):243–5. </w:t>
      </w:r>
    </w:p>
    <w:p w14:paraId="6A00A04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143. </w:t>
      </w:r>
      <w:r w:rsidRPr="008828BA">
        <w:rPr>
          <w:rFonts w:ascii="Calibri" w:hAnsi="Calibri" w:cs="Calibri"/>
          <w:noProof/>
        </w:rPr>
        <w:tab/>
        <w:t xml:space="preserve">D’Elia MA, Pereira MP, Chung YS, Zhao W, Chau A, Kenney TJ, et al. Lesions in teichoic acid biosynthesis in Staphylococcus aureus lead to a lethal gain of function in the otherwise dispensable pathway. Journal of Bacteriology. 2006;188(12):4183–9. </w:t>
      </w:r>
    </w:p>
    <w:p w14:paraId="3511238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144. </w:t>
      </w:r>
      <w:r w:rsidRPr="008828BA">
        <w:rPr>
          <w:rFonts w:ascii="Calibri" w:hAnsi="Calibri" w:cs="Calibri"/>
          <w:noProof/>
        </w:rPr>
        <w:tab/>
        <w:t xml:space="preserve">Campbell J, Singh AK, Swoboda JG, Gilmore MS, Wilkinson BJ, Walker S. An antibiotic that inhibits a late step in wall teichoic acid biosynthesis induces the cell wall stress stimulon in Staphylococcus aureus. Antimicrobial Agents and Chemotherapy. 2012;56(4):1810–20. </w:t>
      </w:r>
    </w:p>
    <w:p w14:paraId="6D8BB452"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145. </w:t>
      </w:r>
      <w:r w:rsidRPr="008828BA">
        <w:rPr>
          <w:rFonts w:ascii="Calibri" w:hAnsi="Calibri" w:cs="Calibri"/>
          <w:noProof/>
        </w:rPr>
        <w:tab/>
        <w:t xml:space="preserve">Fischer W. Physiology of Lipoteichoic Acids in Bacteria. Advances in Microbial Physiology. 1988 Jan 1;29(C):233–302. </w:t>
      </w:r>
    </w:p>
    <w:p w14:paraId="2391B14A"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146. </w:t>
      </w:r>
      <w:r w:rsidRPr="008828BA">
        <w:rPr>
          <w:rFonts w:ascii="Calibri" w:hAnsi="Calibri" w:cs="Calibri"/>
          <w:noProof/>
        </w:rPr>
        <w:tab/>
        <w:t xml:space="preserve">Koch HU, Haas R, Fischer W. The role of lipoteichoic acid biosynthesis in membrane lipid metabolism of growing Staphylococcus aureus. European Journal of Biochemistry. 1984;138(2):357–63. </w:t>
      </w:r>
    </w:p>
    <w:p w14:paraId="274B3555"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147. </w:t>
      </w:r>
      <w:r w:rsidRPr="008828BA">
        <w:rPr>
          <w:rFonts w:ascii="Calibri" w:hAnsi="Calibri" w:cs="Calibri"/>
          <w:noProof/>
        </w:rPr>
        <w:tab/>
        <w:t xml:space="preserve">Wicken AJ, Knox KW. Lipoteichoic acids: A new class of bacterial antigen. Science. 1975;187(4182):1161–7. </w:t>
      </w:r>
    </w:p>
    <w:p w14:paraId="0B49C25E"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148. </w:t>
      </w:r>
      <w:r w:rsidRPr="008828BA">
        <w:rPr>
          <w:rFonts w:ascii="Calibri" w:hAnsi="Calibri" w:cs="Calibri"/>
          <w:noProof/>
        </w:rPr>
        <w:tab/>
        <w:t xml:space="preserve">Reichmann NT, Gründling A. Location, synthesis and function of glycolipids and </w:t>
      </w:r>
      <w:r w:rsidRPr="008828BA">
        <w:rPr>
          <w:rFonts w:ascii="Calibri" w:hAnsi="Calibri" w:cs="Calibri"/>
          <w:noProof/>
        </w:rPr>
        <w:lastRenderedPageBreak/>
        <w:t xml:space="preserve">polyglycerolphosphate lipoteichoic acid in Gram-positive bacteria of the phylum Firmicutes. FEMS Microbiology Letters. 2011;319(2):97–105. </w:t>
      </w:r>
    </w:p>
    <w:p w14:paraId="27B2446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149. </w:t>
      </w:r>
      <w:r w:rsidRPr="008828BA">
        <w:rPr>
          <w:rFonts w:ascii="Calibri" w:hAnsi="Calibri" w:cs="Calibri"/>
          <w:noProof/>
        </w:rPr>
        <w:tab/>
        <w:t xml:space="preserve">Heaton MP, Neuhaus FC. Biosynthesis of D-alanyl-lipoteichoic acid: Cloning, nucleotide sequence, and expression of the Lactobacillus casei gene for the D-alanine-activating enzyme. Journal of Bacteriology. 1992;174(14):4707–17. </w:t>
      </w:r>
    </w:p>
    <w:p w14:paraId="7CF5E18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150. </w:t>
      </w:r>
      <w:r w:rsidRPr="008828BA">
        <w:rPr>
          <w:rFonts w:ascii="Calibri" w:hAnsi="Calibri" w:cs="Calibri"/>
          <w:noProof/>
        </w:rPr>
        <w:tab/>
        <w:t xml:space="preserve">Perego M, Glaser P, Minutello A, Strauch MA, Leopold K, Fischer W. Incorporation of D-alanine into lipoteichoic acid and wall teichoic acid in Bacillus subtilis: Identification of genes and regulation. Journal of Biological Chemistry. 1995 Jun 30;270(26):15598–606. </w:t>
      </w:r>
    </w:p>
    <w:p w14:paraId="7FD8E867"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151. </w:t>
      </w:r>
      <w:r w:rsidRPr="008828BA">
        <w:rPr>
          <w:rFonts w:ascii="Calibri" w:hAnsi="Calibri" w:cs="Calibri"/>
          <w:noProof/>
        </w:rPr>
        <w:tab/>
        <w:t xml:space="preserve">Fischer W. Lipoteichoic acid and lipids in the membrane of Staphylococcus aureus. Medical Microbiology and Immunology. 1994;183(2):61–76. </w:t>
      </w:r>
    </w:p>
    <w:p w14:paraId="3F58AFD4"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152. </w:t>
      </w:r>
      <w:r w:rsidRPr="008828BA">
        <w:rPr>
          <w:rFonts w:ascii="Calibri" w:hAnsi="Calibri" w:cs="Calibri"/>
          <w:noProof/>
        </w:rPr>
        <w:tab/>
        <w:t xml:space="preserve">Reichmann NT, Cassona CP, Gründling A. Revised mechanism of D-alanine incorporation into cell wall polymers in Gram-positive bacteria. Microbiology (United Kingdom). 2013 Sep;159(PART 9):1868–77. </w:t>
      </w:r>
    </w:p>
    <w:p w14:paraId="485E2DF5"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153. </w:t>
      </w:r>
      <w:r w:rsidRPr="008828BA">
        <w:rPr>
          <w:rFonts w:ascii="Calibri" w:hAnsi="Calibri" w:cs="Calibri"/>
          <w:noProof/>
        </w:rPr>
        <w:tab/>
        <w:t xml:space="preserve">Ronald Archibald A, Baddiley J, Heptinstall S. The alanine ester content and magnesium binding capacity of walls of Staphylococcus aureus H grown at different pH values. BBA - Biomembranes. 1973; </w:t>
      </w:r>
    </w:p>
    <w:p w14:paraId="6015F6F4"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154. </w:t>
      </w:r>
      <w:r w:rsidRPr="008828BA">
        <w:rPr>
          <w:rFonts w:ascii="Calibri" w:hAnsi="Calibri" w:cs="Calibri"/>
          <w:noProof/>
        </w:rPr>
        <w:tab/>
        <w:t xml:space="preserve">Karinou E, Schuster CF, Pazos M, Vollmer W, Gründling A. Inactivation of the monofunctional peptidoglycan glycosyltransferase sgtb allows staphylococcus aureus to survive in the absence of lipoteichoic acid. Journal of Bacteriology. 2019;201(1):e00574-18. </w:t>
      </w:r>
    </w:p>
    <w:p w14:paraId="45AFDE82"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155. </w:t>
      </w:r>
      <w:r w:rsidRPr="008828BA">
        <w:rPr>
          <w:rFonts w:ascii="Calibri" w:hAnsi="Calibri" w:cs="Calibri"/>
          <w:noProof/>
        </w:rPr>
        <w:tab/>
        <w:t xml:space="preserve">Bowman L, Zeden MS, Schuster CF, Kaever V, Gründling A. New insights into the cyclic di-adenosine monophosphate (c-di-AMP) degradation pathway and the requirement of the cyclic dinucleotide for acid stress resistance in Staphylococcus aureu. Journal of Biological Chemistry. 2016;291(53):26970–86. </w:t>
      </w:r>
    </w:p>
    <w:p w14:paraId="06F80256"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156. </w:t>
      </w:r>
      <w:r w:rsidRPr="008828BA">
        <w:rPr>
          <w:rFonts w:ascii="Calibri" w:hAnsi="Calibri" w:cs="Calibri"/>
          <w:noProof/>
        </w:rPr>
        <w:tab/>
        <w:t xml:space="preserve">Griffiths JM, O’Neill AJ. Loss of function of the GdpP protein leads to joint β-lactam/ glycopeptide tolerance in Staphylococcus aureus. Antimicrobial Agents and Chemotherapy. 2012 Jan;56(1):579–81. </w:t>
      </w:r>
    </w:p>
    <w:p w14:paraId="737E604D"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157. </w:t>
      </w:r>
      <w:r w:rsidRPr="008828BA">
        <w:rPr>
          <w:rFonts w:ascii="Calibri" w:hAnsi="Calibri" w:cs="Calibri"/>
          <w:noProof/>
        </w:rPr>
        <w:tab/>
        <w:t xml:space="preserve">Dengler V, McCallum N, Kiefer P, Christen P, Patrignani A, Vorholt JA, et al. Mutation in the C-Di-AMP Cyclase dacA Affects Fitness and Resistance of Methicillin Resistant Staphylococcus aureus. PLoS ONE. 2013 Aug 27;8(8):e73512. </w:t>
      </w:r>
    </w:p>
    <w:p w14:paraId="5241599D"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158. </w:t>
      </w:r>
      <w:r w:rsidRPr="008828BA">
        <w:rPr>
          <w:rFonts w:ascii="Calibri" w:hAnsi="Calibri" w:cs="Calibri"/>
          <w:noProof/>
        </w:rPr>
        <w:tab/>
        <w:t xml:space="preserve">Corrigan RM, Campeotto I, Jeganathan T, Roelofs KG, Lee VT, Gründling A. Systematic identifi cation of conserved bacterial c-di-AMP receptor proteins. PNAS. 2013;110(22):9084–9. </w:t>
      </w:r>
    </w:p>
    <w:p w14:paraId="3017CEC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159. </w:t>
      </w:r>
      <w:r w:rsidRPr="008828BA">
        <w:rPr>
          <w:rFonts w:ascii="Calibri" w:hAnsi="Calibri" w:cs="Calibri"/>
          <w:noProof/>
        </w:rPr>
        <w:tab/>
        <w:t xml:space="preserve">Bæk KT, Bowman L, Millership C, Søgaard D, Kaever V, Siljamäki P, et al. The Cell Wall Polymer Lipoteichoic Acid Becomes Nonessential in Staphylococcus aureus Cells Lacking </w:t>
      </w:r>
      <w:r w:rsidRPr="008828BA">
        <w:rPr>
          <w:rFonts w:ascii="Calibri" w:hAnsi="Calibri" w:cs="Calibri"/>
          <w:noProof/>
        </w:rPr>
        <w:lastRenderedPageBreak/>
        <w:t xml:space="preserve">the ClpX Chaperone Kristoffer. mBio. 2016;7(4):1–11. </w:t>
      </w:r>
    </w:p>
    <w:p w14:paraId="1C63791D"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160. </w:t>
      </w:r>
      <w:r w:rsidRPr="008828BA">
        <w:rPr>
          <w:rFonts w:ascii="Calibri" w:hAnsi="Calibri" w:cs="Calibri"/>
          <w:noProof/>
        </w:rPr>
        <w:tab/>
        <w:t xml:space="preserve">Donegan NP, Cheung AL. Regulation of the mazEF toxin-antitoxin module in Staphylococcus aureus and its impact on sigB expression. Journal of Bacteriology. 2009 Apr;191(8):2795–805. </w:t>
      </w:r>
    </w:p>
    <w:p w14:paraId="2F2A0D7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161. </w:t>
      </w:r>
      <w:r w:rsidRPr="008828BA">
        <w:rPr>
          <w:rFonts w:ascii="Calibri" w:hAnsi="Calibri" w:cs="Calibri"/>
          <w:noProof/>
        </w:rPr>
        <w:tab/>
        <w:t xml:space="preserve">Morikawa K, Maruyama A, Inose Y, Higashide M, Hayashi H, Ohta T. Overexpression of sigma factor, σB, urges Staphylococcus aureus to thicken the cell wall and to resist β-lactams. Biochemical and Biophysical Research Communications. 2001 Oct 26;288(2):385–9. </w:t>
      </w:r>
    </w:p>
    <w:p w14:paraId="7B52CC4A"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162. </w:t>
      </w:r>
      <w:r w:rsidRPr="008828BA">
        <w:rPr>
          <w:rFonts w:ascii="Calibri" w:hAnsi="Calibri" w:cs="Calibri"/>
          <w:noProof/>
        </w:rPr>
        <w:tab/>
        <w:t xml:space="preserve">Koch AL. The Biophysics of the Gram-Negative Periplasmic Space. Critical Reviews in Microbiology. 1998;24(1):23–59. </w:t>
      </w:r>
    </w:p>
    <w:p w14:paraId="32743915"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163. </w:t>
      </w:r>
      <w:r w:rsidRPr="008828BA">
        <w:rPr>
          <w:rFonts w:ascii="Calibri" w:hAnsi="Calibri" w:cs="Calibri"/>
          <w:noProof/>
        </w:rPr>
        <w:tab/>
        <w:t xml:space="preserve">Matias VRF, Beveridge TJ. Cryo-Transmission Electron Microscopy of Vitreous Sections of Gram-Positive Bacteria. Microscopy and Microanalysis. 2004;10(Supplementary Information 2):2003–5. </w:t>
      </w:r>
    </w:p>
    <w:p w14:paraId="2FBE9A65"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164. </w:t>
      </w:r>
      <w:r w:rsidRPr="008828BA">
        <w:rPr>
          <w:rFonts w:ascii="Calibri" w:hAnsi="Calibri" w:cs="Calibri"/>
          <w:noProof/>
        </w:rPr>
        <w:tab/>
        <w:t xml:space="preserve">Matias VRF, Beveridge TJ. Cryo-electron microscopy reveals native polymeric cell wall structure in Bacillus subtilis 168 and the existence of a periplasmic space. Molecular Microbiology. 2005;56(1):240–51. </w:t>
      </w:r>
    </w:p>
    <w:p w14:paraId="3E35DE45"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165. </w:t>
      </w:r>
      <w:r w:rsidRPr="008828BA">
        <w:rPr>
          <w:rFonts w:ascii="Calibri" w:hAnsi="Calibri" w:cs="Calibri"/>
          <w:noProof/>
        </w:rPr>
        <w:tab/>
        <w:t xml:space="preserve">Matias VRF, Al-amoudi A, Dubochet J, Beveridge TJ. Cryo-Transmission Electron Microscopy of Frozen-Hydrated Sections of Escherichia coli and Pseudomonas aeruginosa Cryo-Transmission Electron Microscopy of Frozen-Hydrated Sections of Escherichia coli and Pseudomonas aeruginosa. Journal of Bacteriology. 2003;185(20):6112–8. </w:t>
      </w:r>
    </w:p>
    <w:p w14:paraId="339CE525"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166. </w:t>
      </w:r>
      <w:r w:rsidRPr="008828BA">
        <w:rPr>
          <w:rFonts w:ascii="Calibri" w:hAnsi="Calibri" w:cs="Calibri"/>
          <w:noProof/>
        </w:rPr>
        <w:tab/>
        <w:t xml:space="preserve">Erickson HP. How Teichoic Acids Could Support a Periplasm in Gram-Positive Bacteria, and Let Cell Division Cheat Turgor Pressure. Frontiers in Microbiology. 2021;12(May):1–11. </w:t>
      </w:r>
    </w:p>
    <w:p w14:paraId="250F7B62"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167. </w:t>
      </w:r>
      <w:r w:rsidRPr="008828BA">
        <w:rPr>
          <w:rFonts w:ascii="Calibri" w:hAnsi="Calibri" w:cs="Calibri"/>
          <w:noProof/>
        </w:rPr>
        <w:tab/>
        <w:t xml:space="preserve">Kennedy EP. Osmotic regulation and the biosynthesis of membrane derived oligosaccharides in Escherichia coli. Proceedings of the National Academy of Sciences of the United States of America. 1982;79(4 I):1092–5. </w:t>
      </w:r>
    </w:p>
    <w:p w14:paraId="5DFD2841"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168. </w:t>
      </w:r>
      <w:r w:rsidRPr="008828BA">
        <w:rPr>
          <w:rFonts w:ascii="Calibri" w:hAnsi="Calibri" w:cs="Calibri"/>
          <w:noProof/>
        </w:rPr>
        <w:tab/>
        <w:t xml:space="preserve">Bontemps-Gallo S, Bohin J-P, Lacroix J-M. Osmoregulated Periplasmic Glucans. EcoSal Plus. 2017 Apr 25;7(2). </w:t>
      </w:r>
    </w:p>
    <w:p w14:paraId="53FE34A8"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169. </w:t>
      </w:r>
      <w:r w:rsidRPr="008828BA">
        <w:rPr>
          <w:rFonts w:ascii="Calibri" w:hAnsi="Calibri" w:cs="Calibri"/>
          <w:noProof/>
        </w:rPr>
        <w:tab/>
        <w:t xml:space="preserve">Cayley DS, Guttman HJ, Record MT. Biophysical characterization of changes in amounts and activity of Escherichia coli cell and compartment water and turgor pressure in response to osmotic stress. Biophysical Journal. 2000;78(4):1748–64. </w:t>
      </w:r>
    </w:p>
    <w:p w14:paraId="5A36F236"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170. </w:t>
      </w:r>
      <w:r w:rsidRPr="008828BA">
        <w:rPr>
          <w:rFonts w:ascii="Calibri" w:hAnsi="Calibri" w:cs="Calibri"/>
          <w:noProof/>
        </w:rPr>
        <w:tab/>
        <w:t xml:space="preserve">Osawa M, Erickson HP. Turgor pressure and possible constriction mechanisms in bacterial division. Vol. 9, Frontiers in Microbiology. Frontiers Media S.A.; 2018. p. 111. </w:t>
      </w:r>
    </w:p>
    <w:p w14:paraId="08F6F20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171. </w:t>
      </w:r>
      <w:r w:rsidRPr="008828BA">
        <w:rPr>
          <w:rFonts w:ascii="Calibri" w:hAnsi="Calibri" w:cs="Calibri"/>
          <w:noProof/>
        </w:rPr>
        <w:tab/>
        <w:t xml:space="preserve">Hata T, Matsumae A, Nomura S, Kim T, Ryan K. Study of new antifungal antibiotic. Japanese Journal of Bacteriology. 1960;15:1075–6. </w:t>
      </w:r>
    </w:p>
    <w:p w14:paraId="04AF2241"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lastRenderedPageBreak/>
        <w:t xml:space="preserve">172. </w:t>
      </w:r>
      <w:r w:rsidRPr="008828BA">
        <w:rPr>
          <w:rFonts w:ascii="Calibri" w:hAnsi="Calibri" w:cs="Calibri"/>
          <w:noProof/>
        </w:rPr>
        <w:tab/>
        <w:t xml:space="preserve">Vance D, Goldberg I, Mitsuhashi O, Bloch K, Omura S, Nomura S. Inhibition of fatty acid synthetases by the antibiotic cerulenin. Biochemical and Biophysical Research Communications. 1972 Aug 7;48(3):649–56. </w:t>
      </w:r>
    </w:p>
    <w:p w14:paraId="4DC1BDD4"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173. </w:t>
      </w:r>
      <w:r w:rsidRPr="008828BA">
        <w:rPr>
          <w:rFonts w:ascii="Calibri" w:hAnsi="Calibri" w:cs="Calibri"/>
          <w:noProof/>
        </w:rPr>
        <w:tab/>
        <w:t xml:space="preserve">Omura S. The antibiotic cerulenin, a novel tool for biochemistry as an inhibitor of fatty acid synthesis. Vol. 40, Bacteriological Reviews. American Society for Microbiology (ASM); 1976. p. 681–97. </w:t>
      </w:r>
    </w:p>
    <w:p w14:paraId="1C9C39E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174. </w:t>
      </w:r>
      <w:r w:rsidRPr="008828BA">
        <w:rPr>
          <w:rFonts w:ascii="Calibri" w:hAnsi="Calibri" w:cs="Calibri"/>
          <w:noProof/>
        </w:rPr>
        <w:tab/>
        <w:t xml:space="preserve">Adhikari RP, Novick RP. Subinhibitory cerulenin inhibits staphylococcal exoprotein production by blocking transcription rather than by blocking secretion. Microbiology. 2005;151(9):3059–69. </w:t>
      </w:r>
    </w:p>
    <w:p w14:paraId="3066C649"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175. </w:t>
      </w:r>
      <w:r w:rsidRPr="008828BA">
        <w:rPr>
          <w:rFonts w:ascii="Calibri" w:hAnsi="Calibri" w:cs="Calibri"/>
          <w:noProof/>
        </w:rPr>
        <w:tab/>
        <w:t xml:space="preserve">Rebets Y, Lupoli T, Qiao Y, Schirner K, Villet R, Hooper D, et al. Moenomycin resistance mutations in Staphylococcus aureus reduce peptidoglycan chain length and cause aberrant cell division. ACS Chemical Biology. 2014;9(2):459–67. </w:t>
      </w:r>
    </w:p>
    <w:p w14:paraId="71D1B728"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176. </w:t>
      </w:r>
      <w:r w:rsidRPr="008828BA">
        <w:rPr>
          <w:rFonts w:ascii="Calibri" w:hAnsi="Calibri" w:cs="Calibri"/>
          <w:noProof/>
        </w:rPr>
        <w:tab/>
        <w:t xml:space="preserve">Ostash B, Walker S. Moenomycin family antibiotics: chemical synthesis, biosynthesis, and biological activity. Natural Products Reports. 2010;27(11):1594–617. </w:t>
      </w:r>
    </w:p>
    <w:p w14:paraId="156C752A"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177. </w:t>
      </w:r>
      <w:r w:rsidRPr="008828BA">
        <w:rPr>
          <w:rFonts w:ascii="Calibri" w:hAnsi="Calibri" w:cs="Calibri"/>
          <w:noProof/>
        </w:rPr>
        <w:tab/>
        <w:t xml:space="preserve">Lovering AL, De Castro LH, Lim D, Strynadka NCJ. Structural insight into the transglycosylation step of bacterial cell-wall biosynthesis. Science. 2007 Mar 9;315(5817):1402–5. </w:t>
      </w:r>
    </w:p>
    <w:p w14:paraId="7CD79B01"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178. </w:t>
      </w:r>
      <w:r w:rsidRPr="008828BA">
        <w:rPr>
          <w:rFonts w:ascii="Calibri" w:hAnsi="Calibri" w:cs="Calibri"/>
          <w:noProof/>
        </w:rPr>
        <w:tab/>
        <w:t xml:space="preserve">Schneider T, Sahl HG. An oldie but a goodie - cell wall biosynthesis as antibiotic target pathway. International Journal of Medical Microbiology. 2010;300(2–3):161–9. </w:t>
      </w:r>
    </w:p>
    <w:p w14:paraId="766271E4"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179. </w:t>
      </w:r>
      <w:r w:rsidRPr="008828BA">
        <w:rPr>
          <w:rFonts w:ascii="Calibri" w:hAnsi="Calibri" w:cs="Calibri"/>
          <w:noProof/>
        </w:rPr>
        <w:tab/>
        <w:t xml:space="preserve">Fisher JF, Mobashery S. β-Lactams against the Fortress of the Gram-Positive Staphylococcus aureus Bacterium. Chemical Reviews. 2021; </w:t>
      </w:r>
    </w:p>
    <w:p w14:paraId="39B833D6"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180. </w:t>
      </w:r>
      <w:r w:rsidRPr="008828BA">
        <w:rPr>
          <w:rFonts w:ascii="Calibri" w:hAnsi="Calibri" w:cs="Calibri"/>
          <w:noProof/>
        </w:rPr>
        <w:tab/>
        <w:t xml:space="preserve">Fleming A. On the antibacterial action of cultures of a penicillium, with special reference to their use in the isolation of B. influenzae. British journal of experimental pathology. 1929;10(3):226–36. </w:t>
      </w:r>
    </w:p>
    <w:p w14:paraId="6AA963E5"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181. </w:t>
      </w:r>
      <w:r w:rsidRPr="008828BA">
        <w:rPr>
          <w:rFonts w:ascii="Calibri" w:hAnsi="Calibri" w:cs="Calibri"/>
          <w:noProof/>
        </w:rPr>
        <w:tab/>
        <w:t xml:space="preserve">Tipper DJ, Strominger JL. Mechanism of action of penicillins: a proposal based on their structural similarity to acyl-D-alanyl-D-alanine. Proceedings of the National Academy of Sciences of the United States of America. 1965;54(4):1133–41. </w:t>
      </w:r>
    </w:p>
    <w:p w14:paraId="7F6A2925"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182. </w:t>
      </w:r>
      <w:r w:rsidRPr="008828BA">
        <w:rPr>
          <w:rFonts w:ascii="Calibri" w:hAnsi="Calibri" w:cs="Calibri"/>
          <w:noProof/>
        </w:rPr>
        <w:tab/>
        <w:t xml:space="preserve">Wise EM, Park JT. Penicillin: its basic site of action as an inhibitor of a peptide cross-linking reaction in cell wall mucopeptide synthesis. Proceedings of the National Academy of Sciences of the United States of America. 1965;54(1):75–81. </w:t>
      </w:r>
    </w:p>
    <w:p w14:paraId="26B9724B"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183. </w:t>
      </w:r>
      <w:r w:rsidRPr="008828BA">
        <w:rPr>
          <w:rFonts w:ascii="Calibri" w:hAnsi="Calibri" w:cs="Calibri"/>
          <w:noProof/>
        </w:rPr>
        <w:tab/>
        <w:t xml:space="preserve">Rammelkamp CH, Maxon T. Resistance of Staphylococcus aureus&gt; to the Action of Penicillin. Proceedings of the Society for Experimental Biology and Medicine. 1942 Nov 9;51(3):386–9. </w:t>
      </w:r>
    </w:p>
    <w:p w14:paraId="336278D8"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184. </w:t>
      </w:r>
      <w:r w:rsidRPr="008828BA">
        <w:rPr>
          <w:rFonts w:ascii="Calibri" w:hAnsi="Calibri" w:cs="Calibri"/>
          <w:noProof/>
        </w:rPr>
        <w:tab/>
        <w:t xml:space="preserve">Sabath LD. Mechanisms of resistance to beta-lactam antibiotics in strains of </w:t>
      </w:r>
      <w:r w:rsidRPr="008828BA">
        <w:rPr>
          <w:rFonts w:ascii="Calibri" w:hAnsi="Calibri" w:cs="Calibri"/>
          <w:noProof/>
        </w:rPr>
        <w:lastRenderedPageBreak/>
        <w:t xml:space="preserve">Staphylococcus aureus. Annals of Internal Medicine. 1982;97(3):339–44. </w:t>
      </w:r>
    </w:p>
    <w:p w14:paraId="63C2C8E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185. </w:t>
      </w:r>
      <w:r w:rsidRPr="008828BA">
        <w:rPr>
          <w:rFonts w:ascii="Calibri" w:hAnsi="Calibri" w:cs="Calibri"/>
          <w:noProof/>
        </w:rPr>
        <w:tab/>
        <w:t xml:space="preserve">Barber M. Methicillin-resistant staphylococci. Journal of clinical pathology. 1961;14:385–93. </w:t>
      </w:r>
    </w:p>
    <w:p w14:paraId="42A1A52D"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186. </w:t>
      </w:r>
      <w:r w:rsidRPr="008828BA">
        <w:rPr>
          <w:rFonts w:ascii="Calibri" w:hAnsi="Calibri" w:cs="Calibri"/>
          <w:noProof/>
        </w:rPr>
        <w:tab/>
        <w:t xml:space="preserve">Jevons MP. “Celbenin” - resistant Staphylococci. British Medical Journal. 1961;1:124–5. </w:t>
      </w:r>
    </w:p>
    <w:p w14:paraId="4E4A7ABA"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187. </w:t>
      </w:r>
      <w:r w:rsidRPr="008828BA">
        <w:rPr>
          <w:rFonts w:ascii="Calibri" w:hAnsi="Calibri" w:cs="Calibri"/>
          <w:noProof/>
        </w:rPr>
        <w:tab/>
        <w:t xml:space="preserve">Rolinson GN. “Celbenin” - resistant Staphylococci. British Medical Journal. 1961;1:125. </w:t>
      </w:r>
    </w:p>
    <w:p w14:paraId="1A530112"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188. </w:t>
      </w:r>
      <w:r w:rsidRPr="008828BA">
        <w:rPr>
          <w:rFonts w:ascii="Calibri" w:hAnsi="Calibri" w:cs="Calibri"/>
          <w:noProof/>
        </w:rPr>
        <w:tab/>
        <w:t xml:space="preserve">Katayama Y, Ito T, Hiramatsu K. A new class of genetic element, staphylococcus cassette chromosome mec, encodes methicillin resistance in Staphylococcus aureus. Antimicrobial Agents and Chemotherapy. 2000;44(6):1549–55. </w:t>
      </w:r>
    </w:p>
    <w:p w14:paraId="7D5CDEA9"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189. </w:t>
      </w:r>
      <w:r w:rsidRPr="008828BA">
        <w:rPr>
          <w:rFonts w:ascii="Calibri" w:hAnsi="Calibri" w:cs="Calibri"/>
          <w:noProof/>
        </w:rPr>
        <w:tab/>
        <w:t xml:space="preserve">Hiramatsu K, Kondo N, Ito T. Genetic basis for molecular epidemiology of MRSA. Vol. 2, Journal of Infection and Chemotherapy. Elsevier; 1996. p. 117–29. </w:t>
      </w:r>
    </w:p>
    <w:p w14:paraId="6ED6F267"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190. </w:t>
      </w:r>
      <w:r w:rsidRPr="008828BA">
        <w:rPr>
          <w:rFonts w:ascii="Calibri" w:hAnsi="Calibri" w:cs="Calibri"/>
          <w:noProof/>
        </w:rPr>
        <w:tab/>
        <w:t xml:space="preserve">Berger-Bächi B, Rohrer S. Factors influencing methicillin resistance in staphylococci. Vol. 178, Archives of Microbiology. Arch Microbiol; 2002. p. 165–71. </w:t>
      </w:r>
    </w:p>
    <w:p w14:paraId="471E40BE"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191. </w:t>
      </w:r>
      <w:r w:rsidRPr="008828BA">
        <w:rPr>
          <w:rFonts w:ascii="Calibri" w:hAnsi="Calibri" w:cs="Calibri"/>
          <w:noProof/>
        </w:rPr>
        <w:tab/>
        <w:t xml:space="preserve">Stryjewski ME, Corey GR. Methicillin-resistant staphylococcus aureus: An evolving pathogen. Clinical Infectious Diseases. 2014 Jan 1;58(SUPPL. 1):S10–9. </w:t>
      </w:r>
    </w:p>
    <w:p w14:paraId="6EA6A571"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192. </w:t>
      </w:r>
      <w:r w:rsidRPr="008828BA">
        <w:rPr>
          <w:rFonts w:ascii="Calibri" w:hAnsi="Calibri" w:cs="Calibri"/>
          <w:noProof/>
        </w:rPr>
        <w:tab/>
        <w:t xml:space="preserve">Matsuhashi M, Song MD, Ishino F, Wachi M, Doi M, Inoue M, et al. Molecular cloning of the gene of a penicillin-binding protein supposed to cause high resistance to β-lactam antibiotics in Staphylococcus aureus. Journal of Bacteriology. 1986;167(3):975–80. </w:t>
      </w:r>
    </w:p>
    <w:p w14:paraId="0A25D9E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193. </w:t>
      </w:r>
      <w:r w:rsidRPr="008828BA">
        <w:rPr>
          <w:rFonts w:ascii="Calibri" w:hAnsi="Calibri" w:cs="Calibri"/>
          <w:noProof/>
        </w:rPr>
        <w:tab/>
        <w:t xml:space="preserve">Müller S, Wolf AJ, Iliev ID, Berg BL, Underhill DM, Liu GY. Poorly cross-linked peptidoglycan in MRSA due to mecA induction activates the inflammasome and exacerbates immunopathology. Cell Host and Microbe. 2015 Nov 11;18(5):604–12. </w:t>
      </w:r>
    </w:p>
    <w:p w14:paraId="69249A6D"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194. </w:t>
      </w:r>
      <w:r w:rsidRPr="008828BA">
        <w:rPr>
          <w:rFonts w:ascii="Calibri" w:hAnsi="Calibri" w:cs="Calibri"/>
          <w:noProof/>
        </w:rPr>
        <w:tab/>
        <w:t xml:space="preserve">Levine DP. Vancomycin: A History. Clinical Infectious Diseases. 2006;42(Suppl 1):5–12. </w:t>
      </w:r>
    </w:p>
    <w:p w14:paraId="3C4533F2"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195. </w:t>
      </w:r>
      <w:r w:rsidRPr="008828BA">
        <w:rPr>
          <w:rFonts w:ascii="Calibri" w:hAnsi="Calibri" w:cs="Calibri"/>
          <w:noProof/>
        </w:rPr>
        <w:tab/>
        <w:t xml:space="preserve">Perkins HR. Specificity of combination between mucopeptide precursors and vancomycin or ristocetin. The Biochemical journal. 1969 Jan 1;111(2):195–205. </w:t>
      </w:r>
    </w:p>
    <w:p w14:paraId="45E6976A"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196. </w:t>
      </w:r>
      <w:r w:rsidRPr="008828BA">
        <w:rPr>
          <w:rFonts w:ascii="Calibri" w:hAnsi="Calibri" w:cs="Calibri"/>
          <w:noProof/>
        </w:rPr>
        <w:tab/>
        <w:t xml:space="preserve">Watanakunakorn C. Mode of action and in-vitro activity of vancomycin. Vol. 14, Journal of Antimicrobial Chemotherapy. Oxford Academic; 1984. p. 7–18. </w:t>
      </w:r>
    </w:p>
    <w:p w14:paraId="3A4BA8CE"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197. </w:t>
      </w:r>
      <w:r w:rsidRPr="008828BA">
        <w:rPr>
          <w:rFonts w:ascii="Calibri" w:hAnsi="Calibri" w:cs="Calibri"/>
          <w:noProof/>
        </w:rPr>
        <w:tab/>
        <w:t xml:space="preserve">Anderson JS, Matsuhashi M, Haskin MA, Strominger JL. Lipid-Phosphoacetylmuramyl- Pentapeptide and Lipid-Phosphodisaccharide-Pentapeptide: Presumed Membrane Transport Intermediates in Cell Wall Synthesis. Proceedings of the National Academy of Sciences of the United States of. 1965;53(4):881–9. </w:t>
      </w:r>
    </w:p>
    <w:p w14:paraId="0397C4E0" w14:textId="77777777" w:rsidR="008828BA" w:rsidRPr="00780898" w:rsidRDefault="008828BA" w:rsidP="008828BA">
      <w:pPr>
        <w:widowControl w:val="0"/>
        <w:autoSpaceDE w:val="0"/>
        <w:autoSpaceDN w:val="0"/>
        <w:adjustRightInd w:val="0"/>
        <w:spacing w:before="0" w:after="360" w:line="240" w:lineRule="auto"/>
        <w:ind w:left="640" w:hanging="640"/>
        <w:rPr>
          <w:rFonts w:ascii="Calibri" w:hAnsi="Calibri" w:cs="Calibri"/>
          <w:noProof/>
          <w:lang w:val="es-ES"/>
        </w:rPr>
      </w:pPr>
      <w:r w:rsidRPr="008828BA">
        <w:rPr>
          <w:rFonts w:ascii="Calibri" w:hAnsi="Calibri" w:cs="Calibri"/>
          <w:noProof/>
        </w:rPr>
        <w:t xml:space="preserve">198. </w:t>
      </w:r>
      <w:r w:rsidRPr="008828BA">
        <w:rPr>
          <w:rFonts w:ascii="Calibri" w:hAnsi="Calibri" w:cs="Calibri"/>
          <w:noProof/>
        </w:rPr>
        <w:tab/>
        <w:t xml:space="preserve">Reynolds PE. Studies on the mode of action of vancomycin. </w:t>
      </w:r>
      <w:r w:rsidRPr="00780898">
        <w:rPr>
          <w:rFonts w:ascii="Calibri" w:hAnsi="Calibri" w:cs="Calibri"/>
          <w:noProof/>
          <w:lang w:val="es-ES"/>
        </w:rPr>
        <w:t xml:space="preserve">Biochimica et Biophysica Acta. 1961 Sep 16;52(2):403–5. </w:t>
      </w:r>
    </w:p>
    <w:p w14:paraId="70687746"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lastRenderedPageBreak/>
        <w:t xml:space="preserve">199. </w:t>
      </w:r>
      <w:r w:rsidRPr="008828BA">
        <w:rPr>
          <w:rFonts w:ascii="Calibri" w:hAnsi="Calibri" w:cs="Calibri"/>
          <w:noProof/>
        </w:rPr>
        <w:tab/>
        <w:t xml:space="preserve">Eirich J, Orth R, Sieber SA. Unraveling the protein targets of vancomycin in living S. aureus and E. faecalis cells. Journal of the American Chemical Society. 2011;133(31):12144–53. </w:t>
      </w:r>
    </w:p>
    <w:p w14:paraId="72B4B795"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200. </w:t>
      </w:r>
      <w:r w:rsidRPr="008828BA">
        <w:rPr>
          <w:rFonts w:ascii="Calibri" w:hAnsi="Calibri" w:cs="Calibri"/>
          <w:noProof/>
        </w:rPr>
        <w:tab/>
        <w:t xml:space="preserve">Leimkuhler C, Chen L, Barrett D, Panzone G, Sun B, Falcone B, et al. Differential inhibition of Staphylococcus aureus PBP2 by glycopeptide antibiotics. Journal of the American Chemical Society. 2005 Mar 16;127(10):3250–1. </w:t>
      </w:r>
    </w:p>
    <w:p w14:paraId="19F3B269"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201. </w:t>
      </w:r>
      <w:r w:rsidRPr="008828BA">
        <w:rPr>
          <w:rFonts w:ascii="Calibri" w:hAnsi="Calibri" w:cs="Calibri"/>
          <w:noProof/>
        </w:rPr>
        <w:tab/>
        <w:t xml:space="preserve">Singh M, Chang J, Coffman L, Kim SJ. Hidden Mode of Action of Glycopeptide Antibiotics: Inhibition of Wall Teichoic Acid Biosynthesis. Journal of Physical Chemistry B. 2017 Apr 27;121(16):3925–32. </w:t>
      </w:r>
    </w:p>
    <w:p w14:paraId="3510338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202. </w:t>
      </w:r>
      <w:r w:rsidRPr="008828BA">
        <w:rPr>
          <w:rFonts w:ascii="Calibri" w:hAnsi="Calibri" w:cs="Calibri"/>
          <w:noProof/>
        </w:rPr>
        <w:tab/>
        <w:t xml:space="preserve">Courvalin P. Vancomycin resistance in gram-positive cocci. Vol. 42, Clinical Infectious Diseases. 2006. p. 25–34. </w:t>
      </w:r>
    </w:p>
    <w:p w14:paraId="49964DB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203. </w:t>
      </w:r>
      <w:r w:rsidRPr="008828BA">
        <w:rPr>
          <w:rFonts w:ascii="Calibri" w:hAnsi="Calibri" w:cs="Calibri"/>
          <w:noProof/>
        </w:rPr>
        <w:tab/>
        <w:t xml:space="preserve">Zeng D, Debabov D, Hartsell TL, Cano RJ, Adams S, Schuyler JA, et al. Approved glycopeptide antibacterial drugs: Mechanism of action and resistance. Cold Spring Harbor Perspectives in Medicine. 2016;6(12):1–16. </w:t>
      </w:r>
    </w:p>
    <w:p w14:paraId="262F2BE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204. </w:t>
      </w:r>
      <w:r w:rsidRPr="008828BA">
        <w:rPr>
          <w:rFonts w:ascii="Calibri" w:hAnsi="Calibri" w:cs="Calibri"/>
          <w:noProof/>
        </w:rPr>
        <w:tab/>
        <w:t xml:space="preserve">Gardete S, Tomasz A. Mechanisms of vancomycin resistance in Staphylococcus aureus. Vol. 124, Journal of Clinical Investigation. American Society for Clinical Investigation; 2014. p. 2836–40. </w:t>
      </w:r>
    </w:p>
    <w:p w14:paraId="7AB359D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205. </w:t>
      </w:r>
      <w:r w:rsidRPr="008828BA">
        <w:rPr>
          <w:rFonts w:ascii="Calibri" w:hAnsi="Calibri" w:cs="Calibri"/>
          <w:noProof/>
        </w:rPr>
        <w:tab/>
        <w:t xml:space="preserve">Howden BP, Davies JK, Johnson PDR, Stinear TP, Grayson ML. Reduced vancomycin susceptibility in Staphylococcus aureus, including vancomycin-intermediate and heterogeneous vancomycin-intermediate strains: Resistance mechanisms, laboratory detection, and clinical implications. Vol. 23, Clinical Microbiology Reviews. 2010. p. 99–139. </w:t>
      </w:r>
    </w:p>
    <w:p w14:paraId="4D8B482E"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206. </w:t>
      </w:r>
      <w:r w:rsidRPr="008828BA">
        <w:rPr>
          <w:rFonts w:ascii="Calibri" w:hAnsi="Calibri" w:cs="Calibri"/>
          <w:noProof/>
        </w:rPr>
        <w:tab/>
        <w:t xml:space="preserve">Huang B, Babcock H, Zhuang X. Breaking the diffraction barrier: Super-resolution imaging of cells. Vol. 143, Cell. Elsevier B.V.; 2010. p. 1047–58. </w:t>
      </w:r>
    </w:p>
    <w:p w14:paraId="735CDEE8"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207. </w:t>
      </w:r>
      <w:r w:rsidRPr="008828BA">
        <w:rPr>
          <w:rFonts w:ascii="Calibri" w:hAnsi="Calibri" w:cs="Calibri"/>
          <w:noProof/>
        </w:rPr>
        <w:tab/>
        <w:t xml:space="preserve">Schmidt R, Wurm CA, Punge A, Egner A, Jakobs S, Hell SW. Mitochondrial cristae revealed with focused light. Nano Letters. 2009;9(6):2508–10. </w:t>
      </w:r>
    </w:p>
    <w:p w14:paraId="4CE04E16"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208. </w:t>
      </w:r>
      <w:r w:rsidRPr="008828BA">
        <w:rPr>
          <w:rFonts w:ascii="Calibri" w:hAnsi="Calibri" w:cs="Calibri"/>
          <w:noProof/>
        </w:rPr>
        <w:tab/>
        <w:t xml:space="preserve">Wu Y, Shroff H. Faster, sharper, and deeper: structured illumination microscopy for biological imaging. Vol. 15, Nature Methods. 2018. p. 1011–9. </w:t>
      </w:r>
    </w:p>
    <w:p w14:paraId="542079BB"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209. </w:t>
      </w:r>
      <w:r w:rsidRPr="008828BA">
        <w:rPr>
          <w:rFonts w:ascii="Calibri" w:hAnsi="Calibri" w:cs="Calibri"/>
          <w:noProof/>
        </w:rPr>
        <w:tab/>
        <w:t xml:space="preserve">Vahabi S, Nazemi Salman B, Javanmard A. Atomic force microscopy application in biological research: A review study. Iranian Journal of Medical Sciences. 2013 Jun;38(2):76–83. </w:t>
      </w:r>
    </w:p>
    <w:p w14:paraId="7CEAEFAB"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210. </w:t>
      </w:r>
      <w:r w:rsidRPr="008828BA">
        <w:rPr>
          <w:rFonts w:ascii="Calibri" w:hAnsi="Calibri" w:cs="Calibri"/>
          <w:noProof/>
        </w:rPr>
        <w:tab/>
        <w:t xml:space="preserve">Parot P, Dufrêne YF, Hinterdorfer P, Le Grimellec C, Navajas D, Pellequer JL, et al. Past, present and future of atomic force microscopy in life sciences and medicine. In: Journal of Molecular Recognition. 2007. p. 418–31. </w:t>
      </w:r>
    </w:p>
    <w:p w14:paraId="5BF9732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211. </w:t>
      </w:r>
      <w:r w:rsidRPr="008828BA">
        <w:rPr>
          <w:rFonts w:ascii="Calibri" w:hAnsi="Calibri" w:cs="Calibri"/>
          <w:noProof/>
        </w:rPr>
        <w:tab/>
        <w:t xml:space="preserve">Pasquina-Lemonche L, Burns J, Turner RD, Kumar S, Tank R, Mullin N, et al. The </w:t>
      </w:r>
      <w:r w:rsidRPr="008828BA">
        <w:rPr>
          <w:rFonts w:ascii="Calibri" w:hAnsi="Calibri" w:cs="Calibri"/>
          <w:noProof/>
        </w:rPr>
        <w:lastRenderedPageBreak/>
        <w:t xml:space="preserve">architecture of the Gram-positive bacterial cell wall. Nature. 2020;582(7811):294–7. </w:t>
      </w:r>
    </w:p>
    <w:p w14:paraId="0BC44929"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212. </w:t>
      </w:r>
      <w:r w:rsidRPr="008828BA">
        <w:rPr>
          <w:rFonts w:ascii="Calibri" w:hAnsi="Calibri" w:cs="Calibri"/>
          <w:noProof/>
        </w:rPr>
        <w:tab/>
        <w:t xml:space="preserve">Marton L. Early history of the electron microscope. San Francisco: San Francisco Press, Inc.; 1968. </w:t>
      </w:r>
    </w:p>
    <w:p w14:paraId="04376C2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213. </w:t>
      </w:r>
      <w:r w:rsidRPr="008828BA">
        <w:rPr>
          <w:rFonts w:ascii="Calibri" w:hAnsi="Calibri" w:cs="Calibri"/>
          <w:noProof/>
        </w:rPr>
        <w:tab/>
        <w:t xml:space="preserve">Hawkes PW. The beginnings of electron microscopy. 1st ed. Orlando, FL: Academic Press; 1985. 654 p. </w:t>
      </w:r>
    </w:p>
    <w:p w14:paraId="5D3C1DB4"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214. </w:t>
      </w:r>
      <w:r w:rsidRPr="008828BA">
        <w:rPr>
          <w:rFonts w:ascii="Calibri" w:hAnsi="Calibri" w:cs="Calibri"/>
          <w:noProof/>
        </w:rPr>
        <w:tab/>
        <w:t xml:space="preserve">Williams DB, Carter CB. Transmission Electron Microscopy a Textbook for Material Science. 2nd ed. New York: Springer; 2009. </w:t>
      </w:r>
    </w:p>
    <w:p w14:paraId="664C7BE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215. </w:t>
      </w:r>
      <w:r w:rsidRPr="008828BA">
        <w:rPr>
          <w:rFonts w:ascii="Calibri" w:hAnsi="Calibri" w:cs="Calibri"/>
          <w:noProof/>
        </w:rPr>
        <w:tab/>
        <w:t xml:space="preserve">Spenher D, Cavalier A, Humbel B, editors. Handbook of Cryopreparation Methods for Electron Microscopy. Vol. 79, Cellular Electron Microscopy. Boca Raton: CRC Publisher; 2008. </w:t>
      </w:r>
    </w:p>
    <w:p w14:paraId="1F3AFE67"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216. </w:t>
      </w:r>
      <w:r w:rsidRPr="008828BA">
        <w:rPr>
          <w:rFonts w:ascii="Calibri" w:hAnsi="Calibri" w:cs="Calibri"/>
          <w:noProof/>
        </w:rPr>
        <w:tab/>
        <w:t xml:space="preserve">Mohammed A, Abdullah A. Scanning Electron Microscopy (SEM): A Review. International Conference on Hydraulics and Pneumatics. 2018;7(January):1–9. </w:t>
      </w:r>
    </w:p>
    <w:p w14:paraId="353E7DF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217. </w:t>
      </w:r>
      <w:r w:rsidRPr="008828BA">
        <w:rPr>
          <w:rFonts w:ascii="Calibri" w:hAnsi="Calibri" w:cs="Calibri"/>
          <w:noProof/>
        </w:rPr>
        <w:tab/>
        <w:t xml:space="preserve">Goodhew PJ, Humphreys J, Beanland R. Electron Microscopy and Analysis. CRC Press; 2000. 254 p. </w:t>
      </w:r>
    </w:p>
    <w:p w14:paraId="3972A686"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218. </w:t>
      </w:r>
      <w:r w:rsidRPr="008828BA">
        <w:rPr>
          <w:rFonts w:ascii="Calibri" w:hAnsi="Calibri" w:cs="Calibri"/>
          <w:noProof/>
        </w:rPr>
        <w:tab/>
        <w:t xml:space="preserve">Vernon-Parry KD. Scanning electron microscopy: an introduction. III-Vs Review. 2000 Jul 1;13(4):40–4. </w:t>
      </w:r>
    </w:p>
    <w:p w14:paraId="7E6B34F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219. </w:t>
      </w:r>
      <w:r w:rsidRPr="008828BA">
        <w:rPr>
          <w:rFonts w:ascii="Calibri" w:hAnsi="Calibri" w:cs="Calibri"/>
          <w:noProof/>
        </w:rPr>
        <w:tab/>
        <w:t xml:space="preserve">Schatten H, editor. Scanning electron microscopy for the life sciences. Cambridge University Press; 2012. </w:t>
      </w:r>
    </w:p>
    <w:p w14:paraId="71DB390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220. </w:t>
      </w:r>
      <w:r w:rsidRPr="008828BA">
        <w:rPr>
          <w:rFonts w:ascii="Calibri" w:hAnsi="Calibri" w:cs="Calibri"/>
          <w:noProof/>
        </w:rPr>
        <w:tab/>
        <w:t xml:space="preserve">Amos LA, Henderson R, Unwin PNT. Three-dimensional structure determination by electron microscopy of two-dimensional crystals. Progress in Biophysics and Molecular Biology. 1982;39(C):183–231. </w:t>
      </w:r>
    </w:p>
    <w:p w14:paraId="02287B6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221. </w:t>
      </w:r>
      <w:r w:rsidRPr="008828BA">
        <w:rPr>
          <w:rFonts w:ascii="Calibri" w:hAnsi="Calibri" w:cs="Calibri"/>
          <w:noProof/>
        </w:rPr>
        <w:tab/>
        <w:t xml:space="preserve">Pilhofer M, Ladinsky MS, McDowall AW, Jensen GJ. Bacterial TEM. New insights from cryo-microscopy. In: Methods in Cell Biology. Academic Press; 2010. p. 21–45. </w:t>
      </w:r>
    </w:p>
    <w:p w14:paraId="66138DA9"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222. </w:t>
      </w:r>
      <w:r w:rsidRPr="008828BA">
        <w:rPr>
          <w:rFonts w:ascii="Calibri" w:hAnsi="Calibri" w:cs="Calibri"/>
          <w:noProof/>
        </w:rPr>
        <w:tab/>
        <w:t>ThermoFisher. Electron Microscopy | TEM vs SEM | Thermo Fisher Scientific - EC [Internet]. 2019. Available from: https://www.thermofisher.com/uk/en/home/materials-science/learning-center/applications/sem-tem-difference.html</w:t>
      </w:r>
    </w:p>
    <w:p w14:paraId="172E8BC7"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223. </w:t>
      </w:r>
      <w:r w:rsidRPr="008828BA">
        <w:rPr>
          <w:rFonts w:ascii="Calibri" w:hAnsi="Calibri" w:cs="Calibri"/>
          <w:noProof/>
        </w:rPr>
        <w:tab/>
        <w:t xml:space="preserve">Reddy CA, Beveridge TJ, Breznak JA, Marzluf G. Methods for general and molecular microbiology. American Society for Microbiology Press; 2007. </w:t>
      </w:r>
    </w:p>
    <w:p w14:paraId="6FB513AD"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224. </w:t>
      </w:r>
      <w:r w:rsidRPr="008828BA">
        <w:rPr>
          <w:rFonts w:ascii="Calibri" w:hAnsi="Calibri" w:cs="Calibri"/>
          <w:noProof/>
        </w:rPr>
        <w:tab/>
        <w:t xml:space="preserve">Bozzola JJ, Russell LD. Electron Microscopy: Principles and Techniques for Biologists . John J. Bozzola , Lonnie D. Russell. The Quarterly Review of Biology. Boston: Jones and Bartlett Publishers; 1992. </w:t>
      </w:r>
    </w:p>
    <w:p w14:paraId="10C0D181"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lastRenderedPageBreak/>
        <w:t xml:space="preserve">225. </w:t>
      </w:r>
      <w:r w:rsidRPr="008828BA">
        <w:rPr>
          <w:rFonts w:ascii="Calibri" w:hAnsi="Calibri" w:cs="Calibri"/>
          <w:noProof/>
        </w:rPr>
        <w:tab/>
        <w:t xml:space="preserve">Thompson RF, Walker M, Siebert CA, Muench SP, Ranson NA. An introduction to sample preparation and imaging by cryo-electron microscopy for structural biology. Methods. 2016;100:3–15. </w:t>
      </w:r>
    </w:p>
    <w:p w14:paraId="50320CDE"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226. </w:t>
      </w:r>
      <w:r w:rsidRPr="008828BA">
        <w:rPr>
          <w:rFonts w:ascii="Calibri" w:hAnsi="Calibri" w:cs="Calibri"/>
          <w:noProof/>
        </w:rPr>
        <w:tab/>
        <w:t xml:space="preserve">Egelman EH. The Current Revolution in Cryo-EM. Vol. 110, Biophysical Journal. Biophysical Society; 2016. p. 1008–12. </w:t>
      </w:r>
    </w:p>
    <w:p w14:paraId="2B2473A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227. </w:t>
      </w:r>
      <w:r w:rsidRPr="008828BA">
        <w:rPr>
          <w:rFonts w:ascii="Calibri" w:hAnsi="Calibri" w:cs="Calibri"/>
          <w:noProof/>
        </w:rPr>
        <w:tab/>
        <w:t xml:space="preserve">Rigort A, Plitzko JM. Cryo-focused-ion-beam applications in structural biology. Archives of Biochemistry and Biophysics. 2015;581:122–30. </w:t>
      </w:r>
    </w:p>
    <w:p w14:paraId="30764ADA"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228. </w:t>
      </w:r>
      <w:r w:rsidRPr="008828BA">
        <w:rPr>
          <w:rFonts w:ascii="Calibri" w:hAnsi="Calibri" w:cs="Calibri"/>
          <w:noProof/>
        </w:rPr>
        <w:tab/>
        <w:t xml:space="preserve">Villa E, Schaffer M, Plitzko JM, Baumeister W. Opening windows into the cell: Focused-ion-beam milling for cryo-electron tomography. Vol. 23, Current Opinion in Structural Biology. 2013. p. 771–7. </w:t>
      </w:r>
    </w:p>
    <w:p w14:paraId="45225DF8"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229. </w:t>
      </w:r>
      <w:r w:rsidRPr="008828BA">
        <w:rPr>
          <w:rFonts w:ascii="Calibri" w:hAnsi="Calibri" w:cs="Calibri"/>
          <w:noProof/>
        </w:rPr>
        <w:tab/>
        <w:t xml:space="preserve">Spurr AR. A low-viscosity epoxy resin embedding medium for electron microscopy. Journal of Ultrastructure Research. 1969;26(1–2):31–43. </w:t>
      </w:r>
    </w:p>
    <w:p w14:paraId="527BC597"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230. </w:t>
      </w:r>
      <w:r w:rsidRPr="008828BA">
        <w:rPr>
          <w:rFonts w:ascii="Calibri" w:hAnsi="Calibri" w:cs="Calibri"/>
          <w:noProof/>
        </w:rPr>
        <w:tab/>
        <w:t xml:space="preserve">Reynolds ES. The use of lead citrate at high pH as an electron-opaque stain in electron microscopy. The Journal of cell biology. 1963;17(1):208–12. </w:t>
      </w:r>
    </w:p>
    <w:p w14:paraId="71580B2B"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231. </w:t>
      </w:r>
      <w:r w:rsidRPr="008828BA">
        <w:rPr>
          <w:rFonts w:ascii="Calibri" w:hAnsi="Calibri" w:cs="Calibri"/>
          <w:noProof/>
        </w:rPr>
        <w:tab/>
        <w:t>Pandithage R. Brief Introduction to Contrasting for EM Sample Preparation. 2013; Available from: https://www.leica-microsystems.com/science-lab/brief-introduction-to-contrasting-for-em-sample-preparation/</w:t>
      </w:r>
    </w:p>
    <w:p w14:paraId="59B15E3D"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232. </w:t>
      </w:r>
      <w:r w:rsidRPr="008828BA">
        <w:rPr>
          <w:rFonts w:ascii="Calibri" w:hAnsi="Calibri" w:cs="Calibri"/>
          <w:noProof/>
        </w:rPr>
        <w:tab/>
        <w:t xml:space="preserve">Horsburgh MJ, Aish JL, White IJ, Shaw L, Lithgow JK, Foster SJ. δb modulates virulence determinant expression and stress resistance: Characterization of a functional rsbU strain derived from Staphylococcus aureus 8325-4. Journal of Bacteriology. 2002;184(19):5457–67. </w:t>
      </w:r>
    </w:p>
    <w:p w14:paraId="0479407A"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233. </w:t>
      </w:r>
      <w:r w:rsidRPr="008828BA">
        <w:rPr>
          <w:rFonts w:ascii="Calibri" w:hAnsi="Calibri" w:cs="Calibri"/>
          <w:noProof/>
        </w:rPr>
        <w:tab/>
        <w:t xml:space="preserve">Kreiswirth BN, Löfdahl S, Betley MJ, O’reilly M, Schlievert PM, Bergdoll MS, et al. The toxic shock syndrome exotoxin structural gene is not detectably transmitted by a prophage. Nature. 1983;305(5936):709–12. </w:t>
      </w:r>
    </w:p>
    <w:p w14:paraId="3AAB3487"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234. </w:t>
      </w:r>
      <w:r w:rsidRPr="008828BA">
        <w:rPr>
          <w:rFonts w:ascii="Calibri" w:hAnsi="Calibri" w:cs="Calibri"/>
          <w:noProof/>
        </w:rPr>
        <w:tab/>
        <w:t xml:space="preserve">Boles BR, Thoende M, Roth AJ, Horswill AR. Identification of genes involved in polysaccharide- independent Staphylococcus aureus biofilm formation. PLoS ONE. 2010;5(4). </w:t>
      </w:r>
    </w:p>
    <w:p w14:paraId="550AFF5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235. </w:t>
      </w:r>
      <w:r w:rsidRPr="008828BA">
        <w:rPr>
          <w:rFonts w:ascii="Calibri" w:hAnsi="Calibri" w:cs="Calibri"/>
          <w:noProof/>
        </w:rPr>
        <w:tab/>
        <w:t xml:space="preserve">K.G.H. Dyke PDC, M.Patricia Jevons, M.D. Lond., M.C.Path. DB, M.T. Parker, M.D. Cantab., F.C.Path. DB. Penicillinase production and intrinsic resistance to penicillins in Staphylococcus aures. The Lancet. 1966;287(7442):835–8. </w:t>
      </w:r>
    </w:p>
    <w:p w14:paraId="21F1FCA7"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236. </w:t>
      </w:r>
      <w:r w:rsidRPr="008828BA">
        <w:rPr>
          <w:rFonts w:ascii="Calibri" w:hAnsi="Calibri" w:cs="Calibri"/>
          <w:noProof/>
        </w:rPr>
        <w:tab/>
        <w:t xml:space="preserve">Duthie ES, Lorenz LL. Staphylococcal coagulase; mode of action and antigenicity. Journal of general microbiology. 1952;6(1–2):95–107. </w:t>
      </w:r>
    </w:p>
    <w:p w14:paraId="5B7662EA"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237. </w:t>
      </w:r>
      <w:r w:rsidRPr="008828BA">
        <w:rPr>
          <w:rFonts w:ascii="Calibri" w:hAnsi="Calibri" w:cs="Calibri"/>
          <w:noProof/>
        </w:rPr>
        <w:tab/>
        <w:t xml:space="preserve">Mani N, Tobin P, Jayaswal RK. Isolation and characterization of autolysis-defective mutants of Staphylococcus aureus created by Tn917-lacZ mutagenesis. Journal of </w:t>
      </w:r>
      <w:r w:rsidRPr="008828BA">
        <w:rPr>
          <w:rFonts w:ascii="Calibri" w:hAnsi="Calibri" w:cs="Calibri"/>
          <w:noProof/>
        </w:rPr>
        <w:lastRenderedPageBreak/>
        <w:t xml:space="preserve">Bacteriology. 1993 Mar;175(5):1493–9. </w:t>
      </w:r>
    </w:p>
    <w:p w14:paraId="67BD997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238. </w:t>
      </w:r>
      <w:r w:rsidRPr="008828BA">
        <w:rPr>
          <w:rFonts w:ascii="Calibri" w:hAnsi="Calibri" w:cs="Calibri"/>
          <w:noProof/>
        </w:rPr>
        <w:tab/>
        <w:t xml:space="preserve">Schindelin J, Arganda-Carreras I, Frise E, Kaynig V, Longair M, Pietzsch T, et al. Fiji: An open-source platform for biological-image analysis. Vol. 9, Nature Methods. Nature Publishing Group; 2012. p. 676–82. </w:t>
      </w:r>
    </w:p>
    <w:p w14:paraId="6FB4C6F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239. </w:t>
      </w:r>
      <w:r w:rsidRPr="008828BA">
        <w:rPr>
          <w:rFonts w:ascii="Calibri" w:hAnsi="Calibri" w:cs="Calibri"/>
          <w:noProof/>
        </w:rPr>
        <w:tab/>
        <w:t xml:space="preserve">Zhou X, Halladin DK, Rojas ER, Koslover EF, Lee TK, Huang KC, et al. Bacterial division. Mechanical crack propagation drives millisecond daughter cell separation in Staphylococcus aureus. Science. 2015;348(6234):574–8. </w:t>
      </w:r>
    </w:p>
    <w:p w14:paraId="0540D03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240. </w:t>
      </w:r>
      <w:r w:rsidRPr="008828BA">
        <w:rPr>
          <w:rFonts w:ascii="Calibri" w:hAnsi="Calibri" w:cs="Calibri"/>
          <w:noProof/>
        </w:rPr>
        <w:tab/>
        <w:t xml:space="preserve">Mcdonald KL, Webb RI. Freeze substitution in 3 hours or less. Journal of Microscopy. 2011;243(March):227–33. </w:t>
      </w:r>
    </w:p>
    <w:p w14:paraId="227F839A"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241. </w:t>
      </w:r>
      <w:r w:rsidRPr="008828BA">
        <w:rPr>
          <w:rFonts w:ascii="Calibri" w:hAnsi="Calibri" w:cs="Calibri"/>
          <w:noProof/>
        </w:rPr>
        <w:tab/>
        <w:t xml:space="preserve">McDonald KL. Rapid embedding methods into epoxy and LR white resins for morphological and immunological analysis of cryofixed biological specimens. Microscopy and Microanalysis. 2014;20(1):152–63. </w:t>
      </w:r>
    </w:p>
    <w:p w14:paraId="10E86D56"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242. </w:t>
      </w:r>
      <w:r w:rsidRPr="008828BA">
        <w:rPr>
          <w:rFonts w:ascii="Calibri" w:hAnsi="Calibri" w:cs="Calibri"/>
          <w:noProof/>
        </w:rPr>
        <w:tab/>
        <w:t>Harris JR. Negative Staining of Thinly Spread Biological Samples. In: Kuo J, editor. Electron Microscopy Methods in Molecular Biology</w:t>
      </w:r>
      <w:r w:rsidRPr="008828BA">
        <w:rPr>
          <w:rFonts w:ascii="Calibri" w:hAnsi="Calibri" w:cs="Calibri"/>
          <w:noProof/>
          <w:vertAlign w:val="superscript"/>
        </w:rPr>
        <w:t>TM</w:t>
      </w:r>
      <w:r w:rsidRPr="008828BA">
        <w:rPr>
          <w:rFonts w:ascii="Calibri" w:hAnsi="Calibri" w:cs="Calibri"/>
          <w:noProof/>
        </w:rPr>
        <w:t xml:space="preserve">. 369th ed. Humana Press; 2007. p. 107–42. </w:t>
      </w:r>
    </w:p>
    <w:p w14:paraId="3FB72D2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243. </w:t>
      </w:r>
      <w:r w:rsidRPr="008828BA">
        <w:rPr>
          <w:rFonts w:ascii="Calibri" w:hAnsi="Calibri" w:cs="Calibri"/>
          <w:noProof/>
        </w:rPr>
        <w:tab/>
        <w:t xml:space="preserve">Ng CT, Ladinsky M, Gan L. Serial Cryomicrotomy of Saccharomyces cerevisiae for Serial Electron Cryotomography. Bio-Protocol. 2020;10(22):1–15. </w:t>
      </w:r>
    </w:p>
    <w:p w14:paraId="714CBBE9"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244. </w:t>
      </w:r>
      <w:r w:rsidRPr="008828BA">
        <w:rPr>
          <w:rFonts w:ascii="Calibri" w:hAnsi="Calibri" w:cs="Calibri"/>
          <w:noProof/>
        </w:rPr>
        <w:tab/>
        <w:t xml:space="preserve">Matias VRF, Al-Amoudi A, Dubochet J, Beveridge TJ. Cryo-transmission electron microscopy of frozen-hydrated sections of Escherichia coli and Pseudomonas aeruginosa. Journal of Bacteriology. 2003;185(20):6112–8. </w:t>
      </w:r>
    </w:p>
    <w:p w14:paraId="27D1CC1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245. </w:t>
      </w:r>
      <w:r w:rsidRPr="008828BA">
        <w:rPr>
          <w:rFonts w:ascii="Calibri" w:hAnsi="Calibri" w:cs="Calibri"/>
          <w:noProof/>
        </w:rPr>
        <w:tab/>
        <w:t xml:space="preserve">Zheng SQ, Palovcak E, Armache JP, Verba KA, Cheng Y, Agard DA. MotionCor2: Anisotropic correction of beam-induced motion for improved cryo-electron microscopy. Vol. 14, Nature Methods. Nature Publishing Group; 2017. p. 331–2. </w:t>
      </w:r>
    </w:p>
    <w:p w14:paraId="368E436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246. </w:t>
      </w:r>
      <w:r w:rsidRPr="008828BA">
        <w:rPr>
          <w:rFonts w:ascii="Calibri" w:hAnsi="Calibri" w:cs="Calibri"/>
          <w:noProof/>
        </w:rPr>
        <w:tab/>
        <w:t xml:space="preserve">Kremer JR, Mastronarde DN, McIntosh JR. Computer visualization of three-dimensional image data using IMOD. Journal of Structural Biology. 1996;116(1):71–6. </w:t>
      </w:r>
    </w:p>
    <w:p w14:paraId="0ABB913F"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247. </w:t>
      </w:r>
      <w:r w:rsidRPr="008828BA">
        <w:rPr>
          <w:rFonts w:ascii="Calibri" w:hAnsi="Calibri" w:cs="Calibri"/>
          <w:noProof/>
        </w:rPr>
        <w:tab/>
        <w:t xml:space="preserve">Salamaga B, Kong L, Pasquina-Lemonche L, Lafage L, von Und Zur Muhlen M, Gibson JF, et al. Demonstration of the role of cell wall homeostasis in Staphylococcus aureus growth and the action of bactericidal antibiotics. Proceedings of the National Academy of Sciences of the United States of America. 2021 Nov 2;118(44):1–8. </w:t>
      </w:r>
    </w:p>
    <w:p w14:paraId="58BFC96B"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248. </w:t>
      </w:r>
      <w:r w:rsidRPr="008828BA">
        <w:rPr>
          <w:rFonts w:ascii="Calibri" w:hAnsi="Calibri" w:cs="Calibri"/>
          <w:noProof/>
        </w:rPr>
        <w:tab/>
        <w:t xml:space="preserve">Pasquina Lemonche L. The molecular architecture of the Gram-positive bacterial cell wall and how it is disrupted by antibiotics. The University of Sheffield; 2020. </w:t>
      </w:r>
    </w:p>
    <w:p w14:paraId="509EFC2A"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249. </w:t>
      </w:r>
      <w:r w:rsidRPr="008828BA">
        <w:rPr>
          <w:rFonts w:ascii="Calibri" w:hAnsi="Calibri" w:cs="Calibri"/>
          <w:noProof/>
        </w:rPr>
        <w:tab/>
        <w:t xml:space="preserve">Henderson R, Unwin PNT. Three-dimensional model of purple membrane obtained by electron microscopy. Nature. 1975;257(5521):28–32. </w:t>
      </w:r>
    </w:p>
    <w:p w14:paraId="7E3CBF7B"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250. </w:t>
      </w:r>
      <w:r w:rsidRPr="008828BA">
        <w:rPr>
          <w:rFonts w:ascii="Calibri" w:hAnsi="Calibri" w:cs="Calibri"/>
          <w:noProof/>
        </w:rPr>
        <w:tab/>
        <w:t xml:space="preserve">Taylor KA, Glaeser RM. Electron diffraction of frozen, hydrated protein crystals. Science. </w:t>
      </w:r>
      <w:r w:rsidRPr="008828BA">
        <w:rPr>
          <w:rFonts w:ascii="Calibri" w:hAnsi="Calibri" w:cs="Calibri"/>
          <w:noProof/>
        </w:rPr>
        <w:lastRenderedPageBreak/>
        <w:t xml:space="preserve">1974;186(4168):1036–7. </w:t>
      </w:r>
    </w:p>
    <w:p w14:paraId="7B8AC4E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251. </w:t>
      </w:r>
      <w:r w:rsidRPr="008828BA">
        <w:rPr>
          <w:rFonts w:ascii="Calibri" w:hAnsi="Calibri" w:cs="Calibri"/>
          <w:noProof/>
        </w:rPr>
        <w:tab/>
        <w:t xml:space="preserve">Brüggeller P, Mayer E. Complete vitrification in pure liquid water and dilute aqueous solutions. Nature. 1980;288(5791):569–71. </w:t>
      </w:r>
    </w:p>
    <w:p w14:paraId="15B179AA"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252. </w:t>
      </w:r>
      <w:r w:rsidRPr="008828BA">
        <w:rPr>
          <w:rFonts w:ascii="Calibri" w:hAnsi="Calibri" w:cs="Calibri"/>
          <w:noProof/>
        </w:rPr>
        <w:tab/>
        <w:t xml:space="preserve">Dubochet J, Adrian M, Chan J, Lepault J, Mcdowall AW. Chapter 5 Cryoelectron Microscopy of Vitrified Specimens. 1988;2(1988):129–228. </w:t>
      </w:r>
    </w:p>
    <w:p w14:paraId="54951FD6"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253. </w:t>
      </w:r>
      <w:r w:rsidRPr="008828BA">
        <w:rPr>
          <w:rFonts w:ascii="Calibri" w:hAnsi="Calibri" w:cs="Calibri"/>
          <w:noProof/>
        </w:rPr>
        <w:tab/>
        <w:t xml:space="preserve">Simpson WL. An experimental analysis of the Altmann technic of freezing-drying. The Anatomical Record. 1941 Jun 1;80(2):173–89. </w:t>
      </w:r>
    </w:p>
    <w:p w14:paraId="77F32D9B"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254. </w:t>
      </w:r>
      <w:r w:rsidRPr="008828BA">
        <w:rPr>
          <w:rFonts w:ascii="Calibri" w:hAnsi="Calibri" w:cs="Calibri"/>
          <w:noProof/>
        </w:rPr>
        <w:tab/>
        <w:t xml:space="preserve">Müller M, Marti T, Kriz S. Improve structural preservation by freeze substitution. Electron Microscopy. 1980;2:720–1. </w:t>
      </w:r>
    </w:p>
    <w:p w14:paraId="47297D7B"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255. </w:t>
      </w:r>
      <w:r w:rsidRPr="008828BA">
        <w:rPr>
          <w:rFonts w:ascii="Calibri" w:hAnsi="Calibri" w:cs="Calibri"/>
          <w:noProof/>
        </w:rPr>
        <w:tab/>
        <w:t xml:space="preserve">Humbel B, Müller M. Freeze Substitution and Low Temperature Embedding. Scanning Electron Microscopy. 1985 Jan 1;4(1). </w:t>
      </w:r>
    </w:p>
    <w:p w14:paraId="1DBFC05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256. </w:t>
      </w:r>
      <w:r w:rsidRPr="008828BA">
        <w:rPr>
          <w:rFonts w:ascii="Calibri" w:hAnsi="Calibri" w:cs="Calibri"/>
          <w:noProof/>
        </w:rPr>
        <w:tab/>
        <w:t>Fernández‐Morán H. Low‐Temperature Preparation Techniques for Electron Microscopy of Biological Specimens Based on Rapid Freezing With Liquid Helium Ii. Annals of the New York Academy of Sciences [Internet]. 1960 Apr 1;85(2):689–713. Available from: https://nyaspubs-onlinelibrary-wiley-com.sheffield.idm.oclc.org/doi/full/10.1111/j.1749-6632.1960.tb49990.x</w:t>
      </w:r>
    </w:p>
    <w:p w14:paraId="604359BE"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257. </w:t>
      </w:r>
      <w:r w:rsidRPr="008828BA">
        <w:rPr>
          <w:rFonts w:ascii="Calibri" w:hAnsi="Calibri" w:cs="Calibri"/>
          <w:noProof/>
        </w:rPr>
        <w:tab/>
        <w:t xml:space="preserve">Wild P, Schraner EM, Adler H, Humbel BM. Enhanced resolution of membranes in cultured cells by cryoimmobilization and freeze-substitution. Microscopy Research and Technique. 2001 May 15;53(4):313–21. </w:t>
      </w:r>
    </w:p>
    <w:p w14:paraId="12D6C37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258. </w:t>
      </w:r>
      <w:r w:rsidRPr="008828BA">
        <w:rPr>
          <w:rFonts w:ascii="Calibri" w:hAnsi="Calibri" w:cs="Calibri"/>
          <w:noProof/>
        </w:rPr>
        <w:tab/>
        <w:t xml:space="preserve">McDowall AW, Chang J ‐J, Freeman R, Lepault J, Walter CA, Dubochet J. Electron microscopy of frozen hydrated sections of vitreous ice and vitrified biological samples. Journal of Microscopy. 1983;131(1):1–9. </w:t>
      </w:r>
    </w:p>
    <w:p w14:paraId="54146B5D"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259. </w:t>
      </w:r>
      <w:r w:rsidRPr="008828BA">
        <w:rPr>
          <w:rFonts w:ascii="Calibri" w:hAnsi="Calibri" w:cs="Calibri"/>
          <w:noProof/>
        </w:rPr>
        <w:tab/>
        <w:t xml:space="preserve">Adrian M, Dubochet J, Lepault J, McDowall AW. Cryo-electron microscopy of viruses. Nature. 1984;308(5954):32–6. </w:t>
      </w:r>
    </w:p>
    <w:p w14:paraId="2E67BA29"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260. </w:t>
      </w:r>
      <w:r w:rsidRPr="008828BA">
        <w:rPr>
          <w:rFonts w:ascii="Calibri" w:hAnsi="Calibri" w:cs="Calibri"/>
          <w:noProof/>
        </w:rPr>
        <w:tab/>
        <w:t xml:space="preserve">Han HM, Zuber B, Dubochet J. Compression and crevasses in vitreous sections under different cutting conditions. Journal of Microscopy. 2008;230(2):167–71. </w:t>
      </w:r>
    </w:p>
    <w:p w14:paraId="5C5D7588"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261. </w:t>
      </w:r>
      <w:r w:rsidRPr="008828BA">
        <w:rPr>
          <w:rFonts w:ascii="Calibri" w:hAnsi="Calibri" w:cs="Calibri"/>
          <w:noProof/>
        </w:rPr>
        <w:tab/>
        <w:t xml:space="preserve">Richter K, Gnägi H, Dubochet J. A model for cryosectioning based on the morphology of vitrified ultrathin sections. Journal of Microscopy. 1991;163(1):19–28. </w:t>
      </w:r>
    </w:p>
    <w:p w14:paraId="0872DCEB"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262. </w:t>
      </w:r>
      <w:r w:rsidRPr="008828BA">
        <w:rPr>
          <w:rFonts w:ascii="Calibri" w:hAnsi="Calibri" w:cs="Calibri"/>
          <w:noProof/>
        </w:rPr>
        <w:tab/>
        <w:t xml:space="preserve">Rigort A, Bauerlein FJB, Villa E, Eibauer M, Laugks T, Baumeister W, et al. Focused ion beam micromachining of eukaryotic cells for cryoelectron tomography. Proceedings of the National Academy of Sciences. 2012;109(12):4449–54. </w:t>
      </w:r>
    </w:p>
    <w:p w14:paraId="3991D62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263. </w:t>
      </w:r>
      <w:r w:rsidRPr="008828BA">
        <w:rPr>
          <w:rFonts w:ascii="Calibri" w:hAnsi="Calibri" w:cs="Calibri"/>
          <w:noProof/>
        </w:rPr>
        <w:tab/>
        <w:t xml:space="preserve">Marko M, Hsieh C, Schalek R, Frank J, Mannella C. Focused-ion-beam thinning of frozen-hydrated biological specimens for cryo-electron microscopy. Nature Methods. </w:t>
      </w:r>
      <w:r w:rsidRPr="008828BA">
        <w:rPr>
          <w:rFonts w:ascii="Calibri" w:hAnsi="Calibri" w:cs="Calibri"/>
          <w:noProof/>
        </w:rPr>
        <w:lastRenderedPageBreak/>
        <w:t xml:space="preserve">2007;4(3):215–7. </w:t>
      </w:r>
    </w:p>
    <w:p w14:paraId="2AD235AB"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264. </w:t>
      </w:r>
      <w:r w:rsidRPr="008828BA">
        <w:rPr>
          <w:rFonts w:ascii="Calibri" w:hAnsi="Calibri" w:cs="Calibri"/>
          <w:noProof/>
        </w:rPr>
        <w:tab/>
        <w:t xml:space="preserve">Zachs T, Schertel A, Medeiros J, Weiss GL, Hugener J, Matos J, et al. Fully automated, sequential focused ion beam milling for cryo-electron tomography. eLife. 2020 Mar 1;9(e52286):1–14. </w:t>
      </w:r>
    </w:p>
    <w:p w14:paraId="5D61B93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265. </w:t>
      </w:r>
      <w:r w:rsidRPr="008828BA">
        <w:rPr>
          <w:rFonts w:ascii="Calibri" w:hAnsi="Calibri" w:cs="Calibri"/>
          <w:noProof/>
        </w:rPr>
        <w:tab/>
        <w:t xml:space="preserve">Strunk KM, Wang K, Ke D, Gray JL, Zhang P. Thinning of large mammalian cells for cryo-tem characterization by cryo-fib milling. Journal of Microscopy. 2012 Sep;247(3):220–7. </w:t>
      </w:r>
    </w:p>
    <w:p w14:paraId="090C2404"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266. </w:t>
      </w:r>
      <w:r w:rsidRPr="008828BA">
        <w:rPr>
          <w:rFonts w:ascii="Calibri" w:hAnsi="Calibri" w:cs="Calibri"/>
          <w:noProof/>
        </w:rPr>
        <w:tab/>
        <w:t xml:space="preserve">Monteiro JM, Fernandes PB, Vaz F, Pereira AR, Tavares AC, Ferreira MT, et al. Cell shape dynamics during the staphylococcal cell cycle. Nature Communications. 2015;6:8055. </w:t>
      </w:r>
    </w:p>
    <w:p w14:paraId="31CE728A"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267. </w:t>
      </w:r>
      <w:r w:rsidRPr="008828BA">
        <w:rPr>
          <w:rFonts w:ascii="Calibri" w:hAnsi="Calibri" w:cs="Calibri"/>
          <w:noProof/>
        </w:rPr>
        <w:tab/>
        <w:t xml:space="preserve">Lund VA. Peptidoglycan Dynamics in Staphylococcus aureus using Super-Resolution Microscopy. The University of Sheffield; 2016. </w:t>
      </w:r>
    </w:p>
    <w:p w14:paraId="580CDDBD"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268. </w:t>
      </w:r>
      <w:r w:rsidRPr="008828BA">
        <w:rPr>
          <w:rFonts w:ascii="Calibri" w:hAnsi="Calibri" w:cs="Calibri"/>
          <w:noProof/>
        </w:rPr>
        <w:tab/>
        <w:t xml:space="preserve">Graham LL, Beveridge TJ. Structural differentiation of the Bacillus subtilis 168 cell wall. Journal of Bacteriology. 1994;176(5):1413–21. </w:t>
      </w:r>
    </w:p>
    <w:p w14:paraId="00A3920D"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269. </w:t>
      </w:r>
      <w:r w:rsidRPr="008828BA">
        <w:rPr>
          <w:rFonts w:ascii="Calibri" w:hAnsi="Calibri" w:cs="Calibri"/>
          <w:noProof/>
        </w:rPr>
        <w:tab/>
        <w:t xml:space="preserve">Dafis-sagarmendi BA. Ultrastructure of Clostridial endospores. The University of Sheffield; 2021. </w:t>
      </w:r>
    </w:p>
    <w:p w14:paraId="1E26AFE7"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270. </w:t>
      </w:r>
      <w:r w:rsidRPr="008828BA">
        <w:rPr>
          <w:rFonts w:ascii="Calibri" w:hAnsi="Calibri" w:cs="Calibri"/>
          <w:noProof/>
        </w:rPr>
        <w:tab/>
        <w:t xml:space="preserve">Matias VRF, Al-amoudi A, Dubochet J, Beveridge TJ. Cryo-Transmission Electron Microscopy of Frozen-Hydrated Sections of Escherichia coli and Pseudomonas aeruginosa Cryo-Transmission Electron Microscopy of Frozen-Hydrated Sections of Escherichia coli and Pseudomonas aeruginosa. Journal of Bacteriology. 2003;185(20):6112–8. </w:t>
      </w:r>
    </w:p>
    <w:p w14:paraId="4D36E6B8"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271. </w:t>
      </w:r>
      <w:r w:rsidRPr="008828BA">
        <w:rPr>
          <w:rFonts w:ascii="Calibri" w:hAnsi="Calibri" w:cs="Calibri"/>
          <w:noProof/>
        </w:rPr>
        <w:tab/>
        <w:t xml:space="preserve">Matias VRF, Beveridge TJ. Lipoteichoic acid is a major component of the Bacillus subtilis periplasm. Journal of Bacteriology. 2008;190(22):7414–8. </w:t>
      </w:r>
    </w:p>
    <w:p w14:paraId="4E3DEFDB"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272. </w:t>
      </w:r>
      <w:r w:rsidRPr="008828BA">
        <w:rPr>
          <w:rFonts w:ascii="Calibri" w:hAnsi="Calibri" w:cs="Calibri"/>
          <w:noProof/>
        </w:rPr>
        <w:tab/>
        <w:t xml:space="preserve">Percy MG, Gründling A. Lipoteichoic Acid Synthesis and Function in Gram-Positive Bacteria. Annual Review of Microbiology. 2014;68(1):81–100. </w:t>
      </w:r>
    </w:p>
    <w:p w14:paraId="39277FF9"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273. </w:t>
      </w:r>
      <w:r w:rsidRPr="008828BA">
        <w:rPr>
          <w:rFonts w:ascii="Calibri" w:hAnsi="Calibri" w:cs="Calibri"/>
          <w:noProof/>
        </w:rPr>
        <w:tab/>
        <w:t xml:space="preserve">Zhulina EB, Rubinstein M. Ionic strength dependence of polyelectrolyte brush thickness. Soft Matter. 2012;8(36):9376–83. </w:t>
      </w:r>
    </w:p>
    <w:p w14:paraId="3B653E0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274. </w:t>
      </w:r>
      <w:r w:rsidRPr="008828BA">
        <w:rPr>
          <w:rFonts w:ascii="Calibri" w:hAnsi="Calibri" w:cs="Calibri"/>
          <w:noProof/>
        </w:rPr>
        <w:tab/>
        <w:t xml:space="preserve">Campbell J, Singh AK, Santa Maria JP, Kim Y, Brown S, Swoboda JG, et al. Synthetic lethal compound combinations reveal a fundamental connection between wall teichoic acid and peptidoglycan biosyntheses in staphylococcus aureus. ACS Chemical Biology. 2011;6(1):106–16. </w:t>
      </w:r>
    </w:p>
    <w:p w14:paraId="3608C8AA"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275. </w:t>
      </w:r>
      <w:r w:rsidRPr="008828BA">
        <w:rPr>
          <w:rFonts w:ascii="Calibri" w:hAnsi="Calibri" w:cs="Calibri"/>
          <w:noProof/>
        </w:rPr>
        <w:tab/>
        <w:t xml:space="preserve">Matias VRF, Beveridge TJ. Cryo-electron microscopy of cell division in Staphylococcus aureus reveals a mid-zone between nascent cross walls. Molecular Microbiology. 2007;64(1):195–206. </w:t>
      </w:r>
    </w:p>
    <w:p w14:paraId="0A06F7DB"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276. </w:t>
      </w:r>
      <w:r w:rsidRPr="008828BA">
        <w:rPr>
          <w:rFonts w:ascii="Calibri" w:hAnsi="Calibri" w:cs="Calibri"/>
          <w:noProof/>
        </w:rPr>
        <w:tab/>
        <w:t xml:space="preserve">Lee SH, Wang H, Labroli M, Koseoglu S, Zuck P, Mayhood T, et al. TarO-specific inhibitors of wall teichoic acid biosynthesis restore β-lactam efficacy against methicillin-resistant </w:t>
      </w:r>
      <w:r w:rsidRPr="008828BA">
        <w:rPr>
          <w:rFonts w:ascii="Calibri" w:hAnsi="Calibri" w:cs="Calibri"/>
          <w:noProof/>
        </w:rPr>
        <w:lastRenderedPageBreak/>
        <w:t xml:space="preserve">staphylococci. Science Translational Medicine. 2016;8(329). </w:t>
      </w:r>
    </w:p>
    <w:p w14:paraId="485F34B8"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277. </w:t>
      </w:r>
      <w:r w:rsidRPr="008828BA">
        <w:rPr>
          <w:rFonts w:ascii="Calibri" w:hAnsi="Calibri" w:cs="Calibri"/>
          <w:noProof/>
        </w:rPr>
        <w:tab/>
        <w:t xml:space="preserve">Frid P, Anisimov S V., Popovic N. Congo red and protein aggregation in neurodegenerative diseases. Vol. 53, Brain Research Reviews. Elsevier; 2007. p. 135–60. </w:t>
      </w:r>
    </w:p>
    <w:p w14:paraId="07765E79"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278. </w:t>
      </w:r>
      <w:r w:rsidRPr="008828BA">
        <w:rPr>
          <w:rFonts w:ascii="Calibri" w:hAnsi="Calibri" w:cs="Calibri"/>
          <w:noProof/>
        </w:rPr>
        <w:tab/>
        <w:t xml:space="preserve">Suzuki T, Campbell J, Kim Y, Swoboda JG, Mylonakis E, Walker S, et al. Wall teichoic acid protects Staphylococcus aureus from inhibition by Congo red and other dyes. Journal of Antimicrobial Chemotherapy. 2012;67(9):2143–51. </w:t>
      </w:r>
    </w:p>
    <w:p w14:paraId="6313037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279. </w:t>
      </w:r>
      <w:r w:rsidRPr="008828BA">
        <w:rPr>
          <w:rFonts w:ascii="Calibri" w:hAnsi="Calibri" w:cs="Calibri"/>
          <w:noProof/>
        </w:rPr>
        <w:tab/>
        <w:t xml:space="preserve">Santa Maria JP, Sadaka A, Moussa SH, Brown S, Zhang YJ, Rubin EJ, et al. Compound-gene interaction mapping reveals distinct roles for Staphylococcus aureus teichoic acids. Proceedings of the National Academy of Sciences. 2014; </w:t>
      </w:r>
    </w:p>
    <w:p w14:paraId="6B783528"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280. </w:t>
      </w:r>
      <w:r w:rsidRPr="008828BA">
        <w:rPr>
          <w:rFonts w:ascii="Calibri" w:hAnsi="Calibri" w:cs="Calibri"/>
          <w:noProof/>
        </w:rPr>
        <w:tab/>
        <w:t xml:space="preserve">Tomasz A. The mechanism of the irreversible antimicrobial effects of penicillins: how the beta-lactam antibiotics kill and lyse bacteria. Annual review of microbiology. 1979;33:113–37. </w:t>
      </w:r>
    </w:p>
    <w:p w14:paraId="7D9C2C5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281. </w:t>
      </w:r>
      <w:r w:rsidRPr="008828BA">
        <w:rPr>
          <w:rFonts w:ascii="Calibri" w:hAnsi="Calibri" w:cs="Calibri"/>
          <w:noProof/>
        </w:rPr>
        <w:tab/>
        <w:t xml:space="preserve">Tomasz A, Albino A, Zanati E. Multiple antibiotic resistance in a Bacterium with suppressed autolytic System. Nature. 1970;227(5254):138–40. </w:t>
      </w:r>
    </w:p>
    <w:p w14:paraId="6B5D6276"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282. </w:t>
      </w:r>
      <w:r w:rsidRPr="008828BA">
        <w:rPr>
          <w:rFonts w:ascii="Calibri" w:hAnsi="Calibri" w:cs="Calibri"/>
          <w:noProof/>
        </w:rPr>
        <w:tab/>
        <w:t xml:space="preserve">Rogers HJ, Forsberg CW. Role of autolysins in the killing of bacteria by some bactericidal antibiotics. Journal of Bacteriology. 1971;108(3):1235–43. </w:t>
      </w:r>
    </w:p>
    <w:p w14:paraId="789741E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283. </w:t>
      </w:r>
      <w:r w:rsidRPr="008828BA">
        <w:rPr>
          <w:rFonts w:ascii="Calibri" w:hAnsi="Calibri" w:cs="Calibri"/>
          <w:noProof/>
        </w:rPr>
        <w:tab/>
        <w:t xml:space="preserve">Ayusawa D, Yoneda Y, Yamane K, Maruo B. Pleiotropic phenomena in autolytic enzyme(s) content, flagellation, and simultaneous hyperproduction of extracellular α amylase and protease in a Bacillus subtilis mutant. Journal of Bacteriology. 1975;124(1):459–69. </w:t>
      </w:r>
    </w:p>
    <w:p w14:paraId="5DC715B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284. </w:t>
      </w:r>
      <w:r w:rsidRPr="008828BA">
        <w:rPr>
          <w:rFonts w:ascii="Calibri" w:hAnsi="Calibri" w:cs="Calibri"/>
          <w:noProof/>
        </w:rPr>
        <w:tab/>
        <w:t xml:space="preserve">Kohanski MA, Dwyer DJ, Hayete B, Lawrence CA, Collins JJ. A Common Mechanism of Cellular Death Induced by Bactericidal Antibiotics. Cell. 2007;130(5):797–810. </w:t>
      </w:r>
    </w:p>
    <w:p w14:paraId="3998607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285. </w:t>
      </w:r>
      <w:r w:rsidRPr="008828BA">
        <w:rPr>
          <w:rFonts w:ascii="Calibri" w:hAnsi="Calibri" w:cs="Calibri"/>
          <w:noProof/>
        </w:rPr>
        <w:tab/>
        <w:t xml:space="preserve">Wang X, Zhao X. Contribution of oxidative damage to antimicrobial lethality. Antimicrobial Agents and Chemotherapy. 2009;53(4):1395–402. </w:t>
      </w:r>
    </w:p>
    <w:p w14:paraId="25B8EF4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286. </w:t>
      </w:r>
      <w:r w:rsidRPr="008828BA">
        <w:rPr>
          <w:rFonts w:ascii="Calibri" w:hAnsi="Calibri" w:cs="Calibri"/>
          <w:noProof/>
        </w:rPr>
        <w:tab/>
        <w:t xml:space="preserve">Liu Y, Imlay JA. Cell death from antibiotics without the involvement of reactive oxygen species. Science. 2013;339(6124):1210–3. </w:t>
      </w:r>
    </w:p>
    <w:p w14:paraId="42BF2B10"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287. </w:t>
      </w:r>
      <w:r w:rsidRPr="008828BA">
        <w:rPr>
          <w:rFonts w:ascii="Calibri" w:hAnsi="Calibri" w:cs="Calibri"/>
          <w:noProof/>
        </w:rPr>
        <w:tab/>
        <w:t xml:space="preserve">Keren I, Wu Y, Inocencio J, Mulcahy LR, Lewis K. Killing by bactericidal antibiotics does not depend on reactive oxigen species. Science. 2013;339(March):1213–6. </w:t>
      </w:r>
    </w:p>
    <w:p w14:paraId="3AE3E339"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288. </w:t>
      </w:r>
      <w:r w:rsidRPr="008828BA">
        <w:rPr>
          <w:rFonts w:ascii="Calibri" w:hAnsi="Calibri" w:cs="Calibri"/>
          <w:noProof/>
        </w:rPr>
        <w:tab/>
        <w:t xml:space="preserve">Cho H, Uehara T, Bernhardt TG. Beta-lactam antibiotics induce a lethal malfunctioning of the bacterial cell wall synthesis machinery. Cell. 2014;159(6):1300–11. </w:t>
      </w:r>
    </w:p>
    <w:p w14:paraId="5390D67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289. </w:t>
      </w:r>
      <w:r w:rsidRPr="008828BA">
        <w:rPr>
          <w:rFonts w:ascii="Calibri" w:hAnsi="Calibri" w:cs="Calibri"/>
          <w:noProof/>
        </w:rPr>
        <w:tab/>
        <w:t xml:space="preserve">Giesbrecht P, Kersten T, Maidhof H, Wecke J. Staphylococcal cell wall: morphogenesis and fatal variations in the presence of penicillin. Microbiology and molecular biology reviews : MMBR. 1998;62(4):1371–414. </w:t>
      </w:r>
    </w:p>
    <w:p w14:paraId="767FE453"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lastRenderedPageBreak/>
        <w:t xml:space="preserve">290. </w:t>
      </w:r>
      <w:r w:rsidRPr="008828BA">
        <w:rPr>
          <w:rFonts w:ascii="Calibri" w:hAnsi="Calibri" w:cs="Calibri"/>
          <w:noProof/>
        </w:rPr>
        <w:tab/>
        <w:t>Biswas R, Martinez RE, Göhring N, Schlag M, Josten M, Xia G, et al. Proton-binding capacity of staphylococcus aureus wall teichoic acid and its role in controlling autolysin activity. PLoS ONE [Internet]. 2012 Jul 23;7(7). Available from: /pmc/articles/PMC3402425/</w:t>
      </w:r>
    </w:p>
    <w:p w14:paraId="2367293C"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291. </w:t>
      </w:r>
      <w:r w:rsidRPr="008828BA">
        <w:rPr>
          <w:rFonts w:ascii="Calibri" w:hAnsi="Calibri" w:cs="Calibri"/>
          <w:noProof/>
        </w:rPr>
        <w:tab/>
        <w:t xml:space="preserve">Atilano ML, Pereira PM, Yates J, Reed P, Veiga H, Pinho MG, et al. Teichoic acids are temporal and spatial regulators of peptidoglycan cross-linking in Staphylococcus aureus. Proceedings of the National Academy of Sciences. 2010;107(44):18991–6. </w:t>
      </w:r>
    </w:p>
    <w:p w14:paraId="47A5979F" w14:textId="77777777" w:rsidR="008828BA" w:rsidRPr="008828BA" w:rsidRDefault="008828BA" w:rsidP="008828BA">
      <w:pPr>
        <w:widowControl w:val="0"/>
        <w:autoSpaceDE w:val="0"/>
        <w:autoSpaceDN w:val="0"/>
        <w:adjustRightInd w:val="0"/>
        <w:spacing w:before="0" w:after="360" w:line="240" w:lineRule="auto"/>
        <w:ind w:left="640" w:hanging="640"/>
        <w:rPr>
          <w:rFonts w:ascii="Calibri" w:hAnsi="Calibri" w:cs="Calibri"/>
          <w:noProof/>
        </w:rPr>
      </w:pPr>
      <w:r w:rsidRPr="008828BA">
        <w:rPr>
          <w:rFonts w:ascii="Calibri" w:hAnsi="Calibri" w:cs="Calibri"/>
          <w:noProof/>
        </w:rPr>
        <w:t xml:space="preserve">292. </w:t>
      </w:r>
      <w:r w:rsidRPr="008828BA">
        <w:rPr>
          <w:rFonts w:ascii="Calibri" w:hAnsi="Calibri" w:cs="Calibri"/>
          <w:noProof/>
        </w:rPr>
        <w:tab/>
        <w:t>Rajagopal M, Walker S. Envelope Structures of Gram-Positive Bacteria. In: Bagnoli F, Rappuoli R, editors. Protein and Sugar Export and Assembly in Gram-positive Bacteria [Internet]. Cham: Springer International Publishing; 2017. p. 1–44. Available from: https://doi.org/10.1007/82_2015_5021</w:t>
      </w:r>
    </w:p>
    <w:p w14:paraId="547F784E" w14:textId="36B68AC6" w:rsidR="00B30EF8" w:rsidRDefault="00767225" w:rsidP="008828BA">
      <w:pPr>
        <w:widowControl w:val="0"/>
        <w:autoSpaceDE w:val="0"/>
        <w:autoSpaceDN w:val="0"/>
        <w:adjustRightInd w:val="0"/>
        <w:spacing w:before="0" w:after="360" w:line="240" w:lineRule="auto"/>
        <w:ind w:left="640" w:hanging="640"/>
      </w:pPr>
      <w:r>
        <w:fldChar w:fldCharType="end"/>
      </w:r>
      <w:bookmarkEnd w:id="882"/>
      <w:r w:rsidR="00B30EF8">
        <w:br w:type="page"/>
      </w:r>
    </w:p>
    <w:p w14:paraId="494088C2" w14:textId="2175358C" w:rsidR="00363E45" w:rsidRDefault="00B30EF8" w:rsidP="00516131">
      <w:pPr>
        <w:pStyle w:val="ChaptertitleThesis"/>
      </w:pPr>
      <w:bookmarkStart w:id="883" w:name="_Toc90216925"/>
      <w:r>
        <w:lastRenderedPageBreak/>
        <w:t>Appendix</w:t>
      </w:r>
      <w:r w:rsidR="00C970AF">
        <w:t xml:space="preserve">: </w:t>
      </w:r>
      <w:r w:rsidR="00DC1E64">
        <w:t>S</w:t>
      </w:r>
      <w:r w:rsidR="00C970AF">
        <w:t xml:space="preserve">upplementary </w:t>
      </w:r>
      <w:r w:rsidR="00DC1E64">
        <w:t>Fi</w:t>
      </w:r>
      <w:r w:rsidR="00C970AF">
        <w:t>gures</w:t>
      </w:r>
      <w:bookmarkEnd w:id="883"/>
    </w:p>
    <w:p w14:paraId="71A8E218" w14:textId="77777777" w:rsidR="00816F89" w:rsidRDefault="00816F89" w:rsidP="00460DE0">
      <w:pPr>
        <w:pStyle w:val="NoSpacing"/>
        <w:jc w:val="center"/>
      </w:pPr>
      <w:r>
        <w:rPr>
          <w:noProof/>
        </w:rPr>
        <w:drawing>
          <wp:inline distT="0" distB="0" distL="0" distR="0" wp14:anchorId="2ED55693" wp14:editId="476F45A5">
            <wp:extent cx="5329851" cy="7971604"/>
            <wp:effectExtent l="0" t="0" r="4445"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329851" cy="7971604"/>
                    </a:xfrm>
                    <a:prstGeom prst="rect">
                      <a:avLst/>
                    </a:prstGeom>
                  </pic:spPr>
                </pic:pic>
              </a:graphicData>
            </a:graphic>
          </wp:inline>
        </w:drawing>
      </w:r>
    </w:p>
    <w:p w14:paraId="45BF171F" w14:textId="5340B0B0" w:rsidR="00916A00" w:rsidRDefault="001422FF" w:rsidP="008A2B86">
      <w:pPr>
        <w:pStyle w:val="Caption"/>
        <w:rPr>
          <w:i/>
        </w:rPr>
        <w:sectPr w:rsidR="00916A00" w:rsidSect="004D0E05">
          <w:pgSz w:w="11906" w:h="16838"/>
          <w:pgMar w:top="1191" w:right="1247" w:bottom="1191" w:left="1247" w:header="709" w:footer="709" w:gutter="0"/>
          <w:cols w:space="708"/>
          <w:titlePg/>
          <w:docGrid w:linePitch="360"/>
        </w:sectPr>
      </w:pPr>
      <w:bookmarkStart w:id="884" w:name="_Ref77866475"/>
      <w:bookmarkStart w:id="885" w:name="_Toc90217053"/>
      <w:r>
        <w:t>Supplementary Figure</w:t>
      </w:r>
      <w:r w:rsidR="00816F89">
        <w:t xml:space="preserve"> </w:t>
      </w:r>
      <w:r w:rsidR="003373BF">
        <w:fldChar w:fldCharType="begin"/>
      </w:r>
      <w:r w:rsidR="003373BF">
        <w:instrText xml:space="preserve"> SEQ Appendix \* ARABIC </w:instrText>
      </w:r>
      <w:r w:rsidR="003373BF">
        <w:fldChar w:fldCharType="separate"/>
      </w:r>
      <w:r w:rsidR="00183CC8">
        <w:rPr>
          <w:noProof/>
        </w:rPr>
        <w:t>1</w:t>
      </w:r>
      <w:r w:rsidR="003373BF">
        <w:rPr>
          <w:noProof/>
        </w:rPr>
        <w:fldChar w:fldCharType="end"/>
      </w:r>
      <w:bookmarkEnd w:id="884"/>
      <w:r w:rsidR="00686D24">
        <w:t xml:space="preserve"> Morphological quantification of aberrant cells of </w:t>
      </w:r>
      <w:r w:rsidR="00686D24">
        <w:rPr>
          <w:i/>
        </w:rPr>
        <w:t>iltaS.</w:t>
      </w:r>
      <w:bookmarkEnd w:id="885"/>
    </w:p>
    <w:p w14:paraId="319D3A50" w14:textId="41EED6C3" w:rsidR="00153501" w:rsidRDefault="00153501" w:rsidP="008A2B86">
      <w:pPr>
        <w:pStyle w:val="Caption"/>
      </w:pPr>
      <w:r>
        <w:rPr>
          <w:bCs/>
        </w:rPr>
        <w:lastRenderedPageBreak/>
        <w:fldChar w:fldCharType="begin"/>
      </w:r>
      <w:r>
        <w:rPr>
          <w:bCs/>
        </w:rPr>
        <w:instrText xml:space="preserve"> REF _Ref77866475 \h </w:instrText>
      </w:r>
      <w:r>
        <w:rPr>
          <w:bCs/>
        </w:rPr>
      </w:r>
      <w:r>
        <w:rPr>
          <w:bCs/>
        </w:rPr>
        <w:fldChar w:fldCharType="separate"/>
      </w:r>
      <w:r w:rsidR="00183CC8">
        <w:t xml:space="preserve">Supplementary Figure </w:t>
      </w:r>
      <w:r w:rsidR="00183CC8">
        <w:rPr>
          <w:noProof/>
        </w:rPr>
        <w:t>1</w:t>
      </w:r>
      <w:r>
        <w:rPr>
          <w:bCs/>
        </w:rPr>
        <w:fldChar w:fldCharType="end"/>
      </w:r>
      <w:r>
        <w:rPr>
          <w:bCs/>
        </w:rPr>
        <w:t xml:space="preserve"> </w:t>
      </w:r>
      <w:r>
        <w:t xml:space="preserve">Morphological quantification of aberrant cells of </w:t>
      </w:r>
      <w:r>
        <w:rPr>
          <w:i/>
        </w:rPr>
        <w:t>iltaS.</w:t>
      </w:r>
    </w:p>
    <w:p w14:paraId="24C535E5" w14:textId="77777777" w:rsidR="00F316A4" w:rsidRDefault="00B847E0" w:rsidP="00B847E0">
      <w:pPr>
        <w:pStyle w:val="NoSpacing"/>
        <w:sectPr w:rsidR="00F316A4" w:rsidSect="004D0E05">
          <w:pgSz w:w="11906" w:h="16838"/>
          <w:pgMar w:top="1191" w:right="1247" w:bottom="1191" w:left="1247" w:header="709" w:footer="709" w:gutter="0"/>
          <w:cols w:space="708"/>
          <w:titlePg/>
          <w:docGrid w:linePitch="360"/>
        </w:sectPr>
      </w:pPr>
      <w:r>
        <w:rPr>
          <w:b/>
          <w:bCs/>
        </w:rPr>
        <w:t xml:space="preserve">(A) </w:t>
      </w:r>
      <w:r w:rsidR="008F37A4">
        <w:t>Categorisation</w:t>
      </w:r>
      <w:r>
        <w:t xml:space="preserve"> of aberrant cells of </w:t>
      </w:r>
      <w:r>
        <w:rPr>
          <w:i/>
          <w:iCs/>
        </w:rPr>
        <w:t>iltaS</w:t>
      </w:r>
      <w:r>
        <w:t xml:space="preserve"> with 1 mM IPTG (red</w:t>
      </w:r>
      <w:r w:rsidR="008F37A4">
        <w:t>– control</w:t>
      </w:r>
      <w:r>
        <w:t>) and without the inducer</w:t>
      </w:r>
      <w:r>
        <w:rPr>
          <w:i/>
          <w:iCs/>
        </w:rPr>
        <w:t xml:space="preserve"> </w:t>
      </w:r>
      <w:r>
        <w:t>(orange) after 2, 4 and 6 h of growth.</w:t>
      </w:r>
      <w:r>
        <w:rPr>
          <w:b/>
          <w:bCs/>
        </w:rPr>
        <w:t xml:space="preserve"> </w:t>
      </w:r>
      <w:r w:rsidR="008F37A4">
        <w:t>Growth defects are categorised into</w:t>
      </w:r>
      <w:r>
        <w:t xml:space="preserve">: </w:t>
      </w:r>
      <w:r w:rsidR="008F37A4">
        <w:t xml:space="preserve">multiple complete septa (pale blue), multiple incomplete septa (pale yellow), multiple complete + incomplete septa (pale pink) and other defects (pale green) </w:t>
      </w:r>
      <w:r>
        <w:rPr>
          <w:b/>
          <w:bCs/>
        </w:rPr>
        <w:t xml:space="preserve">(B) </w:t>
      </w:r>
      <w:r>
        <w:t xml:space="preserve">Representative TEM micrographs for each quantification category. Cropped from high magnification (2900x), scale bars 300 nm. </w:t>
      </w:r>
      <w:r>
        <w:rPr>
          <w:b/>
          <w:bCs/>
        </w:rPr>
        <w:t>(</w:t>
      </w:r>
      <w:r w:rsidR="00563DFA">
        <w:rPr>
          <w:b/>
          <w:bCs/>
        </w:rPr>
        <w:t>C</w:t>
      </w:r>
      <w:r>
        <w:rPr>
          <w:b/>
          <w:bCs/>
        </w:rPr>
        <w:t>)</w:t>
      </w:r>
      <w:r>
        <w:t xml:space="preserve"> Mean value for each category</w:t>
      </w:r>
      <w:r w:rsidR="00C20EC9">
        <w:t xml:space="preserve"> </w:t>
      </w:r>
      <w:r w:rsidR="00563DFA">
        <w:t>represent</w:t>
      </w:r>
      <w:r w:rsidR="00C20EC9">
        <w:t>ing</w:t>
      </w:r>
      <w:r w:rsidR="00563DFA">
        <w:t xml:space="preserve"> the percentage of the total </w:t>
      </w:r>
      <w:r w:rsidR="00C20EC9">
        <w:t xml:space="preserve">sample </w:t>
      </w:r>
      <w:r w:rsidR="00563DFA">
        <w:t>population.</w:t>
      </w:r>
      <w:r>
        <w:t xml:space="preserve"> One biological repeat. Total number of cells analysed for </w:t>
      </w:r>
      <w:r>
        <w:rPr>
          <w:i/>
          <w:iCs/>
        </w:rPr>
        <w:t>iltaS</w:t>
      </w:r>
      <w:r>
        <w:t xml:space="preserve"> (IPTG): </w:t>
      </w:r>
      <w:r>
        <w:rPr>
          <w:i/>
          <w:iCs/>
        </w:rPr>
        <w:t>n </w:t>
      </w:r>
      <w:r>
        <w:t xml:space="preserve">= 463 (2 h), </w:t>
      </w:r>
      <w:r>
        <w:rPr>
          <w:i/>
          <w:iCs/>
        </w:rPr>
        <w:t>n </w:t>
      </w:r>
      <w:r>
        <w:t xml:space="preserve">= 608 (4 h), and </w:t>
      </w:r>
      <w:r>
        <w:rPr>
          <w:i/>
          <w:iCs/>
        </w:rPr>
        <w:t>n </w:t>
      </w:r>
      <w:r>
        <w:t xml:space="preserve">= 753 (6 h). Total number of cells analysed for </w:t>
      </w:r>
      <w:r>
        <w:rPr>
          <w:i/>
          <w:iCs/>
        </w:rPr>
        <w:t>iltaS</w:t>
      </w:r>
      <w:r>
        <w:t xml:space="preserve">: </w:t>
      </w:r>
      <w:r>
        <w:rPr>
          <w:i/>
          <w:iCs/>
        </w:rPr>
        <w:t>n </w:t>
      </w:r>
      <w:r>
        <w:t xml:space="preserve">= 726 (2 h), </w:t>
      </w:r>
      <w:r>
        <w:rPr>
          <w:i/>
          <w:iCs/>
        </w:rPr>
        <w:t>n </w:t>
      </w:r>
      <w:r>
        <w:t xml:space="preserve">= 617 (4 h) and </w:t>
      </w:r>
      <w:r>
        <w:rPr>
          <w:i/>
          <w:iCs/>
        </w:rPr>
        <w:t>n</w:t>
      </w:r>
      <w:r>
        <w:t> = 736 (6 h).</w:t>
      </w:r>
    </w:p>
    <w:p w14:paraId="1090C4F5" w14:textId="77777777" w:rsidR="00F316A4" w:rsidRDefault="00F316A4" w:rsidP="00D92086">
      <w:pPr>
        <w:pStyle w:val="NoSpacing"/>
        <w:keepNext/>
        <w:jc w:val="center"/>
      </w:pPr>
      <w:r>
        <w:rPr>
          <w:noProof/>
        </w:rPr>
        <w:lastRenderedPageBreak/>
        <w:drawing>
          <wp:inline distT="0" distB="0" distL="0" distR="0" wp14:anchorId="1C7724C5" wp14:editId="67CEE176">
            <wp:extent cx="4012523" cy="7651789"/>
            <wp:effectExtent l="0" t="0" r="127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4024884" cy="7675361"/>
                    </a:xfrm>
                    <a:prstGeom prst="rect">
                      <a:avLst/>
                    </a:prstGeom>
                  </pic:spPr>
                </pic:pic>
              </a:graphicData>
            </a:graphic>
          </wp:inline>
        </w:drawing>
      </w:r>
    </w:p>
    <w:p w14:paraId="6CE87502" w14:textId="204BF378" w:rsidR="00B847E0" w:rsidRPr="0016296A" w:rsidRDefault="001422FF" w:rsidP="008A2B86">
      <w:pPr>
        <w:pStyle w:val="Caption"/>
      </w:pPr>
      <w:bookmarkStart w:id="886" w:name="_Ref77883118"/>
      <w:bookmarkStart w:id="887" w:name="_Toc90217054"/>
      <w:r>
        <w:t>Supplementary Figure</w:t>
      </w:r>
      <w:r w:rsidR="00F316A4">
        <w:t xml:space="preserve"> </w:t>
      </w:r>
      <w:r w:rsidR="003373BF">
        <w:fldChar w:fldCharType="begin"/>
      </w:r>
      <w:r w:rsidR="003373BF">
        <w:instrText xml:space="preserve"> SEQ Appendix \* ARABIC </w:instrText>
      </w:r>
      <w:r w:rsidR="003373BF">
        <w:fldChar w:fldCharType="separate"/>
      </w:r>
      <w:r w:rsidR="00183CC8">
        <w:rPr>
          <w:noProof/>
        </w:rPr>
        <w:t>2</w:t>
      </w:r>
      <w:r w:rsidR="003373BF">
        <w:rPr>
          <w:noProof/>
        </w:rPr>
        <w:fldChar w:fldCharType="end"/>
      </w:r>
      <w:bookmarkEnd w:id="886"/>
      <w:r w:rsidR="00F316A4">
        <w:t xml:space="preserve"> </w:t>
      </w:r>
      <w:r w:rsidR="004C4A7B">
        <w:t xml:space="preserve"> </w:t>
      </w:r>
      <w:r w:rsidR="00D93F58">
        <w:t>Dual</w:t>
      </w:r>
      <w:r w:rsidR="00837001">
        <w:t xml:space="preserve"> </w:t>
      </w:r>
      <w:r w:rsidR="00837001">
        <w:rPr>
          <w:i/>
        </w:rPr>
        <w:t>ltaS gdpP::kan</w:t>
      </w:r>
      <w:r w:rsidR="00EB411C">
        <w:t xml:space="preserve"> population</w:t>
      </w:r>
      <w:r w:rsidR="0016296A">
        <w:t xml:space="preserve"> according to cell size.</w:t>
      </w:r>
      <w:bookmarkEnd w:id="887"/>
    </w:p>
    <w:p w14:paraId="7BAE6B1F" w14:textId="7AF4B191" w:rsidR="00D259D3" w:rsidRDefault="00034CC9" w:rsidP="00034CC9">
      <w:pPr>
        <w:pStyle w:val="NoSpacing"/>
        <w:sectPr w:rsidR="00D259D3" w:rsidSect="004D0E05">
          <w:pgSz w:w="11906" w:h="16838"/>
          <w:pgMar w:top="1191" w:right="1247" w:bottom="1191" w:left="1247" w:header="709" w:footer="709" w:gutter="0"/>
          <w:cols w:space="708"/>
          <w:titlePg/>
          <w:docGrid w:linePitch="360"/>
        </w:sectPr>
      </w:pPr>
      <w:r>
        <w:rPr>
          <w:b/>
          <w:bCs/>
        </w:rPr>
        <w:t>(A)</w:t>
      </w:r>
      <w:r>
        <w:t xml:space="preserve"> In depth categorization of </w:t>
      </w:r>
      <w:r>
        <w:rPr>
          <w:i/>
          <w:iCs/>
        </w:rPr>
        <w:t>ltaS gdpP::kan</w:t>
      </w:r>
      <w:r>
        <w:t xml:space="preserve"> sample population (</w:t>
      </w:r>
      <w:r>
        <w:rPr>
          <w:i/>
          <w:iCs/>
        </w:rPr>
        <w:t>n </w:t>
      </w:r>
      <w:r>
        <w:t xml:space="preserve">= 1467), where 53 % of the cells have an increased cell size characteristic of the lack of </w:t>
      </w:r>
      <w:r w:rsidR="00AA62F7">
        <w:t>lipoteichoic acids (</w:t>
      </w:r>
      <w:r>
        <w:t>LTA</w:t>
      </w:r>
      <w:r w:rsidR="00AA62F7">
        <w:t>)</w:t>
      </w:r>
      <w:r w:rsidR="00892558">
        <w:t xml:space="preserve"> </w:t>
      </w:r>
      <w:r w:rsidR="00EA2D09">
        <w:t>and</w:t>
      </w:r>
      <w:r w:rsidR="00892558">
        <w:t xml:space="preserve"> 47</w:t>
      </w:r>
      <w:r w:rsidR="00EA2D09">
        <w:t>.03</w:t>
      </w:r>
      <w:r w:rsidR="00892558">
        <w:t> % have a normal size</w:t>
      </w:r>
      <w:r>
        <w:t xml:space="preserve">. Pie charts represent the percentage of cells with bigger size within each quantification category. </w:t>
      </w:r>
      <w:r w:rsidR="00EA2D09">
        <w:t>Overall,</w:t>
      </w:r>
      <w:r w:rsidR="00892558">
        <w:t xml:space="preserve"> </w:t>
      </w:r>
      <w:r w:rsidR="00EA2D09">
        <w:t>~ </w:t>
      </w:r>
      <w:r w:rsidR="00892558">
        <w:t xml:space="preserve">41.2 % of the population have both a normal </w:t>
      </w:r>
      <w:r w:rsidR="00EA2D09">
        <w:t xml:space="preserve">cell </w:t>
      </w:r>
      <w:r w:rsidR="00892558">
        <w:t xml:space="preserve">size and morphology. </w:t>
      </w:r>
      <w:r>
        <w:t xml:space="preserve">This mutant’s growth defects </w:t>
      </w:r>
      <w:r w:rsidR="00B16186">
        <w:t>consist</w:t>
      </w:r>
      <w:r>
        <w:t xml:space="preserve"> of various division aberrations.</w:t>
      </w:r>
      <w:r w:rsidR="00892558">
        <w:t xml:space="preserve"> </w:t>
      </w:r>
      <w:r w:rsidR="00551DBD">
        <w:rPr>
          <w:b/>
          <w:bCs/>
        </w:rPr>
        <w:t xml:space="preserve">(B) </w:t>
      </w:r>
      <w:r w:rsidR="00551DBD">
        <w:t>Representative TEM micrographs</w:t>
      </w:r>
      <w:r w:rsidR="00551DBD" w:rsidRPr="00610B45">
        <w:t xml:space="preserve"> </w:t>
      </w:r>
      <w:r w:rsidR="00551DBD">
        <w:t>of</w:t>
      </w:r>
      <w:r w:rsidR="00FA6728">
        <w:t xml:space="preserve"> the categories in (A) for</w:t>
      </w:r>
      <w:r w:rsidR="00551DBD">
        <w:t xml:space="preserve"> </w:t>
      </w:r>
      <w:r w:rsidR="00551DBD">
        <w:rPr>
          <w:i/>
          <w:iCs/>
        </w:rPr>
        <w:t>ltaS gdpP::kan</w:t>
      </w:r>
      <w:r w:rsidR="00551DBD">
        <w:t>. Cropped from high magnification (4800x and 2900x), scale bars 300 nm.</w:t>
      </w:r>
    </w:p>
    <w:p w14:paraId="60A926AD" w14:textId="77777777" w:rsidR="00D259D3" w:rsidRDefault="00D259D3" w:rsidP="000410D0">
      <w:pPr>
        <w:pStyle w:val="NoSpacing"/>
        <w:keepNext/>
        <w:jc w:val="center"/>
      </w:pPr>
      <w:r>
        <w:rPr>
          <w:noProof/>
        </w:rPr>
        <w:lastRenderedPageBreak/>
        <w:drawing>
          <wp:inline distT="0" distB="0" distL="0" distR="0" wp14:anchorId="7CBDF0D0" wp14:editId="10BB3831">
            <wp:extent cx="5557432" cy="2628900"/>
            <wp:effectExtent l="0" t="0" r="5715" b="0"/>
            <wp:docPr id="130" name="Picture 130"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Chart, line chart, scatter chart&#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562992" cy="2631530"/>
                    </a:xfrm>
                    <a:prstGeom prst="rect">
                      <a:avLst/>
                    </a:prstGeom>
                  </pic:spPr>
                </pic:pic>
              </a:graphicData>
            </a:graphic>
          </wp:inline>
        </w:drawing>
      </w:r>
    </w:p>
    <w:p w14:paraId="08C5031D" w14:textId="39E4909A" w:rsidR="00D259D3" w:rsidRDefault="002D24C7" w:rsidP="008A2B86">
      <w:pPr>
        <w:pStyle w:val="Caption"/>
      </w:pPr>
      <w:bookmarkStart w:id="888" w:name="_Ref78912936"/>
      <w:bookmarkStart w:id="889" w:name="_Toc90217055"/>
      <w:r>
        <w:t>Supplementary Figure</w:t>
      </w:r>
      <w:r w:rsidR="00D259D3">
        <w:t xml:space="preserve"> </w:t>
      </w:r>
      <w:r w:rsidR="003373BF">
        <w:fldChar w:fldCharType="begin"/>
      </w:r>
      <w:r w:rsidR="003373BF">
        <w:instrText xml:space="preserve"> SEQ Appendix \* ARABIC </w:instrText>
      </w:r>
      <w:r w:rsidR="003373BF">
        <w:fldChar w:fldCharType="separate"/>
      </w:r>
      <w:r w:rsidR="00183CC8">
        <w:rPr>
          <w:noProof/>
        </w:rPr>
        <w:t>3</w:t>
      </w:r>
      <w:r w:rsidR="003373BF">
        <w:rPr>
          <w:noProof/>
        </w:rPr>
        <w:fldChar w:fldCharType="end"/>
      </w:r>
      <w:bookmarkEnd w:id="888"/>
      <w:r w:rsidR="000E6935">
        <w:t xml:space="preserve">  </w:t>
      </w:r>
      <w:r w:rsidR="000E6935" w:rsidRPr="00620C59">
        <w:t xml:space="preserve">Effects of Congo red on bacterial growth and its comparison </w:t>
      </w:r>
      <w:r w:rsidR="000E6935">
        <w:rPr>
          <w:i/>
          <w:iCs w:val="0"/>
        </w:rPr>
        <w:t>iltaS</w:t>
      </w:r>
      <w:r w:rsidR="000E6935" w:rsidRPr="00620C59">
        <w:t>.</w:t>
      </w:r>
      <w:bookmarkEnd w:id="889"/>
    </w:p>
    <w:p w14:paraId="6B449CF0" w14:textId="12A62CBE" w:rsidR="009A0FE6" w:rsidRPr="00620C59" w:rsidRDefault="003B48AA" w:rsidP="009A0FE6">
      <w:pPr>
        <w:pStyle w:val="NoSpacing"/>
        <w:sectPr w:rsidR="009A0FE6" w:rsidRPr="00620C59" w:rsidSect="004D0E05">
          <w:pgSz w:w="11906" w:h="16838"/>
          <w:pgMar w:top="1191" w:right="1247" w:bottom="1191" w:left="1247" w:header="709" w:footer="709" w:gutter="0"/>
          <w:cols w:space="708"/>
          <w:titlePg/>
          <w:docGrid w:linePitch="360"/>
        </w:sectPr>
      </w:pPr>
      <w:r w:rsidRPr="00620C59">
        <w:t xml:space="preserve">Comparison of SH1000 plus 10 µg/ml of Congo red (blue half horizontal circle) to </w:t>
      </w:r>
      <w:r w:rsidRPr="00620C59">
        <w:rPr>
          <w:i/>
          <w:iCs/>
        </w:rPr>
        <w:t>iltaS</w:t>
      </w:r>
      <w:r w:rsidRPr="00620C59">
        <w:t xml:space="preserve"> with 1 mM of IPTG (red square)</w:t>
      </w:r>
      <w:r>
        <w:t xml:space="preserve"> and</w:t>
      </w:r>
      <w:r w:rsidRPr="00620C59">
        <w:t xml:space="preserve"> </w:t>
      </w:r>
      <w:r w:rsidRPr="00620C59">
        <w:rPr>
          <w:i/>
          <w:iCs/>
        </w:rPr>
        <w:t>iltaS</w:t>
      </w:r>
      <w:r w:rsidRPr="00620C59">
        <w:t xml:space="preserve"> without the inducer (orange square)</w:t>
      </w:r>
      <w:r>
        <w:t xml:space="preserve">, as measured by </w:t>
      </w:r>
      <w:r w:rsidR="00524E4F">
        <w:rPr>
          <w:b/>
          <w:bCs/>
        </w:rPr>
        <w:t xml:space="preserve">(A) </w:t>
      </w:r>
      <w:r w:rsidR="009A0FE6" w:rsidRPr="00620C59">
        <w:t xml:space="preserve">Normalised absorbance and </w:t>
      </w:r>
      <w:r w:rsidR="00524E4F">
        <w:rPr>
          <w:b/>
          <w:bCs/>
        </w:rPr>
        <w:t xml:space="preserve">(B) </w:t>
      </w:r>
      <w:r w:rsidR="009A0FE6" w:rsidRPr="00620C59">
        <w:t>CFU/ml</w:t>
      </w:r>
      <w:r>
        <w:t xml:space="preserve">. </w:t>
      </w:r>
      <w:r w:rsidR="009A0FE6" w:rsidRPr="00620C59">
        <w:t>Average of &gt; 3 biological repeats. SH1000 + Congo red was carried out by Dr. Oliver Carnell.</w:t>
      </w:r>
    </w:p>
    <w:p w14:paraId="49B6B4EF" w14:textId="77777777" w:rsidR="007E2903" w:rsidRDefault="00793707" w:rsidP="000410D0">
      <w:pPr>
        <w:pStyle w:val="NoSpacing"/>
        <w:keepNext/>
        <w:jc w:val="center"/>
      </w:pPr>
      <w:r>
        <w:rPr>
          <w:noProof/>
        </w:rPr>
        <w:lastRenderedPageBreak/>
        <w:drawing>
          <wp:inline distT="0" distB="0" distL="0" distR="0" wp14:anchorId="736AE700" wp14:editId="3EABF3D1">
            <wp:extent cx="5617745" cy="2732809"/>
            <wp:effectExtent l="0" t="0" r="0" b="0"/>
            <wp:docPr id="131" name="Picture 13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Chart, line chart&#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627301" cy="2737458"/>
                    </a:xfrm>
                    <a:prstGeom prst="rect">
                      <a:avLst/>
                    </a:prstGeom>
                  </pic:spPr>
                </pic:pic>
              </a:graphicData>
            </a:graphic>
          </wp:inline>
        </w:drawing>
      </w:r>
    </w:p>
    <w:p w14:paraId="294F09AB" w14:textId="4EBA13CC" w:rsidR="00793707" w:rsidRPr="004372D9" w:rsidRDefault="007E2903" w:rsidP="008A2B86">
      <w:pPr>
        <w:pStyle w:val="Caption"/>
      </w:pPr>
      <w:bookmarkStart w:id="890" w:name="_Ref78914126"/>
      <w:bookmarkStart w:id="891" w:name="_Toc90217056"/>
      <w:r>
        <w:t xml:space="preserve">Supplementary Figure </w:t>
      </w:r>
      <w:r w:rsidR="003373BF">
        <w:fldChar w:fldCharType="begin"/>
      </w:r>
      <w:r w:rsidR="003373BF">
        <w:instrText xml:space="preserve"> SEQ Appendix \* ARABIC </w:instrText>
      </w:r>
      <w:r w:rsidR="003373BF">
        <w:fldChar w:fldCharType="separate"/>
      </w:r>
      <w:r w:rsidR="00183CC8">
        <w:rPr>
          <w:noProof/>
        </w:rPr>
        <w:t>4</w:t>
      </w:r>
      <w:r w:rsidR="003373BF">
        <w:rPr>
          <w:noProof/>
        </w:rPr>
        <w:fldChar w:fldCharType="end"/>
      </w:r>
      <w:bookmarkEnd w:id="890"/>
      <w:r>
        <w:t xml:space="preserve">  </w:t>
      </w:r>
      <w:r w:rsidR="004372D9" w:rsidRPr="00D01BCD">
        <w:t>Effect of the chemical interruption of WTA and LTA bi</w:t>
      </w:r>
      <w:r w:rsidR="004372D9">
        <w:t xml:space="preserve">osynthesis on bacterial growth and its comparison to </w:t>
      </w:r>
      <w:r w:rsidR="004372D9">
        <w:rPr>
          <w:i/>
          <w:iCs w:val="0"/>
        </w:rPr>
        <w:t>iltaS</w:t>
      </w:r>
      <w:r w:rsidR="004372D9">
        <w:t xml:space="preserve"> treated with tarocin.</w:t>
      </w:r>
      <w:bookmarkEnd w:id="891"/>
    </w:p>
    <w:p w14:paraId="254BBB6D" w14:textId="0BA4CE88" w:rsidR="00601ED8" w:rsidRDefault="00601ED8" w:rsidP="00601ED8">
      <w:pPr>
        <w:pStyle w:val="NoSpacing"/>
        <w:sectPr w:rsidR="00601ED8" w:rsidSect="004D0E05">
          <w:pgSz w:w="11906" w:h="16838"/>
          <w:pgMar w:top="1191" w:right="1247" w:bottom="1191" w:left="1247" w:header="709" w:footer="709" w:gutter="0"/>
          <w:cols w:space="708"/>
          <w:titlePg/>
          <w:docGrid w:linePitch="360"/>
        </w:sectPr>
      </w:pPr>
      <w:r>
        <w:t xml:space="preserve">Comparison of </w:t>
      </w:r>
      <w:r w:rsidR="001B7B53">
        <w:rPr>
          <w:i/>
          <w:iCs/>
        </w:rPr>
        <w:t>S. aureus</w:t>
      </w:r>
      <w:r w:rsidR="001B7B53">
        <w:t xml:space="preserve"> </w:t>
      </w:r>
      <w:r>
        <w:t xml:space="preserve">SH1000 </w:t>
      </w:r>
      <w:r w:rsidR="00F46F87">
        <w:t>treated with</w:t>
      </w:r>
      <w:r>
        <w:t xml:space="preserve"> tunicamycin </w:t>
      </w:r>
      <w:r w:rsidR="00F46F87">
        <w:t>and</w:t>
      </w:r>
      <w:r>
        <w:t xml:space="preserve"> Congo red</w:t>
      </w:r>
      <w:r w:rsidR="00F46F87">
        <w:t xml:space="preserve"> (blue circle with a cross)</w:t>
      </w:r>
      <w:r>
        <w:t xml:space="preserve"> to </w:t>
      </w:r>
      <w:r>
        <w:rPr>
          <w:i/>
          <w:iCs/>
        </w:rPr>
        <w:t>iltaS</w:t>
      </w:r>
      <w:r>
        <w:t xml:space="preserve"> </w:t>
      </w:r>
      <w:r w:rsidR="00F46F87">
        <w:t xml:space="preserve">treated </w:t>
      </w:r>
      <w:r>
        <w:t>with tarocin (orange half square)</w:t>
      </w:r>
      <w:r w:rsidR="005C26D8">
        <w:t xml:space="preserve">, as measured by </w:t>
      </w:r>
      <w:r w:rsidR="005C26D8">
        <w:rPr>
          <w:b/>
          <w:bCs/>
        </w:rPr>
        <w:t xml:space="preserve">(A) </w:t>
      </w:r>
      <w:r w:rsidR="00F91093">
        <w:t>n</w:t>
      </w:r>
      <w:r w:rsidR="005C26D8">
        <w:t xml:space="preserve">ormalised absorbance and </w:t>
      </w:r>
      <w:r w:rsidR="005C26D8">
        <w:rPr>
          <w:b/>
          <w:bCs/>
        </w:rPr>
        <w:t xml:space="preserve">(B) </w:t>
      </w:r>
      <w:r w:rsidR="005C26D8">
        <w:t>CFU/ml.</w:t>
      </w:r>
      <w:r>
        <w:t xml:space="preserve"> </w:t>
      </w:r>
      <w:r w:rsidR="00F91093">
        <w:t xml:space="preserve">The controls </w:t>
      </w:r>
      <w:r w:rsidR="00B16186">
        <w:t>include</w:t>
      </w:r>
      <w:r w:rsidR="00F91093">
        <w:t xml:space="preserve"> </w:t>
      </w:r>
      <w:r w:rsidR="00F91093">
        <w:rPr>
          <w:i/>
          <w:iCs/>
        </w:rPr>
        <w:t>tarO</w:t>
      </w:r>
      <w:r w:rsidR="00F91093">
        <w:t xml:space="preserve"> (green rhombus), </w:t>
      </w:r>
      <w:r w:rsidR="00F91093">
        <w:rPr>
          <w:i/>
          <w:iCs/>
        </w:rPr>
        <w:t>iltaS</w:t>
      </w:r>
      <w:r w:rsidR="00F91093">
        <w:t xml:space="preserve"> with 1 mM IPTG (red square) and </w:t>
      </w:r>
      <w:r w:rsidR="00F91093">
        <w:rPr>
          <w:i/>
          <w:iCs/>
        </w:rPr>
        <w:t>iltaS</w:t>
      </w:r>
      <w:r w:rsidR="00F91093">
        <w:t xml:space="preserve"> without the inducer (orange square). </w:t>
      </w:r>
      <w:r>
        <w:t>Tarocin and tunicamycin– 2.5 µg/ml. Congo red– 10 µg/ml. All values are the average of &gt; 3 biological repeats. Congo red experiment was carried out by Dr. Oliver Carnell.</w:t>
      </w:r>
    </w:p>
    <w:p w14:paraId="13E31381" w14:textId="47E54591" w:rsidR="006F4362" w:rsidRDefault="00842281" w:rsidP="005A6573">
      <w:pPr>
        <w:pStyle w:val="NoSpacing"/>
        <w:jc w:val="center"/>
      </w:pPr>
      <w:r>
        <w:rPr>
          <w:noProof/>
        </w:rPr>
        <w:lastRenderedPageBreak/>
        <w:drawing>
          <wp:inline distT="0" distB="0" distL="0" distR="0" wp14:anchorId="092CD1D0" wp14:editId="1E330FB4">
            <wp:extent cx="5771436" cy="6867525"/>
            <wp:effectExtent l="0" t="0" r="0" b="317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44" cstate="print">
                      <a:extLst>
                        <a:ext uri="{BEBA8EAE-BF5A-486C-A8C5-ECC9F3942E4B}">
                          <a14:imgProps xmlns:a14="http://schemas.microsoft.com/office/drawing/2010/main">
                            <a14:imgLayer r:embed="rId145">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5801845" cy="6903709"/>
                    </a:xfrm>
                    <a:prstGeom prst="rect">
                      <a:avLst/>
                    </a:prstGeom>
                  </pic:spPr>
                </pic:pic>
              </a:graphicData>
            </a:graphic>
          </wp:inline>
        </w:drawing>
      </w:r>
    </w:p>
    <w:p w14:paraId="66906B94" w14:textId="414270FA" w:rsidR="00842281" w:rsidRDefault="006F4362" w:rsidP="008A2B86">
      <w:pPr>
        <w:pStyle w:val="Caption"/>
      </w:pPr>
      <w:bookmarkStart w:id="892" w:name="_Ref78911681"/>
      <w:bookmarkStart w:id="893" w:name="_Toc90217057"/>
      <w:r>
        <w:t xml:space="preserve">Supplementary Figure </w:t>
      </w:r>
      <w:r w:rsidR="003373BF">
        <w:fldChar w:fldCharType="begin"/>
      </w:r>
      <w:r w:rsidR="003373BF">
        <w:instrText xml:space="preserve"> SEQ Appendix \* ARABIC </w:instrText>
      </w:r>
      <w:r w:rsidR="003373BF">
        <w:fldChar w:fldCharType="separate"/>
      </w:r>
      <w:r w:rsidR="00183CC8">
        <w:rPr>
          <w:noProof/>
        </w:rPr>
        <w:t>5</w:t>
      </w:r>
      <w:r w:rsidR="003373BF">
        <w:rPr>
          <w:noProof/>
        </w:rPr>
        <w:fldChar w:fldCharType="end"/>
      </w:r>
      <w:bookmarkEnd w:id="892"/>
      <w:r w:rsidR="00253C26">
        <w:t xml:space="preserve"> </w:t>
      </w:r>
      <w:r w:rsidR="002A0DE4">
        <w:t xml:space="preserve"> </w:t>
      </w:r>
      <w:r w:rsidR="00842281">
        <w:t xml:space="preserve">Morphological effect of tarocin on </w:t>
      </w:r>
      <w:r w:rsidR="00842281">
        <w:rPr>
          <w:i/>
        </w:rPr>
        <w:t xml:space="preserve">S. aureus </w:t>
      </w:r>
      <w:r w:rsidR="00842281">
        <w:t>SH1000.</w:t>
      </w:r>
      <w:bookmarkEnd w:id="893"/>
    </w:p>
    <w:p w14:paraId="4D7BE88D" w14:textId="4E8C9D4D" w:rsidR="00842281" w:rsidRDefault="00842281" w:rsidP="00842281">
      <w:pPr>
        <w:pStyle w:val="NoSpacing"/>
      </w:pPr>
      <w:r>
        <w:t xml:space="preserve">Representative TEM micrograph of chemically fixed </w:t>
      </w:r>
      <w:r>
        <w:rPr>
          <w:i/>
          <w:iCs/>
        </w:rPr>
        <w:t xml:space="preserve">S. aureus </w:t>
      </w:r>
      <w:r>
        <w:t xml:space="preserve">SH1000 treated with 2.5 µg/ml of tarocin and grown for 2 h. Unlike the results already published by Santa Maria </w:t>
      </w:r>
      <w:r w:rsidRPr="003929DF">
        <w:rPr>
          <w:i/>
          <w:iCs/>
        </w:rPr>
        <w:t>et al</w:t>
      </w:r>
      <w:r w:rsidRPr="003929DF">
        <w:t>.</w:t>
      </w:r>
      <w:r w:rsidR="0030513F">
        <w:t>,</w:t>
      </w:r>
      <w:r w:rsidRPr="003929DF">
        <w:t xml:space="preserve"> (2014) </w:t>
      </w:r>
      <w:r w:rsidRPr="008B0B07">
        <w:fldChar w:fldCharType="begin" w:fldLock="1"/>
      </w:r>
      <w:r w:rsidR="0058736C">
        <w:instrText>ADDIN CSL_CITATION {"citationItems":[{"id":"ITEM-1","itemData":{"DOI":"10.1073/pnas.1404099111","ISBN":"1091-6490 (Electronic)\\r0027-8424 (Linking)","ISSN":"0027-8424","PMID":"25104751","abstract":"Staphylococcus aureus contains two distinct teichoic acid (TA) polymers, lipoteichoic acid (LTA) and wall teichoic acid (WTA), which are proposed to play redundant roles in regulating cell division. To gain insight into the underlying biology of S. aureus TAs, we used a small molecule inhibitor to screen a highly saturated transposon library for cellular factors that become essential when WTA is depleted. We constructed an interaction network connecting WTAs with genes involved in LTA synthesis, peptidoglycan synthesis, surface protein display, and D-alanine cell envelope modifications. Although LTAs and WTAs are synthetically lethal, we report that they do not have the same synthetic interactions with other cell envelope genes. For example, D-alanylation, a tailoring modification of both WTAs and LTAs, becomes essential when the former, but not the latter, are removed. Therefore, D-alanine-tailored LTAs are required for survival when WTAs are absent. Examination of terminal phenotoypes led to the unexpected discovery that cells lacking both LTAs and WTAs lose their ability to form Z rings and can no longer divide. We have concluded that the presence of either LTAs or WTAs on the cell surface is required for initiation of S. aureus cell division, but these polymers act as part of distinct cellular networks.","author":[{"dropping-particle":"","family":"Santa Maria","given":"J. P.","non-dropping-particle":"","parse-names":false,"suffix":""},{"dropping-particle":"","family":"Sadaka","given":"A.","non-dropping-particle":"","parse-names":false,"suffix":""},{"dropping-particle":"","family":"Moussa","given":"S. H.","non-dropping-particle":"","parse-names":false,"suffix":""},{"dropping-particle":"","family":"Brown","given":"S.","non-dropping-particle":"","parse-names":false,"suffix":""},{"dropping-particle":"","family":"Zhang","given":"Y. J.","non-dropping-particle":"","parse-names":false,"suffix":""},{"dropping-particle":"","family":"Rubin","given":"E. J.","non-dropping-particle":"","parse-names":false,"suffix":""},{"dropping-particle":"","family":"Gilmore","given":"M. S.","non-dropping-particle":"","parse-names":false,"suffix":""},{"dropping-particle":"","family":"Walker","given":"S.","non-dropping-particle":"","parse-names":false,"suffix":""}],"container-title":"Proceedings of the National Academy of Sciences","id":"ITEM-1","issued":{"date-parts":[["2014"]]},"title":"Compound-gene interaction mapping reveals distinct roles for Staphylococcus aureus teichoic acids","type":"article-journal"},"uris":["http://www.mendeley.com/documents/?uuid=7aa650a3-a98e-399c-b695-e460b47ccc68"]}],"mendeley":{"formattedCitation":"&lt;sup&gt;[279]&lt;/sup&gt;","plainTextFormattedCitation":"[279]","previouslyFormattedCitation":"&lt;sup&gt;[279]&lt;/sup&gt;"},"properties":{"noteIndex":0},"schema":"https://github.com/citation-style-language/schema/raw/master/csl-citation.json"}</w:instrText>
      </w:r>
      <w:r w:rsidRPr="008B0B07">
        <w:fldChar w:fldCharType="separate"/>
      </w:r>
      <w:r w:rsidR="002659E5" w:rsidRPr="002659E5">
        <w:rPr>
          <w:noProof/>
          <w:vertAlign w:val="superscript"/>
        </w:rPr>
        <w:t>[279]</w:t>
      </w:r>
      <w:r w:rsidRPr="008B0B07">
        <w:fldChar w:fldCharType="end"/>
      </w:r>
      <w:r>
        <w:t xml:space="preserve"> in </w:t>
      </w:r>
      <w:r w:rsidR="001F0586">
        <w:t>an</w:t>
      </w:r>
      <w:r>
        <w:t xml:space="preserve">other </w:t>
      </w:r>
      <w:r>
        <w:rPr>
          <w:i/>
          <w:iCs/>
        </w:rPr>
        <w:t>S. aureus</w:t>
      </w:r>
      <w:r>
        <w:t xml:space="preserve"> background, SH1000 showed no issues in daughter cell separation, no obvious division aberrations, and no evidence of a thickened crosswall. Yet, the peripheral CW presented a fuzzy-like appearance</w:t>
      </w:r>
      <w:r w:rsidR="0040207E">
        <w:t>,</w:t>
      </w:r>
      <w:r>
        <w:t xml:space="preserve"> aberrant-shaped sept</w:t>
      </w:r>
      <w:r w:rsidR="00FD45E5">
        <w:t>a</w:t>
      </w:r>
      <w:r>
        <w:t>,</w:t>
      </w:r>
      <w:r w:rsidR="0040207E" w:rsidRPr="0040207E">
        <w:t xml:space="preserve"> </w:t>
      </w:r>
      <w:r w:rsidR="0040207E">
        <w:t xml:space="preserve">and the </w:t>
      </w:r>
      <w:r w:rsidR="0040207E" w:rsidRPr="008A7D5C">
        <w:t>disappearance of the heavily stained mid-line</w:t>
      </w:r>
      <w:r w:rsidR="0040207E">
        <w:t>, a phenotype</w:t>
      </w:r>
      <w:r>
        <w:t xml:space="preserve"> similar to</w:t>
      </w:r>
      <w:r w:rsidR="0040207E">
        <w:t xml:space="preserve"> that of</w:t>
      </w:r>
      <w:r>
        <w:t xml:space="preserve"> </w:t>
      </w:r>
      <w:r>
        <w:rPr>
          <w:i/>
          <w:iCs/>
        </w:rPr>
        <w:t>tarO.</w:t>
      </w:r>
      <w:r>
        <w:t xml:space="preserve"> CW thickness measurements and morphological quantification is needed for a detailed comparison. </w:t>
      </w:r>
      <w:r>
        <w:rPr>
          <w:b/>
          <w:bCs/>
        </w:rPr>
        <w:t xml:space="preserve">(A) </w:t>
      </w:r>
      <w:r>
        <w:t xml:space="preserve">Low magnification (1900x). Scale bar 1 µm. </w:t>
      </w:r>
      <w:r>
        <w:rPr>
          <w:b/>
          <w:bCs/>
        </w:rPr>
        <w:t xml:space="preserve">(B) </w:t>
      </w:r>
      <w:r>
        <w:t xml:space="preserve">High magnification (4800x) showing an aberrant cell (yellow arrow). Scale bar 1 µm. </w:t>
      </w:r>
      <w:r>
        <w:rPr>
          <w:b/>
          <w:bCs/>
        </w:rPr>
        <w:t>(C)</w:t>
      </w:r>
      <w:r>
        <w:t xml:space="preserve"> Zoomed image showing the square-shaped septa and loss of the mid-line. Scale bar 200 nm.</w:t>
      </w:r>
    </w:p>
    <w:p w14:paraId="2595569F" w14:textId="77777777" w:rsidR="00842281" w:rsidRDefault="00842281" w:rsidP="00842281">
      <w:pPr>
        <w:pStyle w:val="NoSpacing"/>
        <w:sectPr w:rsidR="00842281" w:rsidSect="004D0E05">
          <w:pgSz w:w="11906" w:h="16838"/>
          <w:pgMar w:top="1191" w:right="1247" w:bottom="1191" w:left="1247" w:header="709" w:footer="709" w:gutter="0"/>
          <w:cols w:space="708"/>
          <w:titlePg/>
          <w:docGrid w:linePitch="360"/>
        </w:sectPr>
      </w:pPr>
    </w:p>
    <w:p w14:paraId="59D05061" w14:textId="77777777" w:rsidR="00942972" w:rsidRDefault="00842281" w:rsidP="00C84A36">
      <w:pPr>
        <w:pStyle w:val="NoSpacing"/>
        <w:keepNext/>
        <w:jc w:val="center"/>
      </w:pPr>
      <w:r>
        <w:rPr>
          <w:noProof/>
        </w:rPr>
        <w:lastRenderedPageBreak/>
        <w:drawing>
          <wp:inline distT="0" distB="0" distL="0" distR="0" wp14:anchorId="37F41D87" wp14:editId="19E47A07">
            <wp:extent cx="5432330" cy="7754352"/>
            <wp:effectExtent l="0" t="0" r="3810" b="571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432330" cy="7754352"/>
                    </a:xfrm>
                    <a:prstGeom prst="rect">
                      <a:avLst/>
                    </a:prstGeom>
                  </pic:spPr>
                </pic:pic>
              </a:graphicData>
            </a:graphic>
          </wp:inline>
        </w:drawing>
      </w:r>
    </w:p>
    <w:p w14:paraId="5142F9E6" w14:textId="47C10198" w:rsidR="00842281" w:rsidRPr="00942972" w:rsidRDefault="00942972" w:rsidP="008A2B86">
      <w:pPr>
        <w:pStyle w:val="Caption"/>
      </w:pPr>
      <w:bookmarkStart w:id="894" w:name="_Ref78911798"/>
      <w:bookmarkStart w:id="895" w:name="_Toc90217058"/>
      <w:r>
        <w:t xml:space="preserve">Supplementary Figure </w:t>
      </w:r>
      <w:r w:rsidR="003373BF">
        <w:fldChar w:fldCharType="begin"/>
      </w:r>
      <w:r w:rsidR="003373BF">
        <w:instrText xml:space="preserve"> SEQ Appendix \* ARABIC </w:instrText>
      </w:r>
      <w:r w:rsidR="003373BF">
        <w:fldChar w:fldCharType="separate"/>
      </w:r>
      <w:r w:rsidR="00183CC8">
        <w:rPr>
          <w:noProof/>
        </w:rPr>
        <w:t>6</w:t>
      </w:r>
      <w:r w:rsidR="003373BF">
        <w:rPr>
          <w:noProof/>
        </w:rPr>
        <w:fldChar w:fldCharType="end"/>
      </w:r>
      <w:bookmarkEnd w:id="894"/>
      <w:r>
        <w:t xml:space="preserve">  </w:t>
      </w:r>
      <w:r w:rsidR="00441631">
        <w:t>TEM</w:t>
      </w:r>
      <w:r w:rsidR="00842281">
        <w:t xml:space="preserve"> comparison of the effect of tarocin treatment with </w:t>
      </w:r>
      <w:r w:rsidR="00842281">
        <w:rPr>
          <w:i/>
        </w:rPr>
        <w:t>tarO</w:t>
      </w:r>
      <w:bookmarkEnd w:id="895"/>
    </w:p>
    <w:p w14:paraId="1179CFFD" w14:textId="51C7FF83" w:rsidR="00842281" w:rsidRDefault="00842281" w:rsidP="00842281">
      <w:pPr>
        <w:pStyle w:val="NoSpacing"/>
        <w:sectPr w:rsidR="00842281" w:rsidSect="004D0E05">
          <w:pgSz w:w="11906" w:h="16838"/>
          <w:pgMar w:top="1191" w:right="1247" w:bottom="1191" w:left="1247" w:header="709" w:footer="709" w:gutter="0"/>
          <w:cols w:space="708"/>
          <w:titlePg/>
          <w:docGrid w:linePitch="360"/>
        </w:sectPr>
      </w:pPr>
      <w:r>
        <w:t xml:space="preserve">Representative TEM micrographs of chemically fixed </w:t>
      </w:r>
      <w:r>
        <w:rPr>
          <w:b/>
          <w:bCs/>
        </w:rPr>
        <w:t>(A)</w:t>
      </w:r>
      <w:r>
        <w:t xml:space="preserve"> SH1000, </w:t>
      </w:r>
      <w:r>
        <w:rPr>
          <w:b/>
          <w:bCs/>
        </w:rPr>
        <w:t>(B)</w:t>
      </w:r>
      <w:r>
        <w:t xml:space="preserve"> SH1000 treated with 2.5 µg/ml of tarocin and </w:t>
      </w:r>
      <w:r>
        <w:rPr>
          <w:b/>
          <w:bCs/>
        </w:rPr>
        <w:t>(C)</w:t>
      </w:r>
      <w:r>
        <w:t xml:space="preserve"> </w:t>
      </w:r>
      <w:r w:rsidRPr="001440F9">
        <w:rPr>
          <w:i/>
          <w:iCs/>
        </w:rPr>
        <w:t>tarO</w:t>
      </w:r>
      <w:r>
        <w:t xml:space="preserve">. Bacterial cultures grown for 2 h. High magnification (4800x). Scale bars 1 µm. Unlike the results already published by Santa Maria </w:t>
      </w:r>
      <w:r w:rsidRPr="003929DF">
        <w:rPr>
          <w:i/>
          <w:iCs/>
        </w:rPr>
        <w:t>et al</w:t>
      </w:r>
      <w:r w:rsidRPr="003929DF">
        <w:t>.</w:t>
      </w:r>
      <w:r w:rsidR="0030513F">
        <w:t>,</w:t>
      </w:r>
      <w:r w:rsidRPr="003929DF">
        <w:t xml:space="preserve"> (2014) </w:t>
      </w:r>
      <w:r w:rsidRPr="008B0B07">
        <w:fldChar w:fldCharType="begin" w:fldLock="1"/>
      </w:r>
      <w:r w:rsidR="0058736C">
        <w:instrText>ADDIN CSL_CITATION {"citationItems":[{"id":"ITEM-1","itemData":{"DOI":"10.1073/pnas.1404099111","ISBN":"1091-6490 (Electronic)\\r0027-8424 (Linking)","ISSN":"0027-8424","PMID":"25104751","abstract":"Staphylococcus aureus contains two distinct teichoic acid (TA) polymers, lipoteichoic acid (LTA) and wall teichoic acid (WTA), which are proposed to play redundant roles in regulating cell division. To gain insight into the underlying biology of S. aureus TAs, we used a small molecule inhibitor to screen a highly saturated transposon library for cellular factors that become essential when WTA is depleted. We constructed an interaction network connecting WTAs with genes involved in LTA synthesis, peptidoglycan synthesis, surface protein display, and D-alanine cell envelope modifications. Although LTAs and WTAs are synthetically lethal, we report that they do not have the same synthetic interactions with other cell envelope genes. For example, D-alanylation, a tailoring modification of both WTAs and LTAs, becomes essential when the former, but not the latter, are removed. Therefore, D-alanine-tailored LTAs are required for survival when WTAs are absent. Examination of terminal phenotoypes led to the unexpected discovery that cells lacking both LTAs and WTAs lose their ability to form Z rings and can no longer divide. We have concluded that the presence of either LTAs or WTAs on the cell surface is required for initiation of S. aureus cell division, but these polymers act as part of distinct cellular networks.","author":[{"dropping-particle":"","family":"Santa Maria","given":"J. P.","non-dropping-particle":"","parse-names":false,"suffix":""},{"dropping-particle":"","family":"Sadaka","given":"A.","non-dropping-particle":"","parse-names":false,"suffix":""},{"dropping-particle":"","family":"Moussa","given":"S. H.","non-dropping-particle":"","parse-names":false,"suffix":""},{"dropping-particle":"","family":"Brown","given":"S.","non-dropping-particle":"","parse-names":false,"suffix":""},{"dropping-particle":"","family":"Zhang","given":"Y. J.","non-dropping-particle":"","parse-names":false,"suffix":""},{"dropping-particle":"","family":"Rubin","given":"E. J.","non-dropping-particle":"","parse-names":false,"suffix":""},{"dropping-particle":"","family":"Gilmore","given":"M. S.","non-dropping-particle":"","parse-names":false,"suffix":""},{"dropping-particle":"","family":"Walker","given":"S.","non-dropping-particle":"","parse-names":false,"suffix":""}],"container-title":"Proceedings of the National Academy of Sciences","id":"ITEM-1","issued":{"date-parts":[["2014"]]},"title":"Compound-gene interaction mapping reveals distinct roles for Staphylococcus aureus teichoic acids","type":"article-journal"},"uris":["http://www.mendeley.com/documents/?uuid=7aa650a3-a98e-399c-b695-e460b47ccc68"]}],"mendeley":{"formattedCitation":"&lt;sup&gt;[279]&lt;/sup&gt;","plainTextFormattedCitation":"[279]","previouslyFormattedCitation":"&lt;sup&gt;[279]&lt;/sup&gt;"},"properties":{"noteIndex":0},"schema":"https://github.com/citation-style-language/schema/raw/master/csl-citation.json"}</w:instrText>
      </w:r>
      <w:r w:rsidRPr="008B0B07">
        <w:fldChar w:fldCharType="separate"/>
      </w:r>
      <w:r w:rsidR="002659E5" w:rsidRPr="002659E5">
        <w:rPr>
          <w:noProof/>
          <w:vertAlign w:val="superscript"/>
        </w:rPr>
        <w:t>[279]</w:t>
      </w:r>
      <w:r w:rsidRPr="008B0B07">
        <w:fldChar w:fldCharType="end"/>
      </w:r>
      <w:r>
        <w:t xml:space="preserve"> in </w:t>
      </w:r>
      <w:r w:rsidR="00372ECB">
        <w:t>an</w:t>
      </w:r>
      <w:r>
        <w:t xml:space="preserve">other </w:t>
      </w:r>
      <w:r>
        <w:rPr>
          <w:i/>
          <w:iCs/>
        </w:rPr>
        <w:t>S. aureus</w:t>
      </w:r>
      <w:r>
        <w:t xml:space="preserve"> background, SH1000 showed no visible increase in cell size. Structure illumination microscopy and cell volume estimation is needed for a detailed comparison</w:t>
      </w:r>
      <w:r w:rsidR="00372ECB">
        <w:t>.</w:t>
      </w:r>
    </w:p>
    <w:p w14:paraId="6C4E7D8E" w14:textId="77777777" w:rsidR="00DD7FD9" w:rsidRDefault="003B051D" w:rsidP="00981802">
      <w:pPr>
        <w:pStyle w:val="NoSpacing"/>
        <w:keepNext/>
        <w:jc w:val="center"/>
      </w:pPr>
      <w:r>
        <w:rPr>
          <w:noProof/>
        </w:rPr>
        <w:lastRenderedPageBreak/>
        <w:drawing>
          <wp:inline distT="0" distB="0" distL="0" distR="0" wp14:anchorId="77B8CA1E" wp14:editId="71BD906F">
            <wp:extent cx="5091950" cy="7608949"/>
            <wp:effectExtent l="0" t="0" r="1270" b="0"/>
            <wp:docPr id="101" name="Picture 101"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picture containing indoor&#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122691" cy="7654886"/>
                    </a:xfrm>
                    <a:prstGeom prst="rect">
                      <a:avLst/>
                    </a:prstGeom>
                  </pic:spPr>
                </pic:pic>
              </a:graphicData>
            </a:graphic>
          </wp:inline>
        </w:drawing>
      </w:r>
    </w:p>
    <w:p w14:paraId="0020A1EE" w14:textId="10FA5092" w:rsidR="003B051D" w:rsidRPr="00DD7FD9" w:rsidRDefault="00CB3E83" w:rsidP="008A2B86">
      <w:pPr>
        <w:pStyle w:val="Caption"/>
      </w:pPr>
      <w:bookmarkStart w:id="896" w:name="_Ref78912396"/>
      <w:bookmarkStart w:id="897" w:name="_Toc90217059"/>
      <w:r>
        <w:t>Supplementary Figure</w:t>
      </w:r>
      <w:r w:rsidR="00DD7FD9">
        <w:t xml:space="preserve"> </w:t>
      </w:r>
      <w:r w:rsidR="003373BF">
        <w:fldChar w:fldCharType="begin"/>
      </w:r>
      <w:r w:rsidR="003373BF">
        <w:instrText xml:space="preserve"> SEQ Appendix \* ARABIC </w:instrText>
      </w:r>
      <w:r w:rsidR="003373BF">
        <w:fldChar w:fldCharType="separate"/>
      </w:r>
      <w:r w:rsidR="00183CC8">
        <w:rPr>
          <w:noProof/>
        </w:rPr>
        <w:t>7</w:t>
      </w:r>
      <w:r w:rsidR="003373BF">
        <w:rPr>
          <w:noProof/>
        </w:rPr>
        <w:fldChar w:fldCharType="end"/>
      </w:r>
      <w:bookmarkEnd w:id="896"/>
      <w:r w:rsidR="00DD7FD9">
        <w:t xml:space="preserve">  </w:t>
      </w:r>
      <w:r w:rsidR="003B051D">
        <w:t xml:space="preserve">Morphological effect of tarocin treatment on </w:t>
      </w:r>
      <w:r w:rsidR="003B051D">
        <w:rPr>
          <w:i/>
        </w:rPr>
        <w:t>gdpP::kan.</w:t>
      </w:r>
      <w:bookmarkEnd w:id="897"/>
    </w:p>
    <w:p w14:paraId="090408E1" w14:textId="3FC433EF" w:rsidR="000A0BB8" w:rsidRDefault="003B051D" w:rsidP="003B051D">
      <w:pPr>
        <w:pStyle w:val="NoSpacing"/>
        <w:sectPr w:rsidR="000A0BB8" w:rsidSect="004D0E05">
          <w:pgSz w:w="11906" w:h="16838"/>
          <w:pgMar w:top="1191" w:right="1247" w:bottom="1191" w:left="1247" w:header="709" w:footer="709" w:gutter="0"/>
          <w:cols w:space="708"/>
          <w:titlePg/>
          <w:docGrid w:linePitch="360"/>
        </w:sectPr>
      </w:pPr>
      <w:r>
        <w:t xml:space="preserve">Representative TEM micrographs of chemically fixed </w:t>
      </w:r>
      <w:r>
        <w:rPr>
          <w:i/>
          <w:iCs/>
        </w:rPr>
        <w:t xml:space="preserve">gdpP::kan </w:t>
      </w:r>
      <w:r>
        <w:rPr>
          <w:b/>
          <w:bCs/>
        </w:rPr>
        <w:t>(A)</w:t>
      </w:r>
      <w:r>
        <w:t xml:space="preserve"> untreated and </w:t>
      </w:r>
      <w:r>
        <w:rPr>
          <w:b/>
          <w:bCs/>
        </w:rPr>
        <w:t>(B)</w:t>
      </w:r>
      <w:r>
        <w:t xml:space="preserve"> treated with 2.5 µg/ml of tarocin for 2 h. </w:t>
      </w:r>
      <w:r w:rsidRPr="00336F1E">
        <w:rPr>
          <w:i/>
          <w:iCs/>
        </w:rPr>
        <w:t>gdpP</w:t>
      </w:r>
      <w:r w:rsidR="009718C8">
        <w:rPr>
          <w:i/>
          <w:iCs/>
        </w:rPr>
        <w:t>::kan</w:t>
      </w:r>
      <w:r w:rsidRPr="00336F1E">
        <w:t xml:space="preserve"> was </w:t>
      </w:r>
      <w:r>
        <w:t>chosen</w:t>
      </w:r>
      <w:r w:rsidRPr="00336F1E">
        <w:t xml:space="preserve"> as a control</w:t>
      </w:r>
      <w:r>
        <w:t xml:space="preserve"> for further analysis on </w:t>
      </w:r>
      <w:r>
        <w:rPr>
          <w:i/>
          <w:iCs/>
        </w:rPr>
        <w:t>ltaS gdpP</w:t>
      </w:r>
      <w:r w:rsidR="009718C8">
        <w:rPr>
          <w:i/>
          <w:iCs/>
        </w:rPr>
        <w:t>::kan</w:t>
      </w:r>
      <w:r>
        <w:t xml:space="preserve">. In accordance to a study by Santa Maria </w:t>
      </w:r>
      <w:r w:rsidRPr="003929DF">
        <w:rPr>
          <w:i/>
          <w:iCs/>
        </w:rPr>
        <w:t>et al</w:t>
      </w:r>
      <w:r w:rsidRPr="003929DF">
        <w:t>.</w:t>
      </w:r>
      <w:r w:rsidR="0030513F">
        <w:t>,</w:t>
      </w:r>
      <w:r w:rsidRPr="003929DF">
        <w:t xml:space="preserve"> (2014) </w:t>
      </w:r>
      <w:r w:rsidRPr="008B0B07">
        <w:fldChar w:fldCharType="begin" w:fldLock="1"/>
      </w:r>
      <w:r w:rsidR="0058736C">
        <w:instrText>ADDIN CSL_CITATION {"citationItems":[{"id":"ITEM-1","itemData":{"DOI":"10.1073/pnas.1404099111","ISBN":"1091-6490 (Electronic)\\r0027-8424 (Linking)","ISSN":"0027-8424","PMID":"25104751","abstract":"Staphylococcus aureus contains two distinct teichoic acid (TA) polymers, lipoteichoic acid (LTA) and wall teichoic acid (WTA), which are proposed to play redundant roles in regulating cell division. To gain insight into the underlying biology of S. aureus TAs, we used a small molecule inhibitor to screen a highly saturated transposon library for cellular factors that become essential when WTA is depleted. We constructed an interaction network connecting WTAs with genes involved in LTA synthesis, peptidoglycan synthesis, surface protein display, and D-alanine cell envelope modifications. Although LTAs and WTAs are synthetically lethal, we report that they do not have the same synthetic interactions with other cell envelope genes. For example, D-alanylation, a tailoring modification of both WTAs and LTAs, becomes essential when the former, but not the latter, are removed. Therefore, D-alanine-tailored LTAs are required for survival when WTAs are absent. Examination of terminal phenotoypes led to the unexpected discovery that cells lacking both LTAs and WTAs lose their ability to form Z rings and can no longer divide. We have concluded that the presence of either LTAs or WTAs on the cell surface is required for initiation of S. aureus cell division, but these polymers act as part of distinct cellular networks.","author":[{"dropping-particle":"","family":"Santa Maria","given":"J. P.","non-dropping-particle":"","parse-names":false,"suffix":""},{"dropping-particle":"","family":"Sadaka","given":"A.","non-dropping-particle":"","parse-names":false,"suffix":""},{"dropping-particle":"","family":"Moussa","given":"S. H.","non-dropping-particle":"","parse-names":false,"suffix":""},{"dropping-particle":"","family":"Brown","given":"S.","non-dropping-particle":"","parse-names":false,"suffix":""},{"dropping-particle":"","family":"Zhang","given":"Y. J.","non-dropping-particle":"","parse-names":false,"suffix":""},{"dropping-particle":"","family":"Rubin","given":"E. J.","non-dropping-particle":"","parse-names":false,"suffix":""},{"dropping-particle":"","family":"Gilmore","given":"M. S.","non-dropping-particle":"","parse-names":false,"suffix":""},{"dropping-particle":"","family":"Walker","given":"S.","non-dropping-particle":"","parse-names":false,"suffix":""}],"container-title":"Proceedings of the National Academy of Sciences","id":"ITEM-1","issued":{"date-parts":[["2014"]]},"title":"Compound-gene interaction mapping reveals distinct roles for Staphylococcus aureus teichoic acids","type":"article-journal"},"uris":["http://www.mendeley.com/documents/?uuid=7aa650a3-a98e-399c-b695-e460b47ccc68"]}],"mendeley":{"formattedCitation":"&lt;sup&gt;[279]&lt;/sup&gt;","plainTextFormattedCitation":"[279]","previouslyFormattedCitation":"&lt;sup&gt;[279]&lt;/sup&gt;"},"properties":{"noteIndex":0},"schema":"https://github.com/citation-style-language/schema/raw/master/csl-citation.json"}</w:instrText>
      </w:r>
      <w:r w:rsidRPr="008B0B07">
        <w:fldChar w:fldCharType="separate"/>
      </w:r>
      <w:r w:rsidR="002659E5" w:rsidRPr="002659E5">
        <w:rPr>
          <w:noProof/>
          <w:vertAlign w:val="superscript"/>
        </w:rPr>
        <w:t>[279]</w:t>
      </w:r>
      <w:r w:rsidRPr="008B0B07">
        <w:fldChar w:fldCharType="end"/>
      </w:r>
      <w:r>
        <w:t xml:space="preserve"> in </w:t>
      </w:r>
      <w:r w:rsidR="00F1053B">
        <w:t>an</w:t>
      </w:r>
      <w:r>
        <w:t xml:space="preserve">other </w:t>
      </w:r>
      <w:r>
        <w:rPr>
          <w:i/>
          <w:iCs/>
        </w:rPr>
        <w:t>S. aureus</w:t>
      </w:r>
      <w:r>
        <w:t xml:space="preserve"> background, </w:t>
      </w:r>
      <w:r w:rsidRPr="00511F21">
        <w:rPr>
          <w:i/>
          <w:iCs/>
        </w:rPr>
        <w:t>gdpP</w:t>
      </w:r>
      <w:r w:rsidR="009718C8">
        <w:rPr>
          <w:i/>
          <w:iCs/>
        </w:rPr>
        <w:t>::kan</w:t>
      </w:r>
      <w:r>
        <w:t xml:space="preserve"> treated with tarocin shows a thicker crosswall</w:t>
      </w:r>
      <w:r w:rsidR="009C0950">
        <w:t>. Yet</w:t>
      </w:r>
      <w:r>
        <w:t>,</w:t>
      </w:r>
      <w:r w:rsidR="009C0950">
        <w:t xml:space="preserve"> it also shows a thicker peripheral wall and</w:t>
      </w:r>
      <w:r>
        <w:t xml:space="preserve"> </w:t>
      </w:r>
      <w:r w:rsidRPr="00511F21">
        <w:t>no</w:t>
      </w:r>
      <w:r>
        <w:t xml:space="preserve"> visible difference in cell size is observed. Structured illumination microscopy and cell volume estimation should be carried out for a thorough comparison. High magnification 6800x. Scale bars 500 nm.</w:t>
      </w:r>
    </w:p>
    <w:p w14:paraId="1EF92CE8" w14:textId="77777777" w:rsidR="008A2B86" w:rsidRDefault="000A0BB8" w:rsidP="008A2B86">
      <w:pPr>
        <w:pStyle w:val="NoSpacing"/>
        <w:keepNext/>
        <w:jc w:val="center"/>
      </w:pPr>
      <w:r>
        <w:rPr>
          <w:noProof/>
        </w:rPr>
        <w:lastRenderedPageBreak/>
        <w:drawing>
          <wp:inline distT="0" distB="0" distL="0" distR="0" wp14:anchorId="22B3842D" wp14:editId="6D49B9DC">
            <wp:extent cx="5723280" cy="7696200"/>
            <wp:effectExtent l="0" t="0" r="444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734867" cy="7711781"/>
                    </a:xfrm>
                    <a:prstGeom prst="rect">
                      <a:avLst/>
                    </a:prstGeom>
                  </pic:spPr>
                </pic:pic>
              </a:graphicData>
            </a:graphic>
          </wp:inline>
        </w:drawing>
      </w:r>
    </w:p>
    <w:p w14:paraId="6810D22E" w14:textId="00710E80" w:rsidR="000A0BB8" w:rsidRPr="008A2B86" w:rsidRDefault="008A2B86" w:rsidP="008A2B86">
      <w:pPr>
        <w:pStyle w:val="Caption"/>
      </w:pPr>
      <w:bookmarkStart w:id="898" w:name="_Ref78912742"/>
      <w:bookmarkStart w:id="899" w:name="_Toc90217060"/>
      <w:r>
        <w:t xml:space="preserve">Supplementary Figure </w:t>
      </w:r>
      <w:r w:rsidR="003373BF">
        <w:fldChar w:fldCharType="begin"/>
      </w:r>
      <w:r w:rsidR="003373BF">
        <w:instrText xml:space="preserve"> SEQ Appendix \* ARABIC </w:instrText>
      </w:r>
      <w:r w:rsidR="003373BF">
        <w:fldChar w:fldCharType="separate"/>
      </w:r>
      <w:r w:rsidR="00183CC8">
        <w:rPr>
          <w:noProof/>
        </w:rPr>
        <w:t>8</w:t>
      </w:r>
      <w:r w:rsidR="003373BF">
        <w:rPr>
          <w:noProof/>
        </w:rPr>
        <w:fldChar w:fldCharType="end"/>
      </w:r>
      <w:bookmarkEnd w:id="898"/>
      <w:r w:rsidRPr="008A2B86">
        <w:t xml:space="preserve">  </w:t>
      </w:r>
      <w:r w:rsidR="000A0BB8">
        <w:t>Overview</w:t>
      </w:r>
      <w:r w:rsidR="000A0BB8" w:rsidRPr="00F55CE8">
        <w:t xml:space="preserve"> of </w:t>
      </w:r>
      <w:r w:rsidR="000A0BB8" w:rsidRPr="00F55CE8">
        <w:rPr>
          <w:i/>
        </w:rPr>
        <w:t>S. aureus ltaS gdpP::kan</w:t>
      </w:r>
      <w:r w:rsidR="000A0BB8" w:rsidRPr="00F55CE8">
        <w:t xml:space="preserve"> treated with tarocin</w:t>
      </w:r>
      <w:r w:rsidR="000A0BB8" w:rsidRPr="00F55CE8">
        <w:rPr>
          <w:i/>
        </w:rPr>
        <w:t>.</w:t>
      </w:r>
      <w:bookmarkEnd w:id="899"/>
    </w:p>
    <w:p w14:paraId="685C2339" w14:textId="075AF886" w:rsidR="000A0BB8" w:rsidRPr="00022480" w:rsidRDefault="000A0BB8" w:rsidP="000A0BB8">
      <w:pPr>
        <w:pStyle w:val="NoSpacing"/>
        <w:rPr>
          <w:lang w:val="es-ES"/>
        </w:rPr>
        <w:sectPr w:rsidR="000A0BB8" w:rsidRPr="00022480" w:rsidSect="004D0E05">
          <w:pgSz w:w="11906" w:h="16838"/>
          <w:pgMar w:top="1191" w:right="1247" w:bottom="1191" w:left="1247" w:header="709" w:footer="709" w:gutter="0"/>
          <w:cols w:space="708"/>
          <w:titlePg/>
          <w:docGrid w:linePitch="360"/>
        </w:sectPr>
      </w:pPr>
      <w:r w:rsidRPr="00F2768D">
        <w:t xml:space="preserve">Representative TEM micrograph of chemically fixed </w:t>
      </w:r>
      <w:r w:rsidRPr="00F2768D">
        <w:rPr>
          <w:i/>
          <w:iCs/>
        </w:rPr>
        <w:t>S. aureus ltaS gdpP::kan</w:t>
      </w:r>
      <w:r w:rsidRPr="00F2768D">
        <w:t xml:space="preserve"> treated with 2.5 µg/ml of tarocin and grown for 2 h. </w:t>
      </w:r>
      <w:r>
        <w:t>T</w:t>
      </w:r>
      <w:r w:rsidRPr="00F2768D">
        <w:t>he reduction of WTA synthesis in this LTA</w:t>
      </w:r>
      <w:r>
        <w:t xml:space="preserve">-depleted </w:t>
      </w:r>
      <w:r w:rsidRPr="00F2768D">
        <w:t>mutant le</w:t>
      </w:r>
      <w:r>
        <w:t>a</w:t>
      </w:r>
      <w:r w:rsidRPr="00F2768D">
        <w:t>d to a visible reduction of complete septa, as previously described</w:t>
      </w:r>
      <w:r>
        <w:t xml:space="preserve"> </w:t>
      </w:r>
      <w:r w:rsidRPr="00817CB0">
        <w:fldChar w:fldCharType="begin" w:fldLock="1"/>
      </w:r>
      <w:r w:rsidR="0058736C">
        <w:instrText>ADDIN CSL_CITATION {"citationItems":[{"id":"ITEM-1","itemData":{"DOI":"10.1073/pnas.1404099111","ISBN":"1091-6490 (Electronic)\\r0027-8424 (Linking)","ISSN":"0027-8424","PMID":"25104751","abstract":"Staphylococcus aureus contains two distinct teichoic acid (TA) polymers, lipoteichoic acid (LTA) and wall teichoic acid (WTA), which are proposed to play redundant roles in regulating cell division. To gain insight into the underlying biology of S. aureus TAs, we used a small molecule inhibitor to screen a highly saturated transposon library for cellular factors that become essential when WTA is depleted. We constructed an interaction network connecting WTAs with genes involved in LTA synthesis, peptidoglycan synthesis, surface protein display, and D-alanine cell envelope modifications. Although LTAs and WTAs are synthetically lethal, we report that they do not have the same synthetic interactions with other cell envelope genes. For example, D-alanylation, a tailoring modification of both WTAs and LTAs, becomes essential when the former, but not the latter, are removed. Therefore, D-alanine-tailored LTAs are required for survival when WTAs are absent. Examination of terminal phenotoypes led to the unexpected discovery that cells lacking both LTAs and WTAs lose their ability to form Z rings and can no longer divide. We have concluded that the presence of either LTAs or WTAs on the cell surface is required for initiation of S. aureus cell division, but these polymers act as part of distinct cellular networks.","author":[{"dropping-particle":"","family":"Santa Maria","given":"J. P.","non-dropping-particle":"","parse-names":false,"suffix":""},{"dropping-particle":"","family":"Sadaka","given":"A.","non-dropping-particle":"","parse-names":false,"suffix":""},{"dropping-particle":"","family":"Moussa","given":"S. H.","non-dropping-particle":"","parse-names":false,"suffix":""},{"dropping-particle":"","family":"Brown","given":"S.","non-dropping-particle":"","parse-names":false,"suffix":""},{"dropping-particle":"","family":"Zhang","given":"Y. J.","non-dropping-particle":"","parse-names":false,"suffix":""},{"dropping-particle":"","family":"Rubin","given":"E. J.","non-dropping-particle":"","parse-names":false,"suffix":""},{"dropping-particle":"","family":"Gilmore","given":"M. S.","non-dropping-particle":"","parse-names":false,"suffix":""},{"dropping-particle":"","family":"Walker","given":"S.","non-dropping-particle":"","parse-names":false,"suffix":""}],"container-title":"Proceedings of the National Academy of Sciences","id":"ITEM-1","issued":{"date-parts":[["2014"]]},"title":"Compound-gene interaction mapping reveals distinct roles for Staphylococcus aureus teichoic acids","type":"article-journal"},"uris":["http://www.mendeley.com/documents/?uuid=7aa650a3-a98e-399c-b695-e460b47ccc68"]}],"mendeley":{"formattedCitation":"&lt;sup&gt;[279]&lt;/sup&gt;","plainTextFormattedCitation":"[279]","previouslyFormattedCitation":"&lt;sup&gt;[279]&lt;/sup&gt;"},"properties":{"noteIndex":0},"schema":"https://github.com/citation-style-language/schema/raw/master/csl-citation.json"}</w:instrText>
      </w:r>
      <w:r w:rsidRPr="00817CB0">
        <w:fldChar w:fldCharType="separate"/>
      </w:r>
      <w:r w:rsidR="002659E5" w:rsidRPr="002659E5">
        <w:rPr>
          <w:noProof/>
          <w:vertAlign w:val="superscript"/>
        </w:rPr>
        <w:t>[279]</w:t>
      </w:r>
      <w:r w:rsidRPr="00817CB0">
        <w:fldChar w:fldCharType="end"/>
      </w:r>
      <w:r>
        <w:t>.</w:t>
      </w:r>
      <w:r w:rsidRPr="00F2768D">
        <w:t xml:space="preserve"> </w:t>
      </w:r>
      <w:r>
        <w:t>Morphological quantification is needed for a thorough comparison.</w:t>
      </w:r>
      <w:r w:rsidRPr="00F2768D">
        <w:t xml:space="preserve"> Low and mid-magnification (1900x–top and 2900x–bottom). </w:t>
      </w:r>
      <w:r w:rsidRPr="00022480">
        <w:rPr>
          <w:lang w:val="es-ES"/>
        </w:rPr>
        <w:t>Scale bar 1 µm.</w:t>
      </w:r>
    </w:p>
    <w:p w14:paraId="12688686" w14:textId="77777777" w:rsidR="00C952F6" w:rsidRDefault="000A0BB8" w:rsidP="00C952F6">
      <w:pPr>
        <w:pStyle w:val="NoSpacing"/>
        <w:keepNext/>
        <w:jc w:val="center"/>
      </w:pPr>
      <w:r>
        <w:rPr>
          <w:noProof/>
        </w:rPr>
        <w:lastRenderedPageBreak/>
        <w:drawing>
          <wp:inline distT="0" distB="0" distL="0" distR="0" wp14:anchorId="19DEA501" wp14:editId="431F52A6">
            <wp:extent cx="5293879" cy="7910691"/>
            <wp:effectExtent l="0" t="0" r="2540" b="190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293879" cy="7910691"/>
                    </a:xfrm>
                    <a:prstGeom prst="rect">
                      <a:avLst/>
                    </a:prstGeom>
                  </pic:spPr>
                </pic:pic>
              </a:graphicData>
            </a:graphic>
          </wp:inline>
        </w:drawing>
      </w:r>
    </w:p>
    <w:p w14:paraId="34859DA8" w14:textId="7ED747FB" w:rsidR="000A0BB8" w:rsidRPr="00C0613E" w:rsidRDefault="00C0613E" w:rsidP="008A2B86">
      <w:pPr>
        <w:pStyle w:val="Caption"/>
      </w:pPr>
      <w:bookmarkStart w:id="900" w:name="_Ref78912470"/>
      <w:bookmarkStart w:id="901" w:name="_Toc90217061"/>
      <w:r>
        <w:t>Supplementary Figure</w:t>
      </w:r>
      <w:r w:rsidR="00C952F6">
        <w:t xml:space="preserve"> </w:t>
      </w:r>
      <w:r w:rsidR="003373BF">
        <w:fldChar w:fldCharType="begin"/>
      </w:r>
      <w:r w:rsidR="003373BF">
        <w:instrText xml:space="preserve"> SEQ Appendix \* ARABIC </w:instrText>
      </w:r>
      <w:r w:rsidR="003373BF">
        <w:fldChar w:fldCharType="separate"/>
      </w:r>
      <w:r w:rsidR="00183CC8">
        <w:rPr>
          <w:noProof/>
        </w:rPr>
        <w:t>9</w:t>
      </w:r>
      <w:r w:rsidR="003373BF">
        <w:rPr>
          <w:noProof/>
        </w:rPr>
        <w:fldChar w:fldCharType="end"/>
      </w:r>
      <w:bookmarkEnd w:id="900"/>
      <w:r w:rsidR="00C952F6" w:rsidRPr="00C0613E">
        <w:t xml:space="preserve">  </w:t>
      </w:r>
      <w:r w:rsidR="000A0BB8" w:rsidRPr="00F55CE8">
        <w:t xml:space="preserve">Morphological effect of tarocin on </w:t>
      </w:r>
      <w:r w:rsidR="000A0BB8" w:rsidRPr="00F55CE8">
        <w:rPr>
          <w:i/>
        </w:rPr>
        <w:t>S. aureus ltaS gdpP::kan.</w:t>
      </w:r>
      <w:bookmarkEnd w:id="901"/>
    </w:p>
    <w:p w14:paraId="4176774B" w14:textId="11B6B74F" w:rsidR="00614B0C" w:rsidRDefault="000A0BB8" w:rsidP="000A0BB8">
      <w:pPr>
        <w:pStyle w:val="NoSpacing"/>
        <w:sectPr w:rsidR="00614B0C" w:rsidSect="004D0E05">
          <w:pgSz w:w="11906" w:h="16838"/>
          <w:pgMar w:top="1191" w:right="1247" w:bottom="1191" w:left="1247" w:header="709" w:footer="709" w:gutter="0"/>
          <w:cols w:space="708"/>
          <w:titlePg/>
          <w:docGrid w:linePitch="360"/>
        </w:sectPr>
      </w:pPr>
      <w:r w:rsidRPr="00922D45">
        <w:t xml:space="preserve">Representative TEM micrographs of chemically fixed </w:t>
      </w:r>
      <w:r w:rsidRPr="00922D45">
        <w:rPr>
          <w:i/>
          <w:iCs/>
        </w:rPr>
        <w:t>ltaS</w:t>
      </w:r>
      <w:r w:rsidRPr="00922D45">
        <w:t xml:space="preserve"> </w:t>
      </w:r>
      <w:r w:rsidRPr="00922D45">
        <w:rPr>
          <w:i/>
          <w:iCs/>
        </w:rPr>
        <w:t xml:space="preserve">gdpP::kan </w:t>
      </w:r>
      <w:r w:rsidRPr="00922D45">
        <w:rPr>
          <w:b/>
          <w:bCs/>
        </w:rPr>
        <w:t>(A)</w:t>
      </w:r>
      <w:r w:rsidRPr="00922D45">
        <w:t xml:space="preserve"> untreated and </w:t>
      </w:r>
      <w:r w:rsidRPr="00922D45">
        <w:rPr>
          <w:b/>
          <w:bCs/>
        </w:rPr>
        <w:t>(B)</w:t>
      </w:r>
      <w:r w:rsidRPr="00922D45">
        <w:t xml:space="preserve"> </w:t>
      </w:r>
      <w:r>
        <w:t xml:space="preserve">treated with 2.5 µg/ml of tarocin for 2 h. </w:t>
      </w:r>
      <w:r w:rsidRPr="00922D45">
        <w:t>A</w:t>
      </w:r>
      <w:r>
        <w:t xml:space="preserve"> thicker septal wall </w:t>
      </w:r>
      <w:r w:rsidRPr="00922D45">
        <w:t>is observed</w:t>
      </w:r>
      <w:r>
        <w:t>,</w:t>
      </w:r>
      <w:r w:rsidRPr="00922D45">
        <w:t xml:space="preserve"> as previously described </w:t>
      </w:r>
      <w:r w:rsidRPr="00922D45">
        <w:fldChar w:fldCharType="begin" w:fldLock="1"/>
      </w:r>
      <w:r w:rsidR="0058736C">
        <w:instrText>ADDIN CSL_CITATION {"citationItems":[{"id":"ITEM-1","itemData":{"DOI":"10.1073/pnas.1404099111","ISBN":"1091-6490 (Electronic)\\r0027-8424 (Linking)","ISSN":"0027-8424","PMID":"25104751","abstract":"Staphylococcus aureus contains two distinct teichoic acid (TA) polymers, lipoteichoic acid (LTA) and wall teichoic acid (WTA), which are proposed to play redundant roles in regulating cell division. To gain insight into the underlying biology of S. aureus TAs, we used a small molecule inhibitor to screen a highly saturated transposon library for cellular factors that become essential when WTA is depleted. We constructed an interaction network connecting WTAs with genes involved in LTA synthesis, peptidoglycan synthesis, surface protein display, and D-alanine cell envelope modifications. Although LTAs and WTAs are synthetically lethal, we report that they do not have the same synthetic interactions with other cell envelope genes. For example, D-alanylation, a tailoring modification of both WTAs and LTAs, becomes essential when the former, but not the latter, are removed. Therefore, D-alanine-tailored LTAs are required for survival when WTAs are absent. Examination of terminal phenotoypes led to the unexpected discovery that cells lacking both LTAs and WTAs lose their ability to form Z rings and can no longer divide. We have concluded that the presence of either LTAs or WTAs on the cell surface is required for initiation of S. aureus cell division, but these polymers act as part of distinct cellular networks.","author":[{"dropping-particle":"","family":"Santa Maria","given":"J. P.","non-dropping-particle":"","parse-names":false,"suffix":""},{"dropping-particle":"","family":"Sadaka","given":"A.","non-dropping-particle":"","parse-names":false,"suffix":""},{"dropping-particle":"","family":"Moussa","given":"S. H.","non-dropping-particle":"","parse-names":false,"suffix":""},{"dropping-particle":"","family":"Brown","given":"S.","non-dropping-particle":"","parse-names":false,"suffix":""},{"dropping-particle":"","family":"Zhang","given":"Y. J.","non-dropping-particle":"","parse-names":false,"suffix":""},{"dropping-particle":"","family":"Rubin","given":"E. J.","non-dropping-particle":"","parse-names":false,"suffix":""},{"dropping-particle":"","family":"Gilmore","given":"M. S.","non-dropping-particle":"","parse-names":false,"suffix":""},{"dropping-particle":"","family":"Walker","given":"S.","non-dropping-particle":"","parse-names":false,"suffix":""}],"container-title":"Proceedings of the National Academy of Sciences","id":"ITEM-1","issued":{"date-parts":[["2014"]]},"title":"Compound-gene interaction mapping reveals distinct roles for Staphylococcus aureus teichoic acids","type":"article-journal"},"uris":["http://www.mendeley.com/documents/?uuid=7aa650a3-a98e-399c-b695-e460b47ccc68"]}],"mendeley":{"formattedCitation":"&lt;sup&gt;[279]&lt;/sup&gt;","plainTextFormattedCitation":"[279]","previouslyFormattedCitation":"&lt;sup&gt;[279]&lt;/sup&gt;"},"properties":{"noteIndex":0},"schema":"https://github.com/citation-style-language/schema/raw/master/csl-citation.json"}</w:instrText>
      </w:r>
      <w:r w:rsidRPr="00922D45">
        <w:fldChar w:fldCharType="separate"/>
      </w:r>
      <w:r w:rsidR="002659E5" w:rsidRPr="002659E5">
        <w:rPr>
          <w:noProof/>
          <w:vertAlign w:val="superscript"/>
        </w:rPr>
        <w:t>[279]</w:t>
      </w:r>
      <w:r w:rsidRPr="00922D45">
        <w:fldChar w:fldCharType="end"/>
      </w:r>
      <w:r w:rsidRPr="00922D45">
        <w:t xml:space="preserve">, but also a thickened peripheral CW. </w:t>
      </w:r>
      <w:r>
        <w:t>Thickness measurements should be taken for better analysis. High magnification (4800x). Scale bars 1 µm.</w:t>
      </w:r>
    </w:p>
    <w:p w14:paraId="087DFA09" w14:textId="77777777" w:rsidR="00C0613E" w:rsidRDefault="00614B0C" w:rsidP="008E5F6E">
      <w:pPr>
        <w:pStyle w:val="NoSpacing"/>
        <w:keepNext/>
        <w:jc w:val="center"/>
      </w:pPr>
      <w:r>
        <w:rPr>
          <w:noProof/>
        </w:rPr>
        <w:lastRenderedPageBreak/>
        <w:drawing>
          <wp:inline distT="0" distB="0" distL="0" distR="0" wp14:anchorId="00C1FED2" wp14:editId="0FE9E1C2">
            <wp:extent cx="5202283" cy="7241716"/>
            <wp:effectExtent l="0" t="0" r="508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202283" cy="7241716"/>
                    </a:xfrm>
                    <a:prstGeom prst="rect">
                      <a:avLst/>
                    </a:prstGeom>
                  </pic:spPr>
                </pic:pic>
              </a:graphicData>
            </a:graphic>
          </wp:inline>
        </w:drawing>
      </w:r>
    </w:p>
    <w:p w14:paraId="2ABA0BEF" w14:textId="614C3DD8" w:rsidR="00614B0C" w:rsidRDefault="00C0613E" w:rsidP="008A2B86">
      <w:pPr>
        <w:pStyle w:val="Caption"/>
      </w:pPr>
      <w:bookmarkStart w:id="902" w:name="_Ref78912789"/>
      <w:bookmarkStart w:id="903" w:name="_Toc90217062"/>
      <w:r>
        <w:t xml:space="preserve">Supplementary Figure </w:t>
      </w:r>
      <w:r w:rsidR="003373BF">
        <w:fldChar w:fldCharType="begin"/>
      </w:r>
      <w:r w:rsidR="003373BF">
        <w:instrText xml:space="preserve"> SEQ Appendix \* ARABIC </w:instrText>
      </w:r>
      <w:r w:rsidR="003373BF">
        <w:fldChar w:fldCharType="separate"/>
      </w:r>
      <w:r w:rsidR="00183CC8">
        <w:rPr>
          <w:noProof/>
        </w:rPr>
        <w:t>10</w:t>
      </w:r>
      <w:r w:rsidR="003373BF">
        <w:rPr>
          <w:noProof/>
        </w:rPr>
        <w:fldChar w:fldCharType="end"/>
      </w:r>
      <w:bookmarkEnd w:id="902"/>
      <w:r>
        <w:t xml:space="preserve">  </w:t>
      </w:r>
      <w:r w:rsidR="00614B0C">
        <w:t xml:space="preserve">Morphological effect of Congo red on </w:t>
      </w:r>
      <w:r w:rsidR="00614B0C">
        <w:rPr>
          <w:i/>
        </w:rPr>
        <w:t xml:space="preserve">S. aureus </w:t>
      </w:r>
      <w:r w:rsidR="00614B0C" w:rsidRPr="00CF15A5">
        <w:rPr>
          <w:i/>
        </w:rPr>
        <w:t>tarO</w:t>
      </w:r>
      <w:r w:rsidR="00614B0C">
        <w:t>.</w:t>
      </w:r>
      <w:bookmarkEnd w:id="903"/>
    </w:p>
    <w:p w14:paraId="3E6897D5" w14:textId="258D62EE" w:rsidR="00614B0C" w:rsidRDefault="00614B0C" w:rsidP="00614B0C">
      <w:pPr>
        <w:pStyle w:val="NoSpacing"/>
        <w:sectPr w:rsidR="00614B0C" w:rsidSect="004D0E05">
          <w:pgSz w:w="11906" w:h="16838"/>
          <w:pgMar w:top="1191" w:right="1247" w:bottom="1191" w:left="1247" w:header="709" w:footer="709" w:gutter="0"/>
          <w:cols w:space="708"/>
          <w:titlePg/>
          <w:docGrid w:linePitch="360"/>
        </w:sectPr>
      </w:pPr>
      <w:r w:rsidRPr="00AE2F88">
        <w:rPr>
          <w:b/>
          <w:bCs/>
        </w:rPr>
        <w:t>(A)</w:t>
      </w:r>
      <w:r w:rsidRPr="00D82FF2">
        <w:t xml:space="preserve"> Representative TEM micrograph of chemically fixed </w:t>
      </w:r>
      <w:r w:rsidRPr="001D0CD5">
        <w:rPr>
          <w:i/>
          <w:iCs/>
        </w:rPr>
        <w:t>S. aureus</w:t>
      </w:r>
      <w:r w:rsidRPr="00D82FF2">
        <w:t xml:space="preserve"> </w:t>
      </w:r>
      <w:r w:rsidRPr="00D82FF2">
        <w:rPr>
          <w:i/>
          <w:iCs/>
        </w:rPr>
        <w:t>tarO</w:t>
      </w:r>
      <w:r w:rsidRPr="00D82FF2">
        <w:t xml:space="preserve"> treated with 10 µg/ml of Congo red and grown for 2 h. </w:t>
      </w:r>
      <w:r w:rsidR="00880D8F">
        <w:t xml:space="preserve">This phenotype is reminiscent of that of </w:t>
      </w:r>
      <w:r w:rsidR="00880D8F">
        <w:rPr>
          <w:i/>
          <w:iCs/>
        </w:rPr>
        <w:t xml:space="preserve">iltaS </w:t>
      </w:r>
      <w:r w:rsidR="00880D8F">
        <w:t xml:space="preserve">and </w:t>
      </w:r>
      <w:r w:rsidR="00880D8F">
        <w:rPr>
          <w:i/>
          <w:iCs/>
        </w:rPr>
        <w:t>ltaS gdpP::kan</w:t>
      </w:r>
      <w:r w:rsidR="00880D8F">
        <w:t xml:space="preserve">, with </w:t>
      </w:r>
      <w:r w:rsidR="000028C9">
        <w:t>division aberrations</w:t>
      </w:r>
      <w:r w:rsidRPr="00D82FF2">
        <w:t xml:space="preserve"> </w:t>
      </w:r>
      <w:r w:rsidR="000028C9">
        <w:t>(</w:t>
      </w:r>
      <w:r w:rsidRPr="00D82FF2">
        <w:t>multiple and misplaced septa</w:t>
      </w:r>
      <w:r w:rsidR="000028C9">
        <w:t>)</w:t>
      </w:r>
      <w:r w:rsidRPr="00D82FF2">
        <w:t xml:space="preserve"> and cells clumping together. Low magnification (1900x). Scale bar 1 µm. </w:t>
      </w:r>
      <w:r w:rsidRPr="00AE2F88">
        <w:rPr>
          <w:b/>
          <w:bCs/>
        </w:rPr>
        <w:t>(B)</w:t>
      </w:r>
      <w:r w:rsidRPr="00D82FF2">
        <w:t xml:space="preserve"> Comparison of treated and untreated </w:t>
      </w:r>
      <w:r w:rsidRPr="00D82FF2">
        <w:rPr>
          <w:i/>
          <w:iCs/>
        </w:rPr>
        <w:t>tarO</w:t>
      </w:r>
      <w:r>
        <w:t xml:space="preserve"> shows</w:t>
      </w:r>
      <w:r w:rsidRPr="00D82FF2">
        <w:t xml:space="preserve"> no visible difference in cell size, as suggested by the literature</w:t>
      </w:r>
      <w:r>
        <w:t xml:space="preserve"> </w:t>
      </w:r>
      <w:r w:rsidRPr="00817CB0">
        <w:fldChar w:fldCharType="begin" w:fldLock="1"/>
      </w:r>
      <w:r w:rsidR="0058736C">
        <w:instrText>ADDIN CSL_CITATION {"citationItems":[{"id":"ITEM-1","itemData":{"DOI":"10.1073/pnas.1404099111","ISBN":"1091-6490 (Electronic)\\r0027-8424 (Linking)","ISSN":"0027-8424","PMID":"25104751","abstract":"Staphylococcus aureus contains two distinct teichoic acid (TA) polymers, lipoteichoic acid (LTA) and wall teichoic acid (WTA), which are proposed to play redundant roles in regulating cell division. To gain insight into the underlying biology of S. aureus TAs, we used a small molecule inhibitor to screen a highly saturated transposon library for cellular factors that become essential when WTA is depleted. We constructed an interaction network connecting WTAs with genes involved in LTA synthesis, peptidoglycan synthesis, surface protein display, and D-alanine cell envelope modifications. Although LTAs and WTAs are synthetically lethal, we report that they do not have the same synthetic interactions with other cell envelope genes. For example, D-alanylation, a tailoring modification of both WTAs and LTAs, becomes essential when the former, but not the latter, are removed. Therefore, D-alanine-tailored LTAs are required for survival when WTAs are absent. Examination of terminal phenotoypes led to the unexpected discovery that cells lacking both LTAs and WTAs lose their ability to form Z rings and can no longer divide. We have concluded that the presence of either LTAs or WTAs on the cell surface is required for initiation of S. aureus cell division, but these polymers act as part of distinct cellular networks.","author":[{"dropping-particle":"","family":"Santa Maria","given":"J. P.","non-dropping-particle":"","parse-names":false,"suffix":""},{"dropping-particle":"","family":"Sadaka","given":"A.","non-dropping-particle":"","parse-names":false,"suffix":""},{"dropping-particle":"","family":"Moussa","given":"S. H.","non-dropping-particle":"","parse-names":false,"suffix":""},{"dropping-particle":"","family":"Brown","given":"S.","non-dropping-particle":"","parse-names":false,"suffix":""},{"dropping-particle":"","family":"Zhang","given":"Y. J.","non-dropping-particle":"","parse-names":false,"suffix":""},{"dropping-particle":"","family":"Rubin","given":"E. J.","non-dropping-particle":"","parse-names":false,"suffix":""},{"dropping-particle":"","family":"Gilmore","given":"M. S.","non-dropping-particle":"","parse-names":false,"suffix":""},{"dropping-particle":"","family":"Walker","given":"S.","non-dropping-particle":"","parse-names":false,"suffix":""}],"container-title":"Proceedings of the National Academy of Sciences","id":"ITEM-1","issued":{"date-parts":[["2014"]]},"title":"Compound-gene interaction mapping reveals distinct roles for Staphylococcus aureus teichoic acids","type":"article-journal"},"uris":["http://www.mendeley.com/documents/?uuid=7aa650a3-a98e-399c-b695-e460b47ccc68"]}],"mendeley":{"formattedCitation":"&lt;sup&gt;[279]&lt;/sup&gt;","plainTextFormattedCitation":"[279]","previouslyFormattedCitation":"&lt;sup&gt;[279]&lt;/sup&gt;"},"properties":{"noteIndex":0},"schema":"https://github.com/citation-style-language/schema/raw/master/csl-citation.json"}</w:instrText>
      </w:r>
      <w:r w:rsidRPr="00817CB0">
        <w:fldChar w:fldCharType="separate"/>
      </w:r>
      <w:r w:rsidR="002659E5" w:rsidRPr="002659E5">
        <w:rPr>
          <w:noProof/>
          <w:vertAlign w:val="superscript"/>
        </w:rPr>
        <w:t>[279]</w:t>
      </w:r>
      <w:r w:rsidRPr="00817CB0">
        <w:fldChar w:fldCharType="end"/>
      </w:r>
      <w:r w:rsidRPr="00D82FF2">
        <w:t xml:space="preserve">. However, depletion of LTA with Congo red shows a smoother appearance of the peripheral </w:t>
      </w:r>
      <w:r>
        <w:t>cell wall (CW)</w:t>
      </w:r>
      <w:r w:rsidRPr="00D82FF2">
        <w:t>.</w:t>
      </w:r>
      <w:r>
        <w:t xml:space="preserve"> High magnification (4800x), Scale bars 1 µm. Zoomed squares show the CW of untreated </w:t>
      </w:r>
      <w:r>
        <w:rPr>
          <w:i/>
          <w:iCs/>
        </w:rPr>
        <w:t>tarO</w:t>
      </w:r>
      <w:r>
        <w:t xml:space="preserve"> cells (solid green) and of those treated with Congo red (dashed blue), scale bars 50 nm.</w:t>
      </w:r>
    </w:p>
    <w:p w14:paraId="487A7BAF" w14:textId="77777777" w:rsidR="00AC168E" w:rsidRDefault="00614B0C" w:rsidP="004B7829">
      <w:pPr>
        <w:pStyle w:val="NoSpacing"/>
        <w:keepNext/>
        <w:jc w:val="center"/>
      </w:pPr>
      <w:r>
        <w:rPr>
          <w:noProof/>
        </w:rPr>
        <w:lastRenderedPageBreak/>
        <w:drawing>
          <wp:inline distT="0" distB="0" distL="0" distR="0" wp14:anchorId="5A79E8DE" wp14:editId="5545E8D5">
            <wp:extent cx="5163235" cy="7715250"/>
            <wp:effectExtent l="0" t="0" r="5715" b="0"/>
            <wp:docPr id="106" name="Picture 106" descr="A picture containing pizz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pizza&#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191547" cy="7757556"/>
                    </a:xfrm>
                    <a:prstGeom prst="rect">
                      <a:avLst/>
                    </a:prstGeom>
                  </pic:spPr>
                </pic:pic>
              </a:graphicData>
            </a:graphic>
          </wp:inline>
        </w:drawing>
      </w:r>
    </w:p>
    <w:p w14:paraId="7DA3D35E" w14:textId="257272E7" w:rsidR="00614B0C" w:rsidRDefault="00AC168E" w:rsidP="008A2B86">
      <w:pPr>
        <w:pStyle w:val="Caption"/>
      </w:pPr>
      <w:bookmarkStart w:id="904" w:name="_Ref78912875"/>
      <w:bookmarkStart w:id="905" w:name="_Toc90217063"/>
      <w:r>
        <w:t xml:space="preserve">Supplementary Figure </w:t>
      </w:r>
      <w:r w:rsidR="003373BF">
        <w:fldChar w:fldCharType="begin"/>
      </w:r>
      <w:r w:rsidR="003373BF">
        <w:instrText xml:space="preserve"> SEQ Appendix \* ARABIC </w:instrText>
      </w:r>
      <w:r w:rsidR="003373BF">
        <w:fldChar w:fldCharType="separate"/>
      </w:r>
      <w:r w:rsidR="00183CC8">
        <w:rPr>
          <w:noProof/>
        </w:rPr>
        <w:t>11</w:t>
      </w:r>
      <w:r w:rsidR="003373BF">
        <w:rPr>
          <w:noProof/>
        </w:rPr>
        <w:fldChar w:fldCharType="end"/>
      </w:r>
      <w:bookmarkEnd w:id="904"/>
      <w:r>
        <w:t xml:space="preserve">  </w:t>
      </w:r>
      <w:r w:rsidR="00614B0C">
        <w:t xml:space="preserve">Phenotype comparison between LTA-depletion and </w:t>
      </w:r>
      <w:r w:rsidR="00614B0C">
        <w:rPr>
          <w:i/>
        </w:rPr>
        <w:t>tarO</w:t>
      </w:r>
      <w:r w:rsidR="00614B0C">
        <w:t xml:space="preserve"> treated with Congo red</w:t>
      </w:r>
      <w:r w:rsidR="00614B0C">
        <w:rPr>
          <w:i/>
        </w:rPr>
        <w:t>.</w:t>
      </w:r>
      <w:bookmarkEnd w:id="905"/>
    </w:p>
    <w:p w14:paraId="10F0CBAA" w14:textId="77777777" w:rsidR="00614B0C" w:rsidRPr="00D3460D" w:rsidRDefault="00614B0C" w:rsidP="00614B0C">
      <w:pPr>
        <w:pStyle w:val="NoSpacing"/>
        <w:sectPr w:rsidR="00614B0C" w:rsidRPr="00D3460D" w:rsidSect="004D0E05">
          <w:pgSz w:w="11906" w:h="16838"/>
          <w:pgMar w:top="1191" w:right="1247" w:bottom="1191" w:left="1247" w:header="709" w:footer="709" w:gutter="0"/>
          <w:cols w:space="708"/>
          <w:titlePg/>
          <w:docGrid w:linePitch="360"/>
        </w:sectPr>
      </w:pPr>
      <w:r>
        <w:t xml:space="preserve">Representative TEM micrographs of chemically fixed </w:t>
      </w:r>
      <w:r>
        <w:rPr>
          <w:b/>
          <w:bCs/>
        </w:rPr>
        <w:t xml:space="preserve">(A) </w:t>
      </w:r>
      <w:r>
        <w:rPr>
          <w:i/>
          <w:iCs/>
        </w:rPr>
        <w:t>ltaS gdpP::kan</w:t>
      </w:r>
      <w:r>
        <w:t xml:space="preserve"> and </w:t>
      </w:r>
      <w:r>
        <w:rPr>
          <w:b/>
          <w:bCs/>
        </w:rPr>
        <w:t>(B)</w:t>
      </w:r>
      <w:r>
        <w:t xml:space="preserve"> </w:t>
      </w:r>
      <w:r>
        <w:rPr>
          <w:i/>
          <w:iCs/>
        </w:rPr>
        <w:t xml:space="preserve">tarO </w:t>
      </w:r>
      <w:r>
        <w:t xml:space="preserve">treated with 10 µg/ml of Congo red for 2 h. Pharmacological depletion of LTA in </w:t>
      </w:r>
      <w:r>
        <w:rPr>
          <w:i/>
          <w:iCs/>
        </w:rPr>
        <w:t xml:space="preserve">tarO </w:t>
      </w:r>
      <w:r w:rsidRPr="004079F1">
        <w:t>leads to a similar</w:t>
      </w:r>
      <w:r>
        <w:rPr>
          <w:i/>
          <w:iCs/>
        </w:rPr>
        <w:t xml:space="preserve"> </w:t>
      </w:r>
      <w:r w:rsidRPr="00022480">
        <w:t xml:space="preserve">phenotype </w:t>
      </w:r>
      <w:r>
        <w:t xml:space="preserve">to that of </w:t>
      </w:r>
      <w:r>
        <w:rPr>
          <w:i/>
          <w:iCs/>
        </w:rPr>
        <w:t xml:space="preserve">ltaS gdpP::kan. </w:t>
      </w:r>
      <w:r>
        <w:t>Morphological quantification is required for better analysis.</w:t>
      </w:r>
      <w:r w:rsidRPr="00022480">
        <w:t xml:space="preserve"> </w:t>
      </w:r>
      <w:r>
        <w:t>High magnification (4800x). Scale bars 1 µm.</w:t>
      </w:r>
    </w:p>
    <w:p w14:paraId="14FC2D8A" w14:textId="77777777" w:rsidR="008A323A" w:rsidRDefault="00745D73" w:rsidP="008A323A">
      <w:pPr>
        <w:pStyle w:val="BodyThesis"/>
        <w:keepNext/>
        <w:jc w:val="center"/>
      </w:pPr>
      <w:r>
        <w:rPr>
          <w:noProof/>
        </w:rPr>
        <w:lastRenderedPageBreak/>
        <w:drawing>
          <wp:inline distT="0" distB="0" distL="0" distR="0" wp14:anchorId="523AA365" wp14:editId="399EB08F">
            <wp:extent cx="5846490" cy="7263520"/>
            <wp:effectExtent l="0" t="0" r="0" b="127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846490" cy="7263520"/>
                    </a:xfrm>
                    <a:prstGeom prst="rect">
                      <a:avLst/>
                    </a:prstGeom>
                  </pic:spPr>
                </pic:pic>
              </a:graphicData>
            </a:graphic>
          </wp:inline>
        </w:drawing>
      </w:r>
    </w:p>
    <w:p w14:paraId="02FD26EF" w14:textId="54F6E15A" w:rsidR="00745D73" w:rsidRPr="008A323A" w:rsidRDefault="001422FF" w:rsidP="008A2B86">
      <w:pPr>
        <w:pStyle w:val="Caption"/>
      </w:pPr>
      <w:bookmarkStart w:id="906" w:name="_Ref77856133"/>
      <w:bookmarkStart w:id="907" w:name="_Toc90217064"/>
      <w:r>
        <w:t>Supplementary Figure</w:t>
      </w:r>
      <w:r w:rsidR="008A323A">
        <w:t xml:space="preserve"> </w:t>
      </w:r>
      <w:r w:rsidR="003373BF">
        <w:fldChar w:fldCharType="begin"/>
      </w:r>
      <w:r w:rsidR="003373BF">
        <w:instrText xml:space="preserve"> SEQ Appendix \* ARABIC </w:instrText>
      </w:r>
      <w:r w:rsidR="003373BF">
        <w:fldChar w:fldCharType="separate"/>
      </w:r>
      <w:r w:rsidR="00183CC8">
        <w:rPr>
          <w:noProof/>
        </w:rPr>
        <w:t>12</w:t>
      </w:r>
      <w:r w:rsidR="003373BF">
        <w:rPr>
          <w:noProof/>
        </w:rPr>
        <w:fldChar w:fldCharType="end"/>
      </w:r>
      <w:bookmarkEnd w:id="906"/>
      <w:r w:rsidR="008A323A">
        <w:t xml:space="preserve"> </w:t>
      </w:r>
      <w:r w:rsidR="00CF5F6F">
        <w:t xml:space="preserve"> </w:t>
      </w:r>
      <w:r w:rsidR="008A323A">
        <w:t xml:space="preserve">Effect of high osmolarity on </w:t>
      </w:r>
      <w:r w:rsidR="008A323A">
        <w:rPr>
          <w:i/>
        </w:rPr>
        <w:t xml:space="preserve">S. aureus </w:t>
      </w:r>
      <w:r w:rsidR="008A323A">
        <w:t>SH1000 growth and morphology</w:t>
      </w:r>
      <w:bookmarkEnd w:id="907"/>
    </w:p>
    <w:p w14:paraId="452FDC05" w14:textId="4B3795B6" w:rsidR="00745D73" w:rsidRPr="00B0080B" w:rsidRDefault="00B35079" w:rsidP="00745D73">
      <w:pPr>
        <w:pStyle w:val="NoSpacing"/>
        <w:sectPr w:rsidR="00745D73" w:rsidRPr="00B0080B" w:rsidSect="004D0E05">
          <w:pgSz w:w="11906" w:h="16838"/>
          <w:pgMar w:top="1191" w:right="1247" w:bottom="1191" w:left="1247" w:header="709" w:footer="709" w:gutter="0"/>
          <w:cols w:space="708"/>
          <w:titlePg/>
          <w:docGrid w:linePitch="360"/>
        </w:sectPr>
      </w:pPr>
      <w:r>
        <w:t>NaCl was added to the bacterial medium to analyse the effect of high osmolarity. Here we present the n</w:t>
      </w:r>
      <w:r w:rsidR="00745D73">
        <w:t xml:space="preserve">ormalised bacterial growth of </w:t>
      </w:r>
      <w:r w:rsidR="00745D73">
        <w:rPr>
          <w:i/>
          <w:iCs/>
        </w:rPr>
        <w:t xml:space="preserve">S. aureus </w:t>
      </w:r>
      <w:r w:rsidR="00745D73">
        <w:t xml:space="preserve">SH1000 with 0 (black), 10 (red), 20 (blue), 30 (green) and 40 % </w:t>
      </w:r>
      <w:r w:rsidR="00EC55DF">
        <w:t xml:space="preserve">(w/v) </w:t>
      </w:r>
      <w:r w:rsidR="00745D73">
        <w:t xml:space="preserve">NaCl (pink) measured by </w:t>
      </w:r>
      <w:r w:rsidR="00745D73">
        <w:rPr>
          <w:b/>
          <w:bCs/>
        </w:rPr>
        <w:t xml:space="preserve">(A) </w:t>
      </w:r>
      <w:r w:rsidR="00745D73">
        <w:t>absorbance (OD</w:t>
      </w:r>
      <w:r w:rsidR="00745D73">
        <w:rPr>
          <w:vertAlign w:val="subscript"/>
        </w:rPr>
        <w:t>600</w:t>
      </w:r>
      <w:r w:rsidR="00745D73">
        <w:t xml:space="preserve">) and </w:t>
      </w:r>
      <w:r w:rsidR="00745D73">
        <w:rPr>
          <w:b/>
          <w:bCs/>
        </w:rPr>
        <w:t>(B)</w:t>
      </w:r>
      <w:r w:rsidR="00745D73">
        <w:t xml:space="preserve"> CFU/ml</w:t>
      </w:r>
      <w:r w:rsidR="0053584A">
        <w:t xml:space="preserve">. </w:t>
      </w:r>
      <w:r w:rsidR="00745D73">
        <w:rPr>
          <w:b/>
          <w:bCs/>
        </w:rPr>
        <w:t>(C)</w:t>
      </w:r>
      <w:r w:rsidR="00745D73">
        <w:t xml:space="preserve"> TEM micrographs of chemically fixed SH1000 samples with </w:t>
      </w:r>
      <w:r w:rsidR="00A959F4">
        <w:t>2</w:t>
      </w:r>
      <w:r w:rsidR="00745D73">
        <w:t>.6</w:t>
      </w:r>
      <w:r w:rsidR="00A959F4">
        <w:t>7</w:t>
      </w:r>
      <w:r w:rsidR="00745D73">
        <w:t xml:space="preserve"> % </w:t>
      </w:r>
      <w:r w:rsidR="00EC55DF">
        <w:t>(</w:t>
      </w:r>
      <w:r w:rsidR="00E94BB5">
        <w:t>w</w:t>
      </w:r>
      <w:r w:rsidR="00EC55DF">
        <w:t xml:space="preserve">/v) </w:t>
      </w:r>
      <w:r w:rsidR="00745D73">
        <w:t xml:space="preserve">PFA, before the standard chemical fixation protocol. Samples were collected after 10, 30 and 60 min of exposure to 20 % </w:t>
      </w:r>
      <w:r w:rsidR="000443DD">
        <w:t xml:space="preserve">(w/v) </w:t>
      </w:r>
      <w:r w:rsidR="00745D73">
        <w:t>NaCl. Mid magnification (4800x) scale bars 1 µm. Yellow arrows represent signs of plasmolysis. Blue squares scale bars 50 nm.</w:t>
      </w:r>
    </w:p>
    <w:p w14:paraId="6F0C74AB" w14:textId="77777777" w:rsidR="00FA359D" w:rsidRDefault="00745D73" w:rsidP="00FA359D">
      <w:pPr>
        <w:pStyle w:val="BodyThesis"/>
        <w:keepNext/>
        <w:jc w:val="center"/>
      </w:pPr>
      <w:r>
        <w:rPr>
          <w:noProof/>
        </w:rPr>
        <w:lastRenderedPageBreak/>
        <w:drawing>
          <wp:inline distT="0" distB="0" distL="0" distR="0" wp14:anchorId="4038DC06" wp14:editId="74AF4942">
            <wp:extent cx="5847298" cy="7291251"/>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847298" cy="7291251"/>
                    </a:xfrm>
                    <a:prstGeom prst="rect">
                      <a:avLst/>
                    </a:prstGeom>
                  </pic:spPr>
                </pic:pic>
              </a:graphicData>
            </a:graphic>
          </wp:inline>
        </w:drawing>
      </w:r>
    </w:p>
    <w:p w14:paraId="62C6A9B9" w14:textId="6439DE86" w:rsidR="00745D73" w:rsidRDefault="001422FF" w:rsidP="008A2B86">
      <w:pPr>
        <w:pStyle w:val="Caption"/>
      </w:pPr>
      <w:bookmarkStart w:id="908" w:name="_Ref77856144"/>
      <w:bookmarkStart w:id="909" w:name="_Toc90217065"/>
      <w:r>
        <w:t>Supplementary Figure</w:t>
      </w:r>
      <w:r w:rsidR="00FA359D">
        <w:t xml:space="preserve"> </w:t>
      </w:r>
      <w:r w:rsidR="003373BF">
        <w:fldChar w:fldCharType="begin"/>
      </w:r>
      <w:r w:rsidR="003373BF">
        <w:instrText xml:space="preserve"> SEQ Appendix \* ARABIC </w:instrText>
      </w:r>
      <w:r w:rsidR="003373BF">
        <w:fldChar w:fldCharType="separate"/>
      </w:r>
      <w:r w:rsidR="00183CC8">
        <w:rPr>
          <w:noProof/>
        </w:rPr>
        <w:t>13</w:t>
      </w:r>
      <w:r w:rsidR="003373BF">
        <w:rPr>
          <w:noProof/>
        </w:rPr>
        <w:fldChar w:fldCharType="end"/>
      </w:r>
      <w:bookmarkEnd w:id="908"/>
      <w:r w:rsidR="00CF5F6F">
        <w:t xml:space="preserve"> </w:t>
      </w:r>
      <w:r w:rsidR="00FA359D" w:rsidRPr="00FA359D">
        <w:t xml:space="preserve"> </w:t>
      </w:r>
      <w:r w:rsidR="00FA359D">
        <w:t xml:space="preserve">Instant </w:t>
      </w:r>
      <w:r w:rsidR="00CF5F6F">
        <w:t xml:space="preserve">reaction and </w:t>
      </w:r>
      <w:r w:rsidR="00FA359D">
        <w:t xml:space="preserve">signs of plasmolysis observed in </w:t>
      </w:r>
      <w:r w:rsidR="00FA359D">
        <w:rPr>
          <w:i/>
        </w:rPr>
        <w:t xml:space="preserve">S. aureus </w:t>
      </w:r>
      <w:r w:rsidR="00FA359D">
        <w:t>SH1000 treated with high concentrations of NaCl.</w:t>
      </w:r>
      <w:bookmarkEnd w:id="909"/>
    </w:p>
    <w:p w14:paraId="4B902211" w14:textId="56E36FF8" w:rsidR="00745D73" w:rsidRPr="005B0F81" w:rsidRDefault="00745D73" w:rsidP="002A672A">
      <w:pPr>
        <w:pStyle w:val="NoSpacing"/>
      </w:pPr>
      <w:r>
        <w:t xml:space="preserve">TEM micrographs of </w:t>
      </w:r>
      <w:r>
        <w:rPr>
          <w:i/>
          <w:iCs/>
        </w:rPr>
        <w:t>S. aureus</w:t>
      </w:r>
      <w:r>
        <w:t xml:space="preserve"> SH1000 </w:t>
      </w:r>
      <w:r w:rsidR="00CF5F6F">
        <w:t>chemically fixed after 2 min of exposure to 4 M NaCl</w:t>
      </w:r>
      <w:r>
        <w:t xml:space="preserve">. </w:t>
      </w:r>
      <w:r w:rsidR="005D4FD7">
        <w:t xml:space="preserve">Samples were fixed with paraformaldehyde before continuing with the standard chemical fixation protocol. </w:t>
      </w:r>
      <w:r>
        <w:t>Cropped from 9300x and 13000x magnification. Scale bars 100 nm. Blue squares show magnified sections emphasizing signs of plasmolysis</w:t>
      </w:r>
      <w:r w:rsidR="00CF5F6F">
        <w:t>: membrane detachment from the cell wall</w:t>
      </w:r>
      <w:r w:rsidR="0084617A">
        <w:t>, expansion of the exoplasm</w:t>
      </w:r>
      <w:r w:rsidR="00CF5F6F">
        <w:t>, vesicles</w:t>
      </w:r>
      <w:r w:rsidR="0084617A">
        <w:t>/</w:t>
      </w:r>
      <w:r w:rsidR="00CF5F6F">
        <w:t>blebs in the exoplasmic space, “spiral”-like invaginations of the membrane</w:t>
      </w:r>
      <w:r w:rsidR="0084617A">
        <w:t xml:space="preserve"> (particularly at the sept</w:t>
      </w:r>
      <w:r w:rsidR="00FA5648">
        <w:t>um</w:t>
      </w:r>
      <w:r w:rsidR="0084617A">
        <w:t>).</w:t>
      </w:r>
      <w:r>
        <w:t xml:space="preserve"> Scale bars 50 nm</w:t>
      </w:r>
      <w:r w:rsidR="002A672A">
        <w:t>.</w:t>
      </w:r>
      <w:r w:rsidR="002A672A" w:rsidRPr="005B0F81">
        <w:t xml:space="preserve"> </w:t>
      </w:r>
    </w:p>
    <w:sectPr w:rsidR="00745D73" w:rsidRPr="005B0F81" w:rsidSect="004D0E05">
      <w:pgSz w:w="11906" w:h="16838"/>
      <w:pgMar w:top="1191" w:right="1247" w:bottom="1191" w:left="124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B438FE" w14:textId="77777777" w:rsidR="003373BF" w:rsidRDefault="003373BF" w:rsidP="005C29B4">
      <w:pPr>
        <w:spacing w:before="0" w:after="0" w:line="240" w:lineRule="auto"/>
      </w:pPr>
      <w:r>
        <w:separator/>
      </w:r>
    </w:p>
    <w:p w14:paraId="36FB4B41" w14:textId="77777777" w:rsidR="003373BF" w:rsidRDefault="003373BF"/>
    <w:p w14:paraId="6182D46D" w14:textId="77777777" w:rsidR="003373BF" w:rsidRDefault="003373BF"/>
    <w:p w14:paraId="731C554D" w14:textId="77777777" w:rsidR="003373BF" w:rsidRDefault="003373BF"/>
  </w:endnote>
  <w:endnote w:type="continuationSeparator" w:id="0">
    <w:p w14:paraId="4DD5968A" w14:textId="77777777" w:rsidR="003373BF" w:rsidRDefault="003373BF" w:rsidP="005C29B4">
      <w:pPr>
        <w:spacing w:before="0" w:after="0" w:line="240" w:lineRule="auto"/>
      </w:pPr>
      <w:r>
        <w:continuationSeparator/>
      </w:r>
    </w:p>
    <w:p w14:paraId="15FD182F" w14:textId="77777777" w:rsidR="003373BF" w:rsidRDefault="003373BF"/>
    <w:p w14:paraId="299573B4" w14:textId="77777777" w:rsidR="003373BF" w:rsidRDefault="003373BF"/>
    <w:p w14:paraId="658495CF" w14:textId="77777777" w:rsidR="003373BF" w:rsidRDefault="003373B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E4002EFF" w:usb1="C000E47F" w:usb2="00000009" w:usb3="00000000" w:csb0="000001FF" w:csb1="00000000"/>
  </w:font>
  <w:font w:name="Calibri (Body)">
    <w:altName w:val="Calibri"/>
    <w:panose1 w:val="020B0604020202020204"/>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33126773"/>
      <w:docPartObj>
        <w:docPartGallery w:val="Page Numbers (Bottom of Page)"/>
        <w:docPartUnique/>
      </w:docPartObj>
    </w:sdtPr>
    <w:sdtEndPr>
      <w:rPr>
        <w:rStyle w:val="PageNumber"/>
      </w:rPr>
    </w:sdtEndPr>
    <w:sdtContent>
      <w:p w14:paraId="178ED21D" w14:textId="1A3E5435" w:rsidR="00310DA2" w:rsidRDefault="00310DA2" w:rsidP="001F554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B3190DA" w14:textId="77777777" w:rsidR="00310DA2" w:rsidRDefault="00310DA2" w:rsidP="00310DA2">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76701050"/>
      <w:docPartObj>
        <w:docPartGallery w:val="Page Numbers (Bottom of Page)"/>
        <w:docPartUnique/>
      </w:docPartObj>
    </w:sdtPr>
    <w:sdtEndPr>
      <w:rPr>
        <w:rStyle w:val="PageNumber"/>
      </w:rPr>
    </w:sdtEndPr>
    <w:sdtContent>
      <w:p w14:paraId="2589A750" w14:textId="7B1D6F0F" w:rsidR="00310DA2" w:rsidRDefault="00310DA2" w:rsidP="001F554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III</w:t>
        </w:r>
        <w:r>
          <w:rPr>
            <w:rStyle w:val="PageNumber"/>
          </w:rPr>
          <w:fldChar w:fldCharType="end"/>
        </w:r>
      </w:p>
    </w:sdtContent>
  </w:sdt>
  <w:p w14:paraId="34AB0CF0" w14:textId="7A455F2C" w:rsidR="00BC3569" w:rsidRDefault="00BC3569" w:rsidP="00310DA2">
    <w:pPr>
      <w:pStyle w:val="Footer"/>
      <w:ind w:right="360" w:firstLine="360"/>
      <w:jc w:val="right"/>
    </w:pPr>
  </w:p>
  <w:p w14:paraId="7ED384A7" w14:textId="539763B5" w:rsidR="00BC3569" w:rsidRDefault="00BC356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87760515"/>
      <w:docPartObj>
        <w:docPartGallery w:val="Page Numbers (Bottom of Page)"/>
        <w:docPartUnique/>
      </w:docPartObj>
    </w:sdtPr>
    <w:sdtEndPr>
      <w:rPr>
        <w:rStyle w:val="PageNumber"/>
      </w:rPr>
    </w:sdtEndPr>
    <w:sdtContent>
      <w:p w14:paraId="0E1F0420" w14:textId="55FE7C4E" w:rsidR="00D12414" w:rsidRDefault="00D12414" w:rsidP="00903A9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p>
    </w:sdtContent>
  </w:sdt>
  <w:p w14:paraId="282B99E5" w14:textId="0CEF395C" w:rsidR="00BC3569" w:rsidRDefault="00BC3569" w:rsidP="00D12414">
    <w:pPr>
      <w:pStyle w:val="Footer"/>
      <w:ind w:right="360" w:firstLine="360"/>
      <w:jc w:val="right"/>
    </w:pPr>
  </w:p>
  <w:p w14:paraId="2BBBBB3D" w14:textId="77777777" w:rsidR="00BC3569" w:rsidRDefault="00BC356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0005117"/>
      <w:docPartObj>
        <w:docPartGallery w:val="Page Numbers (Bottom of Page)"/>
        <w:docPartUnique/>
      </w:docPartObj>
    </w:sdtPr>
    <w:sdtEndPr>
      <w:rPr>
        <w:noProof/>
      </w:rPr>
    </w:sdtEndPr>
    <w:sdtContent>
      <w:p w14:paraId="77033F6D" w14:textId="77777777" w:rsidR="00310DA2" w:rsidRDefault="00310DA2">
        <w:pPr>
          <w:pStyle w:val="Footer"/>
          <w:jc w:val="right"/>
        </w:pPr>
        <w:r>
          <w:fldChar w:fldCharType="begin"/>
        </w:r>
        <w:r>
          <w:instrText xml:space="preserve"> PAGE   \* MERGEFORMAT </w:instrText>
        </w:r>
        <w:r>
          <w:fldChar w:fldCharType="separate"/>
        </w:r>
        <w:r>
          <w:rPr>
            <w:noProof/>
          </w:rPr>
          <w:t>I</w:t>
        </w:r>
        <w:r>
          <w:rPr>
            <w:noProof/>
          </w:rPr>
          <w:fldChar w:fldCharType="end"/>
        </w:r>
      </w:p>
    </w:sdtContent>
  </w:sdt>
  <w:p w14:paraId="52A53CFF" w14:textId="77777777" w:rsidR="00310DA2" w:rsidRDefault="00310DA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B2F2D7" w14:textId="77777777" w:rsidR="003373BF" w:rsidRDefault="003373BF" w:rsidP="00C927A1">
      <w:pPr>
        <w:spacing w:before="0" w:after="0" w:line="240" w:lineRule="auto"/>
      </w:pPr>
      <w:r>
        <w:separator/>
      </w:r>
    </w:p>
  </w:footnote>
  <w:footnote w:type="continuationSeparator" w:id="0">
    <w:p w14:paraId="35884CDD" w14:textId="77777777" w:rsidR="003373BF" w:rsidRDefault="003373BF" w:rsidP="005C29B4">
      <w:pPr>
        <w:spacing w:before="0" w:after="0" w:line="240" w:lineRule="auto"/>
      </w:pPr>
      <w:r>
        <w:continuationSeparator/>
      </w:r>
    </w:p>
    <w:p w14:paraId="48F98EE1" w14:textId="77777777" w:rsidR="003373BF" w:rsidRDefault="003373BF"/>
    <w:p w14:paraId="28EB2A5A" w14:textId="77777777" w:rsidR="003373BF" w:rsidRDefault="003373BF"/>
    <w:p w14:paraId="60C485A7" w14:textId="77777777" w:rsidR="003373BF" w:rsidRDefault="003373B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A264D"/>
    <w:multiLevelType w:val="hybridMultilevel"/>
    <w:tmpl w:val="485E8A60"/>
    <w:lvl w:ilvl="0" w:tplc="F832415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88E5AE4"/>
    <w:multiLevelType w:val="hybridMultilevel"/>
    <w:tmpl w:val="6F9C49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C4615B"/>
    <w:multiLevelType w:val="hybridMultilevel"/>
    <w:tmpl w:val="37A4FD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3A0C90"/>
    <w:multiLevelType w:val="hybridMultilevel"/>
    <w:tmpl w:val="11983226"/>
    <w:lvl w:ilvl="0" w:tplc="5FA477EC">
      <w:start w:val="1"/>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F893F90"/>
    <w:multiLevelType w:val="hybridMultilevel"/>
    <w:tmpl w:val="54F227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165C1E"/>
    <w:multiLevelType w:val="hybridMultilevel"/>
    <w:tmpl w:val="49D28D6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1E061086"/>
    <w:multiLevelType w:val="multilevel"/>
    <w:tmpl w:val="460CA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E4B4DF0"/>
    <w:multiLevelType w:val="multilevel"/>
    <w:tmpl w:val="21E0D94C"/>
    <w:lvl w:ilvl="0">
      <w:start w:val="1"/>
      <w:numFmt w:val="decimal"/>
      <w:pStyle w:val="Heading1"/>
      <w:lvlText w:val="%1"/>
      <w:lvlJc w:val="left"/>
      <w:pPr>
        <w:ind w:left="0" w:firstLine="0"/>
      </w:pPr>
      <w:rPr>
        <w:rFonts w:hint="default"/>
        <w:vanish/>
        <w:color w:val="000000" w:themeColor="text1"/>
      </w:rPr>
    </w:lvl>
    <w:lvl w:ilvl="1">
      <w:start w:val="1"/>
      <w:numFmt w:val="decimal"/>
      <w:pStyle w:val="Heading2"/>
      <w:lvlText w:val="%1.%2"/>
      <w:lvlJc w:val="left"/>
      <w:pPr>
        <w:ind w:left="576" w:hanging="576"/>
      </w:pPr>
      <w:rPr>
        <w:rFonts w:hint="default"/>
        <w:i w:val="0"/>
      </w:rPr>
    </w:lvl>
    <w:lvl w:ilvl="2">
      <w:start w:val="1"/>
      <w:numFmt w:val="decimal"/>
      <w:pStyle w:val="Heading3"/>
      <w:lvlText w:val="%1.%2.%3"/>
      <w:lvlJc w:val="left"/>
      <w:pPr>
        <w:ind w:left="3981" w:hanging="720"/>
      </w:pPr>
      <w:rPr>
        <w:rFonts w:hint="default"/>
        <w:i w:val="0"/>
      </w:rPr>
    </w:lvl>
    <w:lvl w:ilvl="3">
      <w:start w:val="1"/>
      <w:numFmt w:val="decimal"/>
      <w:pStyle w:val="Heading4"/>
      <w:lvlText w:val="%1.%2.%3.%4"/>
      <w:lvlJc w:val="left"/>
      <w:pPr>
        <w:ind w:left="864" w:hanging="864"/>
      </w:pPr>
      <w:rPr>
        <w:rFonts w:hint="default"/>
        <w:i w:val="0"/>
      </w:rPr>
    </w:lvl>
    <w:lvl w:ilvl="4">
      <w:start w:val="1"/>
      <w:numFmt w:val="decimal"/>
      <w:pStyle w:val="Heading5"/>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1EAD77B9"/>
    <w:multiLevelType w:val="hybridMultilevel"/>
    <w:tmpl w:val="97CCFC92"/>
    <w:lvl w:ilvl="0" w:tplc="7F462590">
      <w:start w:val="4"/>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2571785"/>
    <w:multiLevelType w:val="multilevel"/>
    <w:tmpl w:val="0D76AFBC"/>
    <w:lvl w:ilvl="0">
      <w:start w:val="23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54625EC"/>
    <w:multiLevelType w:val="multilevel"/>
    <w:tmpl w:val="FCA01008"/>
    <w:lvl w:ilvl="0">
      <w:start w:val="17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ABB0CB5"/>
    <w:multiLevelType w:val="hybridMultilevel"/>
    <w:tmpl w:val="438239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E744D32"/>
    <w:multiLevelType w:val="hybridMultilevel"/>
    <w:tmpl w:val="78FA88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835A17"/>
    <w:multiLevelType w:val="multilevel"/>
    <w:tmpl w:val="EE4A4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4E0289C"/>
    <w:multiLevelType w:val="hybridMultilevel"/>
    <w:tmpl w:val="394A56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52E5AF4"/>
    <w:multiLevelType w:val="hybridMultilevel"/>
    <w:tmpl w:val="2318A1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FFC6C3C"/>
    <w:multiLevelType w:val="multilevel"/>
    <w:tmpl w:val="0DD89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162062F"/>
    <w:multiLevelType w:val="multilevel"/>
    <w:tmpl w:val="E18EBCAA"/>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1D25A9D"/>
    <w:multiLevelType w:val="hybridMultilevel"/>
    <w:tmpl w:val="E23A7ACE"/>
    <w:lvl w:ilvl="0" w:tplc="BC0E11E0">
      <w:start w:val="5"/>
      <w:numFmt w:val="bullet"/>
      <w:lvlText w:val="-"/>
      <w:lvlJc w:val="left"/>
      <w:pPr>
        <w:ind w:left="1440" w:hanging="360"/>
      </w:pPr>
      <w:rPr>
        <w:rFonts w:ascii="Times New Roman" w:eastAsiaTheme="minorHAnsi" w:hAnsi="Times New Roman" w:cs="Times New Roman"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483C7509"/>
    <w:multiLevelType w:val="hybridMultilevel"/>
    <w:tmpl w:val="342495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D655605"/>
    <w:multiLevelType w:val="multilevel"/>
    <w:tmpl w:val="F1E0E84E"/>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440" w:hanging="360"/>
      </w:pPr>
      <w:rPr>
        <w:rFonts w:hint="default"/>
        <w:b/>
      </w:rPr>
    </w:lvl>
    <w:lvl w:ilvl="2">
      <w:start w:val="1"/>
      <w:numFmt w:val="decimal"/>
      <w:lvlText w:val="(%3)"/>
      <w:lvlJc w:val="left"/>
      <w:pPr>
        <w:ind w:left="2160" w:hanging="360"/>
      </w:pPr>
      <w:rPr>
        <w:rFonts w:asciiTheme="minorHAnsi" w:eastAsiaTheme="minorHAnsi" w:hAnsiTheme="minorHAnsi" w:cs="Arial"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FFC3349"/>
    <w:multiLevelType w:val="hybridMultilevel"/>
    <w:tmpl w:val="7076D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5CC2B03"/>
    <w:multiLevelType w:val="multilevel"/>
    <w:tmpl w:val="7C88F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C5E5CB7"/>
    <w:multiLevelType w:val="multilevel"/>
    <w:tmpl w:val="6128A5FC"/>
    <w:lvl w:ilvl="0">
      <w:start w:val="75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EF2414E"/>
    <w:multiLevelType w:val="hybridMultilevel"/>
    <w:tmpl w:val="485E8A60"/>
    <w:lvl w:ilvl="0" w:tplc="F832415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0C47A1C"/>
    <w:multiLevelType w:val="hybridMultilevel"/>
    <w:tmpl w:val="C2D059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0D352D7"/>
    <w:multiLevelType w:val="hybridMultilevel"/>
    <w:tmpl w:val="9E56D4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3882142"/>
    <w:multiLevelType w:val="hybridMultilevel"/>
    <w:tmpl w:val="342859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6AD3FFC"/>
    <w:multiLevelType w:val="hybridMultilevel"/>
    <w:tmpl w:val="DF6A86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FD80DDB"/>
    <w:multiLevelType w:val="hybridMultilevel"/>
    <w:tmpl w:val="8292BA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21A1C12"/>
    <w:multiLevelType w:val="hybridMultilevel"/>
    <w:tmpl w:val="4D7845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2922CCF"/>
    <w:multiLevelType w:val="hybridMultilevel"/>
    <w:tmpl w:val="545E2DB2"/>
    <w:lvl w:ilvl="0" w:tplc="734A4C9C">
      <w:start w:val="1"/>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2D0649C"/>
    <w:multiLevelType w:val="multilevel"/>
    <w:tmpl w:val="01D0E8F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732F334B"/>
    <w:multiLevelType w:val="hybridMultilevel"/>
    <w:tmpl w:val="36605BD2"/>
    <w:lvl w:ilvl="0" w:tplc="44B2DF6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9B97583"/>
    <w:multiLevelType w:val="hybridMultilevel"/>
    <w:tmpl w:val="485E8A60"/>
    <w:lvl w:ilvl="0" w:tplc="F832415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A8F2146"/>
    <w:multiLevelType w:val="hybridMultilevel"/>
    <w:tmpl w:val="68F28062"/>
    <w:lvl w:ilvl="0" w:tplc="08090001">
      <w:start w:val="1"/>
      <w:numFmt w:val="bullet"/>
      <w:lvlText w:val=""/>
      <w:lvlJc w:val="left"/>
      <w:pPr>
        <w:ind w:left="771" w:hanging="360"/>
      </w:pPr>
      <w:rPr>
        <w:rFonts w:ascii="Symbol" w:hAnsi="Symbol" w:hint="default"/>
      </w:rPr>
    </w:lvl>
    <w:lvl w:ilvl="1" w:tplc="08090003" w:tentative="1">
      <w:start w:val="1"/>
      <w:numFmt w:val="bullet"/>
      <w:lvlText w:val="o"/>
      <w:lvlJc w:val="left"/>
      <w:pPr>
        <w:ind w:left="1491" w:hanging="360"/>
      </w:pPr>
      <w:rPr>
        <w:rFonts w:ascii="Courier New" w:hAnsi="Courier New" w:cs="Courier New" w:hint="default"/>
      </w:rPr>
    </w:lvl>
    <w:lvl w:ilvl="2" w:tplc="08090005" w:tentative="1">
      <w:start w:val="1"/>
      <w:numFmt w:val="bullet"/>
      <w:lvlText w:val=""/>
      <w:lvlJc w:val="left"/>
      <w:pPr>
        <w:ind w:left="2211" w:hanging="360"/>
      </w:pPr>
      <w:rPr>
        <w:rFonts w:ascii="Wingdings" w:hAnsi="Wingdings" w:hint="default"/>
      </w:rPr>
    </w:lvl>
    <w:lvl w:ilvl="3" w:tplc="08090001" w:tentative="1">
      <w:start w:val="1"/>
      <w:numFmt w:val="bullet"/>
      <w:lvlText w:val=""/>
      <w:lvlJc w:val="left"/>
      <w:pPr>
        <w:ind w:left="2931" w:hanging="360"/>
      </w:pPr>
      <w:rPr>
        <w:rFonts w:ascii="Symbol" w:hAnsi="Symbol" w:hint="default"/>
      </w:rPr>
    </w:lvl>
    <w:lvl w:ilvl="4" w:tplc="08090003" w:tentative="1">
      <w:start w:val="1"/>
      <w:numFmt w:val="bullet"/>
      <w:lvlText w:val="o"/>
      <w:lvlJc w:val="left"/>
      <w:pPr>
        <w:ind w:left="3651" w:hanging="360"/>
      </w:pPr>
      <w:rPr>
        <w:rFonts w:ascii="Courier New" w:hAnsi="Courier New" w:cs="Courier New" w:hint="default"/>
      </w:rPr>
    </w:lvl>
    <w:lvl w:ilvl="5" w:tplc="08090005" w:tentative="1">
      <w:start w:val="1"/>
      <w:numFmt w:val="bullet"/>
      <w:lvlText w:val=""/>
      <w:lvlJc w:val="left"/>
      <w:pPr>
        <w:ind w:left="4371" w:hanging="360"/>
      </w:pPr>
      <w:rPr>
        <w:rFonts w:ascii="Wingdings" w:hAnsi="Wingdings" w:hint="default"/>
      </w:rPr>
    </w:lvl>
    <w:lvl w:ilvl="6" w:tplc="08090001" w:tentative="1">
      <w:start w:val="1"/>
      <w:numFmt w:val="bullet"/>
      <w:lvlText w:val=""/>
      <w:lvlJc w:val="left"/>
      <w:pPr>
        <w:ind w:left="5091" w:hanging="360"/>
      </w:pPr>
      <w:rPr>
        <w:rFonts w:ascii="Symbol" w:hAnsi="Symbol" w:hint="default"/>
      </w:rPr>
    </w:lvl>
    <w:lvl w:ilvl="7" w:tplc="08090003" w:tentative="1">
      <w:start w:val="1"/>
      <w:numFmt w:val="bullet"/>
      <w:lvlText w:val="o"/>
      <w:lvlJc w:val="left"/>
      <w:pPr>
        <w:ind w:left="5811" w:hanging="360"/>
      </w:pPr>
      <w:rPr>
        <w:rFonts w:ascii="Courier New" w:hAnsi="Courier New" w:cs="Courier New" w:hint="default"/>
      </w:rPr>
    </w:lvl>
    <w:lvl w:ilvl="8" w:tplc="08090005" w:tentative="1">
      <w:start w:val="1"/>
      <w:numFmt w:val="bullet"/>
      <w:lvlText w:val=""/>
      <w:lvlJc w:val="left"/>
      <w:pPr>
        <w:ind w:left="6531" w:hanging="360"/>
      </w:pPr>
      <w:rPr>
        <w:rFonts w:ascii="Wingdings" w:hAnsi="Wingdings" w:hint="default"/>
      </w:rPr>
    </w:lvl>
  </w:abstractNum>
  <w:abstractNum w:abstractNumId="36" w15:restartNumberingAfterBreak="0">
    <w:nsid w:val="7C0F29DE"/>
    <w:multiLevelType w:val="multilevel"/>
    <w:tmpl w:val="9AE86202"/>
    <w:lvl w:ilvl="0">
      <w:start w:val="1"/>
      <w:numFmt w:val="decimal"/>
      <w:lvlText w:val="%1"/>
      <w:lvlJc w:val="left"/>
      <w:pPr>
        <w:ind w:left="432" w:hanging="432"/>
      </w:pPr>
      <w:rPr>
        <w:rFonts w:hint="default"/>
        <w:vanish/>
        <w:color w:val="FFFFFF" w:themeColor="background1"/>
      </w:rPr>
    </w:lvl>
    <w:lvl w:ilvl="1">
      <w:start w:val="1"/>
      <w:numFmt w:val="decimal"/>
      <w:lvlText w:val="%1.%2"/>
      <w:lvlJc w:val="left"/>
      <w:pPr>
        <w:ind w:left="576" w:hanging="576"/>
      </w:pPr>
      <w:rPr>
        <w:rFonts w:ascii="Times New Roman" w:hAnsi="Times New Roman" w:cs="Times New Roman"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i w:val="0"/>
      </w:rPr>
    </w:lvl>
    <w:lvl w:ilvl="3">
      <w:start w:val="1"/>
      <w:numFmt w:val="decimal"/>
      <w:lvlText w:val="%1.%2.%3.%4"/>
      <w:lvlJc w:val="left"/>
      <w:pPr>
        <w:ind w:left="864" w:hanging="864"/>
      </w:pPr>
      <w:rPr>
        <w:rFonts w:hint="default"/>
        <w:i w:val="0"/>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7" w15:restartNumberingAfterBreak="0">
    <w:nsid w:val="7FDB4CF4"/>
    <w:multiLevelType w:val="hybridMultilevel"/>
    <w:tmpl w:val="BFCA21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36"/>
  </w:num>
  <w:num w:numId="3">
    <w:abstractNumId w:val="22"/>
  </w:num>
  <w:num w:numId="4">
    <w:abstractNumId w:val="20"/>
  </w:num>
  <w:num w:numId="5">
    <w:abstractNumId w:val="19"/>
  </w:num>
  <w:num w:numId="6">
    <w:abstractNumId w:val="26"/>
  </w:num>
  <w:num w:numId="7">
    <w:abstractNumId w:val="25"/>
  </w:num>
  <w:num w:numId="8">
    <w:abstractNumId w:val="8"/>
  </w:num>
  <w:num w:numId="9">
    <w:abstractNumId w:val="15"/>
  </w:num>
  <w:num w:numId="10">
    <w:abstractNumId w:val="34"/>
  </w:num>
  <w:num w:numId="11">
    <w:abstractNumId w:val="24"/>
  </w:num>
  <w:num w:numId="12">
    <w:abstractNumId w:val="0"/>
  </w:num>
  <w:num w:numId="13">
    <w:abstractNumId w:val="14"/>
  </w:num>
  <w:num w:numId="14">
    <w:abstractNumId w:val="10"/>
  </w:num>
  <w:num w:numId="15">
    <w:abstractNumId w:val="33"/>
  </w:num>
  <w:num w:numId="16">
    <w:abstractNumId w:val="2"/>
  </w:num>
  <w:num w:numId="17">
    <w:abstractNumId w:val="28"/>
  </w:num>
  <w:num w:numId="18">
    <w:abstractNumId w:val="23"/>
  </w:num>
  <w:num w:numId="19">
    <w:abstractNumId w:val="3"/>
  </w:num>
  <w:num w:numId="20">
    <w:abstractNumId w:val="31"/>
  </w:num>
  <w:num w:numId="21">
    <w:abstractNumId w:val="16"/>
  </w:num>
  <w:num w:numId="22">
    <w:abstractNumId w:val="6"/>
  </w:num>
  <w:num w:numId="23">
    <w:abstractNumId w:val="12"/>
  </w:num>
  <w:num w:numId="24">
    <w:abstractNumId w:val="9"/>
  </w:num>
  <w:num w:numId="25">
    <w:abstractNumId w:val="29"/>
  </w:num>
  <w:num w:numId="26">
    <w:abstractNumId w:val="35"/>
  </w:num>
  <w:num w:numId="27">
    <w:abstractNumId w:val="37"/>
  </w:num>
  <w:num w:numId="28">
    <w:abstractNumId w:val="27"/>
  </w:num>
  <w:num w:numId="29">
    <w:abstractNumId w:val="11"/>
  </w:num>
  <w:num w:numId="30">
    <w:abstractNumId w:val="30"/>
  </w:num>
  <w:num w:numId="31">
    <w:abstractNumId w:val="21"/>
  </w:num>
  <w:num w:numId="32">
    <w:abstractNumId w:val="5"/>
  </w:num>
  <w:num w:numId="33">
    <w:abstractNumId w:val="18"/>
  </w:num>
  <w:num w:numId="34">
    <w:abstractNumId w:val="32"/>
  </w:num>
  <w:num w:numId="35">
    <w:abstractNumId w:val="17"/>
  </w:num>
  <w:num w:numId="36">
    <w:abstractNumId w:val="1"/>
  </w:num>
  <w:num w:numId="37">
    <w:abstractNumId w:val="4"/>
  </w:num>
  <w:num w:numId="38">
    <w:abstractNumId w:val="1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3"/>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38B4"/>
    <w:rsid w:val="00000286"/>
    <w:rsid w:val="00000510"/>
    <w:rsid w:val="000005B0"/>
    <w:rsid w:val="00000791"/>
    <w:rsid w:val="000007B6"/>
    <w:rsid w:val="000007F5"/>
    <w:rsid w:val="000008FE"/>
    <w:rsid w:val="0000098E"/>
    <w:rsid w:val="0000098F"/>
    <w:rsid w:val="00000C2A"/>
    <w:rsid w:val="00000C82"/>
    <w:rsid w:val="00000CBD"/>
    <w:rsid w:val="00000CFB"/>
    <w:rsid w:val="00000E07"/>
    <w:rsid w:val="00000F64"/>
    <w:rsid w:val="00000FFF"/>
    <w:rsid w:val="0000106D"/>
    <w:rsid w:val="000012A3"/>
    <w:rsid w:val="000012E2"/>
    <w:rsid w:val="000014A9"/>
    <w:rsid w:val="000017B0"/>
    <w:rsid w:val="000017DE"/>
    <w:rsid w:val="000018A8"/>
    <w:rsid w:val="00001ADC"/>
    <w:rsid w:val="00001B6D"/>
    <w:rsid w:val="00001C21"/>
    <w:rsid w:val="00001C36"/>
    <w:rsid w:val="00001DCC"/>
    <w:rsid w:val="000020C0"/>
    <w:rsid w:val="0000214D"/>
    <w:rsid w:val="000025FA"/>
    <w:rsid w:val="00002764"/>
    <w:rsid w:val="00002811"/>
    <w:rsid w:val="00002884"/>
    <w:rsid w:val="000028C9"/>
    <w:rsid w:val="0000294A"/>
    <w:rsid w:val="00002C00"/>
    <w:rsid w:val="00002CE2"/>
    <w:rsid w:val="000030DE"/>
    <w:rsid w:val="00003138"/>
    <w:rsid w:val="00003567"/>
    <w:rsid w:val="00003ADE"/>
    <w:rsid w:val="00003CEE"/>
    <w:rsid w:val="00003EAC"/>
    <w:rsid w:val="000041DE"/>
    <w:rsid w:val="00004735"/>
    <w:rsid w:val="000047C5"/>
    <w:rsid w:val="000047E3"/>
    <w:rsid w:val="0000483D"/>
    <w:rsid w:val="00004968"/>
    <w:rsid w:val="00004E16"/>
    <w:rsid w:val="0000502A"/>
    <w:rsid w:val="000050D9"/>
    <w:rsid w:val="00005268"/>
    <w:rsid w:val="00005332"/>
    <w:rsid w:val="000053D3"/>
    <w:rsid w:val="0000548A"/>
    <w:rsid w:val="000054A6"/>
    <w:rsid w:val="000056BD"/>
    <w:rsid w:val="00005A9E"/>
    <w:rsid w:val="00005C02"/>
    <w:rsid w:val="00005C08"/>
    <w:rsid w:val="00005DAD"/>
    <w:rsid w:val="00005F70"/>
    <w:rsid w:val="0000667A"/>
    <w:rsid w:val="000069E4"/>
    <w:rsid w:val="00006BE7"/>
    <w:rsid w:val="00006D9D"/>
    <w:rsid w:val="00007180"/>
    <w:rsid w:val="00007258"/>
    <w:rsid w:val="00007452"/>
    <w:rsid w:val="000074EB"/>
    <w:rsid w:val="000076CE"/>
    <w:rsid w:val="0000776A"/>
    <w:rsid w:val="00007804"/>
    <w:rsid w:val="00007824"/>
    <w:rsid w:val="00007A61"/>
    <w:rsid w:val="00007BEC"/>
    <w:rsid w:val="00007C34"/>
    <w:rsid w:val="00007EDF"/>
    <w:rsid w:val="00010025"/>
    <w:rsid w:val="00010048"/>
    <w:rsid w:val="0001020D"/>
    <w:rsid w:val="00010260"/>
    <w:rsid w:val="00010530"/>
    <w:rsid w:val="0001073D"/>
    <w:rsid w:val="00010EB6"/>
    <w:rsid w:val="0001114E"/>
    <w:rsid w:val="00011233"/>
    <w:rsid w:val="00011430"/>
    <w:rsid w:val="00011674"/>
    <w:rsid w:val="000116A9"/>
    <w:rsid w:val="000116E8"/>
    <w:rsid w:val="00011A45"/>
    <w:rsid w:val="00011BB3"/>
    <w:rsid w:val="00011D6D"/>
    <w:rsid w:val="00011E43"/>
    <w:rsid w:val="000120D9"/>
    <w:rsid w:val="000120FA"/>
    <w:rsid w:val="00012123"/>
    <w:rsid w:val="0001241A"/>
    <w:rsid w:val="00012477"/>
    <w:rsid w:val="00012494"/>
    <w:rsid w:val="000125D8"/>
    <w:rsid w:val="00012A99"/>
    <w:rsid w:val="00012B07"/>
    <w:rsid w:val="00012B74"/>
    <w:rsid w:val="00012F59"/>
    <w:rsid w:val="00013098"/>
    <w:rsid w:val="00013565"/>
    <w:rsid w:val="00013B49"/>
    <w:rsid w:val="00013B90"/>
    <w:rsid w:val="00013DBF"/>
    <w:rsid w:val="0001404D"/>
    <w:rsid w:val="000140C7"/>
    <w:rsid w:val="00014159"/>
    <w:rsid w:val="00014193"/>
    <w:rsid w:val="00014254"/>
    <w:rsid w:val="00014277"/>
    <w:rsid w:val="000147C7"/>
    <w:rsid w:val="000147CD"/>
    <w:rsid w:val="00014B11"/>
    <w:rsid w:val="00014D3F"/>
    <w:rsid w:val="00015136"/>
    <w:rsid w:val="000153A4"/>
    <w:rsid w:val="000153EC"/>
    <w:rsid w:val="000155B1"/>
    <w:rsid w:val="00015665"/>
    <w:rsid w:val="00015B64"/>
    <w:rsid w:val="00015BE0"/>
    <w:rsid w:val="00015C6D"/>
    <w:rsid w:val="00015E36"/>
    <w:rsid w:val="00015F74"/>
    <w:rsid w:val="00016111"/>
    <w:rsid w:val="00016163"/>
    <w:rsid w:val="00016258"/>
    <w:rsid w:val="0001739E"/>
    <w:rsid w:val="00017A09"/>
    <w:rsid w:val="00017BD0"/>
    <w:rsid w:val="00017CB4"/>
    <w:rsid w:val="00017E63"/>
    <w:rsid w:val="00017E64"/>
    <w:rsid w:val="00017ECF"/>
    <w:rsid w:val="0002025C"/>
    <w:rsid w:val="000202E1"/>
    <w:rsid w:val="00020920"/>
    <w:rsid w:val="00020AF3"/>
    <w:rsid w:val="00020C54"/>
    <w:rsid w:val="00020CD8"/>
    <w:rsid w:val="00020EB8"/>
    <w:rsid w:val="00021179"/>
    <w:rsid w:val="00021190"/>
    <w:rsid w:val="0002134F"/>
    <w:rsid w:val="00021389"/>
    <w:rsid w:val="00021418"/>
    <w:rsid w:val="0002184C"/>
    <w:rsid w:val="00021BEE"/>
    <w:rsid w:val="00021F99"/>
    <w:rsid w:val="000222D9"/>
    <w:rsid w:val="00022480"/>
    <w:rsid w:val="000224E8"/>
    <w:rsid w:val="00022BA0"/>
    <w:rsid w:val="00022C5B"/>
    <w:rsid w:val="00022C76"/>
    <w:rsid w:val="00022C9E"/>
    <w:rsid w:val="00023575"/>
    <w:rsid w:val="000235B0"/>
    <w:rsid w:val="00023643"/>
    <w:rsid w:val="0002370C"/>
    <w:rsid w:val="0002374C"/>
    <w:rsid w:val="000237E7"/>
    <w:rsid w:val="00023868"/>
    <w:rsid w:val="00023CCE"/>
    <w:rsid w:val="00023E63"/>
    <w:rsid w:val="00023F8B"/>
    <w:rsid w:val="0002403D"/>
    <w:rsid w:val="0002414D"/>
    <w:rsid w:val="000242F5"/>
    <w:rsid w:val="0002453F"/>
    <w:rsid w:val="0002454E"/>
    <w:rsid w:val="000247BD"/>
    <w:rsid w:val="00024989"/>
    <w:rsid w:val="00024993"/>
    <w:rsid w:val="0002509F"/>
    <w:rsid w:val="00025419"/>
    <w:rsid w:val="000255EC"/>
    <w:rsid w:val="0002581C"/>
    <w:rsid w:val="00025E9C"/>
    <w:rsid w:val="000264E1"/>
    <w:rsid w:val="00026515"/>
    <w:rsid w:val="00026695"/>
    <w:rsid w:val="000266A6"/>
    <w:rsid w:val="000269EA"/>
    <w:rsid w:val="000276CE"/>
    <w:rsid w:val="00027747"/>
    <w:rsid w:val="000278C8"/>
    <w:rsid w:val="0002795B"/>
    <w:rsid w:val="00027B54"/>
    <w:rsid w:val="00027DF9"/>
    <w:rsid w:val="00027F4E"/>
    <w:rsid w:val="000301EC"/>
    <w:rsid w:val="0003024E"/>
    <w:rsid w:val="00030756"/>
    <w:rsid w:val="000308DC"/>
    <w:rsid w:val="00030AF1"/>
    <w:rsid w:val="00030B2C"/>
    <w:rsid w:val="00030B45"/>
    <w:rsid w:val="00030D7E"/>
    <w:rsid w:val="0003123C"/>
    <w:rsid w:val="00031526"/>
    <w:rsid w:val="00031883"/>
    <w:rsid w:val="00031DE8"/>
    <w:rsid w:val="00031F8E"/>
    <w:rsid w:val="0003205D"/>
    <w:rsid w:val="00032269"/>
    <w:rsid w:val="000323E3"/>
    <w:rsid w:val="000326FB"/>
    <w:rsid w:val="00032755"/>
    <w:rsid w:val="000328C6"/>
    <w:rsid w:val="00032907"/>
    <w:rsid w:val="00032BFE"/>
    <w:rsid w:val="00032C86"/>
    <w:rsid w:val="00032CAF"/>
    <w:rsid w:val="00032D10"/>
    <w:rsid w:val="00032E4A"/>
    <w:rsid w:val="00032EBD"/>
    <w:rsid w:val="00032FD3"/>
    <w:rsid w:val="00032FEA"/>
    <w:rsid w:val="0003303C"/>
    <w:rsid w:val="000331CA"/>
    <w:rsid w:val="000332F4"/>
    <w:rsid w:val="00033763"/>
    <w:rsid w:val="0003381C"/>
    <w:rsid w:val="000339D8"/>
    <w:rsid w:val="00033BB2"/>
    <w:rsid w:val="00033DA1"/>
    <w:rsid w:val="00033E7B"/>
    <w:rsid w:val="00033EA2"/>
    <w:rsid w:val="00034490"/>
    <w:rsid w:val="000344B2"/>
    <w:rsid w:val="00034695"/>
    <w:rsid w:val="00034BAA"/>
    <w:rsid w:val="00034CC9"/>
    <w:rsid w:val="00034F88"/>
    <w:rsid w:val="00034FEF"/>
    <w:rsid w:val="00035113"/>
    <w:rsid w:val="00035505"/>
    <w:rsid w:val="00035723"/>
    <w:rsid w:val="00035831"/>
    <w:rsid w:val="00035841"/>
    <w:rsid w:val="00035934"/>
    <w:rsid w:val="00035B0B"/>
    <w:rsid w:val="00035BC3"/>
    <w:rsid w:val="00035C50"/>
    <w:rsid w:val="0003611F"/>
    <w:rsid w:val="0003650B"/>
    <w:rsid w:val="0003678E"/>
    <w:rsid w:val="00036874"/>
    <w:rsid w:val="000369F1"/>
    <w:rsid w:val="000369F6"/>
    <w:rsid w:val="00036AE2"/>
    <w:rsid w:val="00036AF2"/>
    <w:rsid w:val="00036F09"/>
    <w:rsid w:val="000372CA"/>
    <w:rsid w:val="000376B2"/>
    <w:rsid w:val="0003792B"/>
    <w:rsid w:val="0003793E"/>
    <w:rsid w:val="00037BFF"/>
    <w:rsid w:val="00037C83"/>
    <w:rsid w:val="00037FA8"/>
    <w:rsid w:val="000401CD"/>
    <w:rsid w:val="000408CE"/>
    <w:rsid w:val="00040DE1"/>
    <w:rsid w:val="000410D0"/>
    <w:rsid w:val="000412CE"/>
    <w:rsid w:val="00041509"/>
    <w:rsid w:val="00041923"/>
    <w:rsid w:val="00041A4B"/>
    <w:rsid w:val="00041C8B"/>
    <w:rsid w:val="00042088"/>
    <w:rsid w:val="00042366"/>
    <w:rsid w:val="000424D1"/>
    <w:rsid w:val="000424F5"/>
    <w:rsid w:val="00042628"/>
    <w:rsid w:val="00042789"/>
    <w:rsid w:val="00042812"/>
    <w:rsid w:val="0004291E"/>
    <w:rsid w:val="00042CB7"/>
    <w:rsid w:val="00042EDD"/>
    <w:rsid w:val="000430FC"/>
    <w:rsid w:val="00043414"/>
    <w:rsid w:val="0004342F"/>
    <w:rsid w:val="000438AE"/>
    <w:rsid w:val="00043FE3"/>
    <w:rsid w:val="00044002"/>
    <w:rsid w:val="0004408F"/>
    <w:rsid w:val="000441C9"/>
    <w:rsid w:val="00044258"/>
    <w:rsid w:val="000443DD"/>
    <w:rsid w:val="00044487"/>
    <w:rsid w:val="00044785"/>
    <w:rsid w:val="0004482A"/>
    <w:rsid w:val="0004496A"/>
    <w:rsid w:val="00044A3D"/>
    <w:rsid w:val="00044A9D"/>
    <w:rsid w:val="00044AD4"/>
    <w:rsid w:val="00044BF0"/>
    <w:rsid w:val="00044C07"/>
    <w:rsid w:val="00044D95"/>
    <w:rsid w:val="00045142"/>
    <w:rsid w:val="00045526"/>
    <w:rsid w:val="00045699"/>
    <w:rsid w:val="000456AB"/>
    <w:rsid w:val="00045829"/>
    <w:rsid w:val="0004588C"/>
    <w:rsid w:val="00045B41"/>
    <w:rsid w:val="00045BC2"/>
    <w:rsid w:val="0004604B"/>
    <w:rsid w:val="000465FB"/>
    <w:rsid w:val="00046BB1"/>
    <w:rsid w:val="00046DA5"/>
    <w:rsid w:val="00046FF8"/>
    <w:rsid w:val="00047055"/>
    <w:rsid w:val="00047061"/>
    <w:rsid w:val="000470FC"/>
    <w:rsid w:val="00047733"/>
    <w:rsid w:val="00047852"/>
    <w:rsid w:val="000478C1"/>
    <w:rsid w:val="00050072"/>
    <w:rsid w:val="000500A5"/>
    <w:rsid w:val="00050280"/>
    <w:rsid w:val="000502CC"/>
    <w:rsid w:val="00050344"/>
    <w:rsid w:val="000503BB"/>
    <w:rsid w:val="00050C73"/>
    <w:rsid w:val="00050D63"/>
    <w:rsid w:val="00050F20"/>
    <w:rsid w:val="0005116B"/>
    <w:rsid w:val="000513A2"/>
    <w:rsid w:val="000513AB"/>
    <w:rsid w:val="000513EF"/>
    <w:rsid w:val="000516C2"/>
    <w:rsid w:val="000517DA"/>
    <w:rsid w:val="000518F6"/>
    <w:rsid w:val="00051AEC"/>
    <w:rsid w:val="00051BA1"/>
    <w:rsid w:val="00051D44"/>
    <w:rsid w:val="00051DEA"/>
    <w:rsid w:val="00051E72"/>
    <w:rsid w:val="00051EC9"/>
    <w:rsid w:val="00052004"/>
    <w:rsid w:val="000521C2"/>
    <w:rsid w:val="000525C3"/>
    <w:rsid w:val="00052709"/>
    <w:rsid w:val="0005298B"/>
    <w:rsid w:val="000531AC"/>
    <w:rsid w:val="000531C7"/>
    <w:rsid w:val="00053633"/>
    <w:rsid w:val="0005383B"/>
    <w:rsid w:val="00053F62"/>
    <w:rsid w:val="00054196"/>
    <w:rsid w:val="000541A2"/>
    <w:rsid w:val="0005420B"/>
    <w:rsid w:val="0005442F"/>
    <w:rsid w:val="000544C5"/>
    <w:rsid w:val="00054536"/>
    <w:rsid w:val="0005485E"/>
    <w:rsid w:val="000548E6"/>
    <w:rsid w:val="00054A6C"/>
    <w:rsid w:val="00054C86"/>
    <w:rsid w:val="00054D44"/>
    <w:rsid w:val="00054DA2"/>
    <w:rsid w:val="00054E4A"/>
    <w:rsid w:val="00055427"/>
    <w:rsid w:val="00055624"/>
    <w:rsid w:val="00055AB6"/>
    <w:rsid w:val="00055F70"/>
    <w:rsid w:val="000560B2"/>
    <w:rsid w:val="00056113"/>
    <w:rsid w:val="00056791"/>
    <w:rsid w:val="00056838"/>
    <w:rsid w:val="000568C8"/>
    <w:rsid w:val="00056DFE"/>
    <w:rsid w:val="00056EAC"/>
    <w:rsid w:val="00056F33"/>
    <w:rsid w:val="00057204"/>
    <w:rsid w:val="000572C9"/>
    <w:rsid w:val="0005739A"/>
    <w:rsid w:val="000573FE"/>
    <w:rsid w:val="000574D8"/>
    <w:rsid w:val="0005769A"/>
    <w:rsid w:val="00057A58"/>
    <w:rsid w:val="00057A5A"/>
    <w:rsid w:val="00057C7B"/>
    <w:rsid w:val="00057ED3"/>
    <w:rsid w:val="00060142"/>
    <w:rsid w:val="00060288"/>
    <w:rsid w:val="0006050A"/>
    <w:rsid w:val="00060528"/>
    <w:rsid w:val="00060671"/>
    <w:rsid w:val="000606C5"/>
    <w:rsid w:val="0006092E"/>
    <w:rsid w:val="00060A16"/>
    <w:rsid w:val="00060E2B"/>
    <w:rsid w:val="00060F13"/>
    <w:rsid w:val="000610FA"/>
    <w:rsid w:val="0006129D"/>
    <w:rsid w:val="00061382"/>
    <w:rsid w:val="00061772"/>
    <w:rsid w:val="00061776"/>
    <w:rsid w:val="00061A95"/>
    <w:rsid w:val="00061B4D"/>
    <w:rsid w:val="00061C46"/>
    <w:rsid w:val="00061DDC"/>
    <w:rsid w:val="00061E3E"/>
    <w:rsid w:val="00061FAA"/>
    <w:rsid w:val="0006205D"/>
    <w:rsid w:val="000622CE"/>
    <w:rsid w:val="00062522"/>
    <w:rsid w:val="0006269F"/>
    <w:rsid w:val="000626DE"/>
    <w:rsid w:val="00062819"/>
    <w:rsid w:val="00062929"/>
    <w:rsid w:val="00062BC7"/>
    <w:rsid w:val="00062FBC"/>
    <w:rsid w:val="00062FC6"/>
    <w:rsid w:val="00063057"/>
    <w:rsid w:val="00063190"/>
    <w:rsid w:val="000633A1"/>
    <w:rsid w:val="0006341F"/>
    <w:rsid w:val="000634B9"/>
    <w:rsid w:val="000636D5"/>
    <w:rsid w:val="0006388B"/>
    <w:rsid w:val="00063B56"/>
    <w:rsid w:val="00063C0D"/>
    <w:rsid w:val="00063D2D"/>
    <w:rsid w:val="00063E95"/>
    <w:rsid w:val="00063F84"/>
    <w:rsid w:val="000640FA"/>
    <w:rsid w:val="00064493"/>
    <w:rsid w:val="0006449E"/>
    <w:rsid w:val="000645BD"/>
    <w:rsid w:val="0006462F"/>
    <w:rsid w:val="000648EA"/>
    <w:rsid w:val="00064E17"/>
    <w:rsid w:val="00064F58"/>
    <w:rsid w:val="00065125"/>
    <w:rsid w:val="00065856"/>
    <w:rsid w:val="00065C16"/>
    <w:rsid w:val="00065F01"/>
    <w:rsid w:val="00065F19"/>
    <w:rsid w:val="00065F1A"/>
    <w:rsid w:val="0006613B"/>
    <w:rsid w:val="000661D4"/>
    <w:rsid w:val="00066538"/>
    <w:rsid w:val="0006670E"/>
    <w:rsid w:val="00067405"/>
    <w:rsid w:val="000675E5"/>
    <w:rsid w:val="00067880"/>
    <w:rsid w:val="0006791E"/>
    <w:rsid w:val="00067C7D"/>
    <w:rsid w:val="00067F18"/>
    <w:rsid w:val="00067FD3"/>
    <w:rsid w:val="0007008B"/>
    <w:rsid w:val="000700F8"/>
    <w:rsid w:val="000703E9"/>
    <w:rsid w:val="0007059F"/>
    <w:rsid w:val="00070750"/>
    <w:rsid w:val="00070796"/>
    <w:rsid w:val="000709D3"/>
    <w:rsid w:val="00070B65"/>
    <w:rsid w:val="00070F8B"/>
    <w:rsid w:val="0007142F"/>
    <w:rsid w:val="000717B5"/>
    <w:rsid w:val="0007182A"/>
    <w:rsid w:val="000719E4"/>
    <w:rsid w:val="00071B68"/>
    <w:rsid w:val="00071C66"/>
    <w:rsid w:val="00071D60"/>
    <w:rsid w:val="00071E8A"/>
    <w:rsid w:val="0007210C"/>
    <w:rsid w:val="0007211B"/>
    <w:rsid w:val="00072422"/>
    <w:rsid w:val="000728D5"/>
    <w:rsid w:val="00072BBA"/>
    <w:rsid w:val="00072ED7"/>
    <w:rsid w:val="00073100"/>
    <w:rsid w:val="00073111"/>
    <w:rsid w:val="000731ED"/>
    <w:rsid w:val="000733AE"/>
    <w:rsid w:val="000733C1"/>
    <w:rsid w:val="00073714"/>
    <w:rsid w:val="000738AA"/>
    <w:rsid w:val="00073913"/>
    <w:rsid w:val="00073BB5"/>
    <w:rsid w:val="00073BE3"/>
    <w:rsid w:val="0007451E"/>
    <w:rsid w:val="0007459C"/>
    <w:rsid w:val="0007462E"/>
    <w:rsid w:val="0007481B"/>
    <w:rsid w:val="00074A43"/>
    <w:rsid w:val="00074A6E"/>
    <w:rsid w:val="00074A8B"/>
    <w:rsid w:val="00074E97"/>
    <w:rsid w:val="00074F9C"/>
    <w:rsid w:val="000752C2"/>
    <w:rsid w:val="00075728"/>
    <w:rsid w:val="0007595F"/>
    <w:rsid w:val="00075F75"/>
    <w:rsid w:val="00076193"/>
    <w:rsid w:val="0007619A"/>
    <w:rsid w:val="00076351"/>
    <w:rsid w:val="000764C2"/>
    <w:rsid w:val="000764FD"/>
    <w:rsid w:val="00076504"/>
    <w:rsid w:val="00076569"/>
    <w:rsid w:val="0007670E"/>
    <w:rsid w:val="0007689C"/>
    <w:rsid w:val="0007697D"/>
    <w:rsid w:val="00076ADC"/>
    <w:rsid w:val="00076BA1"/>
    <w:rsid w:val="00076F75"/>
    <w:rsid w:val="0007731A"/>
    <w:rsid w:val="00077325"/>
    <w:rsid w:val="00077940"/>
    <w:rsid w:val="00077991"/>
    <w:rsid w:val="00077E46"/>
    <w:rsid w:val="00080230"/>
    <w:rsid w:val="0008072C"/>
    <w:rsid w:val="00080B04"/>
    <w:rsid w:val="00080F06"/>
    <w:rsid w:val="00080FB8"/>
    <w:rsid w:val="00081012"/>
    <w:rsid w:val="000810BA"/>
    <w:rsid w:val="000811E8"/>
    <w:rsid w:val="000813B2"/>
    <w:rsid w:val="000814F4"/>
    <w:rsid w:val="000816E2"/>
    <w:rsid w:val="00081892"/>
    <w:rsid w:val="00081911"/>
    <w:rsid w:val="00081DCD"/>
    <w:rsid w:val="00081F5B"/>
    <w:rsid w:val="00082175"/>
    <w:rsid w:val="0008222D"/>
    <w:rsid w:val="0008240C"/>
    <w:rsid w:val="00082A7E"/>
    <w:rsid w:val="00082B1B"/>
    <w:rsid w:val="00082B7F"/>
    <w:rsid w:val="00083041"/>
    <w:rsid w:val="000831B1"/>
    <w:rsid w:val="000831FA"/>
    <w:rsid w:val="000833E6"/>
    <w:rsid w:val="00083423"/>
    <w:rsid w:val="00083838"/>
    <w:rsid w:val="0008395D"/>
    <w:rsid w:val="000839E7"/>
    <w:rsid w:val="00083C26"/>
    <w:rsid w:val="00083C45"/>
    <w:rsid w:val="00083FA1"/>
    <w:rsid w:val="000840DE"/>
    <w:rsid w:val="000845E1"/>
    <w:rsid w:val="00084612"/>
    <w:rsid w:val="00084663"/>
    <w:rsid w:val="00084732"/>
    <w:rsid w:val="00084AFA"/>
    <w:rsid w:val="00084D25"/>
    <w:rsid w:val="00084E32"/>
    <w:rsid w:val="000850A6"/>
    <w:rsid w:val="00085434"/>
    <w:rsid w:val="00085FCA"/>
    <w:rsid w:val="000860F7"/>
    <w:rsid w:val="000867E6"/>
    <w:rsid w:val="0008681A"/>
    <w:rsid w:val="00086B25"/>
    <w:rsid w:val="00086F5F"/>
    <w:rsid w:val="00086F7E"/>
    <w:rsid w:val="00087368"/>
    <w:rsid w:val="0008787E"/>
    <w:rsid w:val="000878D8"/>
    <w:rsid w:val="00087B7B"/>
    <w:rsid w:val="00087CB0"/>
    <w:rsid w:val="000901D9"/>
    <w:rsid w:val="0009028D"/>
    <w:rsid w:val="0009069B"/>
    <w:rsid w:val="000906E9"/>
    <w:rsid w:val="000907ED"/>
    <w:rsid w:val="00090DA1"/>
    <w:rsid w:val="00090E31"/>
    <w:rsid w:val="00090E71"/>
    <w:rsid w:val="00090F1F"/>
    <w:rsid w:val="00090F60"/>
    <w:rsid w:val="00090FA6"/>
    <w:rsid w:val="00091347"/>
    <w:rsid w:val="0009141C"/>
    <w:rsid w:val="000914DE"/>
    <w:rsid w:val="000918BA"/>
    <w:rsid w:val="00091AEC"/>
    <w:rsid w:val="00091BB3"/>
    <w:rsid w:val="00091D0B"/>
    <w:rsid w:val="00091D5A"/>
    <w:rsid w:val="00091F33"/>
    <w:rsid w:val="00091F69"/>
    <w:rsid w:val="000922BA"/>
    <w:rsid w:val="0009246A"/>
    <w:rsid w:val="00092867"/>
    <w:rsid w:val="000929C1"/>
    <w:rsid w:val="00092B33"/>
    <w:rsid w:val="0009377E"/>
    <w:rsid w:val="000937F1"/>
    <w:rsid w:val="000939F8"/>
    <w:rsid w:val="00093B75"/>
    <w:rsid w:val="00093C02"/>
    <w:rsid w:val="00093E67"/>
    <w:rsid w:val="0009412C"/>
    <w:rsid w:val="00094232"/>
    <w:rsid w:val="00094235"/>
    <w:rsid w:val="0009435C"/>
    <w:rsid w:val="0009441F"/>
    <w:rsid w:val="000948A4"/>
    <w:rsid w:val="00094908"/>
    <w:rsid w:val="00094AA7"/>
    <w:rsid w:val="00094AEF"/>
    <w:rsid w:val="00094B5B"/>
    <w:rsid w:val="00094F8C"/>
    <w:rsid w:val="0009502B"/>
    <w:rsid w:val="0009578A"/>
    <w:rsid w:val="00095D0A"/>
    <w:rsid w:val="0009621E"/>
    <w:rsid w:val="00096290"/>
    <w:rsid w:val="0009637D"/>
    <w:rsid w:val="00096678"/>
    <w:rsid w:val="00096789"/>
    <w:rsid w:val="00096839"/>
    <w:rsid w:val="00096B58"/>
    <w:rsid w:val="00096C51"/>
    <w:rsid w:val="00096C58"/>
    <w:rsid w:val="000970B1"/>
    <w:rsid w:val="00097482"/>
    <w:rsid w:val="00097538"/>
    <w:rsid w:val="00097772"/>
    <w:rsid w:val="0009784C"/>
    <w:rsid w:val="00097994"/>
    <w:rsid w:val="00097C11"/>
    <w:rsid w:val="00097F47"/>
    <w:rsid w:val="000A05C3"/>
    <w:rsid w:val="000A0636"/>
    <w:rsid w:val="000A08EF"/>
    <w:rsid w:val="000A0B52"/>
    <w:rsid w:val="000A0BB8"/>
    <w:rsid w:val="000A0FF5"/>
    <w:rsid w:val="000A1149"/>
    <w:rsid w:val="000A13B2"/>
    <w:rsid w:val="000A1568"/>
    <w:rsid w:val="000A1872"/>
    <w:rsid w:val="000A18B1"/>
    <w:rsid w:val="000A19D4"/>
    <w:rsid w:val="000A1A48"/>
    <w:rsid w:val="000A1AA7"/>
    <w:rsid w:val="000A1B2D"/>
    <w:rsid w:val="000A1F9A"/>
    <w:rsid w:val="000A2268"/>
    <w:rsid w:val="000A2CB2"/>
    <w:rsid w:val="000A2D53"/>
    <w:rsid w:val="000A2E62"/>
    <w:rsid w:val="000A2F44"/>
    <w:rsid w:val="000A2F65"/>
    <w:rsid w:val="000A3013"/>
    <w:rsid w:val="000A3016"/>
    <w:rsid w:val="000A31FD"/>
    <w:rsid w:val="000A3217"/>
    <w:rsid w:val="000A338E"/>
    <w:rsid w:val="000A358D"/>
    <w:rsid w:val="000A381F"/>
    <w:rsid w:val="000A3B17"/>
    <w:rsid w:val="000A3F51"/>
    <w:rsid w:val="000A4113"/>
    <w:rsid w:val="000A4624"/>
    <w:rsid w:val="000A46FC"/>
    <w:rsid w:val="000A4B37"/>
    <w:rsid w:val="000A4E3D"/>
    <w:rsid w:val="000A4F83"/>
    <w:rsid w:val="000A52EC"/>
    <w:rsid w:val="000A53A3"/>
    <w:rsid w:val="000A55A6"/>
    <w:rsid w:val="000A56D8"/>
    <w:rsid w:val="000A571A"/>
    <w:rsid w:val="000A59EC"/>
    <w:rsid w:val="000A5A1C"/>
    <w:rsid w:val="000A5B86"/>
    <w:rsid w:val="000A5EE2"/>
    <w:rsid w:val="000A61F5"/>
    <w:rsid w:val="000A63F4"/>
    <w:rsid w:val="000A64E4"/>
    <w:rsid w:val="000A68BC"/>
    <w:rsid w:val="000A69B0"/>
    <w:rsid w:val="000A6C06"/>
    <w:rsid w:val="000A6DC3"/>
    <w:rsid w:val="000A6E31"/>
    <w:rsid w:val="000A725B"/>
    <w:rsid w:val="000A7383"/>
    <w:rsid w:val="000A73A0"/>
    <w:rsid w:val="000A766D"/>
    <w:rsid w:val="000A7890"/>
    <w:rsid w:val="000A7AA7"/>
    <w:rsid w:val="000B00C6"/>
    <w:rsid w:val="000B0157"/>
    <w:rsid w:val="000B01AA"/>
    <w:rsid w:val="000B02AF"/>
    <w:rsid w:val="000B061D"/>
    <w:rsid w:val="000B0887"/>
    <w:rsid w:val="000B090A"/>
    <w:rsid w:val="000B09EC"/>
    <w:rsid w:val="000B09ED"/>
    <w:rsid w:val="000B0B22"/>
    <w:rsid w:val="000B0D01"/>
    <w:rsid w:val="000B0E3C"/>
    <w:rsid w:val="000B11C1"/>
    <w:rsid w:val="000B15DC"/>
    <w:rsid w:val="000B1A02"/>
    <w:rsid w:val="000B1C3B"/>
    <w:rsid w:val="000B1FBB"/>
    <w:rsid w:val="000B209A"/>
    <w:rsid w:val="000B21AB"/>
    <w:rsid w:val="000B24F4"/>
    <w:rsid w:val="000B2598"/>
    <w:rsid w:val="000B291C"/>
    <w:rsid w:val="000B2DD6"/>
    <w:rsid w:val="000B3350"/>
    <w:rsid w:val="000B34DD"/>
    <w:rsid w:val="000B3513"/>
    <w:rsid w:val="000B36E8"/>
    <w:rsid w:val="000B372B"/>
    <w:rsid w:val="000B38DE"/>
    <w:rsid w:val="000B3A57"/>
    <w:rsid w:val="000B3C12"/>
    <w:rsid w:val="000B3C51"/>
    <w:rsid w:val="000B4600"/>
    <w:rsid w:val="000B4623"/>
    <w:rsid w:val="000B49C2"/>
    <w:rsid w:val="000B4BDB"/>
    <w:rsid w:val="000B4CA7"/>
    <w:rsid w:val="000B4FAE"/>
    <w:rsid w:val="000B50A7"/>
    <w:rsid w:val="000B50D0"/>
    <w:rsid w:val="000B51CA"/>
    <w:rsid w:val="000B568B"/>
    <w:rsid w:val="000B58AA"/>
    <w:rsid w:val="000B59C4"/>
    <w:rsid w:val="000B5C4D"/>
    <w:rsid w:val="000B5DD1"/>
    <w:rsid w:val="000B5EB2"/>
    <w:rsid w:val="000B5F0D"/>
    <w:rsid w:val="000B60C4"/>
    <w:rsid w:val="000B6367"/>
    <w:rsid w:val="000B63AA"/>
    <w:rsid w:val="000B63D4"/>
    <w:rsid w:val="000B652A"/>
    <w:rsid w:val="000B6894"/>
    <w:rsid w:val="000B6B31"/>
    <w:rsid w:val="000B6BDB"/>
    <w:rsid w:val="000B6C46"/>
    <w:rsid w:val="000B6EB3"/>
    <w:rsid w:val="000B703B"/>
    <w:rsid w:val="000B706E"/>
    <w:rsid w:val="000B709A"/>
    <w:rsid w:val="000B7342"/>
    <w:rsid w:val="000B74B6"/>
    <w:rsid w:val="000B7669"/>
    <w:rsid w:val="000B77FF"/>
    <w:rsid w:val="000B79C8"/>
    <w:rsid w:val="000B7AB7"/>
    <w:rsid w:val="000B7C81"/>
    <w:rsid w:val="000B7CCB"/>
    <w:rsid w:val="000B7DCA"/>
    <w:rsid w:val="000C01E6"/>
    <w:rsid w:val="000C0686"/>
    <w:rsid w:val="000C08B1"/>
    <w:rsid w:val="000C0946"/>
    <w:rsid w:val="000C0B3B"/>
    <w:rsid w:val="000C0C16"/>
    <w:rsid w:val="000C11A2"/>
    <w:rsid w:val="000C125B"/>
    <w:rsid w:val="000C137B"/>
    <w:rsid w:val="000C1511"/>
    <w:rsid w:val="000C166B"/>
    <w:rsid w:val="000C19C5"/>
    <w:rsid w:val="000C1C80"/>
    <w:rsid w:val="000C21BD"/>
    <w:rsid w:val="000C245D"/>
    <w:rsid w:val="000C257F"/>
    <w:rsid w:val="000C273B"/>
    <w:rsid w:val="000C2ADB"/>
    <w:rsid w:val="000C2B35"/>
    <w:rsid w:val="000C2DB2"/>
    <w:rsid w:val="000C34FB"/>
    <w:rsid w:val="000C378C"/>
    <w:rsid w:val="000C3A27"/>
    <w:rsid w:val="000C3B4F"/>
    <w:rsid w:val="000C3C8E"/>
    <w:rsid w:val="000C3F1E"/>
    <w:rsid w:val="000C4015"/>
    <w:rsid w:val="000C4133"/>
    <w:rsid w:val="000C43C2"/>
    <w:rsid w:val="000C44A4"/>
    <w:rsid w:val="000C4524"/>
    <w:rsid w:val="000C454B"/>
    <w:rsid w:val="000C4666"/>
    <w:rsid w:val="000C4A7C"/>
    <w:rsid w:val="000C4C2B"/>
    <w:rsid w:val="000C4CAD"/>
    <w:rsid w:val="000C4D93"/>
    <w:rsid w:val="000C4DC2"/>
    <w:rsid w:val="000C4EB6"/>
    <w:rsid w:val="000C4F72"/>
    <w:rsid w:val="000C5360"/>
    <w:rsid w:val="000C5365"/>
    <w:rsid w:val="000C5567"/>
    <w:rsid w:val="000C5733"/>
    <w:rsid w:val="000C575F"/>
    <w:rsid w:val="000C5834"/>
    <w:rsid w:val="000C5A41"/>
    <w:rsid w:val="000C5B8A"/>
    <w:rsid w:val="000C5FB5"/>
    <w:rsid w:val="000C61CA"/>
    <w:rsid w:val="000C6256"/>
    <w:rsid w:val="000C62DF"/>
    <w:rsid w:val="000C6593"/>
    <w:rsid w:val="000C65FA"/>
    <w:rsid w:val="000C6891"/>
    <w:rsid w:val="000C6933"/>
    <w:rsid w:val="000C6AB5"/>
    <w:rsid w:val="000C6B34"/>
    <w:rsid w:val="000C6E9B"/>
    <w:rsid w:val="000C7020"/>
    <w:rsid w:val="000C7042"/>
    <w:rsid w:val="000C7323"/>
    <w:rsid w:val="000C7476"/>
    <w:rsid w:val="000C753D"/>
    <w:rsid w:val="000C75C6"/>
    <w:rsid w:val="000C780A"/>
    <w:rsid w:val="000C78E2"/>
    <w:rsid w:val="000C7AB3"/>
    <w:rsid w:val="000C7BBC"/>
    <w:rsid w:val="000D0042"/>
    <w:rsid w:val="000D0089"/>
    <w:rsid w:val="000D03DE"/>
    <w:rsid w:val="000D03FB"/>
    <w:rsid w:val="000D0482"/>
    <w:rsid w:val="000D0742"/>
    <w:rsid w:val="000D075D"/>
    <w:rsid w:val="000D0962"/>
    <w:rsid w:val="000D0F30"/>
    <w:rsid w:val="000D0F67"/>
    <w:rsid w:val="000D0F72"/>
    <w:rsid w:val="000D1079"/>
    <w:rsid w:val="000D113D"/>
    <w:rsid w:val="000D119F"/>
    <w:rsid w:val="000D168E"/>
    <w:rsid w:val="000D1692"/>
    <w:rsid w:val="000D1850"/>
    <w:rsid w:val="000D1A2E"/>
    <w:rsid w:val="000D1A37"/>
    <w:rsid w:val="000D1C50"/>
    <w:rsid w:val="000D1CBE"/>
    <w:rsid w:val="000D1E0B"/>
    <w:rsid w:val="000D1E52"/>
    <w:rsid w:val="000D221D"/>
    <w:rsid w:val="000D2295"/>
    <w:rsid w:val="000D250C"/>
    <w:rsid w:val="000D2586"/>
    <w:rsid w:val="000D28BC"/>
    <w:rsid w:val="000D2B20"/>
    <w:rsid w:val="000D2B58"/>
    <w:rsid w:val="000D2C4A"/>
    <w:rsid w:val="000D2DB4"/>
    <w:rsid w:val="000D3004"/>
    <w:rsid w:val="000D30A1"/>
    <w:rsid w:val="000D3179"/>
    <w:rsid w:val="000D3671"/>
    <w:rsid w:val="000D36D9"/>
    <w:rsid w:val="000D4033"/>
    <w:rsid w:val="000D40F6"/>
    <w:rsid w:val="000D4343"/>
    <w:rsid w:val="000D443E"/>
    <w:rsid w:val="000D4551"/>
    <w:rsid w:val="000D4799"/>
    <w:rsid w:val="000D4B61"/>
    <w:rsid w:val="000D4D48"/>
    <w:rsid w:val="000D4D6A"/>
    <w:rsid w:val="000D4D91"/>
    <w:rsid w:val="000D4D92"/>
    <w:rsid w:val="000D4F3E"/>
    <w:rsid w:val="000D5279"/>
    <w:rsid w:val="000D52A4"/>
    <w:rsid w:val="000D52E5"/>
    <w:rsid w:val="000D5745"/>
    <w:rsid w:val="000D576D"/>
    <w:rsid w:val="000D5861"/>
    <w:rsid w:val="000D5A6E"/>
    <w:rsid w:val="000D5D0F"/>
    <w:rsid w:val="000D61E2"/>
    <w:rsid w:val="000D63E1"/>
    <w:rsid w:val="000D656D"/>
    <w:rsid w:val="000D6699"/>
    <w:rsid w:val="000D67F6"/>
    <w:rsid w:val="000D68DE"/>
    <w:rsid w:val="000D6C3E"/>
    <w:rsid w:val="000D6D8F"/>
    <w:rsid w:val="000D7167"/>
    <w:rsid w:val="000D7356"/>
    <w:rsid w:val="000D7575"/>
    <w:rsid w:val="000D7655"/>
    <w:rsid w:val="000D7690"/>
    <w:rsid w:val="000D7726"/>
    <w:rsid w:val="000D7771"/>
    <w:rsid w:val="000D78D1"/>
    <w:rsid w:val="000D7B8F"/>
    <w:rsid w:val="000E01B0"/>
    <w:rsid w:val="000E01CD"/>
    <w:rsid w:val="000E02C3"/>
    <w:rsid w:val="000E03C6"/>
    <w:rsid w:val="000E0572"/>
    <w:rsid w:val="000E0687"/>
    <w:rsid w:val="000E0704"/>
    <w:rsid w:val="000E08A7"/>
    <w:rsid w:val="000E08DB"/>
    <w:rsid w:val="000E09D9"/>
    <w:rsid w:val="000E0BDE"/>
    <w:rsid w:val="000E1053"/>
    <w:rsid w:val="000E10A1"/>
    <w:rsid w:val="000E1164"/>
    <w:rsid w:val="000E1232"/>
    <w:rsid w:val="000E12CC"/>
    <w:rsid w:val="000E1626"/>
    <w:rsid w:val="000E17F6"/>
    <w:rsid w:val="000E1999"/>
    <w:rsid w:val="000E1AED"/>
    <w:rsid w:val="000E1B51"/>
    <w:rsid w:val="000E1BED"/>
    <w:rsid w:val="000E1E91"/>
    <w:rsid w:val="000E206C"/>
    <w:rsid w:val="000E221C"/>
    <w:rsid w:val="000E2482"/>
    <w:rsid w:val="000E28BB"/>
    <w:rsid w:val="000E2CA7"/>
    <w:rsid w:val="000E2FA1"/>
    <w:rsid w:val="000E2FF6"/>
    <w:rsid w:val="000E3668"/>
    <w:rsid w:val="000E3843"/>
    <w:rsid w:val="000E387E"/>
    <w:rsid w:val="000E3932"/>
    <w:rsid w:val="000E3A7C"/>
    <w:rsid w:val="000E3B11"/>
    <w:rsid w:val="000E3C27"/>
    <w:rsid w:val="000E3D52"/>
    <w:rsid w:val="000E3F41"/>
    <w:rsid w:val="000E402B"/>
    <w:rsid w:val="000E406D"/>
    <w:rsid w:val="000E42B3"/>
    <w:rsid w:val="000E4342"/>
    <w:rsid w:val="000E4EA7"/>
    <w:rsid w:val="000E5478"/>
    <w:rsid w:val="000E56B0"/>
    <w:rsid w:val="000E5962"/>
    <w:rsid w:val="000E5969"/>
    <w:rsid w:val="000E59C2"/>
    <w:rsid w:val="000E5D7A"/>
    <w:rsid w:val="000E5D85"/>
    <w:rsid w:val="000E6209"/>
    <w:rsid w:val="000E646E"/>
    <w:rsid w:val="000E6935"/>
    <w:rsid w:val="000E6A21"/>
    <w:rsid w:val="000E6D7C"/>
    <w:rsid w:val="000E70D2"/>
    <w:rsid w:val="000E7187"/>
    <w:rsid w:val="000E732F"/>
    <w:rsid w:val="000E74BD"/>
    <w:rsid w:val="000E7533"/>
    <w:rsid w:val="000E7793"/>
    <w:rsid w:val="000E7878"/>
    <w:rsid w:val="000E7CB2"/>
    <w:rsid w:val="000E7D6B"/>
    <w:rsid w:val="000E7FB4"/>
    <w:rsid w:val="000F01AD"/>
    <w:rsid w:val="000F0505"/>
    <w:rsid w:val="000F0695"/>
    <w:rsid w:val="000F0BFF"/>
    <w:rsid w:val="000F0EC0"/>
    <w:rsid w:val="000F108A"/>
    <w:rsid w:val="000F109B"/>
    <w:rsid w:val="000F147C"/>
    <w:rsid w:val="000F1939"/>
    <w:rsid w:val="000F1959"/>
    <w:rsid w:val="000F1F05"/>
    <w:rsid w:val="000F2286"/>
    <w:rsid w:val="000F2315"/>
    <w:rsid w:val="000F2360"/>
    <w:rsid w:val="000F2475"/>
    <w:rsid w:val="000F269D"/>
    <w:rsid w:val="000F29D2"/>
    <w:rsid w:val="000F2CAA"/>
    <w:rsid w:val="000F31BB"/>
    <w:rsid w:val="000F31C9"/>
    <w:rsid w:val="000F3327"/>
    <w:rsid w:val="000F351D"/>
    <w:rsid w:val="000F355C"/>
    <w:rsid w:val="000F38E9"/>
    <w:rsid w:val="000F3941"/>
    <w:rsid w:val="000F3B4A"/>
    <w:rsid w:val="000F3B73"/>
    <w:rsid w:val="000F3D03"/>
    <w:rsid w:val="000F4049"/>
    <w:rsid w:val="000F413F"/>
    <w:rsid w:val="000F42F2"/>
    <w:rsid w:val="000F4333"/>
    <w:rsid w:val="000F4533"/>
    <w:rsid w:val="000F49C9"/>
    <w:rsid w:val="000F4C74"/>
    <w:rsid w:val="000F4E11"/>
    <w:rsid w:val="000F50A6"/>
    <w:rsid w:val="000F5236"/>
    <w:rsid w:val="000F554C"/>
    <w:rsid w:val="000F55EE"/>
    <w:rsid w:val="000F5697"/>
    <w:rsid w:val="000F56E6"/>
    <w:rsid w:val="000F56EA"/>
    <w:rsid w:val="000F5987"/>
    <w:rsid w:val="000F5BB5"/>
    <w:rsid w:val="000F5C6D"/>
    <w:rsid w:val="000F5CC6"/>
    <w:rsid w:val="000F5F06"/>
    <w:rsid w:val="000F6153"/>
    <w:rsid w:val="000F6285"/>
    <w:rsid w:val="000F669A"/>
    <w:rsid w:val="000F6977"/>
    <w:rsid w:val="000F6981"/>
    <w:rsid w:val="000F6B68"/>
    <w:rsid w:val="000F6C5E"/>
    <w:rsid w:val="000F6CA6"/>
    <w:rsid w:val="000F6CAA"/>
    <w:rsid w:val="000F6CD1"/>
    <w:rsid w:val="000F6F63"/>
    <w:rsid w:val="000F72C7"/>
    <w:rsid w:val="000F75C0"/>
    <w:rsid w:val="000F79CA"/>
    <w:rsid w:val="000F7AE2"/>
    <w:rsid w:val="000F7CA1"/>
    <w:rsid w:val="001000A7"/>
    <w:rsid w:val="001000C9"/>
    <w:rsid w:val="00100276"/>
    <w:rsid w:val="0010030B"/>
    <w:rsid w:val="00100310"/>
    <w:rsid w:val="001003DC"/>
    <w:rsid w:val="00100478"/>
    <w:rsid w:val="00100484"/>
    <w:rsid w:val="0010059B"/>
    <w:rsid w:val="001005E3"/>
    <w:rsid w:val="00100674"/>
    <w:rsid w:val="001006F4"/>
    <w:rsid w:val="00100BB1"/>
    <w:rsid w:val="00100C6D"/>
    <w:rsid w:val="00100CB6"/>
    <w:rsid w:val="00100CC4"/>
    <w:rsid w:val="00100D63"/>
    <w:rsid w:val="00100E6D"/>
    <w:rsid w:val="00100EC6"/>
    <w:rsid w:val="00101108"/>
    <w:rsid w:val="0010181D"/>
    <w:rsid w:val="00101884"/>
    <w:rsid w:val="00101BCD"/>
    <w:rsid w:val="00101C09"/>
    <w:rsid w:val="00101C15"/>
    <w:rsid w:val="00101DC0"/>
    <w:rsid w:val="00101E8C"/>
    <w:rsid w:val="0010211A"/>
    <w:rsid w:val="00102494"/>
    <w:rsid w:val="0010290D"/>
    <w:rsid w:val="001029F2"/>
    <w:rsid w:val="00102BE6"/>
    <w:rsid w:val="001030F5"/>
    <w:rsid w:val="001032A1"/>
    <w:rsid w:val="0010337A"/>
    <w:rsid w:val="001033DF"/>
    <w:rsid w:val="001037C6"/>
    <w:rsid w:val="00103814"/>
    <w:rsid w:val="00103B21"/>
    <w:rsid w:val="00103D81"/>
    <w:rsid w:val="00103F96"/>
    <w:rsid w:val="0010406D"/>
    <w:rsid w:val="00104384"/>
    <w:rsid w:val="0010455C"/>
    <w:rsid w:val="00104728"/>
    <w:rsid w:val="00104BC1"/>
    <w:rsid w:val="00104C71"/>
    <w:rsid w:val="00104DF1"/>
    <w:rsid w:val="001051C1"/>
    <w:rsid w:val="001053B3"/>
    <w:rsid w:val="001054DF"/>
    <w:rsid w:val="001054E2"/>
    <w:rsid w:val="00105648"/>
    <w:rsid w:val="00105993"/>
    <w:rsid w:val="00105A84"/>
    <w:rsid w:val="00105B90"/>
    <w:rsid w:val="00105D9B"/>
    <w:rsid w:val="00105E7B"/>
    <w:rsid w:val="00105F9C"/>
    <w:rsid w:val="0010635B"/>
    <w:rsid w:val="00106550"/>
    <w:rsid w:val="00106560"/>
    <w:rsid w:val="00106636"/>
    <w:rsid w:val="001067FD"/>
    <w:rsid w:val="001068C2"/>
    <w:rsid w:val="0010699A"/>
    <w:rsid w:val="0010699C"/>
    <w:rsid w:val="001069EB"/>
    <w:rsid w:val="00106B89"/>
    <w:rsid w:val="00106DA5"/>
    <w:rsid w:val="00106E29"/>
    <w:rsid w:val="00106F0F"/>
    <w:rsid w:val="00107204"/>
    <w:rsid w:val="0010781C"/>
    <w:rsid w:val="001078BF"/>
    <w:rsid w:val="001078C6"/>
    <w:rsid w:val="0010793B"/>
    <w:rsid w:val="00107AE4"/>
    <w:rsid w:val="00107B5D"/>
    <w:rsid w:val="00107C68"/>
    <w:rsid w:val="00107DC9"/>
    <w:rsid w:val="00107DE2"/>
    <w:rsid w:val="00107E11"/>
    <w:rsid w:val="00107F44"/>
    <w:rsid w:val="001100CC"/>
    <w:rsid w:val="00110170"/>
    <w:rsid w:val="0011023C"/>
    <w:rsid w:val="001104CA"/>
    <w:rsid w:val="00110577"/>
    <w:rsid w:val="00110A97"/>
    <w:rsid w:val="00110D23"/>
    <w:rsid w:val="001113B6"/>
    <w:rsid w:val="0011140F"/>
    <w:rsid w:val="00111742"/>
    <w:rsid w:val="0011176D"/>
    <w:rsid w:val="0011182E"/>
    <w:rsid w:val="00111B9F"/>
    <w:rsid w:val="00111E01"/>
    <w:rsid w:val="00112060"/>
    <w:rsid w:val="0011257B"/>
    <w:rsid w:val="00112588"/>
    <w:rsid w:val="001129D1"/>
    <w:rsid w:val="00112A55"/>
    <w:rsid w:val="00112BCF"/>
    <w:rsid w:val="00112DE8"/>
    <w:rsid w:val="00113362"/>
    <w:rsid w:val="00113429"/>
    <w:rsid w:val="00113460"/>
    <w:rsid w:val="001135E5"/>
    <w:rsid w:val="001138B2"/>
    <w:rsid w:val="00113BD5"/>
    <w:rsid w:val="00113E1A"/>
    <w:rsid w:val="00113E34"/>
    <w:rsid w:val="00114167"/>
    <w:rsid w:val="001146B7"/>
    <w:rsid w:val="001146D1"/>
    <w:rsid w:val="0011474F"/>
    <w:rsid w:val="00114E83"/>
    <w:rsid w:val="0011515A"/>
    <w:rsid w:val="001151B9"/>
    <w:rsid w:val="0011532E"/>
    <w:rsid w:val="001155D7"/>
    <w:rsid w:val="0011591D"/>
    <w:rsid w:val="00115A36"/>
    <w:rsid w:val="00115B64"/>
    <w:rsid w:val="00115BEF"/>
    <w:rsid w:val="00115D68"/>
    <w:rsid w:val="00115E3A"/>
    <w:rsid w:val="0011607C"/>
    <w:rsid w:val="001160EB"/>
    <w:rsid w:val="00116244"/>
    <w:rsid w:val="001164EE"/>
    <w:rsid w:val="001169AD"/>
    <w:rsid w:val="00116C0B"/>
    <w:rsid w:val="00116D1B"/>
    <w:rsid w:val="0011730B"/>
    <w:rsid w:val="00117312"/>
    <w:rsid w:val="00117398"/>
    <w:rsid w:val="0011739C"/>
    <w:rsid w:val="001174F2"/>
    <w:rsid w:val="001178D9"/>
    <w:rsid w:val="00117950"/>
    <w:rsid w:val="00117A3F"/>
    <w:rsid w:val="00117BBF"/>
    <w:rsid w:val="00117EB6"/>
    <w:rsid w:val="00117EC2"/>
    <w:rsid w:val="00117EE4"/>
    <w:rsid w:val="00120348"/>
    <w:rsid w:val="001203E1"/>
    <w:rsid w:val="00120634"/>
    <w:rsid w:val="00120764"/>
    <w:rsid w:val="00120786"/>
    <w:rsid w:val="0012082A"/>
    <w:rsid w:val="00120A26"/>
    <w:rsid w:val="00120A69"/>
    <w:rsid w:val="00120D16"/>
    <w:rsid w:val="00120DBE"/>
    <w:rsid w:val="00120DF2"/>
    <w:rsid w:val="00121052"/>
    <w:rsid w:val="0012125B"/>
    <w:rsid w:val="001212B0"/>
    <w:rsid w:val="001212F6"/>
    <w:rsid w:val="0012144F"/>
    <w:rsid w:val="00121499"/>
    <w:rsid w:val="00121B75"/>
    <w:rsid w:val="00121BFA"/>
    <w:rsid w:val="00121E0C"/>
    <w:rsid w:val="00121E47"/>
    <w:rsid w:val="00121EC1"/>
    <w:rsid w:val="0012215D"/>
    <w:rsid w:val="0012241D"/>
    <w:rsid w:val="001227FD"/>
    <w:rsid w:val="00122CDD"/>
    <w:rsid w:val="00122DBE"/>
    <w:rsid w:val="0012302E"/>
    <w:rsid w:val="00123154"/>
    <w:rsid w:val="0012321A"/>
    <w:rsid w:val="001232BC"/>
    <w:rsid w:val="001232FE"/>
    <w:rsid w:val="0012363E"/>
    <w:rsid w:val="001239E4"/>
    <w:rsid w:val="00123C82"/>
    <w:rsid w:val="00123E33"/>
    <w:rsid w:val="00123FBE"/>
    <w:rsid w:val="00124076"/>
    <w:rsid w:val="0012422B"/>
    <w:rsid w:val="00124445"/>
    <w:rsid w:val="001245E8"/>
    <w:rsid w:val="00124B65"/>
    <w:rsid w:val="00124E4A"/>
    <w:rsid w:val="001252A6"/>
    <w:rsid w:val="001257FA"/>
    <w:rsid w:val="001259F6"/>
    <w:rsid w:val="00125A05"/>
    <w:rsid w:val="00125BAC"/>
    <w:rsid w:val="0012614F"/>
    <w:rsid w:val="00126154"/>
    <w:rsid w:val="001264EF"/>
    <w:rsid w:val="0012675A"/>
    <w:rsid w:val="001268F2"/>
    <w:rsid w:val="00126EB0"/>
    <w:rsid w:val="00126FE2"/>
    <w:rsid w:val="0012706D"/>
    <w:rsid w:val="00127228"/>
    <w:rsid w:val="001272B5"/>
    <w:rsid w:val="00127615"/>
    <w:rsid w:val="001276B1"/>
    <w:rsid w:val="00127795"/>
    <w:rsid w:val="001277EE"/>
    <w:rsid w:val="001279D9"/>
    <w:rsid w:val="00127BFD"/>
    <w:rsid w:val="00127C3A"/>
    <w:rsid w:val="00127D48"/>
    <w:rsid w:val="00127D8B"/>
    <w:rsid w:val="00127DE4"/>
    <w:rsid w:val="00127E5A"/>
    <w:rsid w:val="00130336"/>
    <w:rsid w:val="00130349"/>
    <w:rsid w:val="00130A9C"/>
    <w:rsid w:val="00130AD3"/>
    <w:rsid w:val="00130B31"/>
    <w:rsid w:val="00130D2A"/>
    <w:rsid w:val="00130DC5"/>
    <w:rsid w:val="00130EA8"/>
    <w:rsid w:val="00130F4A"/>
    <w:rsid w:val="00130FD4"/>
    <w:rsid w:val="001315FD"/>
    <w:rsid w:val="001318C8"/>
    <w:rsid w:val="00131950"/>
    <w:rsid w:val="00131CC5"/>
    <w:rsid w:val="00131DD4"/>
    <w:rsid w:val="00131E8E"/>
    <w:rsid w:val="00131F91"/>
    <w:rsid w:val="001322DB"/>
    <w:rsid w:val="001324EC"/>
    <w:rsid w:val="001324F6"/>
    <w:rsid w:val="0013257E"/>
    <w:rsid w:val="0013272B"/>
    <w:rsid w:val="00132B2B"/>
    <w:rsid w:val="00132CE7"/>
    <w:rsid w:val="00132E32"/>
    <w:rsid w:val="00132F92"/>
    <w:rsid w:val="00132FE8"/>
    <w:rsid w:val="00133187"/>
    <w:rsid w:val="00133267"/>
    <w:rsid w:val="00133367"/>
    <w:rsid w:val="001333C7"/>
    <w:rsid w:val="001334D0"/>
    <w:rsid w:val="001335F4"/>
    <w:rsid w:val="001336F7"/>
    <w:rsid w:val="00133869"/>
    <w:rsid w:val="0013394B"/>
    <w:rsid w:val="00133A05"/>
    <w:rsid w:val="00133A4D"/>
    <w:rsid w:val="00133F08"/>
    <w:rsid w:val="001342EF"/>
    <w:rsid w:val="0013436A"/>
    <w:rsid w:val="00134446"/>
    <w:rsid w:val="001345EA"/>
    <w:rsid w:val="0013499F"/>
    <w:rsid w:val="00134B84"/>
    <w:rsid w:val="00135068"/>
    <w:rsid w:val="001352B6"/>
    <w:rsid w:val="0013585A"/>
    <w:rsid w:val="00135BEF"/>
    <w:rsid w:val="00135D92"/>
    <w:rsid w:val="00135F98"/>
    <w:rsid w:val="00136200"/>
    <w:rsid w:val="001363AA"/>
    <w:rsid w:val="001364CF"/>
    <w:rsid w:val="00136776"/>
    <w:rsid w:val="00136F25"/>
    <w:rsid w:val="001372EC"/>
    <w:rsid w:val="0013758A"/>
    <w:rsid w:val="001377F5"/>
    <w:rsid w:val="00137B79"/>
    <w:rsid w:val="00137D68"/>
    <w:rsid w:val="00140032"/>
    <w:rsid w:val="001400A1"/>
    <w:rsid w:val="001400B8"/>
    <w:rsid w:val="00140157"/>
    <w:rsid w:val="00140163"/>
    <w:rsid w:val="00140280"/>
    <w:rsid w:val="0014061A"/>
    <w:rsid w:val="0014089D"/>
    <w:rsid w:val="001408ED"/>
    <w:rsid w:val="00140D30"/>
    <w:rsid w:val="00141187"/>
    <w:rsid w:val="00141B12"/>
    <w:rsid w:val="001420F9"/>
    <w:rsid w:val="00142192"/>
    <w:rsid w:val="001422FF"/>
    <w:rsid w:val="00142533"/>
    <w:rsid w:val="00142543"/>
    <w:rsid w:val="0014258A"/>
    <w:rsid w:val="001426B9"/>
    <w:rsid w:val="00142911"/>
    <w:rsid w:val="00142BF1"/>
    <w:rsid w:val="00142C44"/>
    <w:rsid w:val="0014304D"/>
    <w:rsid w:val="001433B2"/>
    <w:rsid w:val="00143447"/>
    <w:rsid w:val="00143752"/>
    <w:rsid w:val="0014396F"/>
    <w:rsid w:val="001439DE"/>
    <w:rsid w:val="00143BEC"/>
    <w:rsid w:val="00143EC4"/>
    <w:rsid w:val="00143FBC"/>
    <w:rsid w:val="0014407D"/>
    <w:rsid w:val="001440F9"/>
    <w:rsid w:val="001441D6"/>
    <w:rsid w:val="0014422C"/>
    <w:rsid w:val="00144725"/>
    <w:rsid w:val="00144974"/>
    <w:rsid w:val="00144D16"/>
    <w:rsid w:val="00144E94"/>
    <w:rsid w:val="0014519D"/>
    <w:rsid w:val="001455C4"/>
    <w:rsid w:val="001455F3"/>
    <w:rsid w:val="001459CD"/>
    <w:rsid w:val="00145DE8"/>
    <w:rsid w:val="00145F64"/>
    <w:rsid w:val="00145F75"/>
    <w:rsid w:val="00146070"/>
    <w:rsid w:val="00146153"/>
    <w:rsid w:val="001461EC"/>
    <w:rsid w:val="00146395"/>
    <w:rsid w:val="00146654"/>
    <w:rsid w:val="001466B8"/>
    <w:rsid w:val="001467F3"/>
    <w:rsid w:val="00146899"/>
    <w:rsid w:val="001468C2"/>
    <w:rsid w:val="0014697F"/>
    <w:rsid w:val="001469C5"/>
    <w:rsid w:val="00146AFB"/>
    <w:rsid w:val="00146E46"/>
    <w:rsid w:val="0014725B"/>
    <w:rsid w:val="0014726F"/>
    <w:rsid w:val="00147319"/>
    <w:rsid w:val="001473DE"/>
    <w:rsid w:val="001475EE"/>
    <w:rsid w:val="00147810"/>
    <w:rsid w:val="001479D0"/>
    <w:rsid w:val="00147AEC"/>
    <w:rsid w:val="00147F3A"/>
    <w:rsid w:val="00147FDE"/>
    <w:rsid w:val="001501F7"/>
    <w:rsid w:val="001506C5"/>
    <w:rsid w:val="0015079B"/>
    <w:rsid w:val="00150A3E"/>
    <w:rsid w:val="00150A42"/>
    <w:rsid w:val="00150B45"/>
    <w:rsid w:val="00150BDB"/>
    <w:rsid w:val="00150D86"/>
    <w:rsid w:val="00150E89"/>
    <w:rsid w:val="00151058"/>
    <w:rsid w:val="001510D1"/>
    <w:rsid w:val="001511D9"/>
    <w:rsid w:val="001512BA"/>
    <w:rsid w:val="001512CC"/>
    <w:rsid w:val="00151400"/>
    <w:rsid w:val="0015185B"/>
    <w:rsid w:val="00151AA8"/>
    <w:rsid w:val="00151BC2"/>
    <w:rsid w:val="00151BE9"/>
    <w:rsid w:val="00151C55"/>
    <w:rsid w:val="00151C57"/>
    <w:rsid w:val="00151D84"/>
    <w:rsid w:val="00151F2F"/>
    <w:rsid w:val="00151F3E"/>
    <w:rsid w:val="00151F70"/>
    <w:rsid w:val="001520D5"/>
    <w:rsid w:val="001521A6"/>
    <w:rsid w:val="0015244C"/>
    <w:rsid w:val="001528D7"/>
    <w:rsid w:val="0015298C"/>
    <w:rsid w:val="00152AC9"/>
    <w:rsid w:val="00152B61"/>
    <w:rsid w:val="00152B70"/>
    <w:rsid w:val="00152C35"/>
    <w:rsid w:val="00152FA8"/>
    <w:rsid w:val="001530B8"/>
    <w:rsid w:val="001533CE"/>
    <w:rsid w:val="001533FB"/>
    <w:rsid w:val="00153501"/>
    <w:rsid w:val="001537E2"/>
    <w:rsid w:val="00153A58"/>
    <w:rsid w:val="00153A94"/>
    <w:rsid w:val="00153C04"/>
    <w:rsid w:val="00153C32"/>
    <w:rsid w:val="001541E5"/>
    <w:rsid w:val="00154407"/>
    <w:rsid w:val="001544CA"/>
    <w:rsid w:val="001545BF"/>
    <w:rsid w:val="00154A0D"/>
    <w:rsid w:val="00154C07"/>
    <w:rsid w:val="00154E38"/>
    <w:rsid w:val="00154E69"/>
    <w:rsid w:val="00154EC4"/>
    <w:rsid w:val="00154FCF"/>
    <w:rsid w:val="0015510B"/>
    <w:rsid w:val="00155187"/>
    <w:rsid w:val="00155B8E"/>
    <w:rsid w:val="00155E19"/>
    <w:rsid w:val="00155F3B"/>
    <w:rsid w:val="00156007"/>
    <w:rsid w:val="0015631F"/>
    <w:rsid w:val="0015676B"/>
    <w:rsid w:val="00156BFC"/>
    <w:rsid w:val="00156C7E"/>
    <w:rsid w:val="00156D6E"/>
    <w:rsid w:val="001572D2"/>
    <w:rsid w:val="001572E7"/>
    <w:rsid w:val="001574E1"/>
    <w:rsid w:val="00157767"/>
    <w:rsid w:val="00157D20"/>
    <w:rsid w:val="00157EE3"/>
    <w:rsid w:val="0016006B"/>
    <w:rsid w:val="00160112"/>
    <w:rsid w:val="00160175"/>
    <w:rsid w:val="00160273"/>
    <w:rsid w:val="001604F5"/>
    <w:rsid w:val="001609C8"/>
    <w:rsid w:val="001609CF"/>
    <w:rsid w:val="00161022"/>
    <w:rsid w:val="0016112C"/>
    <w:rsid w:val="0016137B"/>
    <w:rsid w:val="001614E0"/>
    <w:rsid w:val="00161A52"/>
    <w:rsid w:val="00161A57"/>
    <w:rsid w:val="00161B8E"/>
    <w:rsid w:val="00162572"/>
    <w:rsid w:val="0016296A"/>
    <w:rsid w:val="001629B5"/>
    <w:rsid w:val="00162CA3"/>
    <w:rsid w:val="00162CD5"/>
    <w:rsid w:val="00162FD7"/>
    <w:rsid w:val="001634A0"/>
    <w:rsid w:val="0016371A"/>
    <w:rsid w:val="00163A4E"/>
    <w:rsid w:val="00163D84"/>
    <w:rsid w:val="00163EE3"/>
    <w:rsid w:val="00163FD0"/>
    <w:rsid w:val="0016439F"/>
    <w:rsid w:val="00164487"/>
    <w:rsid w:val="001647DA"/>
    <w:rsid w:val="0016490B"/>
    <w:rsid w:val="0016494C"/>
    <w:rsid w:val="00164B40"/>
    <w:rsid w:val="00164DDC"/>
    <w:rsid w:val="001656F8"/>
    <w:rsid w:val="001657E0"/>
    <w:rsid w:val="00165815"/>
    <w:rsid w:val="00165880"/>
    <w:rsid w:val="00165CF0"/>
    <w:rsid w:val="00165E2F"/>
    <w:rsid w:val="0016628A"/>
    <w:rsid w:val="001665E5"/>
    <w:rsid w:val="00166932"/>
    <w:rsid w:val="001671B1"/>
    <w:rsid w:val="00167578"/>
    <w:rsid w:val="00167579"/>
    <w:rsid w:val="00167772"/>
    <w:rsid w:val="0016786F"/>
    <w:rsid w:val="00167920"/>
    <w:rsid w:val="0016792F"/>
    <w:rsid w:val="00167AB0"/>
    <w:rsid w:val="00167AFA"/>
    <w:rsid w:val="00167B2D"/>
    <w:rsid w:val="00167BE4"/>
    <w:rsid w:val="00167CA2"/>
    <w:rsid w:val="00167D95"/>
    <w:rsid w:val="0017036B"/>
    <w:rsid w:val="001705F0"/>
    <w:rsid w:val="0017081A"/>
    <w:rsid w:val="00170896"/>
    <w:rsid w:val="00170BF9"/>
    <w:rsid w:val="00170D27"/>
    <w:rsid w:val="00171554"/>
    <w:rsid w:val="00171A5C"/>
    <w:rsid w:val="00171AB1"/>
    <w:rsid w:val="00171AE4"/>
    <w:rsid w:val="00171B3A"/>
    <w:rsid w:val="00171BE7"/>
    <w:rsid w:val="00171D2B"/>
    <w:rsid w:val="00171D72"/>
    <w:rsid w:val="00171DCC"/>
    <w:rsid w:val="00171E5B"/>
    <w:rsid w:val="00172120"/>
    <w:rsid w:val="00172286"/>
    <w:rsid w:val="001724E1"/>
    <w:rsid w:val="00172708"/>
    <w:rsid w:val="001729C0"/>
    <w:rsid w:val="00172C8E"/>
    <w:rsid w:val="00172E6A"/>
    <w:rsid w:val="00172F29"/>
    <w:rsid w:val="00173023"/>
    <w:rsid w:val="00173098"/>
    <w:rsid w:val="001731BF"/>
    <w:rsid w:val="001732E6"/>
    <w:rsid w:val="00173424"/>
    <w:rsid w:val="0017369E"/>
    <w:rsid w:val="001739E5"/>
    <w:rsid w:val="00173A6E"/>
    <w:rsid w:val="00173A82"/>
    <w:rsid w:val="00173FA3"/>
    <w:rsid w:val="00174240"/>
    <w:rsid w:val="001742A9"/>
    <w:rsid w:val="001743D8"/>
    <w:rsid w:val="001745D9"/>
    <w:rsid w:val="0017468E"/>
    <w:rsid w:val="0017479E"/>
    <w:rsid w:val="0017487F"/>
    <w:rsid w:val="00174A78"/>
    <w:rsid w:val="0017554A"/>
    <w:rsid w:val="0017560C"/>
    <w:rsid w:val="0017575C"/>
    <w:rsid w:val="00175837"/>
    <w:rsid w:val="00175C0F"/>
    <w:rsid w:val="00176378"/>
    <w:rsid w:val="0017667A"/>
    <w:rsid w:val="001766AD"/>
    <w:rsid w:val="00176FE9"/>
    <w:rsid w:val="001772A5"/>
    <w:rsid w:val="0017742A"/>
    <w:rsid w:val="001774A5"/>
    <w:rsid w:val="001774B7"/>
    <w:rsid w:val="00177508"/>
    <w:rsid w:val="001777D1"/>
    <w:rsid w:val="001777EA"/>
    <w:rsid w:val="0017798A"/>
    <w:rsid w:val="001779B1"/>
    <w:rsid w:val="001779ED"/>
    <w:rsid w:val="00177C74"/>
    <w:rsid w:val="00177C87"/>
    <w:rsid w:val="00177DA4"/>
    <w:rsid w:val="00177EB0"/>
    <w:rsid w:val="001800C8"/>
    <w:rsid w:val="00180517"/>
    <w:rsid w:val="00180692"/>
    <w:rsid w:val="001807B7"/>
    <w:rsid w:val="001808DD"/>
    <w:rsid w:val="001809A7"/>
    <w:rsid w:val="00181177"/>
    <w:rsid w:val="001812F4"/>
    <w:rsid w:val="001813C5"/>
    <w:rsid w:val="00181776"/>
    <w:rsid w:val="0018180C"/>
    <w:rsid w:val="00181BC7"/>
    <w:rsid w:val="00181D69"/>
    <w:rsid w:val="00181DF7"/>
    <w:rsid w:val="001820AE"/>
    <w:rsid w:val="001820C2"/>
    <w:rsid w:val="00182142"/>
    <w:rsid w:val="001821AB"/>
    <w:rsid w:val="00182281"/>
    <w:rsid w:val="001826E3"/>
    <w:rsid w:val="0018287E"/>
    <w:rsid w:val="001828FA"/>
    <w:rsid w:val="00182A80"/>
    <w:rsid w:val="00182B06"/>
    <w:rsid w:val="00182B56"/>
    <w:rsid w:val="00182BE0"/>
    <w:rsid w:val="00182CF8"/>
    <w:rsid w:val="00182D9A"/>
    <w:rsid w:val="00182F3F"/>
    <w:rsid w:val="00183079"/>
    <w:rsid w:val="001832E8"/>
    <w:rsid w:val="00183368"/>
    <w:rsid w:val="00183598"/>
    <w:rsid w:val="001835C5"/>
    <w:rsid w:val="001838CE"/>
    <w:rsid w:val="00183A80"/>
    <w:rsid w:val="00183A85"/>
    <w:rsid w:val="00183CB0"/>
    <w:rsid w:val="00183CC8"/>
    <w:rsid w:val="00183F3B"/>
    <w:rsid w:val="00183F7E"/>
    <w:rsid w:val="00184014"/>
    <w:rsid w:val="0018407B"/>
    <w:rsid w:val="001841BB"/>
    <w:rsid w:val="00184622"/>
    <w:rsid w:val="00184A31"/>
    <w:rsid w:val="00184A48"/>
    <w:rsid w:val="00184C61"/>
    <w:rsid w:val="00184D57"/>
    <w:rsid w:val="00184D76"/>
    <w:rsid w:val="0018503D"/>
    <w:rsid w:val="0018511F"/>
    <w:rsid w:val="001851D6"/>
    <w:rsid w:val="00185292"/>
    <w:rsid w:val="00185534"/>
    <w:rsid w:val="00185601"/>
    <w:rsid w:val="00185A32"/>
    <w:rsid w:val="00185AF8"/>
    <w:rsid w:val="00185B24"/>
    <w:rsid w:val="00185CB0"/>
    <w:rsid w:val="00185F0E"/>
    <w:rsid w:val="001861F8"/>
    <w:rsid w:val="0018632D"/>
    <w:rsid w:val="001863D8"/>
    <w:rsid w:val="0018676F"/>
    <w:rsid w:val="001868D9"/>
    <w:rsid w:val="001868F7"/>
    <w:rsid w:val="00186B0A"/>
    <w:rsid w:val="00186B48"/>
    <w:rsid w:val="00186C27"/>
    <w:rsid w:val="00186CE5"/>
    <w:rsid w:val="00186D1A"/>
    <w:rsid w:val="00187056"/>
    <w:rsid w:val="00187542"/>
    <w:rsid w:val="00187683"/>
    <w:rsid w:val="0018799F"/>
    <w:rsid w:val="00187BB2"/>
    <w:rsid w:val="00187DDC"/>
    <w:rsid w:val="00187E61"/>
    <w:rsid w:val="00190035"/>
    <w:rsid w:val="001900D8"/>
    <w:rsid w:val="00190134"/>
    <w:rsid w:val="001901B4"/>
    <w:rsid w:val="001901FD"/>
    <w:rsid w:val="00190239"/>
    <w:rsid w:val="001905DD"/>
    <w:rsid w:val="001908BF"/>
    <w:rsid w:val="00190C90"/>
    <w:rsid w:val="00190F26"/>
    <w:rsid w:val="00190F8E"/>
    <w:rsid w:val="0019110A"/>
    <w:rsid w:val="001911C2"/>
    <w:rsid w:val="00191564"/>
    <w:rsid w:val="00191726"/>
    <w:rsid w:val="001918E1"/>
    <w:rsid w:val="0019191B"/>
    <w:rsid w:val="00191AA8"/>
    <w:rsid w:val="00191B21"/>
    <w:rsid w:val="00191CF6"/>
    <w:rsid w:val="00191E5C"/>
    <w:rsid w:val="0019226D"/>
    <w:rsid w:val="001925BD"/>
    <w:rsid w:val="0019268C"/>
    <w:rsid w:val="0019286E"/>
    <w:rsid w:val="001929A7"/>
    <w:rsid w:val="00192DF4"/>
    <w:rsid w:val="001930D2"/>
    <w:rsid w:val="001933FC"/>
    <w:rsid w:val="001934F1"/>
    <w:rsid w:val="00193572"/>
    <w:rsid w:val="0019380A"/>
    <w:rsid w:val="00193B07"/>
    <w:rsid w:val="00193B37"/>
    <w:rsid w:val="00193B38"/>
    <w:rsid w:val="00193C07"/>
    <w:rsid w:val="00193C7F"/>
    <w:rsid w:val="00193ECF"/>
    <w:rsid w:val="001940F4"/>
    <w:rsid w:val="001942D8"/>
    <w:rsid w:val="001944E1"/>
    <w:rsid w:val="00194678"/>
    <w:rsid w:val="00194BD9"/>
    <w:rsid w:val="00194E50"/>
    <w:rsid w:val="00194E7F"/>
    <w:rsid w:val="00194E95"/>
    <w:rsid w:val="00194F10"/>
    <w:rsid w:val="001951B0"/>
    <w:rsid w:val="00195459"/>
    <w:rsid w:val="001957F2"/>
    <w:rsid w:val="00195928"/>
    <w:rsid w:val="0019592A"/>
    <w:rsid w:val="00195A82"/>
    <w:rsid w:val="00195BC8"/>
    <w:rsid w:val="00195D2A"/>
    <w:rsid w:val="00195EAC"/>
    <w:rsid w:val="00195FE3"/>
    <w:rsid w:val="00196036"/>
    <w:rsid w:val="001960E9"/>
    <w:rsid w:val="0019612B"/>
    <w:rsid w:val="00196932"/>
    <w:rsid w:val="00196A9B"/>
    <w:rsid w:val="00196B4A"/>
    <w:rsid w:val="00196BD6"/>
    <w:rsid w:val="00196EEB"/>
    <w:rsid w:val="00197080"/>
    <w:rsid w:val="00197123"/>
    <w:rsid w:val="001972A4"/>
    <w:rsid w:val="00197660"/>
    <w:rsid w:val="0019777C"/>
    <w:rsid w:val="0019778C"/>
    <w:rsid w:val="001978F0"/>
    <w:rsid w:val="00197940"/>
    <w:rsid w:val="00197BBC"/>
    <w:rsid w:val="001A01AA"/>
    <w:rsid w:val="001A0417"/>
    <w:rsid w:val="001A0448"/>
    <w:rsid w:val="001A0639"/>
    <w:rsid w:val="001A06FA"/>
    <w:rsid w:val="001A09BB"/>
    <w:rsid w:val="001A0A9B"/>
    <w:rsid w:val="001A0B46"/>
    <w:rsid w:val="001A0BCC"/>
    <w:rsid w:val="001A0D5C"/>
    <w:rsid w:val="001A0F67"/>
    <w:rsid w:val="001A0F6B"/>
    <w:rsid w:val="001A0FB4"/>
    <w:rsid w:val="001A10C1"/>
    <w:rsid w:val="001A14BA"/>
    <w:rsid w:val="001A1872"/>
    <w:rsid w:val="001A1873"/>
    <w:rsid w:val="001A19EC"/>
    <w:rsid w:val="001A1A39"/>
    <w:rsid w:val="001A1C4F"/>
    <w:rsid w:val="001A2198"/>
    <w:rsid w:val="001A2647"/>
    <w:rsid w:val="001A29F9"/>
    <w:rsid w:val="001A2A14"/>
    <w:rsid w:val="001A2A4B"/>
    <w:rsid w:val="001A2A63"/>
    <w:rsid w:val="001A2A6B"/>
    <w:rsid w:val="001A2BAF"/>
    <w:rsid w:val="001A2ECA"/>
    <w:rsid w:val="001A2FD8"/>
    <w:rsid w:val="001A3288"/>
    <w:rsid w:val="001A338F"/>
    <w:rsid w:val="001A3536"/>
    <w:rsid w:val="001A3913"/>
    <w:rsid w:val="001A3BC4"/>
    <w:rsid w:val="001A3D1A"/>
    <w:rsid w:val="001A3ED5"/>
    <w:rsid w:val="001A3F2B"/>
    <w:rsid w:val="001A4210"/>
    <w:rsid w:val="001A4579"/>
    <w:rsid w:val="001A4599"/>
    <w:rsid w:val="001A470B"/>
    <w:rsid w:val="001A482C"/>
    <w:rsid w:val="001A493D"/>
    <w:rsid w:val="001A4E9A"/>
    <w:rsid w:val="001A5078"/>
    <w:rsid w:val="001A521C"/>
    <w:rsid w:val="001A53E2"/>
    <w:rsid w:val="001A561A"/>
    <w:rsid w:val="001A59BE"/>
    <w:rsid w:val="001A5B23"/>
    <w:rsid w:val="001A5D89"/>
    <w:rsid w:val="001A5E6C"/>
    <w:rsid w:val="001A5E74"/>
    <w:rsid w:val="001A6103"/>
    <w:rsid w:val="001A614E"/>
    <w:rsid w:val="001A6313"/>
    <w:rsid w:val="001A6402"/>
    <w:rsid w:val="001A653E"/>
    <w:rsid w:val="001A6EF7"/>
    <w:rsid w:val="001A6FC6"/>
    <w:rsid w:val="001A6FCF"/>
    <w:rsid w:val="001A7509"/>
    <w:rsid w:val="001A78E1"/>
    <w:rsid w:val="001B00C0"/>
    <w:rsid w:val="001B01C9"/>
    <w:rsid w:val="001B0381"/>
    <w:rsid w:val="001B0784"/>
    <w:rsid w:val="001B0A06"/>
    <w:rsid w:val="001B0AD2"/>
    <w:rsid w:val="001B0C82"/>
    <w:rsid w:val="001B0DE4"/>
    <w:rsid w:val="001B0EEE"/>
    <w:rsid w:val="001B0F2B"/>
    <w:rsid w:val="001B0F42"/>
    <w:rsid w:val="001B1192"/>
    <w:rsid w:val="001B1447"/>
    <w:rsid w:val="001B1488"/>
    <w:rsid w:val="001B16DD"/>
    <w:rsid w:val="001B1AF5"/>
    <w:rsid w:val="001B1F06"/>
    <w:rsid w:val="001B231E"/>
    <w:rsid w:val="001B2441"/>
    <w:rsid w:val="001B25CF"/>
    <w:rsid w:val="001B27F9"/>
    <w:rsid w:val="001B2D76"/>
    <w:rsid w:val="001B34AB"/>
    <w:rsid w:val="001B34C8"/>
    <w:rsid w:val="001B3638"/>
    <w:rsid w:val="001B38E1"/>
    <w:rsid w:val="001B3C2D"/>
    <w:rsid w:val="001B40F8"/>
    <w:rsid w:val="001B46D6"/>
    <w:rsid w:val="001B489A"/>
    <w:rsid w:val="001B4ADC"/>
    <w:rsid w:val="001B4E62"/>
    <w:rsid w:val="001B5139"/>
    <w:rsid w:val="001B515E"/>
    <w:rsid w:val="001B56A0"/>
    <w:rsid w:val="001B5892"/>
    <w:rsid w:val="001B5AC1"/>
    <w:rsid w:val="001B5AE4"/>
    <w:rsid w:val="001B5BBE"/>
    <w:rsid w:val="001B5EBE"/>
    <w:rsid w:val="001B6167"/>
    <w:rsid w:val="001B6215"/>
    <w:rsid w:val="001B64E2"/>
    <w:rsid w:val="001B65E5"/>
    <w:rsid w:val="001B6971"/>
    <w:rsid w:val="001B69B7"/>
    <w:rsid w:val="001B6A44"/>
    <w:rsid w:val="001B6AD0"/>
    <w:rsid w:val="001B6C5E"/>
    <w:rsid w:val="001B6F2F"/>
    <w:rsid w:val="001B6F76"/>
    <w:rsid w:val="001B71DD"/>
    <w:rsid w:val="001B7252"/>
    <w:rsid w:val="001B735E"/>
    <w:rsid w:val="001B7521"/>
    <w:rsid w:val="001B7542"/>
    <w:rsid w:val="001B773B"/>
    <w:rsid w:val="001B7B53"/>
    <w:rsid w:val="001B7C26"/>
    <w:rsid w:val="001B7D5C"/>
    <w:rsid w:val="001B7E76"/>
    <w:rsid w:val="001C0716"/>
    <w:rsid w:val="001C0749"/>
    <w:rsid w:val="001C07DC"/>
    <w:rsid w:val="001C08B2"/>
    <w:rsid w:val="001C08CF"/>
    <w:rsid w:val="001C0ACF"/>
    <w:rsid w:val="001C0B05"/>
    <w:rsid w:val="001C0C2A"/>
    <w:rsid w:val="001C0D9C"/>
    <w:rsid w:val="001C0DEF"/>
    <w:rsid w:val="001C0E67"/>
    <w:rsid w:val="001C0F08"/>
    <w:rsid w:val="001C1076"/>
    <w:rsid w:val="001C1411"/>
    <w:rsid w:val="001C1521"/>
    <w:rsid w:val="001C16B2"/>
    <w:rsid w:val="001C18CD"/>
    <w:rsid w:val="001C190D"/>
    <w:rsid w:val="001C1BCD"/>
    <w:rsid w:val="001C1EAE"/>
    <w:rsid w:val="001C204C"/>
    <w:rsid w:val="001C212B"/>
    <w:rsid w:val="001C213D"/>
    <w:rsid w:val="001C225E"/>
    <w:rsid w:val="001C254D"/>
    <w:rsid w:val="001C255E"/>
    <w:rsid w:val="001C2684"/>
    <w:rsid w:val="001C26D0"/>
    <w:rsid w:val="001C26E2"/>
    <w:rsid w:val="001C296B"/>
    <w:rsid w:val="001C2A2F"/>
    <w:rsid w:val="001C2C1D"/>
    <w:rsid w:val="001C2E0B"/>
    <w:rsid w:val="001C2E21"/>
    <w:rsid w:val="001C2E38"/>
    <w:rsid w:val="001C3335"/>
    <w:rsid w:val="001C35B1"/>
    <w:rsid w:val="001C3615"/>
    <w:rsid w:val="001C3653"/>
    <w:rsid w:val="001C3670"/>
    <w:rsid w:val="001C374F"/>
    <w:rsid w:val="001C3755"/>
    <w:rsid w:val="001C379A"/>
    <w:rsid w:val="001C381E"/>
    <w:rsid w:val="001C3881"/>
    <w:rsid w:val="001C3910"/>
    <w:rsid w:val="001C3BAB"/>
    <w:rsid w:val="001C3DFC"/>
    <w:rsid w:val="001C3F5E"/>
    <w:rsid w:val="001C3F8D"/>
    <w:rsid w:val="001C40BF"/>
    <w:rsid w:val="001C446C"/>
    <w:rsid w:val="001C4612"/>
    <w:rsid w:val="001C48C8"/>
    <w:rsid w:val="001C4AF8"/>
    <w:rsid w:val="001C4CEA"/>
    <w:rsid w:val="001C4D4B"/>
    <w:rsid w:val="001C4D5A"/>
    <w:rsid w:val="001C4E88"/>
    <w:rsid w:val="001C522E"/>
    <w:rsid w:val="001C53B5"/>
    <w:rsid w:val="001C57FC"/>
    <w:rsid w:val="001C5B08"/>
    <w:rsid w:val="001C5BFE"/>
    <w:rsid w:val="001C5E7A"/>
    <w:rsid w:val="001C5F82"/>
    <w:rsid w:val="001C612F"/>
    <w:rsid w:val="001C68E9"/>
    <w:rsid w:val="001C6C91"/>
    <w:rsid w:val="001C6CE6"/>
    <w:rsid w:val="001C6E23"/>
    <w:rsid w:val="001C710C"/>
    <w:rsid w:val="001C7146"/>
    <w:rsid w:val="001C71A0"/>
    <w:rsid w:val="001C71CB"/>
    <w:rsid w:val="001C72F1"/>
    <w:rsid w:val="001C744B"/>
    <w:rsid w:val="001C74B9"/>
    <w:rsid w:val="001C7B6F"/>
    <w:rsid w:val="001C7CB3"/>
    <w:rsid w:val="001C7CC2"/>
    <w:rsid w:val="001C7D5E"/>
    <w:rsid w:val="001C7E5F"/>
    <w:rsid w:val="001C7E8A"/>
    <w:rsid w:val="001D0043"/>
    <w:rsid w:val="001D02FB"/>
    <w:rsid w:val="001D0427"/>
    <w:rsid w:val="001D04D4"/>
    <w:rsid w:val="001D0636"/>
    <w:rsid w:val="001D0682"/>
    <w:rsid w:val="001D088A"/>
    <w:rsid w:val="001D098F"/>
    <w:rsid w:val="001D0BE5"/>
    <w:rsid w:val="001D0C27"/>
    <w:rsid w:val="001D0CD0"/>
    <w:rsid w:val="001D0CD5"/>
    <w:rsid w:val="001D0DD2"/>
    <w:rsid w:val="001D107F"/>
    <w:rsid w:val="001D10B1"/>
    <w:rsid w:val="001D10CE"/>
    <w:rsid w:val="001D1223"/>
    <w:rsid w:val="001D142B"/>
    <w:rsid w:val="001D1A05"/>
    <w:rsid w:val="001D1BC4"/>
    <w:rsid w:val="001D1D40"/>
    <w:rsid w:val="001D1E3C"/>
    <w:rsid w:val="001D1E44"/>
    <w:rsid w:val="001D1FF5"/>
    <w:rsid w:val="001D2013"/>
    <w:rsid w:val="001D2034"/>
    <w:rsid w:val="001D2152"/>
    <w:rsid w:val="001D2548"/>
    <w:rsid w:val="001D2753"/>
    <w:rsid w:val="001D2802"/>
    <w:rsid w:val="001D2834"/>
    <w:rsid w:val="001D2DD8"/>
    <w:rsid w:val="001D2E22"/>
    <w:rsid w:val="001D2F5F"/>
    <w:rsid w:val="001D3141"/>
    <w:rsid w:val="001D326E"/>
    <w:rsid w:val="001D3473"/>
    <w:rsid w:val="001D34E1"/>
    <w:rsid w:val="001D3555"/>
    <w:rsid w:val="001D35DF"/>
    <w:rsid w:val="001D35EE"/>
    <w:rsid w:val="001D363C"/>
    <w:rsid w:val="001D3751"/>
    <w:rsid w:val="001D378D"/>
    <w:rsid w:val="001D37D8"/>
    <w:rsid w:val="001D3A25"/>
    <w:rsid w:val="001D3A30"/>
    <w:rsid w:val="001D3E10"/>
    <w:rsid w:val="001D4031"/>
    <w:rsid w:val="001D44B0"/>
    <w:rsid w:val="001D4836"/>
    <w:rsid w:val="001D4CF3"/>
    <w:rsid w:val="001D4D24"/>
    <w:rsid w:val="001D4D7E"/>
    <w:rsid w:val="001D4ECD"/>
    <w:rsid w:val="001D4F04"/>
    <w:rsid w:val="001D501F"/>
    <w:rsid w:val="001D5378"/>
    <w:rsid w:val="001D53B2"/>
    <w:rsid w:val="001D5488"/>
    <w:rsid w:val="001D583D"/>
    <w:rsid w:val="001D5B63"/>
    <w:rsid w:val="001D5C90"/>
    <w:rsid w:val="001D5CBA"/>
    <w:rsid w:val="001D5E48"/>
    <w:rsid w:val="001D60F8"/>
    <w:rsid w:val="001D6240"/>
    <w:rsid w:val="001D6A6B"/>
    <w:rsid w:val="001D6ABD"/>
    <w:rsid w:val="001D6E7F"/>
    <w:rsid w:val="001D6F69"/>
    <w:rsid w:val="001D75A1"/>
    <w:rsid w:val="001D7763"/>
    <w:rsid w:val="001D7821"/>
    <w:rsid w:val="001D7838"/>
    <w:rsid w:val="001D7C66"/>
    <w:rsid w:val="001D7CDD"/>
    <w:rsid w:val="001D7CE5"/>
    <w:rsid w:val="001D7CF7"/>
    <w:rsid w:val="001D7EC7"/>
    <w:rsid w:val="001E0249"/>
    <w:rsid w:val="001E0415"/>
    <w:rsid w:val="001E0575"/>
    <w:rsid w:val="001E0A2E"/>
    <w:rsid w:val="001E0ACF"/>
    <w:rsid w:val="001E13D7"/>
    <w:rsid w:val="001E1436"/>
    <w:rsid w:val="001E14C1"/>
    <w:rsid w:val="001E1660"/>
    <w:rsid w:val="001E17A5"/>
    <w:rsid w:val="001E191F"/>
    <w:rsid w:val="001E1A7A"/>
    <w:rsid w:val="001E1A9A"/>
    <w:rsid w:val="001E1C01"/>
    <w:rsid w:val="001E1D30"/>
    <w:rsid w:val="001E1DA7"/>
    <w:rsid w:val="001E20F1"/>
    <w:rsid w:val="001E2103"/>
    <w:rsid w:val="001E217E"/>
    <w:rsid w:val="001E2195"/>
    <w:rsid w:val="001E2392"/>
    <w:rsid w:val="001E2513"/>
    <w:rsid w:val="001E26BD"/>
    <w:rsid w:val="001E27C7"/>
    <w:rsid w:val="001E2835"/>
    <w:rsid w:val="001E294D"/>
    <w:rsid w:val="001E2992"/>
    <w:rsid w:val="001E2C24"/>
    <w:rsid w:val="001E2E08"/>
    <w:rsid w:val="001E2E60"/>
    <w:rsid w:val="001E2EF2"/>
    <w:rsid w:val="001E3385"/>
    <w:rsid w:val="001E345D"/>
    <w:rsid w:val="001E34CF"/>
    <w:rsid w:val="001E3871"/>
    <w:rsid w:val="001E3C70"/>
    <w:rsid w:val="001E3DCB"/>
    <w:rsid w:val="001E3F64"/>
    <w:rsid w:val="001E4106"/>
    <w:rsid w:val="001E433C"/>
    <w:rsid w:val="001E4383"/>
    <w:rsid w:val="001E464C"/>
    <w:rsid w:val="001E47C9"/>
    <w:rsid w:val="001E49E8"/>
    <w:rsid w:val="001E4BEB"/>
    <w:rsid w:val="001E5250"/>
    <w:rsid w:val="001E52D2"/>
    <w:rsid w:val="001E53A0"/>
    <w:rsid w:val="001E5490"/>
    <w:rsid w:val="001E5588"/>
    <w:rsid w:val="001E59D2"/>
    <w:rsid w:val="001E5C32"/>
    <w:rsid w:val="001E5D02"/>
    <w:rsid w:val="001E5D9D"/>
    <w:rsid w:val="001E60B8"/>
    <w:rsid w:val="001E6121"/>
    <w:rsid w:val="001E62A2"/>
    <w:rsid w:val="001E62CC"/>
    <w:rsid w:val="001E6594"/>
    <w:rsid w:val="001E689B"/>
    <w:rsid w:val="001E6A20"/>
    <w:rsid w:val="001E6A5E"/>
    <w:rsid w:val="001E6AF2"/>
    <w:rsid w:val="001E6BD4"/>
    <w:rsid w:val="001E6CC9"/>
    <w:rsid w:val="001E6D70"/>
    <w:rsid w:val="001E6EB7"/>
    <w:rsid w:val="001E758B"/>
    <w:rsid w:val="001E7EA6"/>
    <w:rsid w:val="001F0163"/>
    <w:rsid w:val="001F0260"/>
    <w:rsid w:val="001F0291"/>
    <w:rsid w:val="001F0586"/>
    <w:rsid w:val="001F05BA"/>
    <w:rsid w:val="001F0871"/>
    <w:rsid w:val="001F095E"/>
    <w:rsid w:val="001F0A58"/>
    <w:rsid w:val="001F0F78"/>
    <w:rsid w:val="001F104C"/>
    <w:rsid w:val="001F13C3"/>
    <w:rsid w:val="001F158F"/>
    <w:rsid w:val="001F1718"/>
    <w:rsid w:val="001F181D"/>
    <w:rsid w:val="001F1857"/>
    <w:rsid w:val="001F196F"/>
    <w:rsid w:val="001F1D07"/>
    <w:rsid w:val="001F1D2A"/>
    <w:rsid w:val="001F1E21"/>
    <w:rsid w:val="001F2278"/>
    <w:rsid w:val="001F22F0"/>
    <w:rsid w:val="001F26C5"/>
    <w:rsid w:val="001F26D5"/>
    <w:rsid w:val="001F28B3"/>
    <w:rsid w:val="001F2B19"/>
    <w:rsid w:val="001F2B7D"/>
    <w:rsid w:val="001F369C"/>
    <w:rsid w:val="001F3B11"/>
    <w:rsid w:val="001F3D23"/>
    <w:rsid w:val="001F3E50"/>
    <w:rsid w:val="001F40A7"/>
    <w:rsid w:val="001F40B5"/>
    <w:rsid w:val="001F4389"/>
    <w:rsid w:val="001F452B"/>
    <w:rsid w:val="001F4619"/>
    <w:rsid w:val="001F4F9B"/>
    <w:rsid w:val="001F512E"/>
    <w:rsid w:val="001F52EE"/>
    <w:rsid w:val="001F5392"/>
    <w:rsid w:val="001F548A"/>
    <w:rsid w:val="001F5541"/>
    <w:rsid w:val="001F5560"/>
    <w:rsid w:val="001F5587"/>
    <w:rsid w:val="001F570B"/>
    <w:rsid w:val="001F5BB0"/>
    <w:rsid w:val="001F62AB"/>
    <w:rsid w:val="001F62C6"/>
    <w:rsid w:val="001F6910"/>
    <w:rsid w:val="001F699A"/>
    <w:rsid w:val="001F69B4"/>
    <w:rsid w:val="001F6B19"/>
    <w:rsid w:val="001F6C16"/>
    <w:rsid w:val="001F6E97"/>
    <w:rsid w:val="001F7272"/>
    <w:rsid w:val="001F741F"/>
    <w:rsid w:val="001F7752"/>
    <w:rsid w:val="001F778D"/>
    <w:rsid w:val="001F78AF"/>
    <w:rsid w:val="001F795F"/>
    <w:rsid w:val="001F7B3A"/>
    <w:rsid w:val="001F7B5B"/>
    <w:rsid w:val="001F7B67"/>
    <w:rsid w:val="001F7D13"/>
    <w:rsid w:val="001F7E68"/>
    <w:rsid w:val="00200628"/>
    <w:rsid w:val="002006F3"/>
    <w:rsid w:val="00200911"/>
    <w:rsid w:val="00200C3F"/>
    <w:rsid w:val="00200D86"/>
    <w:rsid w:val="00200DCD"/>
    <w:rsid w:val="002011F6"/>
    <w:rsid w:val="0020133B"/>
    <w:rsid w:val="00201347"/>
    <w:rsid w:val="002018F7"/>
    <w:rsid w:val="00201AE4"/>
    <w:rsid w:val="00201AF5"/>
    <w:rsid w:val="00201B86"/>
    <w:rsid w:val="00201FE8"/>
    <w:rsid w:val="00202265"/>
    <w:rsid w:val="002022B5"/>
    <w:rsid w:val="00202585"/>
    <w:rsid w:val="00202A42"/>
    <w:rsid w:val="00202ABC"/>
    <w:rsid w:val="00202CDF"/>
    <w:rsid w:val="00202F15"/>
    <w:rsid w:val="00202FAC"/>
    <w:rsid w:val="002031CC"/>
    <w:rsid w:val="00203291"/>
    <w:rsid w:val="002032EC"/>
    <w:rsid w:val="002032F0"/>
    <w:rsid w:val="0020337B"/>
    <w:rsid w:val="002036A7"/>
    <w:rsid w:val="0020373C"/>
    <w:rsid w:val="002037A6"/>
    <w:rsid w:val="00203A19"/>
    <w:rsid w:val="00203BBD"/>
    <w:rsid w:val="00203E61"/>
    <w:rsid w:val="002040F0"/>
    <w:rsid w:val="00204117"/>
    <w:rsid w:val="00204342"/>
    <w:rsid w:val="0020434F"/>
    <w:rsid w:val="002044B3"/>
    <w:rsid w:val="002047D6"/>
    <w:rsid w:val="00204866"/>
    <w:rsid w:val="002048D7"/>
    <w:rsid w:val="00204AD8"/>
    <w:rsid w:val="00204C9D"/>
    <w:rsid w:val="00204D24"/>
    <w:rsid w:val="002050EF"/>
    <w:rsid w:val="0020526C"/>
    <w:rsid w:val="0020529C"/>
    <w:rsid w:val="002054A0"/>
    <w:rsid w:val="0020573E"/>
    <w:rsid w:val="00205A0A"/>
    <w:rsid w:val="00205BBC"/>
    <w:rsid w:val="00206152"/>
    <w:rsid w:val="002062D6"/>
    <w:rsid w:val="0020633A"/>
    <w:rsid w:val="00206354"/>
    <w:rsid w:val="0020639D"/>
    <w:rsid w:val="0020644C"/>
    <w:rsid w:val="00206725"/>
    <w:rsid w:val="00206835"/>
    <w:rsid w:val="00206839"/>
    <w:rsid w:val="002069FF"/>
    <w:rsid w:val="00206A85"/>
    <w:rsid w:val="00206D45"/>
    <w:rsid w:val="00206F51"/>
    <w:rsid w:val="0020711E"/>
    <w:rsid w:val="00207355"/>
    <w:rsid w:val="002073B7"/>
    <w:rsid w:val="00207645"/>
    <w:rsid w:val="00207989"/>
    <w:rsid w:val="00207B34"/>
    <w:rsid w:val="00210359"/>
    <w:rsid w:val="002104A6"/>
    <w:rsid w:val="002104CF"/>
    <w:rsid w:val="002104DE"/>
    <w:rsid w:val="0021059C"/>
    <w:rsid w:val="002107E2"/>
    <w:rsid w:val="00210852"/>
    <w:rsid w:val="002108E7"/>
    <w:rsid w:val="00210AC7"/>
    <w:rsid w:val="00210BDA"/>
    <w:rsid w:val="00210C07"/>
    <w:rsid w:val="00210C5C"/>
    <w:rsid w:val="00210D0B"/>
    <w:rsid w:val="00210E73"/>
    <w:rsid w:val="002113E6"/>
    <w:rsid w:val="00211572"/>
    <w:rsid w:val="00211A0A"/>
    <w:rsid w:val="00211B03"/>
    <w:rsid w:val="00211BE5"/>
    <w:rsid w:val="00211CB6"/>
    <w:rsid w:val="00211FB1"/>
    <w:rsid w:val="0021216E"/>
    <w:rsid w:val="002121CC"/>
    <w:rsid w:val="002122AD"/>
    <w:rsid w:val="002123F2"/>
    <w:rsid w:val="002124B6"/>
    <w:rsid w:val="002124E7"/>
    <w:rsid w:val="0021269E"/>
    <w:rsid w:val="00212916"/>
    <w:rsid w:val="0021297F"/>
    <w:rsid w:val="002129B8"/>
    <w:rsid w:val="00212A01"/>
    <w:rsid w:val="00212AA2"/>
    <w:rsid w:val="00212EF9"/>
    <w:rsid w:val="002131FC"/>
    <w:rsid w:val="00213259"/>
    <w:rsid w:val="0021339F"/>
    <w:rsid w:val="00213633"/>
    <w:rsid w:val="002136A6"/>
    <w:rsid w:val="00213C54"/>
    <w:rsid w:val="00213CE1"/>
    <w:rsid w:val="00213CF3"/>
    <w:rsid w:val="00213CFF"/>
    <w:rsid w:val="00213F5B"/>
    <w:rsid w:val="00213FFF"/>
    <w:rsid w:val="002149A8"/>
    <w:rsid w:val="00214B0A"/>
    <w:rsid w:val="00214B2A"/>
    <w:rsid w:val="00214B38"/>
    <w:rsid w:val="00214BE5"/>
    <w:rsid w:val="002152FF"/>
    <w:rsid w:val="00215720"/>
    <w:rsid w:val="0021574A"/>
    <w:rsid w:val="002157BF"/>
    <w:rsid w:val="00215D21"/>
    <w:rsid w:val="00215F52"/>
    <w:rsid w:val="00215F8E"/>
    <w:rsid w:val="00216013"/>
    <w:rsid w:val="00216131"/>
    <w:rsid w:val="002162B2"/>
    <w:rsid w:val="002163C9"/>
    <w:rsid w:val="0021642F"/>
    <w:rsid w:val="0021646B"/>
    <w:rsid w:val="0021683F"/>
    <w:rsid w:val="00216944"/>
    <w:rsid w:val="002169DB"/>
    <w:rsid w:val="00216AC9"/>
    <w:rsid w:val="00216C1B"/>
    <w:rsid w:val="00216C91"/>
    <w:rsid w:val="00216CD8"/>
    <w:rsid w:val="00216D70"/>
    <w:rsid w:val="00216D79"/>
    <w:rsid w:val="00216E25"/>
    <w:rsid w:val="0021702C"/>
    <w:rsid w:val="00217235"/>
    <w:rsid w:val="002173C4"/>
    <w:rsid w:val="00217504"/>
    <w:rsid w:val="0021756B"/>
    <w:rsid w:val="00217687"/>
    <w:rsid w:val="0021776A"/>
    <w:rsid w:val="002179F2"/>
    <w:rsid w:val="00217DE1"/>
    <w:rsid w:val="00217E29"/>
    <w:rsid w:val="00217E82"/>
    <w:rsid w:val="002200AF"/>
    <w:rsid w:val="002206C7"/>
    <w:rsid w:val="002209C9"/>
    <w:rsid w:val="00220BE0"/>
    <w:rsid w:val="00220D44"/>
    <w:rsid w:val="00221381"/>
    <w:rsid w:val="0022149F"/>
    <w:rsid w:val="00221874"/>
    <w:rsid w:val="00221A5D"/>
    <w:rsid w:val="0022208A"/>
    <w:rsid w:val="00222625"/>
    <w:rsid w:val="002229BB"/>
    <w:rsid w:val="00222AF9"/>
    <w:rsid w:val="00222C4E"/>
    <w:rsid w:val="00222C64"/>
    <w:rsid w:val="00222CB9"/>
    <w:rsid w:val="00222DBE"/>
    <w:rsid w:val="00222F2D"/>
    <w:rsid w:val="00222FCB"/>
    <w:rsid w:val="00222FEA"/>
    <w:rsid w:val="00223135"/>
    <w:rsid w:val="00223502"/>
    <w:rsid w:val="002236A3"/>
    <w:rsid w:val="00223A6F"/>
    <w:rsid w:val="00223D3D"/>
    <w:rsid w:val="00223EAA"/>
    <w:rsid w:val="00223EB8"/>
    <w:rsid w:val="00224110"/>
    <w:rsid w:val="0022423F"/>
    <w:rsid w:val="0022465E"/>
    <w:rsid w:val="00224682"/>
    <w:rsid w:val="002248F5"/>
    <w:rsid w:val="00224912"/>
    <w:rsid w:val="00224FE3"/>
    <w:rsid w:val="00224FE4"/>
    <w:rsid w:val="00225159"/>
    <w:rsid w:val="002255B0"/>
    <w:rsid w:val="002259F6"/>
    <w:rsid w:val="002259FA"/>
    <w:rsid w:val="0022603D"/>
    <w:rsid w:val="00226120"/>
    <w:rsid w:val="00226528"/>
    <w:rsid w:val="002268BF"/>
    <w:rsid w:val="0022696B"/>
    <w:rsid w:val="00226A09"/>
    <w:rsid w:val="00226E1E"/>
    <w:rsid w:val="00226E55"/>
    <w:rsid w:val="0022705B"/>
    <w:rsid w:val="0022707E"/>
    <w:rsid w:val="002270A1"/>
    <w:rsid w:val="00227182"/>
    <w:rsid w:val="002271A7"/>
    <w:rsid w:val="002271D6"/>
    <w:rsid w:val="0022737F"/>
    <w:rsid w:val="002273EC"/>
    <w:rsid w:val="00227406"/>
    <w:rsid w:val="0022741F"/>
    <w:rsid w:val="0022780C"/>
    <w:rsid w:val="0022781C"/>
    <w:rsid w:val="002278A0"/>
    <w:rsid w:val="00227967"/>
    <w:rsid w:val="00227A7D"/>
    <w:rsid w:val="00227D61"/>
    <w:rsid w:val="00227F13"/>
    <w:rsid w:val="00227FA1"/>
    <w:rsid w:val="00227FD5"/>
    <w:rsid w:val="0023022D"/>
    <w:rsid w:val="00230564"/>
    <w:rsid w:val="002305CB"/>
    <w:rsid w:val="0023068F"/>
    <w:rsid w:val="002306C8"/>
    <w:rsid w:val="002306E2"/>
    <w:rsid w:val="0023073C"/>
    <w:rsid w:val="002308D3"/>
    <w:rsid w:val="00230A37"/>
    <w:rsid w:val="00230C18"/>
    <w:rsid w:val="00230C19"/>
    <w:rsid w:val="00230EC6"/>
    <w:rsid w:val="00231089"/>
    <w:rsid w:val="002311BC"/>
    <w:rsid w:val="00231540"/>
    <w:rsid w:val="00231749"/>
    <w:rsid w:val="002318A1"/>
    <w:rsid w:val="002318F8"/>
    <w:rsid w:val="00231AD4"/>
    <w:rsid w:val="00231E82"/>
    <w:rsid w:val="00231EA8"/>
    <w:rsid w:val="00231EF0"/>
    <w:rsid w:val="00231FC8"/>
    <w:rsid w:val="002320C3"/>
    <w:rsid w:val="002323FB"/>
    <w:rsid w:val="00232548"/>
    <w:rsid w:val="00232626"/>
    <w:rsid w:val="0023266B"/>
    <w:rsid w:val="00232AD5"/>
    <w:rsid w:val="00232CB9"/>
    <w:rsid w:val="00232F4B"/>
    <w:rsid w:val="002332DE"/>
    <w:rsid w:val="00233339"/>
    <w:rsid w:val="002336AA"/>
    <w:rsid w:val="002338E8"/>
    <w:rsid w:val="002339C9"/>
    <w:rsid w:val="00233F86"/>
    <w:rsid w:val="00234194"/>
    <w:rsid w:val="00234389"/>
    <w:rsid w:val="00234846"/>
    <w:rsid w:val="00234D81"/>
    <w:rsid w:val="00234E39"/>
    <w:rsid w:val="00234F52"/>
    <w:rsid w:val="002350DA"/>
    <w:rsid w:val="00235464"/>
    <w:rsid w:val="00235469"/>
    <w:rsid w:val="00235A23"/>
    <w:rsid w:val="00235B7D"/>
    <w:rsid w:val="00235B98"/>
    <w:rsid w:val="00235EB1"/>
    <w:rsid w:val="0023604C"/>
    <w:rsid w:val="0023684E"/>
    <w:rsid w:val="002368EF"/>
    <w:rsid w:val="00236915"/>
    <w:rsid w:val="0023691D"/>
    <w:rsid w:val="00236A60"/>
    <w:rsid w:val="00236ABF"/>
    <w:rsid w:val="00236B24"/>
    <w:rsid w:val="00236B28"/>
    <w:rsid w:val="00236CF4"/>
    <w:rsid w:val="00236F46"/>
    <w:rsid w:val="00236FA8"/>
    <w:rsid w:val="00237003"/>
    <w:rsid w:val="0023708E"/>
    <w:rsid w:val="00237218"/>
    <w:rsid w:val="00237367"/>
    <w:rsid w:val="002376D4"/>
    <w:rsid w:val="00237729"/>
    <w:rsid w:val="00237971"/>
    <w:rsid w:val="002379AC"/>
    <w:rsid w:val="00237C9F"/>
    <w:rsid w:val="00237FF5"/>
    <w:rsid w:val="002403E2"/>
    <w:rsid w:val="002405B1"/>
    <w:rsid w:val="002405FC"/>
    <w:rsid w:val="002409E1"/>
    <w:rsid w:val="00240AF2"/>
    <w:rsid w:val="00240B32"/>
    <w:rsid w:val="00240B37"/>
    <w:rsid w:val="00240D15"/>
    <w:rsid w:val="00240D7D"/>
    <w:rsid w:val="002413E4"/>
    <w:rsid w:val="0024147B"/>
    <w:rsid w:val="00241485"/>
    <w:rsid w:val="0024150F"/>
    <w:rsid w:val="002417A5"/>
    <w:rsid w:val="002417F6"/>
    <w:rsid w:val="00241826"/>
    <w:rsid w:val="0024187D"/>
    <w:rsid w:val="002418CB"/>
    <w:rsid w:val="002418D1"/>
    <w:rsid w:val="00241A12"/>
    <w:rsid w:val="00241A5F"/>
    <w:rsid w:val="00241D1F"/>
    <w:rsid w:val="002422E2"/>
    <w:rsid w:val="0024278D"/>
    <w:rsid w:val="00242971"/>
    <w:rsid w:val="00242AFC"/>
    <w:rsid w:val="00242CE1"/>
    <w:rsid w:val="00242D81"/>
    <w:rsid w:val="00242DAE"/>
    <w:rsid w:val="00242DCC"/>
    <w:rsid w:val="00242EAA"/>
    <w:rsid w:val="00243013"/>
    <w:rsid w:val="002434BA"/>
    <w:rsid w:val="00243587"/>
    <w:rsid w:val="0024367F"/>
    <w:rsid w:val="00243888"/>
    <w:rsid w:val="00243A2B"/>
    <w:rsid w:val="00243CDD"/>
    <w:rsid w:val="00243E66"/>
    <w:rsid w:val="00243F26"/>
    <w:rsid w:val="00243F67"/>
    <w:rsid w:val="00244153"/>
    <w:rsid w:val="002443F3"/>
    <w:rsid w:val="00244428"/>
    <w:rsid w:val="00244727"/>
    <w:rsid w:val="002447E0"/>
    <w:rsid w:val="00244920"/>
    <w:rsid w:val="00244D2A"/>
    <w:rsid w:val="00244FA9"/>
    <w:rsid w:val="00245228"/>
    <w:rsid w:val="002453E5"/>
    <w:rsid w:val="0024586F"/>
    <w:rsid w:val="00245EA2"/>
    <w:rsid w:val="0024623F"/>
    <w:rsid w:val="0024675A"/>
    <w:rsid w:val="0024689D"/>
    <w:rsid w:val="00246CAC"/>
    <w:rsid w:val="00246D14"/>
    <w:rsid w:val="00246FCD"/>
    <w:rsid w:val="002471B1"/>
    <w:rsid w:val="002475E4"/>
    <w:rsid w:val="00247607"/>
    <w:rsid w:val="002476E9"/>
    <w:rsid w:val="00247706"/>
    <w:rsid w:val="00247E2D"/>
    <w:rsid w:val="00250197"/>
    <w:rsid w:val="002502BA"/>
    <w:rsid w:val="00250414"/>
    <w:rsid w:val="002505E0"/>
    <w:rsid w:val="0025096D"/>
    <w:rsid w:val="00250A8B"/>
    <w:rsid w:val="00250DDF"/>
    <w:rsid w:val="00250F01"/>
    <w:rsid w:val="00250F96"/>
    <w:rsid w:val="00251015"/>
    <w:rsid w:val="00251132"/>
    <w:rsid w:val="002513DC"/>
    <w:rsid w:val="00251503"/>
    <w:rsid w:val="00251566"/>
    <w:rsid w:val="002519E8"/>
    <w:rsid w:val="00251CD8"/>
    <w:rsid w:val="00251E2F"/>
    <w:rsid w:val="00251E37"/>
    <w:rsid w:val="00251E4D"/>
    <w:rsid w:val="00252028"/>
    <w:rsid w:val="002520D5"/>
    <w:rsid w:val="002521DC"/>
    <w:rsid w:val="002521FF"/>
    <w:rsid w:val="00252661"/>
    <w:rsid w:val="00252C9A"/>
    <w:rsid w:val="00253098"/>
    <w:rsid w:val="002530DA"/>
    <w:rsid w:val="00253156"/>
    <w:rsid w:val="00253161"/>
    <w:rsid w:val="002532EC"/>
    <w:rsid w:val="00253C26"/>
    <w:rsid w:val="00253C2D"/>
    <w:rsid w:val="00253FA2"/>
    <w:rsid w:val="002540D8"/>
    <w:rsid w:val="00254114"/>
    <w:rsid w:val="002544A0"/>
    <w:rsid w:val="00254515"/>
    <w:rsid w:val="00254F3A"/>
    <w:rsid w:val="002550D1"/>
    <w:rsid w:val="00255195"/>
    <w:rsid w:val="00255507"/>
    <w:rsid w:val="00255674"/>
    <w:rsid w:val="002556DC"/>
    <w:rsid w:val="00255708"/>
    <w:rsid w:val="00255709"/>
    <w:rsid w:val="002557DC"/>
    <w:rsid w:val="00255F00"/>
    <w:rsid w:val="00256052"/>
    <w:rsid w:val="00256109"/>
    <w:rsid w:val="0025614E"/>
    <w:rsid w:val="00256401"/>
    <w:rsid w:val="00256579"/>
    <w:rsid w:val="002566B8"/>
    <w:rsid w:val="00256867"/>
    <w:rsid w:val="002568AF"/>
    <w:rsid w:val="00256A91"/>
    <w:rsid w:val="00256DD6"/>
    <w:rsid w:val="00256FAE"/>
    <w:rsid w:val="00257024"/>
    <w:rsid w:val="002570CD"/>
    <w:rsid w:val="00257262"/>
    <w:rsid w:val="00257461"/>
    <w:rsid w:val="00257583"/>
    <w:rsid w:val="002576DF"/>
    <w:rsid w:val="00257ABA"/>
    <w:rsid w:val="00257ACA"/>
    <w:rsid w:val="00257EC7"/>
    <w:rsid w:val="00257FD1"/>
    <w:rsid w:val="002603EF"/>
    <w:rsid w:val="002604D6"/>
    <w:rsid w:val="002605AD"/>
    <w:rsid w:val="002607FF"/>
    <w:rsid w:val="00260A6D"/>
    <w:rsid w:val="00260ACA"/>
    <w:rsid w:val="00260D0C"/>
    <w:rsid w:val="00260E04"/>
    <w:rsid w:val="0026128A"/>
    <w:rsid w:val="002613B4"/>
    <w:rsid w:val="00261585"/>
    <w:rsid w:val="002616A0"/>
    <w:rsid w:val="00261707"/>
    <w:rsid w:val="00261A2C"/>
    <w:rsid w:val="00261B30"/>
    <w:rsid w:val="00261C92"/>
    <w:rsid w:val="00261CCA"/>
    <w:rsid w:val="00261FE7"/>
    <w:rsid w:val="0026201D"/>
    <w:rsid w:val="00262106"/>
    <w:rsid w:val="002622D6"/>
    <w:rsid w:val="00262491"/>
    <w:rsid w:val="002626AC"/>
    <w:rsid w:val="00262959"/>
    <w:rsid w:val="002629E5"/>
    <w:rsid w:val="00262F0D"/>
    <w:rsid w:val="002630B3"/>
    <w:rsid w:val="0026323A"/>
    <w:rsid w:val="00263559"/>
    <w:rsid w:val="002639EF"/>
    <w:rsid w:val="00263C5D"/>
    <w:rsid w:val="00263D69"/>
    <w:rsid w:val="00263DE1"/>
    <w:rsid w:val="002644E0"/>
    <w:rsid w:val="00264704"/>
    <w:rsid w:val="002647EA"/>
    <w:rsid w:val="00264A1F"/>
    <w:rsid w:val="00264BD4"/>
    <w:rsid w:val="00264CFC"/>
    <w:rsid w:val="002651B3"/>
    <w:rsid w:val="00265572"/>
    <w:rsid w:val="00265808"/>
    <w:rsid w:val="00265876"/>
    <w:rsid w:val="002659E5"/>
    <w:rsid w:val="00265A80"/>
    <w:rsid w:val="00265AE9"/>
    <w:rsid w:val="00265B28"/>
    <w:rsid w:val="00265BBD"/>
    <w:rsid w:val="00266058"/>
    <w:rsid w:val="002662B9"/>
    <w:rsid w:val="0026648A"/>
    <w:rsid w:val="00266528"/>
    <w:rsid w:val="00266557"/>
    <w:rsid w:val="002665B2"/>
    <w:rsid w:val="00266671"/>
    <w:rsid w:val="002666F4"/>
    <w:rsid w:val="002667FD"/>
    <w:rsid w:val="0026699C"/>
    <w:rsid w:val="00266D52"/>
    <w:rsid w:val="00266DDC"/>
    <w:rsid w:val="00266EFB"/>
    <w:rsid w:val="00267239"/>
    <w:rsid w:val="00267749"/>
    <w:rsid w:val="0026788D"/>
    <w:rsid w:val="00267CFD"/>
    <w:rsid w:val="002700AB"/>
    <w:rsid w:val="0027090A"/>
    <w:rsid w:val="002709CC"/>
    <w:rsid w:val="00270B4D"/>
    <w:rsid w:val="00270BCC"/>
    <w:rsid w:val="00270D6B"/>
    <w:rsid w:val="00271298"/>
    <w:rsid w:val="00271534"/>
    <w:rsid w:val="002717D0"/>
    <w:rsid w:val="00271993"/>
    <w:rsid w:val="0027271D"/>
    <w:rsid w:val="00272B75"/>
    <w:rsid w:val="00272B90"/>
    <w:rsid w:val="00272EA3"/>
    <w:rsid w:val="00272F2A"/>
    <w:rsid w:val="002734C0"/>
    <w:rsid w:val="00273D9B"/>
    <w:rsid w:val="0027401A"/>
    <w:rsid w:val="002745DB"/>
    <w:rsid w:val="00274821"/>
    <w:rsid w:val="00274DC0"/>
    <w:rsid w:val="00274E20"/>
    <w:rsid w:val="00274E7F"/>
    <w:rsid w:val="002751DB"/>
    <w:rsid w:val="00275249"/>
    <w:rsid w:val="00275326"/>
    <w:rsid w:val="002754DC"/>
    <w:rsid w:val="002756D6"/>
    <w:rsid w:val="002756E6"/>
    <w:rsid w:val="00275715"/>
    <w:rsid w:val="002759D6"/>
    <w:rsid w:val="002759F7"/>
    <w:rsid w:val="00275B4D"/>
    <w:rsid w:val="00275E37"/>
    <w:rsid w:val="00276149"/>
    <w:rsid w:val="002763F8"/>
    <w:rsid w:val="00276510"/>
    <w:rsid w:val="00276755"/>
    <w:rsid w:val="00276AC5"/>
    <w:rsid w:val="00276B2B"/>
    <w:rsid w:val="00277347"/>
    <w:rsid w:val="002773E8"/>
    <w:rsid w:val="002774C1"/>
    <w:rsid w:val="00277504"/>
    <w:rsid w:val="002776BC"/>
    <w:rsid w:val="00277746"/>
    <w:rsid w:val="0027784D"/>
    <w:rsid w:val="00277CB2"/>
    <w:rsid w:val="00277EE7"/>
    <w:rsid w:val="00280479"/>
    <w:rsid w:val="002805A2"/>
    <w:rsid w:val="002806DD"/>
    <w:rsid w:val="00280747"/>
    <w:rsid w:val="002809EB"/>
    <w:rsid w:val="00280C70"/>
    <w:rsid w:val="00280D72"/>
    <w:rsid w:val="00280E96"/>
    <w:rsid w:val="00280EE3"/>
    <w:rsid w:val="002811BF"/>
    <w:rsid w:val="00281520"/>
    <w:rsid w:val="002815D0"/>
    <w:rsid w:val="00281ADF"/>
    <w:rsid w:val="00281F35"/>
    <w:rsid w:val="002821D6"/>
    <w:rsid w:val="00282320"/>
    <w:rsid w:val="002824B5"/>
    <w:rsid w:val="002824F2"/>
    <w:rsid w:val="00282AF6"/>
    <w:rsid w:val="00282DA9"/>
    <w:rsid w:val="002830C3"/>
    <w:rsid w:val="00283280"/>
    <w:rsid w:val="00283320"/>
    <w:rsid w:val="002833C9"/>
    <w:rsid w:val="0028346D"/>
    <w:rsid w:val="002836D9"/>
    <w:rsid w:val="00283A00"/>
    <w:rsid w:val="00283A42"/>
    <w:rsid w:val="00283E64"/>
    <w:rsid w:val="00283FF8"/>
    <w:rsid w:val="00284177"/>
    <w:rsid w:val="00284219"/>
    <w:rsid w:val="002842C2"/>
    <w:rsid w:val="00284389"/>
    <w:rsid w:val="0028442B"/>
    <w:rsid w:val="00284EC8"/>
    <w:rsid w:val="00284F8F"/>
    <w:rsid w:val="00284FE6"/>
    <w:rsid w:val="002851EF"/>
    <w:rsid w:val="00285227"/>
    <w:rsid w:val="00285307"/>
    <w:rsid w:val="00285376"/>
    <w:rsid w:val="002854F5"/>
    <w:rsid w:val="00285667"/>
    <w:rsid w:val="00285715"/>
    <w:rsid w:val="002857CF"/>
    <w:rsid w:val="002857F1"/>
    <w:rsid w:val="002858DF"/>
    <w:rsid w:val="0028591D"/>
    <w:rsid w:val="002859F5"/>
    <w:rsid w:val="00285A67"/>
    <w:rsid w:val="00285B0E"/>
    <w:rsid w:val="00285D93"/>
    <w:rsid w:val="00285DBB"/>
    <w:rsid w:val="00286299"/>
    <w:rsid w:val="002863C2"/>
    <w:rsid w:val="00286AA7"/>
    <w:rsid w:val="00286D03"/>
    <w:rsid w:val="00286D65"/>
    <w:rsid w:val="00286D88"/>
    <w:rsid w:val="00287151"/>
    <w:rsid w:val="0028769C"/>
    <w:rsid w:val="0028794C"/>
    <w:rsid w:val="00287A34"/>
    <w:rsid w:val="00287B79"/>
    <w:rsid w:val="00287CAF"/>
    <w:rsid w:val="00287CE2"/>
    <w:rsid w:val="00287D4B"/>
    <w:rsid w:val="00287F65"/>
    <w:rsid w:val="00290013"/>
    <w:rsid w:val="0029018D"/>
    <w:rsid w:val="002905FF"/>
    <w:rsid w:val="00290750"/>
    <w:rsid w:val="0029079A"/>
    <w:rsid w:val="002909FD"/>
    <w:rsid w:val="00290A89"/>
    <w:rsid w:val="00290AC2"/>
    <w:rsid w:val="00290B62"/>
    <w:rsid w:val="00290BDB"/>
    <w:rsid w:val="00290CE9"/>
    <w:rsid w:val="00291250"/>
    <w:rsid w:val="00291278"/>
    <w:rsid w:val="002913AD"/>
    <w:rsid w:val="002914BF"/>
    <w:rsid w:val="0029168D"/>
    <w:rsid w:val="002918AD"/>
    <w:rsid w:val="00291C30"/>
    <w:rsid w:val="0029213C"/>
    <w:rsid w:val="0029286D"/>
    <w:rsid w:val="00292B82"/>
    <w:rsid w:val="00292C9F"/>
    <w:rsid w:val="00292CBE"/>
    <w:rsid w:val="002930DB"/>
    <w:rsid w:val="002933FD"/>
    <w:rsid w:val="00293432"/>
    <w:rsid w:val="0029353D"/>
    <w:rsid w:val="0029364B"/>
    <w:rsid w:val="002937E5"/>
    <w:rsid w:val="00293898"/>
    <w:rsid w:val="002939DA"/>
    <w:rsid w:val="00294506"/>
    <w:rsid w:val="0029471C"/>
    <w:rsid w:val="002947FC"/>
    <w:rsid w:val="00294884"/>
    <w:rsid w:val="00294A7C"/>
    <w:rsid w:val="00294AA4"/>
    <w:rsid w:val="00294AFC"/>
    <w:rsid w:val="00294B76"/>
    <w:rsid w:val="00294CFE"/>
    <w:rsid w:val="00294F87"/>
    <w:rsid w:val="00295180"/>
    <w:rsid w:val="00295370"/>
    <w:rsid w:val="002954CF"/>
    <w:rsid w:val="00295969"/>
    <w:rsid w:val="0029597F"/>
    <w:rsid w:val="00295A76"/>
    <w:rsid w:val="00295E77"/>
    <w:rsid w:val="00295F3F"/>
    <w:rsid w:val="00296090"/>
    <w:rsid w:val="0029661B"/>
    <w:rsid w:val="0029674C"/>
    <w:rsid w:val="0029695D"/>
    <w:rsid w:val="0029695E"/>
    <w:rsid w:val="00296A6D"/>
    <w:rsid w:val="00296B84"/>
    <w:rsid w:val="00296DB3"/>
    <w:rsid w:val="00296E7F"/>
    <w:rsid w:val="00296EC2"/>
    <w:rsid w:val="002979B7"/>
    <w:rsid w:val="00297D57"/>
    <w:rsid w:val="00297E21"/>
    <w:rsid w:val="002A0166"/>
    <w:rsid w:val="002A01D5"/>
    <w:rsid w:val="002A02B2"/>
    <w:rsid w:val="002A0437"/>
    <w:rsid w:val="002A04C9"/>
    <w:rsid w:val="002A0518"/>
    <w:rsid w:val="002A07DA"/>
    <w:rsid w:val="002A096D"/>
    <w:rsid w:val="002A0A58"/>
    <w:rsid w:val="002A0D77"/>
    <w:rsid w:val="002A0DA6"/>
    <w:rsid w:val="002A0DE4"/>
    <w:rsid w:val="002A0EF1"/>
    <w:rsid w:val="002A0F49"/>
    <w:rsid w:val="002A10B9"/>
    <w:rsid w:val="002A13BC"/>
    <w:rsid w:val="002A1995"/>
    <w:rsid w:val="002A1DF2"/>
    <w:rsid w:val="002A1E76"/>
    <w:rsid w:val="002A2084"/>
    <w:rsid w:val="002A21C0"/>
    <w:rsid w:val="002A2440"/>
    <w:rsid w:val="002A26ED"/>
    <w:rsid w:val="002A2789"/>
    <w:rsid w:val="002A28AC"/>
    <w:rsid w:val="002A28CA"/>
    <w:rsid w:val="002A2AAF"/>
    <w:rsid w:val="002A2B29"/>
    <w:rsid w:val="002A30DF"/>
    <w:rsid w:val="002A3310"/>
    <w:rsid w:val="002A35D7"/>
    <w:rsid w:val="002A3A23"/>
    <w:rsid w:val="002A3AB3"/>
    <w:rsid w:val="002A3B03"/>
    <w:rsid w:val="002A4107"/>
    <w:rsid w:val="002A4227"/>
    <w:rsid w:val="002A42BC"/>
    <w:rsid w:val="002A4314"/>
    <w:rsid w:val="002A4578"/>
    <w:rsid w:val="002A45AD"/>
    <w:rsid w:val="002A462E"/>
    <w:rsid w:val="002A48BB"/>
    <w:rsid w:val="002A4A0D"/>
    <w:rsid w:val="002A52F5"/>
    <w:rsid w:val="002A52FD"/>
    <w:rsid w:val="002A559C"/>
    <w:rsid w:val="002A5829"/>
    <w:rsid w:val="002A58F5"/>
    <w:rsid w:val="002A590D"/>
    <w:rsid w:val="002A5B25"/>
    <w:rsid w:val="002A5B8F"/>
    <w:rsid w:val="002A5C4B"/>
    <w:rsid w:val="002A5E40"/>
    <w:rsid w:val="002A6079"/>
    <w:rsid w:val="002A615F"/>
    <w:rsid w:val="002A6160"/>
    <w:rsid w:val="002A6617"/>
    <w:rsid w:val="002A672A"/>
    <w:rsid w:val="002A6878"/>
    <w:rsid w:val="002A69AE"/>
    <w:rsid w:val="002A6B3A"/>
    <w:rsid w:val="002A6B77"/>
    <w:rsid w:val="002A6C30"/>
    <w:rsid w:val="002A6C6D"/>
    <w:rsid w:val="002A6D70"/>
    <w:rsid w:val="002A6F0D"/>
    <w:rsid w:val="002A7303"/>
    <w:rsid w:val="002A732E"/>
    <w:rsid w:val="002A749B"/>
    <w:rsid w:val="002A799D"/>
    <w:rsid w:val="002A7CC3"/>
    <w:rsid w:val="002A7D48"/>
    <w:rsid w:val="002A7EF5"/>
    <w:rsid w:val="002A7FA9"/>
    <w:rsid w:val="002B0150"/>
    <w:rsid w:val="002B0580"/>
    <w:rsid w:val="002B0584"/>
    <w:rsid w:val="002B05B1"/>
    <w:rsid w:val="002B0C0D"/>
    <w:rsid w:val="002B1004"/>
    <w:rsid w:val="002B1026"/>
    <w:rsid w:val="002B1203"/>
    <w:rsid w:val="002B1317"/>
    <w:rsid w:val="002B1786"/>
    <w:rsid w:val="002B17AA"/>
    <w:rsid w:val="002B1821"/>
    <w:rsid w:val="002B1891"/>
    <w:rsid w:val="002B1995"/>
    <w:rsid w:val="002B1DF9"/>
    <w:rsid w:val="002B1EB1"/>
    <w:rsid w:val="002B1EBB"/>
    <w:rsid w:val="002B1FDC"/>
    <w:rsid w:val="002B20FC"/>
    <w:rsid w:val="002B2138"/>
    <w:rsid w:val="002B2221"/>
    <w:rsid w:val="002B27A1"/>
    <w:rsid w:val="002B2876"/>
    <w:rsid w:val="002B289B"/>
    <w:rsid w:val="002B2B4B"/>
    <w:rsid w:val="002B2D3F"/>
    <w:rsid w:val="002B3350"/>
    <w:rsid w:val="002B33D2"/>
    <w:rsid w:val="002B3483"/>
    <w:rsid w:val="002B351E"/>
    <w:rsid w:val="002B3708"/>
    <w:rsid w:val="002B3A2A"/>
    <w:rsid w:val="002B3A99"/>
    <w:rsid w:val="002B3CA9"/>
    <w:rsid w:val="002B3CD5"/>
    <w:rsid w:val="002B3E4A"/>
    <w:rsid w:val="002B473B"/>
    <w:rsid w:val="002B4807"/>
    <w:rsid w:val="002B483D"/>
    <w:rsid w:val="002B49AA"/>
    <w:rsid w:val="002B4F3A"/>
    <w:rsid w:val="002B5451"/>
    <w:rsid w:val="002B580D"/>
    <w:rsid w:val="002B588C"/>
    <w:rsid w:val="002B58C0"/>
    <w:rsid w:val="002B5D2A"/>
    <w:rsid w:val="002B5EFE"/>
    <w:rsid w:val="002B5FC0"/>
    <w:rsid w:val="002B60E3"/>
    <w:rsid w:val="002B61D5"/>
    <w:rsid w:val="002B6394"/>
    <w:rsid w:val="002B64A2"/>
    <w:rsid w:val="002B64C8"/>
    <w:rsid w:val="002B6504"/>
    <w:rsid w:val="002B6711"/>
    <w:rsid w:val="002B6763"/>
    <w:rsid w:val="002B67B6"/>
    <w:rsid w:val="002B68E5"/>
    <w:rsid w:val="002B6AC7"/>
    <w:rsid w:val="002B6C2C"/>
    <w:rsid w:val="002B6D11"/>
    <w:rsid w:val="002B6D67"/>
    <w:rsid w:val="002B7115"/>
    <w:rsid w:val="002B74A5"/>
    <w:rsid w:val="002B76BD"/>
    <w:rsid w:val="002B7802"/>
    <w:rsid w:val="002B7A6E"/>
    <w:rsid w:val="002B7AD2"/>
    <w:rsid w:val="002B7B63"/>
    <w:rsid w:val="002B7BC2"/>
    <w:rsid w:val="002B7C6B"/>
    <w:rsid w:val="002B7D0A"/>
    <w:rsid w:val="002B7D6C"/>
    <w:rsid w:val="002B7ECF"/>
    <w:rsid w:val="002C0413"/>
    <w:rsid w:val="002C0488"/>
    <w:rsid w:val="002C0517"/>
    <w:rsid w:val="002C05DF"/>
    <w:rsid w:val="002C0786"/>
    <w:rsid w:val="002C0A27"/>
    <w:rsid w:val="002C1171"/>
    <w:rsid w:val="002C1555"/>
    <w:rsid w:val="002C1752"/>
    <w:rsid w:val="002C1753"/>
    <w:rsid w:val="002C1ED4"/>
    <w:rsid w:val="002C1FB6"/>
    <w:rsid w:val="002C20DD"/>
    <w:rsid w:val="002C20E6"/>
    <w:rsid w:val="002C216F"/>
    <w:rsid w:val="002C2198"/>
    <w:rsid w:val="002C2269"/>
    <w:rsid w:val="002C22AC"/>
    <w:rsid w:val="002C23D9"/>
    <w:rsid w:val="002C23DD"/>
    <w:rsid w:val="002C2404"/>
    <w:rsid w:val="002C2C27"/>
    <w:rsid w:val="002C2DFC"/>
    <w:rsid w:val="002C2F01"/>
    <w:rsid w:val="002C303A"/>
    <w:rsid w:val="002C318E"/>
    <w:rsid w:val="002C3325"/>
    <w:rsid w:val="002C338A"/>
    <w:rsid w:val="002C3472"/>
    <w:rsid w:val="002C3B51"/>
    <w:rsid w:val="002C3D26"/>
    <w:rsid w:val="002C3DB2"/>
    <w:rsid w:val="002C3E22"/>
    <w:rsid w:val="002C3E36"/>
    <w:rsid w:val="002C3E6C"/>
    <w:rsid w:val="002C4868"/>
    <w:rsid w:val="002C4A7D"/>
    <w:rsid w:val="002C4C33"/>
    <w:rsid w:val="002C4C3C"/>
    <w:rsid w:val="002C4E8A"/>
    <w:rsid w:val="002C4EF3"/>
    <w:rsid w:val="002C4F40"/>
    <w:rsid w:val="002C511F"/>
    <w:rsid w:val="002C53FA"/>
    <w:rsid w:val="002C5478"/>
    <w:rsid w:val="002C5848"/>
    <w:rsid w:val="002C58DB"/>
    <w:rsid w:val="002C596D"/>
    <w:rsid w:val="002C5975"/>
    <w:rsid w:val="002C5BA7"/>
    <w:rsid w:val="002C5DCE"/>
    <w:rsid w:val="002C656C"/>
    <w:rsid w:val="002C6800"/>
    <w:rsid w:val="002C6B13"/>
    <w:rsid w:val="002C6B55"/>
    <w:rsid w:val="002C6D11"/>
    <w:rsid w:val="002C6EE5"/>
    <w:rsid w:val="002C6EF9"/>
    <w:rsid w:val="002C711D"/>
    <w:rsid w:val="002C74A9"/>
    <w:rsid w:val="002C74CB"/>
    <w:rsid w:val="002C7542"/>
    <w:rsid w:val="002C75CA"/>
    <w:rsid w:val="002C7AAB"/>
    <w:rsid w:val="002C7B68"/>
    <w:rsid w:val="002C7EAB"/>
    <w:rsid w:val="002C7EFB"/>
    <w:rsid w:val="002C7F9F"/>
    <w:rsid w:val="002C7FA9"/>
    <w:rsid w:val="002D015F"/>
    <w:rsid w:val="002D019A"/>
    <w:rsid w:val="002D01B4"/>
    <w:rsid w:val="002D02B2"/>
    <w:rsid w:val="002D0354"/>
    <w:rsid w:val="002D03A6"/>
    <w:rsid w:val="002D04C2"/>
    <w:rsid w:val="002D05CC"/>
    <w:rsid w:val="002D0762"/>
    <w:rsid w:val="002D078F"/>
    <w:rsid w:val="002D079F"/>
    <w:rsid w:val="002D0888"/>
    <w:rsid w:val="002D0A77"/>
    <w:rsid w:val="002D0CB6"/>
    <w:rsid w:val="002D10A1"/>
    <w:rsid w:val="002D1345"/>
    <w:rsid w:val="002D1423"/>
    <w:rsid w:val="002D16E4"/>
    <w:rsid w:val="002D1A13"/>
    <w:rsid w:val="002D1D6B"/>
    <w:rsid w:val="002D1DFD"/>
    <w:rsid w:val="002D2235"/>
    <w:rsid w:val="002D229C"/>
    <w:rsid w:val="002D2359"/>
    <w:rsid w:val="002D24C7"/>
    <w:rsid w:val="002D2556"/>
    <w:rsid w:val="002D25E2"/>
    <w:rsid w:val="002D26C7"/>
    <w:rsid w:val="002D2963"/>
    <w:rsid w:val="002D2CAA"/>
    <w:rsid w:val="002D2ED2"/>
    <w:rsid w:val="002D2F96"/>
    <w:rsid w:val="002D30F6"/>
    <w:rsid w:val="002D34A9"/>
    <w:rsid w:val="002D359F"/>
    <w:rsid w:val="002D3982"/>
    <w:rsid w:val="002D39B1"/>
    <w:rsid w:val="002D3A28"/>
    <w:rsid w:val="002D3BE7"/>
    <w:rsid w:val="002D41D0"/>
    <w:rsid w:val="002D426B"/>
    <w:rsid w:val="002D4994"/>
    <w:rsid w:val="002D4BA9"/>
    <w:rsid w:val="002D4C38"/>
    <w:rsid w:val="002D4F45"/>
    <w:rsid w:val="002D50BF"/>
    <w:rsid w:val="002D5129"/>
    <w:rsid w:val="002D520E"/>
    <w:rsid w:val="002D528B"/>
    <w:rsid w:val="002D52BB"/>
    <w:rsid w:val="002D543D"/>
    <w:rsid w:val="002D545F"/>
    <w:rsid w:val="002D5640"/>
    <w:rsid w:val="002D5980"/>
    <w:rsid w:val="002D5ECA"/>
    <w:rsid w:val="002D5F64"/>
    <w:rsid w:val="002D6059"/>
    <w:rsid w:val="002D62E3"/>
    <w:rsid w:val="002D65C4"/>
    <w:rsid w:val="002D6891"/>
    <w:rsid w:val="002D6A04"/>
    <w:rsid w:val="002D6B55"/>
    <w:rsid w:val="002D6F93"/>
    <w:rsid w:val="002D6FB9"/>
    <w:rsid w:val="002D7398"/>
    <w:rsid w:val="002D7439"/>
    <w:rsid w:val="002D7483"/>
    <w:rsid w:val="002D7514"/>
    <w:rsid w:val="002D7552"/>
    <w:rsid w:val="002D76DD"/>
    <w:rsid w:val="002D789B"/>
    <w:rsid w:val="002D7981"/>
    <w:rsid w:val="002D7C40"/>
    <w:rsid w:val="002D7C92"/>
    <w:rsid w:val="002D7F69"/>
    <w:rsid w:val="002D7F97"/>
    <w:rsid w:val="002E0266"/>
    <w:rsid w:val="002E0C4B"/>
    <w:rsid w:val="002E0CA3"/>
    <w:rsid w:val="002E0DAF"/>
    <w:rsid w:val="002E0EF7"/>
    <w:rsid w:val="002E117B"/>
    <w:rsid w:val="002E11D2"/>
    <w:rsid w:val="002E1362"/>
    <w:rsid w:val="002E14B7"/>
    <w:rsid w:val="002E1590"/>
    <w:rsid w:val="002E173C"/>
    <w:rsid w:val="002E1B22"/>
    <w:rsid w:val="002E1C22"/>
    <w:rsid w:val="002E1C7D"/>
    <w:rsid w:val="002E1F7D"/>
    <w:rsid w:val="002E1FD7"/>
    <w:rsid w:val="002E20AA"/>
    <w:rsid w:val="002E21A8"/>
    <w:rsid w:val="002E2390"/>
    <w:rsid w:val="002E2551"/>
    <w:rsid w:val="002E27B3"/>
    <w:rsid w:val="002E29C2"/>
    <w:rsid w:val="002E2D19"/>
    <w:rsid w:val="002E2ED1"/>
    <w:rsid w:val="002E34C3"/>
    <w:rsid w:val="002E35A8"/>
    <w:rsid w:val="002E36E9"/>
    <w:rsid w:val="002E371A"/>
    <w:rsid w:val="002E382F"/>
    <w:rsid w:val="002E384E"/>
    <w:rsid w:val="002E39D1"/>
    <w:rsid w:val="002E3E18"/>
    <w:rsid w:val="002E421B"/>
    <w:rsid w:val="002E4314"/>
    <w:rsid w:val="002E434E"/>
    <w:rsid w:val="002E45A7"/>
    <w:rsid w:val="002E4752"/>
    <w:rsid w:val="002E4795"/>
    <w:rsid w:val="002E481A"/>
    <w:rsid w:val="002E4D7A"/>
    <w:rsid w:val="002E50A3"/>
    <w:rsid w:val="002E5303"/>
    <w:rsid w:val="002E5407"/>
    <w:rsid w:val="002E568B"/>
    <w:rsid w:val="002E59CE"/>
    <w:rsid w:val="002E59F8"/>
    <w:rsid w:val="002E5A11"/>
    <w:rsid w:val="002E5A51"/>
    <w:rsid w:val="002E5B54"/>
    <w:rsid w:val="002E61B0"/>
    <w:rsid w:val="002E62DD"/>
    <w:rsid w:val="002E66EE"/>
    <w:rsid w:val="002E6721"/>
    <w:rsid w:val="002E67AC"/>
    <w:rsid w:val="002E69DF"/>
    <w:rsid w:val="002E6A3C"/>
    <w:rsid w:val="002E6A71"/>
    <w:rsid w:val="002E6A72"/>
    <w:rsid w:val="002E6BF5"/>
    <w:rsid w:val="002E6C97"/>
    <w:rsid w:val="002E6D6F"/>
    <w:rsid w:val="002E6E79"/>
    <w:rsid w:val="002E6EE9"/>
    <w:rsid w:val="002E71DB"/>
    <w:rsid w:val="002E7323"/>
    <w:rsid w:val="002E7343"/>
    <w:rsid w:val="002E73B7"/>
    <w:rsid w:val="002E73DF"/>
    <w:rsid w:val="002E740D"/>
    <w:rsid w:val="002E7816"/>
    <w:rsid w:val="002E7AA0"/>
    <w:rsid w:val="002E7C0B"/>
    <w:rsid w:val="002E7C57"/>
    <w:rsid w:val="002E7D34"/>
    <w:rsid w:val="002E7F88"/>
    <w:rsid w:val="002F0003"/>
    <w:rsid w:val="002F007D"/>
    <w:rsid w:val="002F0377"/>
    <w:rsid w:val="002F057F"/>
    <w:rsid w:val="002F067F"/>
    <w:rsid w:val="002F0988"/>
    <w:rsid w:val="002F09BA"/>
    <w:rsid w:val="002F1184"/>
    <w:rsid w:val="002F1276"/>
    <w:rsid w:val="002F1684"/>
    <w:rsid w:val="002F1A15"/>
    <w:rsid w:val="002F1AD6"/>
    <w:rsid w:val="002F1D14"/>
    <w:rsid w:val="002F1DB9"/>
    <w:rsid w:val="002F1EF4"/>
    <w:rsid w:val="002F1F78"/>
    <w:rsid w:val="002F1FDA"/>
    <w:rsid w:val="002F209A"/>
    <w:rsid w:val="002F20B3"/>
    <w:rsid w:val="002F2127"/>
    <w:rsid w:val="002F2145"/>
    <w:rsid w:val="002F21B9"/>
    <w:rsid w:val="002F221B"/>
    <w:rsid w:val="002F228F"/>
    <w:rsid w:val="002F23D1"/>
    <w:rsid w:val="002F24FB"/>
    <w:rsid w:val="002F2761"/>
    <w:rsid w:val="002F28BC"/>
    <w:rsid w:val="002F2A4D"/>
    <w:rsid w:val="002F2AC3"/>
    <w:rsid w:val="002F2BAD"/>
    <w:rsid w:val="002F2CA8"/>
    <w:rsid w:val="002F2F89"/>
    <w:rsid w:val="002F3057"/>
    <w:rsid w:val="002F320E"/>
    <w:rsid w:val="002F3283"/>
    <w:rsid w:val="002F332F"/>
    <w:rsid w:val="002F3468"/>
    <w:rsid w:val="002F34FF"/>
    <w:rsid w:val="002F373B"/>
    <w:rsid w:val="002F3800"/>
    <w:rsid w:val="002F3A76"/>
    <w:rsid w:val="002F3D6B"/>
    <w:rsid w:val="002F3F3C"/>
    <w:rsid w:val="002F409B"/>
    <w:rsid w:val="002F4269"/>
    <w:rsid w:val="002F43CF"/>
    <w:rsid w:val="002F449E"/>
    <w:rsid w:val="002F4655"/>
    <w:rsid w:val="002F4716"/>
    <w:rsid w:val="002F48CD"/>
    <w:rsid w:val="002F4910"/>
    <w:rsid w:val="002F4D1D"/>
    <w:rsid w:val="002F5252"/>
    <w:rsid w:val="002F5293"/>
    <w:rsid w:val="002F57D9"/>
    <w:rsid w:val="002F5BBF"/>
    <w:rsid w:val="002F5E0E"/>
    <w:rsid w:val="002F60C9"/>
    <w:rsid w:val="002F645C"/>
    <w:rsid w:val="002F6461"/>
    <w:rsid w:val="002F6579"/>
    <w:rsid w:val="002F6610"/>
    <w:rsid w:val="002F673D"/>
    <w:rsid w:val="002F676B"/>
    <w:rsid w:val="002F6793"/>
    <w:rsid w:val="002F683B"/>
    <w:rsid w:val="002F6E28"/>
    <w:rsid w:val="002F6F2F"/>
    <w:rsid w:val="002F711D"/>
    <w:rsid w:val="002F7442"/>
    <w:rsid w:val="002F779D"/>
    <w:rsid w:val="002F789B"/>
    <w:rsid w:val="002F797D"/>
    <w:rsid w:val="002F7AC9"/>
    <w:rsid w:val="002F7C21"/>
    <w:rsid w:val="002F7CA1"/>
    <w:rsid w:val="002F7D19"/>
    <w:rsid w:val="0030051A"/>
    <w:rsid w:val="003005C7"/>
    <w:rsid w:val="0030078E"/>
    <w:rsid w:val="003007F6"/>
    <w:rsid w:val="00300D0B"/>
    <w:rsid w:val="00300D53"/>
    <w:rsid w:val="00300ECF"/>
    <w:rsid w:val="00300F96"/>
    <w:rsid w:val="00301174"/>
    <w:rsid w:val="003011C2"/>
    <w:rsid w:val="003012BF"/>
    <w:rsid w:val="0030142B"/>
    <w:rsid w:val="003015C7"/>
    <w:rsid w:val="00301644"/>
    <w:rsid w:val="00301702"/>
    <w:rsid w:val="00301860"/>
    <w:rsid w:val="003018C1"/>
    <w:rsid w:val="00301FEC"/>
    <w:rsid w:val="00302417"/>
    <w:rsid w:val="00302598"/>
    <w:rsid w:val="003027D3"/>
    <w:rsid w:val="00302A5C"/>
    <w:rsid w:val="00302A7B"/>
    <w:rsid w:val="00302B78"/>
    <w:rsid w:val="00302C14"/>
    <w:rsid w:val="00302CA3"/>
    <w:rsid w:val="00302D52"/>
    <w:rsid w:val="00302D69"/>
    <w:rsid w:val="003033A5"/>
    <w:rsid w:val="00303A45"/>
    <w:rsid w:val="00303B8F"/>
    <w:rsid w:val="00303C34"/>
    <w:rsid w:val="00303D05"/>
    <w:rsid w:val="00303D28"/>
    <w:rsid w:val="00303DE3"/>
    <w:rsid w:val="00303FB2"/>
    <w:rsid w:val="00304004"/>
    <w:rsid w:val="003042E0"/>
    <w:rsid w:val="0030454A"/>
    <w:rsid w:val="003046DF"/>
    <w:rsid w:val="0030474F"/>
    <w:rsid w:val="00304942"/>
    <w:rsid w:val="00304983"/>
    <w:rsid w:val="00304A94"/>
    <w:rsid w:val="00304B50"/>
    <w:rsid w:val="00304E8F"/>
    <w:rsid w:val="00304F2C"/>
    <w:rsid w:val="0030513F"/>
    <w:rsid w:val="00305168"/>
    <w:rsid w:val="00305224"/>
    <w:rsid w:val="0030545F"/>
    <w:rsid w:val="00305463"/>
    <w:rsid w:val="00305471"/>
    <w:rsid w:val="0030553F"/>
    <w:rsid w:val="00305766"/>
    <w:rsid w:val="003059E0"/>
    <w:rsid w:val="00305B26"/>
    <w:rsid w:val="003061D2"/>
    <w:rsid w:val="003062CA"/>
    <w:rsid w:val="00306463"/>
    <w:rsid w:val="0030681F"/>
    <w:rsid w:val="00306981"/>
    <w:rsid w:val="00306A73"/>
    <w:rsid w:val="00306B00"/>
    <w:rsid w:val="00306D7F"/>
    <w:rsid w:val="00306DAE"/>
    <w:rsid w:val="00306FAC"/>
    <w:rsid w:val="003073CC"/>
    <w:rsid w:val="003073D1"/>
    <w:rsid w:val="003073E5"/>
    <w:rsid w:val="003074FE"/>
    <w:rsid w:val="003075E2"/>
    <w:rsid w:val="00307708"/>
    <w:rsid w:val="0030770C"/>
    <w:rsid w:val="003077EF"/>
    <w:rsid w:val="003078C8"/>
    <w:rsid w:val="00307939"/>
    <w:rsid w:val="00307BD1"/>
    <w:rsid w:val="00307BF9"/>
    <w:rsid w:val="00307EE4"/>
    <w:rsid w:val="00310057"/>
    <w:rsid w:val="0031006A"/>
    <w:rsid w:val="003100FA"/>
    <w:rsid w:val="00310184"/>
    <w:rsid w:val="0031020E"/>
    <w:rsid w:val="003104B1"/>
    <w:rsid w:val="003104B9"/>
    <w:rsid w:val="0031055A"/>
    <w:rsid w:val="00310887"/>
    <w:rsid w:val="00310B2B"/>
    <w:rsid w:val="00310B8C"/>
    <w:rsid w:val="00310DA2"/>
    <w:rsid w:val="00310E0E"/>
    <w:rsid w:val="00311019"/>
    <w:rsid w:val="0031105E"/>
    <w:rsid w:val="00311089"/>
    <w:rsid w:val="003110B4"/>
    <w:rsid w:val="00311B0D"/>
    <w:rsid w:val="00311BC6"/>
    <w:rsid w:val="00311CC3"/>
    <w:rsid w:val="00312047"/>
    <w:rsid w:val="003122A5"/>
    <w:rsid w:val="003123B0"/>
    <w:rsid w:val="003125B8"/>
    <w:rsid w:val="00312902"/>
    <w:rsid w:val="003129E2"/>
    <w:rsid w:val="003129ED"/>
    <w:rsid w:val="00312DF1"/>
    <w:rsid w:val="00312EEF"/>
    <w:rsid w:val="00313244"/>
    <w:rsid w:val="0031341D"/>
    <w:rsid w:val="00313653"/>
    <w:rsid w:val="0031369E"/>
    <w:rsid w:val="0031371D"/>
    <w:rsid w:val="003138EF"/>
    <w:rsid w:val="0031399F"/>
    <w:rsid w:val="00313B43"/>
    <w:rsid w:val="00313B52"/>
    <w:rsid w:val="00313C40"/>
    <w:rsid w:val="00313D36"/>
    <w:rsid w:val="00314023"/>
    <w:rsid w:val="0031432B"/>
    <w:rsid w:val="00314449"/>
    <w:rsid w:val="0031450C"/>
    <w:rsid w:val="0031455A"/>
    <w:rsid w:val="003145B8"/>
    <w:rsid w:val="00314680"/>
    <w:rsid w:val="003147C0"/>
    <w:rsid w:val="00314824"/>
    <w:rsid w:val="003148F0"/>
    <w:rsid w:val="00314A93"/>
    <w:rsid w:val="00314BA1"/>
    <w:rsid w:val="00314D71"/>
    <w:rsid w:val="00314D7B"/>
    <w:rsid w:val="0031525A"/>
    <w:rsid w:val="00315452"/>
    <w:rsid w:val="0031567F"/>
    <w:rsid w:val="003156A6"/>
    <w:rsid w:val="00315984"/>
    <w:rsid w:val="00315FB0"/>
    <w:rsid w:val="00316307"/>
    <w:rsid w:val="003163EC"/>
    <w:rsid w:val="00316490"/>
    <w:rsid w:val="00316736"/>
    <w:rsid w:val="0031674D"/>
    <w:rsid w:val="00316786"/>
    <w:rsid w:val="00316889"/>
    <w:rsid w:val="003168ED"/>
    <w:rsid w:val="003169D9"/>
    <w:rsid w:val="00316AE5"/>
    <w:rsid w:val="00316BE5"/>
    <w:rsid w:val="00316C1B"/>
    <w:rsid w:val="00316EEA"/>
    <w:rsid w:val="00317090"/>
    <w:rsid w:val="0031734B"/>
    <w:rsid w:val="003173A1"/>
    <w:rsid w:val="003175A2"/>
    <w:rsid w:val="00317A29"/>
    <w:rsid w:val="00317CCD"/>
    <w:rsid w:val="00320054"/>
    <w:rsid w:val="003202D4"/>
    <w:rsid w:val="003204BA"/>
    <w:rsid w:val="0032068D"/>
    <w:rsid w:val="0032070C"/>
    <w:rsid w:val="00320A11"/>
    <w:rsid w:val="00320A85"/>
    <w:rsid w:val="00320CD0"/>
    <w:rsid w:val="00320DF4"/>
    <w:rsid w:val="00320EDE"/>
    <w:rsid w:val="00320EFC"/>
    <w:rsid w:val="00320F7B"/>
    <w:rsid w:val="00321072"/>
    <w:rsid w:val="0032172E"/>
    <w:rsid w:val="00321EE2"/>
    <w:rsid w:val="003223CE"/>
    <w:rsid w:val="00322582"/>
    <w:rsid w:val="003225C1"/>
    <w:rsid w:val="0032287B"/>
    <w:rsid w:val="00322D69"/>
    <w:rsid w:val="00322DCE"/>
    <w:rsid w:val="00322DEF"/>
    <w:rsid w:val="00322E6B"/>
    <w:rsid w:val="0032310D"/>
    <w:rsid w:val="0032318C"/>
    <w:rsid w:val="003233E3"/>
    <w:rsid w:val="003235AC"/>
    <w:rsid w:val="003235BE"/>
    <w:rsid w:val="003237FB"/>
    <w:rsid w:val="00323B1B"/>
    <w:rsid w:val="00323F49"/>
    <w:rsid w:val="003244A5"/>
    <w:rsid w:val="00324BEC"/>
    <w:rsid w:val="00324DB2"/>
    <w:rsid w:val="003250EB"/>
    <w:rsid w:val="00325229"/>
    <w:rsid w:val="0032522B"/>
    <w:rsid w:val="003256B5"/>
    <w:rsid w:val="003257C8"/>
    <w:rsid w:val="00325A21"/>
    <w:rsid w:val="00325B46"/>
    <w:rsid w:val="00325CA9"/>
    <w:rsid w:val="00325CDB"/>
    <w:rsid w:val="00325EA2"/>
    <w:rsid w:val="0032602D"/>
    <w:rsid w:val="00326769"/>
    <w:rsid w:val="00327079"/>
    <w:rsid w:val="003270C0"/>
    <w:rsid w:val="003271A6"/>
    <w:rsid w:val="003273E3"/>
    <w:rsid w:val="00327764"/>
    <w:rsid w:val="003278DF"/>
    <w:rsid w:val="00327A9F"/>
    <w:rsid w:val="00327D27"/>
    <w:rsid w:val="00327D9F"/>
    <w:rsid w:val="00327DAB"/>
    <w:rsid w:val="00327E4F"/>
    <w:rsid w:val="00327EEE"/>
    <w:rsid w:val="00330006"/>
    <w:rsid w:val="00330202"/>
    <w:rsid w:val="00330325"/>
    <w:rsid w:val="0033047A"/>
    <w:rsid w:val="003305D2"/>
    <w:rsid w:val="003305EE"/>
    <w:rsid w:val="003306FC"/>
    <w:rsid w:val="0033080B"/>
    <w:rsid w:val="00330B16"/>
    <w:rsid w:val="00330CB3"/>
    <w:rsid w:val="00330CC0"/>
    <w:rsid w:val="00330D8D"/>
    <w:rsid w:val="00330ED8"/>
    <w:rsid w:val="00330F10"/>
    <w:rsid w:val="003312F4"/>
    <w:rsid w:val="00331360"/>
    <w:rsid w:val="00331533"/>
    <w:rsid w:val="003315B4"/>
    <w:rsid w:val="0033186F"/>
    <w:rsid w:val="00331A3F"/>
    <w:rsid w:val="00331B72"/>
    <w:rsid w:val="00331C78"/>
    <w:rsid w:val="00331F10"/>
    <w:rsid w:val="0033200C"/>
    <w:rsid w:val="0033228D"/>
    <w:rsid w:val="0033254E"/>
    <w:rsid w:val="00332569"/>
    <w:rsid w:val="003327B4"/>
    <w:rsid w:val="00332F15"/>
    <w:rsid w:val="003330B8"/>
    <w:rsid w:val="003331DA"/>
    <w:rsid w:val="0033328C"/>
    <w:rsid w:val="0033345B"/>
    <w:rsid w:val="003334AA"/>
    <w:rsid w:val="0033369B"/>
    <w:rsid w:val="0033373A"/>
    <w:rsid w:val="003338EE"/>
    <w:rsid w:val="003338F4"/>
    <w:rsid w:val="00333A6B"/>
    <w:rsid w:val="00333B40"/>
    <w:rsid w:val="003341F8"/>
    <w:rsid w:val="00334237"/>
    <w:rsid w:val="00334EA5"/>
    <w:rsid w:val="00335116"/>
    <w:rsid w:val="00335342"/>
    <w:rsid w:val="003355B0"/>
    <w:rsid w:val="003358A2"/>
    <w:rsid w:val="00335C1A"/>
    <w:rsid w:val="00336417"/>
    <w:rsid w:val="0033649D"/>
    <w:rsid w:val="003365A6"/>
    <w:rsid w:val="003366E6"/>
    <w:rsid w:val="00336828"/>
    <w:rsid w:val="00336853"/>
    <w:rsid w:val="00336871"/>
    <w:rsid w:val="003369F1"/>
    <w:rsid w:val="00336A3F"/>
    <w:rsid w:val="00336B83"/>
    <w:rsid w:val="00336BA3"/>
    <w:rsid w:val="00336BF6"/>
    <w:rsid w:val="00336F1E"/>
    <w:rsid w:val="00336FB8"/>
    <w:rsid w:val="003370C6"/>
    <w:rsid w:val="00337122"/>
    <w:rsid w:val="0033737C"/>
    <w:rsid w:val="003373BF"/>
    <w:rsid w:val="0033740E"/>
    <w:rsid w:val="0033779A"/>
    <w:rsid w:val="003377C6"/>
    <w:rsid w:val="00337CDC"/>
    <w:rsid w:val="00337EB1"/>
    <w:rsid w:val="00340056"/>
    <w:rsid w:val="003400F1"/>
    <w:rsid w:val="00340237"/>
    <w:rsid w:val="00340330"/>
    <w:rsid w:val="00340A84"/>
    <w:rsid w:val="00340CE8"/>
    <w:rsid w:val="00340D96"/>
    <w:rsid w:val="00340F31"/>
    <w:rsid w:val="0034103A"/>
    <w:rsid w:val="00341367"/>
    <w:rsid w:val="0034181E"/>
    <w:rsid w:val="00341975"/>
    <w:rsid w:val="0034198E"/>
    <w:rsid w:val="00341C7C"/>
    <w:rsid w:val="00341E7A"/>
    <w:rsid w:val="0034209B"/>
    <w:rsid w:val="0034236C"/>
    <w:rsid w:val="00342451"/>
    <w:rsid w:val="0034249A"/>
    <w:rsid w:val="003424AB"/>
    <w:rsid w:val="003425AA"/>
    <w:rsid w:val="003427D4"/>
    <w:rsid w:val="003428AA"/>
    <w:rsid w:val="00342A55"/>
    <w:rsid w:val="00342AF0"/>
    <w:rsid w:val="00342C04"/>
    <w:rsid w:val="00342D99"/>
    <w:rsid w:val="00342EC3"/>
    <w:rsid w:val="00343258"/>
    <w:rsid w:val="00343296"/>
    <w:rsid w:val="00343639"/>
    <w:rsid w:val="0034370A"/>
    <w:rsid w:val="003439FF"/>
    <w:rsid w:val="00343A64"/>
    <w:rsid w:val="00343C2B"/>
    <w:rsid w:val="00343E3E"/>
    <w:rsid w:val="0034407C"/>
    <w:rsid w:val="003443CE"/>
    <w:rsid w:val="003444A7"/>
    <w:rsid w:val="003445C2"/>
    <w:rsid w:val="0034489A"/>
    <w:rsid w:val="00344BBB"/>
    <w:rsid w:val="00344C22"/>
    <w:rsid w:val="00344CF6"/>
    <w:rsid w:val="00344D9D"/>
    <w:rsid w:val="0034525E"/>
    <w:rsid w:val="0034554C"/>
    <w:rsid w:val="00345599"/>
    <w:rsid w:val="003459D9"/>
    <w:rsid w:val="00345B80"/>
    <w:rsid w:val="00345C08"/>
    <w:rsid w:val="00345C3E"/>
    <w:rsid w:val="00345C43"/>
    <w:rsid w:val="00345CBC"/>
    <w:rsid w:val="00345D4D"/>
    <w:rsid w:val="00345ED5"/>
    <w:rsid w:val="003460C8"/>
    <w:rsid w:val="00346605"/>
    <w:rsid w:val="0034667C"/>
    <w:rsid w:val="00346A09"/>
    <w:rsid w:val="00346A7F"/>
    <w:rsid w:val="00346C9F"/>
    <w:rsid w:val="00346F77"/>
    <w:rsid w:val="00346F78"/>
    <w:rsid w:val="00347219"/>
    <w:rsid w:val="00347756"/>
    <w:rsid w:val="00347813"/>
    <w:rsid w:val="00347C33"/>
    <w:rsid w:val="00347C5F"/>
    <w:rsid w:val="003500F2"/>
    <w:rsid w:val="003504AD"/>
    <w:rsid w:val="003504CC"/>
    <w:rsid w:val="0035066C"/>
    <w:rsid w:val="0035086E"/>
    <w:rsid w:val="0035088A"/>
    <w:rsid w:val="00350DCF"/>
    <w:rsid w:val="0035106F"/>
    <w:rsid w:val="003512F6"/>
    <w:rsid w:val="003513D8"/>
    <w:rsid w:val="00351639"/>
    <w:rsid w:val="003517D1"/>
    <w:rsid w:val="00351833"/>
    <w:rsid w:val="00351904"/>
    <w:rsid w:val="003519AE"/>
    <w:rsid w:val="00351D8D"/>
    <w:rsid w:val="00351FD8"/>
    <w:rsid w:val="00351FE0"/>
    <w:rsid w:val="00352412"/>
    <w:rsid w:val="00352920"/>
    <w:rsid w:val="00352975"/>
    <w:rsid w:val="00352AA5"/>
    <w:rsid w:val="00352BAB"/>
    <w:rsid w:val="00352C32"/>
    <w:rsid w:val="00352CDD"/>
    <w:rsid w:val="00352D33"/>
    <w:rsid w:val="00352DA0"/>
    <w:rsid w:val="00352F47"/>
    <w:rsid w:val="0035387C"/>
    <w:rsid w:val="0035396D"/>
    <w:rsid w:val="00353A49"/>
    <w:rsid w:val="00353C0F"/>
    <w:rsid w:val="00353C6B"/>
    <w:rsid w:val="00353FED"/>
    <w:rsid w:val="003541B2"/>
    <w:rsid w:val="003543F7"/>
    <w:rsid w:val="0035444C"/>
    <w:rsid w:val="00354624"/>
    <w:rsid w:val="00354758"/>
    <w:rsid w:val="00354890"/>
    <w:rsid w:val="00354DD1"/>
    <w:rsid w:val="003550D2"/>
    <w:rsid w:val="003550F7"/>
    <w:rsid w:val="00355177"/>
    <w:rsid w:val="00355182"/>
    <w:rsid w:val="003553C5"/>
    <w:rsid w:val="0035561B"/>
    <w:rsid w:val="0035562F"/>
    <w:rsid w:val="003558F7"/>
    <w:rsid w:val="00355AAE"/>
    <w:rsid w:val="00355DC5"/>
    <w:rsid w:val="00355DE5"/>
    <w:rsid w:val="00355FB0"/>
    <w:rsid w:val="00355FD4"/>
    <w:rsid w:val="003560F1"/>
    <w:rsid w:val="00356289"/>
    <w:rsid w:val="0035635B"/>
    <w:rsid w:val="0035675B"/>
    <w:rsid w:val="00356793"/>
    <w:rsid w:val="00356A95"/>
    <w:rsid w:val="00356D2A"/>
    <w:rsid w:val="00356DA6"/>
    <w:rsid w:val="00356DE3"/>
    <w:rsid w:val="0035701F"/>
    <w:rsid w:val="003570B0"/>
    <w:rsid w:val="003575D7"/>
    <w:rsid w:val="0035791B"/>
    <w:rsid w:val="00357C45"/>
    <w:rsid w:val="00357D97"/>
    <w:rsid w:val="00360074"/>
    <w:rsid w:val="00360693"/>
    <w:rsid w:val="003606DF"/>
    <w:rsid w:val="00360706"/>
    <w:rsid w:val="00360798"/>
    <w:rsid w:val="00360A90"/>
    <w:rsid w:val="00360C3A"/>
    <w:rsid w:val="00360E65"/>
    <w:rsid w:val="00360EDC"/>
    <w:rsid w:val="00361131"/>
    <w:rsid w:val="0036128E"/>
    <w:rsid w:val="0036129A"/>
    <w:rsid w:val="003613E7"/>
    <w:rsid w:val="00361491"/>
    <w:rsid w:val="003615B5"/>
    <w:rsid w:val="003615D6"/>
    <w:rsid w:val="0036162B"/>
    <w:rsid w:val="003616C4"/>
    <w:rsid w:val="00361745"/>
    <w:rsid w:val="003617E6"/>
    <w:rsid w:val="00361A93"/>
    <w:rsid w:val="00361B3B"/>
    <w:rsid w:val="00361B95"/>
    <w:rsid w:val="00361DFB"/>
    <w:rsid w:val="00361F39"/>
    <w:rsid w:val="003622C8"/>
    <w:rsid w:val="0036230C"/>
    <w:rsid w:val="0036231C"/>
    <w:rsid w:val="00362A81"/>
    <w:rsid w:val="00362AC3"/>
    <w:rsid w:val="00362AD1"/>
    <w:rsid w:val="00362BAF"/>
    <w:rsid w:val="00362EC8"/>
    <w:rsid w:val="00362FD2"/>
    <w:rsid w:val="00363107"/>
    <w:rsid w:val="00363488"/>
    <w:rsid w:val="0036348B"/>
    <w:rsid w:val="003635B9"/>
    <w:rsid w:val="0036362F"/>
    <w:rsid w:val="0036381F"/>
    <w:rsid w:val="00363876"/>
    <w:rsid w:val="00363944"/>
    <w:rsid w:val="00363A85"/>
    <w:rsid w:val="00363E45"/>
    <w:rsid w:val="00363F32"/>
    <w:rsid w:val="003641F0"/>
    <w:rsid w:val="003644F2"/>
    <w:rsid w:val="00364590"/>
    <w:rsid w:val="00364662"/>
    <w:rsid w:val="00364680"/>
    <w:rsid w:val="003646E6"/>
    <w:rsid w:val="00364C12"/>
    <w:rsid w:val="00365390"/>
    <w:rsid w:val="0036546D"/>
    <w:rsid w:val="003654A6"/>
    <w:rsid w:val="00365823"/>
    <w:rsid w:val="0036585B"/>
    <w:rsid w:val="00365945"/>
    <w:rsid w:val="00365CAC"/>
    <w:rsid w:val="00365E90"/>
    <w:rsid w:val="0036619F"/>
    <w:rsid w:val="00366276"/>
    <w:rsid w:val="003665AC"/>
    <w:rsid w:val="003665B7"/>
    <w:rsid w:val="00366701"/>
    <w:rsid w:val="0036690B"/>
    <w:rsid w:val="00366B52"/>
    <w:rsid w:val="00366CE4"/>
    <w:rsid w:val="00366D2C"/>
    <w:rsid w:val="0036711A"/>
    <w:rsid w:val="00367260"/>
    <w:rsid w:val="00367350"/>
    <w:rsid w:val="0036745F"/>
    <w:rsid w:val="0036748E"/>
    <w:rsid w:val="003675F7"/>
    <w:rsid w:val="003678E6"/>
    <w:rsid w:val="00367AAF"/>
    <w:rsid w:val="00367AFB"/>
    <w:rsid w:val="00367C18"/>
    <w:rsid w:val="00367D68"/>
    <w:rsid w:val="003702DA"/>
    <w:rsid w:val="003704E1"/>
    <w:rsid w:val="0037074D"/>
    <w:rsid w:val="003707AA"/>
    <w:rsid w:val="00370864"/>
    <w:rsid w:val="00370936"/>
    <w:rsid w:val="0037100A"/>
    <w:rsid w:val="00371255"/>
    <w:rsid w:val="003712A8"/>
    <w:rsid w:val="003712EB"/>
    <w:rsid w:val="003716E2"/>
    <w:rsid w:val="003718D7"/>
    <w:rsid w:val="00371AAC"/>
    <w:rsid w:val="00371D6C"/>
    <w:rsid w:val="00371DFD"/>
    <w:rsid w:val="00371FF6"/>
    <w:rsid w:val="003720D6"/>
    <w:rsid w:val="00372182"/>
    <w:rsid w:val="003722CD"/>
    <w:rsid w:val="00372B0F"/>
    <w:rsid w:val="00372B7E"/>
    <w:rsid w:val="00372ECB"/>
    <w:rsid w:val="00372EF1"/>
    <w:rsid w:val="00373241"/>
    <w:rsid w:val="003734C9"/>
    <w:rsid w:val="00373949"/>
    <w:rsid w:val="003739B0"/>
    <w:rsid w:val="00373A14"/>
    <w:rsid w:val="00373A42"/>
    <w:rsid w:val="00373B8A"/>
    <w:rsid w:val="00373BDE"/>
    <w:rsid w:val="00373DAC"/>
    <w:rsid w:val="0037404C"/>
    <w:rsid w:val="003740A2"/>
    <w:rsid w:val="003740D8"/>
    <w:rsid w:val="00374108"/>
    <w:rsid w:val="0037415E"/>
    <w:rsid w:val="00374240"/>
    <w:rsid w:val="00374318"/>
    <w:rsid w:val="00374382"/>
    <w:rsid w:val="0037452F"/>
    <w:rsid w:val="00374703"/>
    <w:rsid w:val="00374A1E"/>
    <w:rsid w:val="00374D37"/>
    <w:rsid w:val="00374D76"/>
    <w:rsid w:val="00374EDC"/>
    <w:rsid w:val="00374F55"/>
    <w:rsid w:val="00375027"/>
    <w:rsid w:val="003750B5"/>
    <w:rsid w:val="003753F9"/>
    <w:rsid w:val="00375429"/>
    <w:rsid w:val="003755F4"/>
    <w:rsid w:val="00375610"/>
    <w:rsid w:val="0037565B"/>
    <w:rsid w:val="0037576E"/>
    <w:rsid w:val="0037580D"/>
    <w:rsid w:val="00375822"/>
    <w:rsid w:val="00375873"/>
    <w:rsid w:val="0037588C"/>
    <w:rsid w:val="0037595D"/>
    <w:rsid w:val="003759D4"/>
    <w:rsid w:val="00375A4E"/>
    <w:rsid w:val="00375A60"/>
    <w:rsid w:val="00375AED"/>
    <w:rsid w:val="00375D1C"/>
    <w:rsid w:val="00375D47"/>
    <w:rsid w:val="00375E98"/>
    <w:rsid w:val="00375EB8"/>
    <w:rsid w:val="00376163"/>
    <w:rsid w:val="0037622B"/>
    <w:rsid w:val="00376564"/>
    <w:rsid w:val="003767F4"/>
    <w:rsid w:val="00376C66"/>
    <w:rsid w:val="00376F52"/>
    <w:rsid w:val="0037703D"/>
    <w:rsid w:val="003771F4"/>
    <w:rsid w:val="00377258"/>
    <w:rsid w:val="00377532"/>
    <w:rsid w:val="00377727"/>
    <w:rsid w:val="003778B9"/>
    <w:rsid w:val="00377B0E"/>
    <w:rsid w:val="00377BD3"/>
    <w:rsid w:val="00377CBC"/>
    <w:rsid w:val="00377E27"/>
    <w:rsid w:val="0038007A"/>
    <w:rsid w:val="003800C5"/>
    <w:rsid w:val="0038014D"/>
    <w:rsid w:val="0038021C"/>
    <w:rsid w:val="003802B0"/>
    <w:rsid w:val="003803FA"/>
    <w:rsid w:val="003804BB"/>
    <w:rsid w:val="00380ABF"/>
    <w:rsid w:val="00380C7F"/>
    <w:rsid w:val="00380E02"/>
    <w:rsid w:val="0038124D"/>
    <w:rsid w:val="003814A7"/>
    <w:rsid w:val="003816BE"/>
    <w:rsid w:val="003817BE"/>
    <w:rsid w:val="00381BB7"/>
    <w:rsid w:val="00381EFA"/>
    <w:rsid w:val="003820F9"/>
    <w:rsid w:val="00382196"/>
    <w:rsid w:val="00382223"/>
    <w:rsid w:val="003828C2"/>
    <w:rsid w:val="00382949"/>
    <w:rsid w:val="00382A8A"/>
    <w:rsid w:val="00382CA7"/>
    <w:rsid w:val="00382D64"/>
    <w:rsid w:val="003831A9"/>
    <w:rsid w:val="00383642"/>
    <w:rsid w:val="00383987"/>
    <w:rsid w:val="00383F3A"/>
    <w:rsid w:val="003841C8"/>
    <w:rsid w:val="003842C5"/>
    <w:rsid w:val="003844F9"/>
    <w:rsid w:val="0038464F"/>
    <w:rsid w:val="00384741"/>
    <w:rsid w:val="003848EC"/>
    <w:rsid w:val="00384F04"/>
    <w:rsid w:val="00385032"/>
    <w:rsid w:val="00385120"/>
    <w:rsid w:val="0038541D"/>
    <w:rsid w:val="0038552F"/>
    <w:rsid w:val="00385624"/>
    <w:rsid w:val="00385B6E"/>
    <w:rsid w:val="00386127"/>
    <w:rsid w:val="003862D7"/>
    <w:rsid w:val="00386417"/>
    <w:rsid w:val="003866DB"/>
    <w:rsid w:val="00386829"/>
    <w:rsid w:val="00386B95"/>
    <w:rsid w:val="00386C25"/>
    <w:rsid w:val="003871F6"/>
    <w:rsid w:val="003871F7"/>
    <w:rsid w:val="00387369"/>
    <w:rsid w:val="003874F7"/>
    <w:rsid w:val="0038770E"/>
    <w:rsid w:val="00387A37"/>
    <w:rsid w:val="00387CA1"/>
    <w:rsid w:val="00387CF2"/>
    <w:rsid w:val="00387DB3"/>
    <w:rsid w:val="00390130"/>
    <w:rsid w:val="00390234"/>
    <w:rsid w:val="003905E5"/>
    <w:rsid w:val="00390608"/>
    <w:rsid w:val="003906BB"/>
    <w:rsid w:val="003906C2"/>
    <w:rsid w:val="003906D7"/>
    <w:rsid w:val="0039080E"/>
    <w:rsid w:val="00390AF3"/>
    <w:rsid w:val="00390BC3"/>
    <w:rsid w:val="00390C01"/>
    <w:rsid w:val="003910F8"/>
    <w:rsid w:val="00391537"/>
    <w:rsid w:val="00391736"/>
    <w:rsid w:val="003917FE"/>
    <w:rsid w:val="003919BD"/>
    <w:rsid w:val="00391B5A"/>
    <w:rsid w:val="00391D8C"/>
    <w:rsid w:val="00391EEB"/>
    <w:rsid w:val="00391F10"/>
    <w:rsid w:val="00391F16"/>
    <w:rsid w:val="0039223E"/>
    <w:rsid w:val="00392284"/>
    <w:rsid w:val="0039263B"/>
    <w:rsid w:val="003927A7"/>
    <w:rsid w:val="003927C0"/>
    <w:rsid w:val="00392812"/>
    <w:rsid w:val="003928DF"/>
    <w:rsid w:val="00392927"/>
    <w:rsid w:val="00392963"/>
    <w:rsid w:val="003929A5"/>
    <w:rsid w:val="003929DF"/>
    <w:rsid w:val="00392DF3"/>
    <w:rsid w:val="00392DFA"/>
    <w:rsid w:val="00392E11"/>
    <w:rsid w:val="00392E41"/>
    <w:rsid w:val="00392E93"/>
    <w:rsid w:val="00393074"/>
    <w:rsid w:val="00393B2A"/>
    <w:rsid w:val="00393C05"/>
    <w:rsid w:val="00393C6B"/>
    <w:rsid w:val="00393DCA"/>
    <w:rsid w:val="00393E3C"/>
    <w:rsid w:val="00394300"/>
    <w:rsid w:val="003944F9"/>
    <w:rsid w:val="003945A2"/>
    <w:rsid w:val="003946EB"/>
    <w:rsid w:val="00394A10"/>
    <w:rsid w:val="00394B98"/>
    <w:rsid w:val="00394F53"/>
    <w:rsid w:val="00394F73"/>
    <w:rsid w:val="003951AD"/>
    <w:rsid w:val="00395261"/>
    <w:rsid w:val="003952D5"/>
    <w:rsid w:val="0039553A"/>
    <w:rsid w:val="0039575C"/>
    <w:rsid w:val="003959F2"/>
    <w:rsid w:val="00395A1E"/>
    <w:rsid w:val="00395C8D"/>
    <w:rsid w:val="00395D7A"/>
    <w:rsid w:val="00395EE0"/>
    <w:rsid w:val="0039607D"/>
    <w:rsid w:val="003961B1"/>
    <w:rsid w:val="00396402"/>
    <w:rsid w:val="00396687"/>
    <w:rsid w:val="003968F2"/>
    <w:rsid w:val="00396943"/>
    <w:rsid w:val="0039695B"/>
    <w:rsid w:val="00396A5E"/>
    <w:rsid w:val="00396CD9"/>
    <w:rsid w:val="003971AF"/>
    <w:rsid w:val="00397319"/>
    <w:rsid w:val="003976DC"/>
    <w:rsid w:val="00397701"/>
    <w:rsid w:val="00397C95"/>
    <w:rsid w:val="003A07FE"/>
    <w:rsid w:val="003A0A17"/>
    <w:rsid w:val="003A0B15"/>
    <w:rsid w:val="003A0B7E"/>
    <w:rsid w:val="003A0CE0"/>
    <w:rsid w:val="003A0ECE"/>
    <w:rsid w:val="003A0EE5"/>
    <w:rsid w:val="003A0FE0"/>
    <w:rsid w:val="003A1165"/>
    <w:rsid w:val="003A1293"/>
    <w:rsid w:val="003A1341"/>
    <w:rsid w:val="003A17DF"/>
    <w:rsid w:val="003A19F2"/>
    <w:rsid w:val="003A1AFB"/>
    <w:rsid w:val="003A1E1A"/>
    <w:rsid w:val="003A1F9F"/>
    <w:rsid w:val="003A214B"/>
    <w:rsid w:val="003A2734"/>
    <w:rsid w:val="003A2799"/>
    <w:rsid w:val="003A2A51"/>
    <w:rsid w:val="003A2D0B"/>
    <w:rsid w:val="003A2D11"/>
    <w:rsid w:val="003A302E"/>
    <w:rsid w:val="003A3069"/>
    <w:rsid w:val="003A38D5"/>
    <w:rsid w:val="003A3BA7"/>
    <w:rsid w:val="003A3BBA"/>
    <w:rsid w:val="003A3E01"/>
    <w:rsid w:val="003A3E25"/>
    <w:rsid w:val="003A4018"/>
    <w:rsid w:val="003A4118"/>
    <w:rsid w:val="003A4902"/>
    <w:rsid w:val="003A4C10"/>
    <w:rsid w:val="003A520F"/>
    <w:rsid w:val="003A5910"/>
    <w:rsid w:val="003A5E13"/>
    <w:rsid w:val="003A5F80"/>
    <w:rsid w:val="003A625E"/>
    <w:rsid w:val="003A6775"/>
    <w:rsid w:val="003A6788"/>
    <w:rsid w:val="003A6C07"/>
    <w:rsid w:val="003A6E12"/>
    <w:rsid w:val="003A6EE3"/>
    <w:rsid w:val="003A6EF1"/>
    <w:rsid w:val="003A709D"/>
    <w:rsid w:val="003A73D5"/>
    <w:rsid w:val="003A7499"/>
    <w:rsid w:val="003A75B8"/>
    <w:rsid w:val="003A7649"/>
    <w:rsid w:val="003A77F0"/>
    <w:rsid w:val="003A7BE1"/>
    <w:rsid w:val="003A7DCF"/>
    <w:rsid w:val="003B0129"/>
    <w:rsid w:val="003B0353"/>
    <w:rsid w:val="003B051D"/>
    <w:rsid w:val="003B068D"/>
    <w:rsid w:val="003B074B"/>
    <w:rsid w:val="003B092A"/>
    <w:rsid w:val="003B0980"/>
    <w:rsid w:val="003B105E"/>
    <w:rsid w:val="003B119B"/>
    <w:rsid w:val="003B1315"/>
    <w:rsid w:val="003B136A"/>
    <w:rsid w:val="003B21D4"/>
    <w:rsid w:val="003B21F1"/>
    <w:rsid w:val="003B249D"/>
    <w:rsid w:val="003B24D1"/>
    <w:rsid w:val="003B2599"/>
    <w:rsid w:val="003B2609"/>
    <w:rsid w:val="003B264B"/>
    <w:rsid w:val="003B270C"/>
    <w:rsid w:val="003B2758"/>
    <w:rsid w:val="003B2952"/>
    <w:rsid w:val="003B29D2"/>
    <w:rsid w:val="003B2CEA"/>
    <w:rsid w:val="003B2F9C"/>
    <w:rsid w:val="003B3194"/>
    <w:rsid w:val="003B329F"/>
    <w:rsid w:val="003B3718"/>
    <w:rsid w:val="003B390D"/>
    <w:rsid w:val="003B399B"/>
    <w:rsid w:val="003B4318"/>
    <w:rsid w:val="003B460A"/>
    <w:rsid w:val="003B4660"/>
    <w:rsid w:val="003B48AA"/>
    <w:rsid w:val="003B48B4"/>
    <w:rsid w:val="003B4AF7"/>
    <w:rsid w:val="003B4BF1"/>
    <w:rsid w:val="003B4D57"/>
    <w:rsid w:val="003B4D76"/>
    <w:rsid w:val="003B4F05"/>
    <w:rsid w:val="003B56B7"/>
    <w:rsid w:val="003B575B"/>
    <w:rsid w:val="003B5981"/>
    <w:rsid w:val="003B5B24"/>
    <w:rsid w:val="003B5D20"/>
    <w:rsid w:val="003B5DAB"/>
    <w:rsid w:val="003B5F92"/>
    <w:rsid w:val="003B6174"/>
    <w:rsid w:val="003B658C"/>
    <w:rsid w:val="003B65DB"/>
    <w:rsid w:val="003B683A"/>
    <w:rsid w:val="003B68B0"/>
    <w:rsid w:val="003B696F"/>
    <w:rsid w:val="003B6B15"/>
    <w:rsid w:val="003B7289"/>
    <w:rsid w:val="003B75F5"/>
    <w:rsid w:val="003B76BF"/>
    <w:rsid w:val="003B77A5"/>
    <w:rsid w:val="003B786B"/>
    <w:rsid w:val="003B78B0"/>
    <w:rsid w:val="003B793D"/>
    <w:rsid w:val="003B7ABE"/>
    <w:rsid w:val="003B7D9D"/>
    <w:rsid w:val="003C00D7"/>
    <w:rsid w:val="003C01E8"/>
    <w:rsid w:val="003C09B9"/>
    <w:rsid w:val="003C0FBE"/>
    <w:rsid w:val="003C1401"/>
    <w:rsid w:val="003C14F3"/>
    <w:rsid w:val="003C1636"/>
    <w:rsid w:val="003C16C6"/>
    <w:rsid w:val="003C170D"/>
    <w:rsid w:val="003C1868"/>
    <w:rsid w:val="003C1997"/>
    <w:rsid w:val="003C1A79"/>
    <w:rsid w:val="003C1ADC"/>
    <w:rsid w:val="003C1D55"/>
    <w:rsid w:val="003C2268"/>
    <w:rsid w:val="003C2546"/>
    <w:rsid w:val="003C2551"/>
    <w:rsid w:val="003C29C0"/>
    <w:rsid w:val="003C2A74"/>
    <w:rsid w:val="003C2D45"/>
    <w:rsid w:val="003C2E8E"/>
    <w:rsid w:val="003C2ED9"/>
    <w:rsid w:val="003C2FD8"/>
    <w:rsid w:val="003C3177"/>
    <w:rsid w:val="003C343F"/>
    <w:rsid w:val="003C356D"/>
    <w:rsid w:val="003C365C"/>
    <w:rsid w:val="003C3C89"/>
    <w:rsid w:val="003C3D11"/>
    <w:rsid w:val="003C3E2B"/>
    <w:rsid w:val="003C4729"/>
    <w:rsid w:val="003C4793"/>
    <w:rsid w:val="003C497C"/>
    <w:rsid w:val="003C4A6D"/>
    <w:rsid w:val="003C4CBB"/>
    <w:rsid w:val="003C5203"/>
    <w:rsid w:val="003C5275"/>
    <w:rsid w:val="003C592E"/>
    <w:rsid w:val="003C5988"/>
    <w:rsid w:val="003C5BF8"/>
    <w:rsid w:val="003C6664"/>
    <w:rsid w:val="003C667B"/>
    <w:rsid w:val="003C671C"/>
    <w:rsid w:val="003C68C5"/>
    <w:rsid w:val="003C6E91"/>
    <w:rsid w:val="003C7425"/>
    <w:rsid w:val="003C7568"/>
    <w:rsid w:val="003C7A26"/>
    <w:rsid w:val="003C7A52"/>
    <w:rsid w:val="003C7B41"/>
    <w:rsid w:val="003C7C2A"/>
    <w:rsid w:val="003C7E95"/>
    <w:rsid w:val="003D028B"/>
    <w:rsid w:val="003D036E"/>
    <w:rsid w:val="003D0950"/>
    <w:rsid w:val="003D0B70"/>
    <w:rsid w:val="003D0B80"/>
    <w:rsid w:val="003D136D"/>
    <w:rsid w:val="003D139C"/>
    <w:rsid w:val="003D13DB"/>
    <w:rsid w:val="003D146A"/>
    <w:rsid w:val="003D16A9"/>
    <w:rsid w:val="003D16B5"/>
    <w:rsid w:val="003D1727"/>
    <w:rsid w:val="003D187A"/>
    <w:rsid w:val="003D1887"/>
    <w:rsid w:val="003D1DFE"/>
    <w:rsid w:val="003D1FE9"/>
    <w:rsid w:val="003D2102"/>
    <w:rsid w:val="003D214B"/>
    <w:rsid w:val="003D2333"/>
    <w:rsid w:val="003D27A3"/>
    <w:rsid w:val="003D2801"/>
    <w:rsid w:val="003D2947"/>
    <w:rsid w:val="003D2948"/>
    <w:rsid w:val="003D2C61"/>
    <w:rsid w:val="003D2EB9"/>
    <w:rsid w:val="003D2F3B"/>
    <w:rsid w:val="003D34F9"/>
    <w:rsid w:val="003D35E8"/>
    <w:rsid w:val="003D383E"/>
    <w:rsid w:val="003D3965"/>
    <w:rsid w:val="003D3981"/>
    <w:rsid w:val="003D3BAB"/>
    <w:rsid w:val="003D3DAA"/>
    <w:rsid w:val="003D40F2"/>
    <w:rsid w:val="003D428B"/>
    <w:rsid w:val="003D4548"/>
    <w:rsid w:val="003D4702"/>
    <w:rsid w:val="003D48AB"/>
    <w:rsid w:val="003D48D4"/>
    <w:rsid w:val="003D4938"/>
    <w:rsid w:val="003D4F6D"/>
    <w:rsid w:val="003D54EA"/>
    <w:rsid w:val="003D54F3"/>
    <w:rsid w:val="003D567D"/>
    <w:rsid w:val="003D5701"/>
    <w:rsid w:val="003D571A"/>
    <w:rsid w:val="003D5AF2"/>
    <w:rsid w:val="003D5EB5"/>
    <w:rsid w:val="003D6265"/>
    <w:rsid w:val="003D628A"/>
    <w:rsid w:val="003D6348"/>
    <w:rsid w:val="003D6501"/>
    <w:rsid w:val="003D6534"/>
    <w:rsid w:val="003D6821"/>
    <w:rsid w:val="003D696A"/>
    <w:rsid w:val="003D69BD"/>
    <w:rsid w:val="003D6C21"/>
    <w:rsid w:val="003D6E4E"/>
    <w:rsid w:val="003D6E50"/>
    <w:rsid w:val="003D6EFE"/>
    <w:rsid w:val="003D6F3F"/>
    <w:rsid w:val="003D6F9A"/>
    <w:rsid w:val="003D7174"/>
    <w:rsid w:val="003D731C"/>
    <w:rsid w:val="003D7851"/>
    <w:rsid w:val="003D78A0"/>
    <w:rsid w:val="003D7C31"/>
    <w:rsid w:val="003D7C97"/>
    <w:rsid w:val="003D7CA6"/>
    <w:rsid w:val="003D7CDF"/>
    <w:rsid w:val="003E0017"/>
    <w:rsid w:val="003E00D2"/>
    <w:rsid w:val="003E0451"/>
    <w:rsid w:val="003E0454"/>
    <w:rsid w:val="003E0576"/>
    <w:rsid w:val="003E0647"/>
    <w:rsid w:val="003E086D"/>
    <w:rsid w:val="003E0B8A"/>
    <w:rsid w:val="003E0CB8"/>
    <w:rsid w:val="003E0DB1"/>
    <w:rsid w:val="003E0DB3"/>
    <w:rsid w:val="003E0E61"/>
    <w:rsid w:val="003E0FF9"/>
    <w:rsid w:val="003E11B3"/>
    <w:rsid w:val="003E11D2"/>
    <w:rsid w:val="003E1490"/>
    <w:rsid w:val="003E18EF"/>
    <w:rsid w:val="003E1A24"/>
    <w:rsid w:val="003E1AAF"/>
    <w:rsid w:val="003E1B7B"/>
    <w:rsid w:val="003E1FC5"/>
    <w:rsid w:val="003E2041"/>
    <w:rsid w:val="003E2308"/>
    <w:rsid w:val="003E238F"/>
    <w:rsid w:val="003E275C"/>
    <w:rsid w:val="003E288A"/>
    <w:rsid w:val="003E28EA"/>
    <w:rsid w:val="003E28EB"/>
    <w:rsid w:val="003E31AD"/>
    <w:rsid w:val="003E33AA"/>
    <w:rsid w:val="003E340C"/>
    <w:rsid w:val="003E361C"/>
    <w:rsid w:val="003E3B47"/>
    <w:rsid w:val="003E3BF7"/>
    <w:rsid w:val="003E3C89"/>
    <w:rsid w:val="003E3D8A"/>
    <w:rsid w:val="003E3E68"/>
    <w:rsid w:val="003E4593"/>
    <w:rsid w:val="003E46BB"/>
    <w:rsid w:val="003E4922"/>
    <w:rsid w:val="003E4F06"/>
    <w:rsid w:val="003E5A48"/>
    <w:rsid w:val="003E5AFA"/>
    <w:rsid w:val="003E5CC5"/>
    <w:rsid w:val="003E5F96"/>
    <w:rsid w:val="003E63EF"/>
    <w:rsid w:val="003E6724"/>
    <w:rsid w:val="003E67B0"/>
    <w:rsid w:val="003E699A"/>
    <w:rsid w:val="003E6B68"/>
    <w:rsid w:val="003E6C98"/>
    <w:rsid w:val="003E6CFD"/>
    <w:rsid w:val="003E6E81"/>
    <w:rsid w:val="003E6E91"/>
    <w:rsid w:val="003E724A"/>
    <w:rsid w:val="003E72BE"/>
    <w:rsid w:val="003E72E3"/>
    <w:rsid w:val="003E74E8"/>
    <w:rsid w:val="003E77E1"/>
    <w:rsid w:val="003E788A"/>
    <w:rsid w:val="003E790E"/>
    <w:rsid w:val="003E7B11"/>
    <w:rsid w:val="003E7CBB"/>
    <w:rsid w:val="003E7FFC"/>
    <w:rsid w:val="003F029A"/>
    <w:rsid w:val="003F02B9"/>
    <w:rsid w:val="003F02F1"/>
    <w:rsid w:val="003F037A"/>
    <w:rsid w:val="003F0414"/>
    <w:rsid w:val="003F0433"/>
    <w:rsid w:val="003F04CF"/>
    <w:rsid w:val="003F05E2"/>
    <w:rsid w:val="003F06CE"/>
    <w:rsid w:val="003F0710"/>
    <w:rsid w:val="003F0B7D"/>
    <w:rsid w:val="003F121E"/>
    <w:rsid w:val="003F140E"/>
    <w:rsid w:val="003F15A0"/>
    <w:rsid w:val="003F1A18"/>
    <w:rsid w:val="003F1C23"/>
    <w:rsid w:val="003F1D9D"/>
    <w:rsid w:val="003F1DC9"/>
    <w:rsid w:val="003F1F79"/>
    <w:rsid w:val="003F2290"/>
    <w:rsid w:val="003F25F6"/>
    <w:rsid w:val="003F276C"/>
    <w:rsid w:val="003F2792"/>
    <w:rsid w:val="003F282C"/>
    <w:rsid w:val="003F286F"/>
    <w:rsid w:val="003F2B3F"/>
    <w:rsid w:val="003F2BD8"/>
    <w:rsid w:val="003F2C82"/>
    <w:rsid w:val="003F2CDE"/>
    <w:rsid w:val="003F2D08"/>
    <w:rsid w:val="003F2D1B"/>
    <w:rsid w:val="003F2D47"/>
    <w:rsid w:val="003F2FDA"/>
    <w:rsid w:val="003F2FF0"/>
    <w:rsid w:val="003F314A"/>
    <w:rsid w:val="003F321E"/>
    <w:rsid w:val="003F32A3"/>
    <w:rsid w:val="003F37BD"/>
    <w:rsid w:val="003F3BE1"/>
    <w:rsid w:val="003F3F93"/>
    <w:rsid w:val="003F4035"/>
    <w:rsid w:val="003F43F9"/>
    <w:rsid w:val="003F4538"/>
    <w:rsid w:val="003F45E7"/>
    <w:rsid w:val="003F4924"/>
    <w:rsid w:val="003F4A6C"/>
    <w:rsid w:val="003F4BDE"/>
    <w:rsid w:val="003F4D97"/>
    <w:rsid w:val="003F4DF0"/>
    <w:rsid w:val="003F4F1A"/>
    <w:rsid w:val="003F4FC2"/>
    <w:rsid w:val="003F500E"/>
    <w:rsid w:val="003F531D"/>
    <w:rsid w:val="003F54D9"/>
    <w:rsid w:val="003F596A"/>
    <w:rsid w:val="003F59E1"/>
    <w:rsid w:val="003F5A73"/>
    <w:rsid w:val="003F5AF8"/>
    <w:rsid w:val="003F5CA0"/>
    <w:rsid w:val="003F5E58"/>
    <w:rsid w:val="003F5F47"/>
    <w:rsid w:val="003F6246"/>
    <w:rsid w:val="003F63EE"/>
    <w:rsid w:val="003F6473"/>
    <w:rsid w:val="003F64B9"/>
    <w:rsid w:val="003F675B"/>
    <w:rsid w:val="003F67D1"/>
    <w:rsid w:val="003F6911"/>
    <w:rsid w:val="003F6A28"/>
    <w:rsid w:val="003F6AAA"/>
    <w:rsid w:val="003F6BED"/>
    <w:rsid w:val="003F6D5B"/>
    <w:rsid w:val="003F7022"/>
    <w:rsid w:val="003F730D"/>
    <w:rsid w:val="003F74AD"/>
    <w:rsid w:val="003F7563"/>
    <w:rsid w:val="003F764D"/>
    <w:rsid w:val="003F7720"/>
    <w:rsid w:val="003F7A87"/>
    <w:rsid w:val="003F7CA1"/>
    <w:rsid w:val="003F7D5B"/>
    <w:rsid w:val="003F7FDA"/>
    <w:rsid w:val="003F7FF7"/>
    <w:rsid w:val="004001EB"/>
    <w:rsid w:val="00400723"/>
    <w:rsid w:val="00400C05"/>
    <w:rsid w:val="00400F66"/>
    <w:rsid w:val="00400F7B"/>
    <w:rsid w:val="0040144A"/>
    <w:rsid w:val="00401723"/>
    <w:rsid w:val="00401895"/>
    <w:rsid w:val="00401A3C"/>
    <w:rsid w:val="00401F8B"/>
    <w:rsid w:val="0040207E"/>
    <w:rsid w:val="004021B2"/>
    <w:rsid w:val="004022E4"/>
    <w:rsid w:val="0040278D"/>
    <w:rsid w:val="00402801"/>
    <w:rsid w:val="004028DF"/>
    <w:rsid w:val="00402900"/>
    <w:rsid w:val="00402A2E"/>
    <w:rsid w:val="00403076"/>
    <w:rsid w:val="00403566"/>
    <w:rsid w:val="004036FD"/>
    <w:rsid w:val="004037E1"/>
    <w:rsid w:val="00403806"/>
    <w:rsid w:val="004038EA"/>
    <w:rsid w:val="00403C8C"/>
    <w:rsid w:val="00403D62"/>
    <w:rsid w:val="00403D6E"/>
    <w:rsid w:val="00403F7A"/>
    <w:rsid w:val="00404125"/>
    <w:rsid w:val="004046BE"/>
    <w:rsid w:val="00404869"/>
    <w:rsid w:val="00404943"/>
    <w:rsid w:val="00404A97"/>
    <w:rsid w:val="00404AFC"/>
    <w:rsid w:val="00404C25"/>
    <w:rsid w:val="00404C72"/>
    <w:rsid w:val="00404DF4"/>
    <w:rsid w:val="00404F29"/>
    <w:rsid w:val="00405254"/>
    <w:rsid w:val="00405591"/>
    <w:rsid w:val="00405699"/>
    <w:rsid w:val="0040599F"/>
    <w:rsid w:val="00405F56"/>
    <w:rsid w:val="004068D3"/>
    <w:rsid w:val="00406959"/>
    <w:rsid w:val="004069EE"/>
    <w:rsid w:val="00406AF5"/>
    <w:rsid w:val="00406E52"/>
    <w:rsid w:val="00407649"/>
    <w:rsid w:val="004077DD"/>
    <w:rsid w:val="0040789C"/>
    <w:rsid w:val="004079F1"/>
    <w:rsid w:val="00407A80"/>
    <w:rsid w:val="00407ACC"/>
    <w:rsid w:val="00407B2D"/>
    <w:rsid w:val="00407CEA"/>
    <w:rsid w:val="00410640"/>
    <w:rsid w:val="004106C5"/>
    <w:rsid w:val="00410779"/>
    <w:rsid w:val="0041078B"/>
    <w:rsid w:val="00410C4E"/>
    <w:rsid w:val="00410CE5"/>
    <w:rsid w:val="00410E8B"/>
    <w:rsid w:val="00410EE5"/>
    <w:rsid w:val="0041101A"/>
    <w:rsid w:val="004111CA"/>
    <w:rsid w:val="00411236"/>
    <w:rsid w:val="00411292"/>
    <w:rsid w:val="004113D8"/>
    <w:rsid w:val="00411483"/>
    <w:rsid w:val="004117CC"/>
    <w:rsid w:val="00411853"/>
    <w:rsid w:val="00411AA6"/>
    <w:rsid w:val="00411BCC"/>
    <w:rsid w:val="00412124"/>
    <w:rsid w:val="00412148"/>
    <w:rsid w:val="00412167"/>
    <w:rsid w:val="00412300"/>
    <w:rsid w:val="0041291F"/>
    <w:rsid w:val="00412D21"/>
    <w:rsid w:val="00412D33"/>
    <w:rsid w:val="00412E29"/>
    <w:rsid w:val="00412E4F"/>
    <w:rsid w:val="00412F02"/>
    <w:rsid w:val="00413284"/>
    <w:rsid w:val="0041368D"/>
    <w:rsid w:val="004136EC"/>
    <w:rsid w:val="00413734"/>
    <w:rsid w:val="004139A8"/>
    <w:rsid w:val="00413A91"/>
    <w:rsid w:val="00413AAE"/>
    <w:rsid w:val="00413AE2"/>
    <w:rsid w:val="00413AFE"/>
    <w:rsid w:val="00414070"/>
    <w:rsid w:val="00414208"/>
    <w:rsid w:val="004142B3"/>
    <w:rsid w:val="004142E1"/>
    <w:rsid w:val="0041452D"/>
    <w:rsid w:val="00414ABF"/>
    <w:rsid w:val="00414C7F"/>
    <w:rsid w:val="004151FB"/>
    <w:rsid w:val="0041552A"/>
    <w:rsid w:val="004156C9"/>
    <w:rsid w:val="004159E9"/>
    <w:rsid w:val="00415F35"/>
    <w:rsid w:val="00415F95"/>
    <w:rsid w:val="0041644D"/>
    <w:rsid w:val="00416524"/>
    <w:rsid w:val="004167BC"/>
    <w:rsid w:val="00416902"/>
    <w:rsid w:val="0041695B"/>
    <w:rsid w:val="004169F8"/>
    <w:rsid w:val="00416D5A"/>
    <w:rsid w:val="00416DD1"/>
    <w:rsid w:val="00416E9C"/>
    <w:rsid w:val="00416F81"/>
    <w:rsid w:val="00417294"/>
    <w:rsid w:val="004173F2"/>
    <w:rsid w:val="00417645"/>
    <w:rsid w:val="00417708"/>
    <w:rsid w:val="00417B32"/>
    <w:rsid w:val="00417BF9"/>
    <w:rsid w:val="00417D7C"/>
    <w:rsid w:val="0042015E"/>
    <w:rsid w:val="00420184"/>
    <w:rsid w:val="004201BF"/>
    <w:rsid w:val="00420445"/>
    <w:rsid w:val="004205F3"/>
    <w:rsid w:val="004208F9"/>
    <w:rsid w:val="004209DE"/>
    <w:rsid w:val="00420B95"/>
    <w:rsid w:val="00420C71"/>
    <w:rsid w:val="00420D1C"/>
    <w:rsid w:val="00421193"/>
    <w:rsid w:val="004212A6"/>
    <w:rsid w:val="004215F9"/>
    <w:rsid w:val="00421668"/>
    <w:rsid w:val="00421676"/>
    <w:rsid w:val="0042177D"/>
    <w:rsid w:val="00421918"/>
    <w:rsid w:val="00421B11"/>
    <w:rsid w:val="00421D40"/>
    <w:rsid w:val="004225B0"/>
    <w:rsid w:val="00422BD9"/>
    <w:rsid w:val="00422BE4"/>
    <w:rsid w:val="00422EFF"/>
    <w:rsid w:val="00422FCE"/>
    <w:rsid w:val="004230B1"/>
    <w:rsid w:val="004232D6"/>
    <w:rsid w:val="0042337E"/>
    <w:rsid w:val="004233BB"/>
    <w:rsid w:val="004237A5"/>
    <w:rsid w:val="00423965"/>
    <w:rsid w:val="004239F1"/>
    <w:rsid w:val="00423B94"/>
    <w:rsid w:val="00423C19"/>
    <w:rsid w:val="00423ED6"/>
    <w:rsid w:val="00424698"/>
    <w:rsid w:val="00424829"/>
    <w:rsid w:val="0042484B"/>
    <w:rsid w:val="00424A0C"/>
    <w:rsid w:val="00424AF5"/>
    <w:rsid w:val="00424E6C"/>
    <w:rsid w:val="00425011"/>
    <w:rsid w:val="00425564"/>
    <w:rsid w:val="004257FC"/>
    <w:rsid w:val="004259E7"/>
    <w:rsid w:val="00425A35"/>
    <w:rsid w:val="00425C2E"/>
    <w:rsid w:val="00425E76"/>
    <w:rsid w:val="00426058"/>
    <w:rsid w:val="00426243"/>
    <w:rsid w:val="00426362"/>
    <w:rsid w:val="004269CB"/>
    <w:rsid w:val="004269F4"/>
    <w:rsid w:val="00426BA2"/>
    <w:rsid w:val="00426CDF"/>
    <w:rsid w:val="00426D31"/>
    <w:rsid w:val="00426F6B"/>
    <w:rsid w:val="00426FA6"/>
    <w:rsid w:val="004270EF"/>
    <w:rsid w:val="00427175"/>
    <w:rsid w:val="0042727B"/>
    <w:rsid w:val="00427579"/>
    <w:rsid w:val="004276D8"/>
    <w:rsid w:val="0042770D"/>
    <w:rsid w:val="004277AC"/>
    <w:rsid w:val="00427C42"/>
    <w:rsid w:val="00427C8F"/>
    <w:rsid w:val="00427D7E"/>
    <w:rsid w:val="0043019E"/>
    <w:rsid w:val="0043024A"/>
    <w:rsid w:val="004302E3"/>
    <w:rsid w:val="00430356"/>
    <w:rsid w:val="004305B5"/>
    <w:rsid w:val="004305F7"/>
    <w:rsid w:val="00430655"/>
    <w:rsid w:val="00430663"/>
    <w:rsid w:val="00431161"/>
    <w:rsid w:val="004311CD"/>
    <w:rsid w:val="0043156E"/>
    <w:rsid w:val="004317DB"/>
    <w:rsid w:val="00431913"/>
    <w:rsid w:val="00431B69"/>
    <w:rsid w:val="00431CA9"/>
    <w:rsid w:val="00431DCF"/>
    <w:rsid w:val="00431F75"/>
    <w:rsid w:val="00431FA4"/>
    <w:rsid w:val="00432831"/>
    <w:rsid w:val="00432980"/>
    <w:rsid w:val="00432ABC"/>
    <w:rsid w:val="00432BB0"/>
    <w:rsid w:val="00432FD4"/>
    <w:rsid w:val="0043311E"/>
    <w:rsid w:val="0043395D"/>
    <w:rsid w:val="00433C1B"/>
    <w:rsid w:val="00433F86"/>
    <w:rsid w:val="00434086"/>
    <w:rsid w:val="004340CA"/>
    <w:rsid w:val="00434565"/>
    <w:rsid w:val="00434796"/>
    <w:rsid w:val="004349E5"/>
    <w:rsid w:val="00434A33"/>
    <w:rsid w:val="00434B89"/>
    <w:rsid w:val="00434B9C"/>
    <w:rsid w:val="00434D96"/>
    <w:rsid w:val="0043524A"/>
    <w:rsid w:val="0043548A"/>
    <w:rsid w:val="004356C9"/>
    <w:rsid w:val="00435996"/>
    <w:rsid w:val="00435A17"/>
    <w:rsid w:val="00435AA5"/>
    <w:rsid w:val="0043641D"/>
    <w:rsid w:val="00436481"/>
    <w:rsid w:val="0043649D"/>
    <w:rsid w:val="004364B0"/>
    <w:rsid w:val="00436570"/>
    <w:rsid w:val="00436AA8"/>
    <w:rsid w:val="00436D0B"/>
    <w:rsid w:val="00436EB8"/>
    <w:rsid w:val="004372D2"/>
    <w:rsid w:val="004372D9"/>
    <w:rsid w:val="004373D5"/>
    <w:rsid w:val="00437B62"/>
    <w:rsid w:val="00437C25"/>
    <w:rsid w:val="00437EF6"/>
    <w:rsid w:val="004400E2"/>
    <w:rsid w:val="004405C2"/>
    <w:rsid w:val="004405EF"/>
    <w:rsid w:val="0044092B"/>
    <w:rsid w:val="00440A60"/>
    <w:rsid w:val="00440BAC"/>
    <w:rsid w:val="00440E8F"/>
    <w:rsid w:val="0044138C"/>
    <w:rsid w:val="004413D4"/>
    <w:rsid w:val="00441560"/>
    <w:rsid w:val="00441631"/>
    <w:rsid w:val="00441805"/>
    <w:rsid w:val="004418CF"/>
    <w:rsid w:val="00441BED"/>
    <w:rsid w:val="00441D06"/>
    <w:rsid w:val="00441D16"/>
    <w:rsid w:val="00441D81"/>
    <w:rsid w:val="00441F8B"/>
    <w:rsid w:val="00441FEC"/>
    <w:rsid w:val="00442116"/>
    <w:rsid w:val="004421C9"/>
    <w:rsid w:val="00442232"/>
    <w:rsid w:val="00442274"/>
    <w:rsid w:val="0044251C"/>
    <w:rsid w:val="00442783"/>
    <w:rsid w:val="00442936"/>
    <w:rsid w:val="00442989"/>
    <w:rsid w:val="004429E7"/>
    <w:rsid w:val="00442B45"/>
    <w:rsid w:val="00443264"/>
    <w:rsid w:val="00443287"/>
    <w:rsid w:val="00443537"/>
    <w:rsid w:val="0044358A"/>
    <w:rsid w:val="004435F9"/>
    <w:rsid w:val="00443761"/>
    <w:rsid w:val="00443AAC"/>
    <w:rsid w:val="00443C58"/>
    <w:rsid w:val="00443C8A"/>
    <w:rsid w:val="00443C95"/>
    <w:rsid w:val="00443EFC"/>
    <w:rsid w:val="0044401E"/>
    <w:rsid w:val="00444049"/>
    <w:rsid w:val="0044460A"/>
    <w:rsid w:val="004448DE"/>
    <w:rsid w:val="00444E1E"/>
    <w:rsid w:val="004451FC"/>
    <w:rsid w:val="0044538C"/>
    <w:rsid w:val="004453BE"/>
    <w:rsid w:val="0044553B"/>
    <w:rsid w:val="004456DD"/>
    <w:rsid w:val="004457B9"/>
    <w:rsid w:val="00445BF5"/>
    <w:rsid w:val="00445D45"/>
    <w:rsid w:val="00445DCA"/>
    <w:rsid w:val="00446028"/>
    <w:rsid w:val="004464DB"/>
    <w:rsid w:val="00446676"/>
    <w:rsid w:val="004467E0"/>
    <w:rsid w:val="00446907"/>
    <w:rsid w:val="00446987"/>
    <w:rsid w:val="00446A03"/>
    <w:rsid w:val="00446B63"/>
    <w:rsid w:val="00446C4B"/>
    <w:rsid w:val="0044754C"/>
    <w:rsid w:val="00447A0A"/>
    <w:rsid w:val="00447BE7"/>
    <w:rsid w:val="0045009B"/>
    <w:rsid w:val="00450430"/>
    <w:rsid w:val="0045061C"/>
    <w:rsid w:val="00450692"/>
    <w:rsid w:val="00450AED"/>
    <w:rsid w:val="00450B90"/>
    <w:rsid w:val="00450BCB"/>
    <w:rsid w:val="00450C9C"/>
    <w:rsid w:val="00450D4F"/>
    <w:rsid w:val="00450FA8"/>
    <w:rsid w:val="00451198"/>
    <w:rsid w:val="004512B5"/>
    <w:rsid w:val="004513AF"/>
    <w:rsid w:val="004513ED"/>
    <w:rsid w:val="004514B9"/>
    <w:rsid w:val="0045168B"/>
    <w:rsid w:val="00451745"/>
    <w:rsid w:val="004518A4"/>
    <w:rsid w:val="00451995"/>
    <w:rsid w:val="00451AE1"/>
    <w:rsid w:val="00451CED"/>
    <w:rsid w:val="00451D27"/>
    <w:rsid w:val="00451D89"/>
    <w:rsid w:val="00451F43"/>
    <w:rsid w:val="004520B2"/>
    <w:rsid w:val="004523B7"/>
    <w:rsid w:val="00452716"/>
    <w:rsid w:val="004527E0"/>
    <w:rsid w:val="004528AC"/>
    <w:rsid w:val="00452D50"/>
    <w:rsid w:val="00452FE8"/>
    <w:rsid w:val="004531CD"/>
    <w:rsid w:val="00453326"/>
    <w:rsid w:val="00453629"/>
    <w:rsid w:val="00453714"/>
    <w:rsid w:val="0045378D"/>
    <w:rsid w:val="0045379B"/>
    <w:rsid w:val="00453847"/>
    <w:rsid w:val="00453B4E"/>
    <w:rsid w:val="00453F35"/>
    <w:rsid w:val="00454198"/>
    <w:rsid w:val="004541F8"/>
    <w:rsid w:val="00454714"/>
    <w:rsid w:val="004547A7"/>
    <w:rsid w:val="00454B68"/>
    <w:rsid w:val="00454E74"/>
    <w:rsid w:val="00454E8B"/>
    <w:rsid w:val="00454E94"/>
    <w:rsid w:val="00454ED0"/>
    <w:rsid w:val="00454EE7"/>
    <w:rsid w:val="00454F33"/>
    <w:rsid w:val="00455194"/>
    <w:rsid w:val="004551D8"/>
    <w:rsid w:val="004551E0"/>
    <w:rsid w:val="004552AF"/>
    <w:rsid w:val="004552EB"/>
    <w:rsid w:val="004557FD"/>
    <w:rsid w:val="004558A2"/>
    <w:rsid w:val="00455C2C"/>
    <w:rsid w:val="00456159"/>
    <w:rsid w:val="00456340"/>
    <w:rsid w:val="00456358"/>
    <w:rsid w:val="004563D0"/>
    <w:rsid w:val="004563E5"/>
    <w:rsid w:val="0045645C"/>
    <w:rsid w:val="00456555"/>
    <w:rsid w:val="0045692B"/>
    <w:rsid w:val="00456A12"/>
    <w:rsid w:val="00456A61"/>
    <w:rsid w:val="00456FDA"/>
    <w:rsid w:val="0045701B"/>
    <w:rsid w:val="0045714B"/>
    <w:rsid w:val="00457452"/>
    <w:rsid w:val="00457465"/>
    <w:rsid w:val="00457516"/>
    <w:rsid w:val="00457554"/>
    <w:rsid w:val="0045756E"/>
    <w:rsid w:val="004576F1"/>
    <w:rsid w:val="004578B5"/>
    <w:rsid w:val="00457A34"/>
    <w:rsid w:val="00457C76"/>
    <w:rsid w:val="00457D69"/>
    <w:rsid w:val="00457E68"/>
    <w:rsid w:val="00457EB2"/>
    <w:rsid w:val="0046006E"/>
    <w:rsid w:val="00460182"/>
    <w:rsid w:val="00460298"/>
    <w:rsid w:val="004602C8"/>
    <w:rsid w:val="0046044A"/>
    <w:rsid w:val="004604D6"/>
    <w:rsid w:val="00460572"/>
    <w:rsid w:val="00460951"/>
    <w:rsid w:val="00460A62"/>
    <w:rsid w:val="00460BBE"/>
    <w:rsid w:val="00460DE0"/>
    <w:rsid w:val="00460EA0"/>
    <w:rsid w:val="00461155"/>
    <w:rsid w:val="00461287"/>
    <w:rsid w:val="004616DE"/>
    <w:rsid w:val="0046179F"/>
    <w:rsid w:val="00461ABE"/>
    <w:rsid w:val="00461EDE"/>
    <w:rsid w:val="00461F0E"/>
    <w:rsid w:val="00461F56"/>
    <w:rsid w:val="0046246F"/>
    <w:rsid w:val="00462673"/>
    <w:rsid w:val="00462851"/>
    <w:rsid w:val="00462898"/>
    <w:rsid w:val="0046290F"/>
    <w:rsid w:val="00462E7E"/>
    <w:rsid w:val="00462E83"/>
    <w:rsid w:val="00462F38"/>
    <w:rsid w:val="00463127"/>
    <w:rsid w:val="00463484"/>
    <w:rsid w:val="0046362A"/>
    <w:rsid w:val="00463AD7"/>
    <w:rsid w:val="00463E27"/>
    <w:rsid w:val="00464064"/>
    <w:rsid w:val="004640D9"/>
    <w:rsid w:val="0046436A"/>
    <w:rsid w:val="004644DC"/>
    <w:rsid w:val="004645BC"/>
    <w:rsid w:val="004645CA"/>
    <w:rsid w:val="00464894"/>
    <w:rsid w:val="00464907"/>
    <w:rsid w:val="0046496F"/>
    <w:rsid w:val="00464AE3"/>
    <w:rsid w:val="00464AF6"/>
    <w:rsid w:val="00464EFA"/>
    <w:rsid w:val="00464FDA"/>
    <w:rsid w:val="00465090"/>
    <w:rsid w:val="00465174"/>
    <w:rsid w:val="00465241"/>
    <w:rsid w:val="004652E9"/>
    <w:rsid w:val="0046541A"/>
    <w:rsid w:val="00465706"/>
    <w:rsid w:val="004657AF"/>
    <w:rsid w:val="00465841"/>
    <w:rsid w:val="00465AFB"/>
    <w:rsid w:val="00465D03"/>
    <w:rsid w:val="00465D31"/>
    <w:rsid w:val="00465FB8"/>
    <w:rsid w:val="00466017"/>
    <w:rsid w:val="0046604B"/>
    <w:rsid w:val="00466417"/>
    <w:rsid w:val="0046664E"/>
    <w:rsid w:val="00466774"/>
    <w:rsid w:val="00466C28"/>
    <w:rsid w:val="00466CFA"/>
    <w:rsid w:val="00466FFF"/>
    <w:rsid w:val="00467286"/>
    <w:rsid w:val="004676DC"/>
    <w:rsid w:val="00467952"/>
    <w:rsid w:val="00467AC6"/>
    <w:rsid w:val="00467BED"/>
    <w:rsid w:val="00467E31"/>
    <w:rsid w:val="004706EA"/>
    <w:rsid w:val="00470B13"/>
    <w:rsid w:val="00470BD8"/>
    <w:rsid w:val="004713F8"/>
    <w:rsid w:val="00471520"/>
    <w:rsid w:val="00471635"/>
    <w:rsid w:val="004717B2"/>
    <w:rsid w:val="00471B01"/>
    <w:rsid w:val="00471D6B"/>
    <w:rsid w:val="00471E26"/>
    <w:rsid w:val="00471ED3"/>
    <w:rsid w:val="00471FB7"/>
    <w:rsid w:val="00472208"/>
    <w:rsid w:val="00472534"/>
    <w:rsid w:val="004728B1"/>
    <w:rsid w:val="00472A81"/>
    <w:rsid w:val="00472ADD"/>
    <w:rsid w:val="00472B2E"/>
    <w:rsid w:val="00472BA6"/>
    <w:rsid w:val="00472E25"/>
    <w:rsid w:val="00473044"/>
    <w:rsid w:val="00473176"/>
    <w:rsid w:val="00473322"/>
    <w:rsid w:val="00473377"/>
    <w:rsid w:val="00473409"/>
    <w:rsid w:val="004738D4"/>
    <w:rsid w:val="0047390F"/>
    <w:rsid w:val="004739F0"/>
    <w:rsid w:val="00473A38"/>
    <w:rsid w:val="00473B9D"/>
    <w:rsid w:val="004740B3"/>
    <w:rsid w:val="0047420F"/>
    <w:rsid w:val="00474277"/>
    <w:rsid w:val="0047452E"/>
    <w:rsid w:val="0047462A"/>
    <w:rsid w:val="00474713"/>
    <w:rsid w:val="00474B85"/>
    <w:rsid w:val="00474BBC"/>
    <w:rsid w:val="00474CF2"/>
    <w:rsid w:val="00474E88"/>
    <w:rsid w:val="00475233"/>
    <w:rsid w:val="00475445"/>
    <w:rsid w:val="0047546C"/>
    <w:rsid w:val="00475481"/>
    <w:rsid w:val="0047583F"/>
    <w:rsid w:val="004758DD"/>
    <w:rsid w:val="00475932"/>
    <w:rsid w:val="00475B44"/>
    <w:rsid w:val="00475C0E"/>
    <w:rsid w:val="00475CE5"/>
    <w:rsid w:val="00475D68"/>
    <w:rsid w:val="00475DEE"/>
    <w:rsid w:val="004761BC"/>
    <w:rsid w:val="0047641C"/>
    <w:rsid w:val="00476429"/>
    <w:rsid w:val="004764E4"/>
    <w:rsid w:val="004766D0"/>
    <w:rsid w:val="004766ED"/>
    <w:rsid w:val="0047688A"/>
    <w:rsid w:val="00476B09"/>
    <w:rsid w:val="00476E8A"/>
    <w:rsid w:val="0047701C"/>
    <w:rsid w:val="00477539"/>
    <w:rsid w:val="004775EE"/>
    <w:rsid w:val="004779AE"/>
    <w:rsid w:val="00477C22"/>
    <w:rsid w:val="00477CC6"/>
    <w:rsid w:val="00477F2A"/>
    <w:rsid w:val="00477F89"/>
    <w:rsid w:val="00480021"/>
    <w:rsid w:val="0048002B"/>
    <w:rsid w:val="00480118"/>
    <w:rsid w:val="0048047E"/>
    <w:rsid w:val="004805F9"/>
    <w:rsid w:val="0048062C"/>
    <w:rsid w:val="00480681"/>
    <w:rsid w:val="00480686"/>
    <w:rsid w:val="00480739"/>
    <w:rsid w:val="00480982"/>
    <w:rsid w:val="00480BFB"/>
    <w:rsid w:val="00480C43"/>
    <w:rsid w:val="004810B6"/>
    <w:rsid w:val="00481272"/>
    <w:rsid w:val="004812FD"/>
    <w:rsid w:val="00481495"/>
    <w:rsid w:val="004814EA"/>
    <w:rsid w:val="004815DB"/>
    <w:rsid w:val="00481712"/>
    <w:rsid w:val="004818BF"/>
    <w:rsid w:val="004819E6"/>
    <w:rsid w:val="00481A73"/>
    <w:rsid w:val="00481B59"/>
    <w:rsid w:val="00481C5A"/>
    <w:rsid w:val="00481CF9"/>
    <w:rsid w:val="00481FF8"/>
    <w:rsid w:val="004826E6"/>
    <w:rsid w:val="004829FD"/>
    <w:rsid w:val="004831A5"/>
    <w:rsid w:val="004831FE"/>
    <w:rsid w:val="004832A8"/>
    <w:rsid w:val="00483527"/>
    <w:rsid w:val="00483859"/>
    <w:rsid w:val="00484046"/>
    <w:rsid w:val="00484244"/>
    <w:rsid w:val="004843E5"/>
    <w:rsid w:val="00484BE2"/>
    <w:rsid w:val="00484FE5"/>
    <w:rsid w:val="004850A0"/>
    <w:rsid w:val="0048530E"/>
    <w:rsid w:val="0048546E"/>
    <w:rsid w:val="0048547A"/>
    <w:rsid w:val="0048551A"/>
    <w:rsid w:val="00485801"/>
    <w:rsid w:val="0048599A"/>
    <w:rsid w:val="00485B69"/>
    <w:rsid w:val="00485C45"/>
    <w:rsid w:val="00485D52"/>
    <w:rsid w:val="004860F7"/>
    <w:rsid w:val="0048658E"/>
    <w:rsid w:val="0048666C"/>
    <w:rsid w:val="00486697"/>
    <w:rsid w:val="004869C0"/>
    <w:rsid w:val="00486A92"/>
    <w:rsid w:val="00486B0A"/>
    <w:rsid w:val="00486BCA"/>
    <w:rsid w:val="00486D88"/>
    <w:rsid w:val="00486D98"/>
    <w:rsid w:val="00487362"/>
    <w:rsid w:val="00487C4D"/>
    <w:rsid w:val="00487D58"/>
    <w:rsid w:val="0049001F"/>
    <w:rsid w:val="004901AE"/>
    <w:rsid w:val="004902B8"/>
    <w:rsid w:val="004904F7"/>
    <w:rsid w:val="00490665"/>
    <w:rsid w:val="004906B4"/>
    <w:rsid w:val="00490763"/>
    <w:rsid w:val="00490958"/>
    <w:rsid w:val="00490AE9"/>
    <w:rsid w:val="00490B28"/>
    <w:rsid w:val="00490B8D"/>
    <w:rsid w:val="00490F2B"/>
    <w:rsid w:val="00490FBB"/>
    <w:rsid w:val="00491029"/>
    <w:rsid w:val="004912F3"/>
    <w:rsid w:val="0049135A"/>
    <w:rsid w:val="00491440"/>
    <w:rsid w:val="004916AF"/>
    <w:rsid w:val="004917F9"/>
    <w:rsid w:val="0049192E"/>
    <w:rsid w:val="004919AA"/>
    <w:rsid w:val="00491D7D"/>
    <w:rsid w:val="00491DB5"/>
    <w:rsid w:val="00492307"/>
    <w:rsid w:val="004929F0"/>
    <w:rsid w:val="00492B08"/>
    <w:rsid w:val="00492C55"/>
    <w:rsid w:val="00492FA4"/>
    <w:rsid w:val="004931E7"/>
    <w:rsid w:val="004932E6"/>
    <w:rsid w:val="00493484"/>
    <w:rsid w:val="00493503"/>
    <w:rsid w:val="0049381B"/>
    <w:rsid w:val="00493980"/>
    <w:rsid w:val="00493F18"/>
    <w:rsid w:val="00494003"/>
    <w:rsid w:val="004943A6"/>
    <w:rsid w:val="004944FE"/>
    <w:rsid w:val="00494536"/>
    <w:rsid w:val="00494568"/>
    <w:rsid w:val="00494688"/>
    <w:rsid w:val="00494892"/>
    <w:rsid w:val="00494A5A"/>
    <w:rsid w:val="00494FAD"/>
    <w:rsid w:val="00495093"/>
    <w:rsid w:val="0049517A"/>
    <w:rsid w:val="004952AE"/>
    <w:rsid w:val="0049540B"/>
    <w:rsid w:val="004955DF"/>
    <w:rsid w:val="00495648"/>
    <w:rsid w:val="00496089"/>
    <w:rsid w:val="0049664A"/>
    <w:rsid w:val="004969FE"/>
    <w:rsid w:val="00496B28"/>
    <w:rsid w:val="00496D37"/>
    <w:rsid w:val="00496DE9"/>
    <w:rsid w:val="00496E3C"/>
    <w:rsid w:val="00496F2B"/>
    <w:rsid w:val="00496F3F"/>
    <w:rsid w:val="00497592"/>
    <w:rsid w:val="004976C4"/>
    <w:rsid w:val="004976E1"/>
    <w:rsid w:val="0049785B"/>
    <w:rsid w:val="00497867"/>
    <w:rsid w:val="00497DCE"/>
    <w:rsid w:val="004A066D"/>
    <w:rsid w:val="004A0767"/>
    <w:rsid w:val="004A0890"/>
    <w:rsid w:val="004A089B"/>
    <w:rsid w:val="004A08CB"/>
    <w:rsid w:val="004A0A92"/>
    <w:rsid w:val="004A0B3C"/>
    <w:rsid w:val="004A0DEF"/>
    <w:rsid w:val="004A13A0"/>
    <w:rsid w:val="004A13A8"/>
    <w:rsid w:val="004A152E"/>
    <w:rsid w:val="004A15E9"/>
    <w:rsid w:val="004A1CA6"/>
    <w:rsid w:val="004A1CBD"/>
    <w:rsid w:val="004A1CD2"/>
    <w:rsid w:val="004A1EE8"/>
    <w:rsid w:val="004A208E"/>
    <w:rsid w:val="004A20EA"/>
    <w:rsid w:val="004A23EC"/>
    <w:rsid w:val="004A25E6"/>
    <w:rsid w:val="004A274D"/>
    <w:rsid w:val="004A282D"/>
    <w:rsid w:val="004A2B22"/>
    <w:rsid w:val="004A2C25"/>
    <w:rsid w:val="004A2EFA"/>
    <w:rsid w:val="004A3367"/>
    <w:rsid w:val="004A3427"/>
    <w:rsid w:val="004A37AF"/>
    <w:rsid w:val="004A3920"/>
    <w:rsid w:val="004A3928"/>
    <w:rsid w:val="004A3944"/>
    <w:rsid w:val="004A3A48"/>
    <w:rsid w:val="004A3AE8"/>
    <w:rsid w:val="004A3D76"/>
    <w:rsid w:val="004A3ECC"/>
    <w:rsid w:val="004A3F66"/>
    <w:rsid w:val="004A405C"/>
    <w:rsid w:val="004A42B7"/>
    <w:rsid w:val="004A42D6"/>
    <w:rsid w:val="004A437F"/>
    <w:rsid w:val="004A45AA"/>
    <w:rsid w:val="004A4695"/>
    <w:rsid w:val="004A4819"/>
    <w:rsid w:val="004A486D"/>
    <w:rsid w:val="004A4899"/>
    <w:rsid w:val="004A4D06"/>
    <w:rsid w:val="004A4D0D"/>
    <w:rsid w:val="004A4F15"/>
    <w:rsid w:val="004A4F67"/>
    <w:rsid w:val="004A50B1"/>
    <w:rsid w:val="004A512B"/>
    <w:rsid w:val="004A512C"/>
    <w:rsid w:val="004A538C"/>
    <w:rsid w:val="004A542F"/>
    <w:rsid w:val="004A546F"/>
    <w:rsid w:val="004A54B0"/>
    <w:rsid w:val="004A5B74"/>
    <w:rsid w:val="004A5C21"/>
    <w:rsid w:val="004A5D08"/>
    <w:rsid w:val="004A5D77"/>
    <w:rsid w:val="004A620A"/>
    <w:rsid w:val="004A625C"/>
    <w:rsid w:val="004A62B2"/>
    <w:rsid w:val="004A62DD"/>
    <w:rsid w:val="004A65EB"/>
    <w:rsid w:val="004A660D"/>
    <w:rsid w:val="004A662B"/>
    <w:rsid w:val="004A6867"/>
    <w:rsid w:val="004A69CC"/>
    <w:rsid w:val="004A6B11"/>
    <w:rsid w:val="004A6EC0"/>
    <w:rsid w:val="004A6F38"/>
    <w:rsid w:val="004A7014"/>
    <w:rsid w:val="004A725F"/>
    <w:rsid w:val="004A7281"/>
    <w:rsid w:val="004A7540"/>
    <w:rsid w:val="004A766F"/>
    <w:rsid w:val="004A76F2"/>
    <w:rsid w:val="004A790A"/>
    <w:rsid w:val="004A7BD7"/>
    <w:rsid w:val="004A7DA1"/>
    <w:rsid w:val="004A7FE7"/>
    <w:rsid w:val="004B002F"/>
    <w:rsid w:val="004B00F4"/>
    <w:rsid w:val="004B014A"/>
    <w:rsid w:val="004B0BF1"/>
    <w:rsid w:val="004B0C7E"/>
    <w:rsid w:val="004B0F7A"/>
    <w:rsid w:val="004B102E"/>
    <w:rsid w:val="004B1092"/>
    <w:rsid w:val="004B1242"/>
    <w:rsid w:val="004B1252"/>
    <w:rsid w:val="004B1288"/>
    <w:rsid w:val="004B160D"/>
    <w:rsid w:val="004B1726"/>
    <w:rsid w:val="004B1A6A"/>
    <w:rsid w:val="004B2354"/>
    <w:rsid w:val="004B2440"/>
    <w:rsid w:val="004B2556"/>
    <w:rsid w:val="004B2B48"/>
    <w:rsid w:val="004B2BB8"/>
    <w:rsid w:val="004B2CCB"/>
    <w:rsid w:val="004B2E99"/>
    <w:rsid w:val="004B30B9"/>
    <w:rsid w:val="004B3455"/>
    <w:rsid w:val="004B34DD"/>
    <w:rsid w:val="004B3B49"/>
    <w:rsid w:val="004B3D8C"/>
    <w:rsid w:val="004B3F5A"/>
    <w:rsid w:val="004B3FF4"/>
    <w:rsid w:val="004B4040"/>
    <w:rsid w:val="004B405A"/>
    <w:rsid w:val="004B4135"/>
    <w:rsid w:val="004B41AA"/>
    <w:rsid w:val="004B4237"/>
    <w:rsid w:val="004B430A"/>
    <w:rsid w:val="004B43DE"/>
    <w:rsid w:val="004B463B"/>
    <w:rsid w:val="004B4D85"/>
    <w:rsid w:val="004B4F68"/>
    <w:rsid w:val="004B53FF"/>
    <w:rsid w:val="004B5591"/>
    <w:rsid w:val="004B55AE"/>
    <w:rsid w:val="004B576A"/>
    <w:rsid w:val="004B5C40"/>
    <w:rsid w:val="004B5D0F"/>
    <w:rsid w:val="004B5E59"/>
    <w:rsid w:val="004B600D"/>
    <w:rsid w:val="004B60F2"/>
    <w:rsid w:val="004B64D1"/>
    <w:rsid w:val="004B6703"/>
    <w:rsid w:val="004B67D2"/>
    <w:rsid w:val="004B693B"/>
    <w:rsid w:val="004B6A11"/>
    <w:rsid w:val="004B6A21"/>
    <w:rsid w:val="004B6B30"/>
    <w:rsid w:val="004B6C18"/>
    <w:rsid w:val="004B6C9F"/>
    <w:rsid w:val="004B71AC"/>
    <w:rsid w:val="004B7221"/>
    <w:rsid w:val="004B72CD"/>
    <w:rsid w:val="004B7681"/>
    <w:rsid w:val="004B7710"/>
    <w:rsid w:val="004B7793"/>
    <w:rsid w:val="004B7829"/>
    <w:rsid w:val="004B78AA"/>
    <w:rsid w:val="004B7C54"/>
    <w:rsid w:val="004B7E16"/>
    <w:rsid w:val="004B7E96"/>
    <w:rsid w:val="004C0336"/>
    <w:rsid w:val="004C03DF"/>
    <w:rsid w:val="004C04CF"/>
    <w:rsid w:val="004C0659"/>
    <w:rsid w:val="004C0A57"/>
    <w:rsid w:val="004C106D"/>
    <w:rsid w:val="004C14B6"/>
    <w:rsid w:val="004C14E7"/>
    <w:rsid w:val="004C1724"/>
    <w:rsid w:val="004C1980"/>
    <w:rsid w:val="004C1BED"/>
    <w:rsid w:val="004C1C0D"/>
    <w:rsid w:val="004C1DD1"/>
    <w:rsid w:val="004C1E1D"/>
    <w:rsid w:val="004C214C"/>
    <w:rsid w:val="004C21E5"/>
    <w:rsid w:val="004C22A6"/>
    <w:rsid w:val="004C22E8"/>
    <w:rsid w:val="004C23DD"/>
    <w:rsid w:val="004C26DF"/>
    <w:rsid w:val="004C2731"/>
    <w:rsid w:val="004C2880"/>
    <w:rsid w:val="004C2D25"/>
    <w:rsid w:val="004C2DD4"/>
    <w:rsid w:val="004C2F1B"/>
    <w:rsid w:val="004C3079"/>
    <w:rsid w:val="004C3121"/>
    <w:rsid w:val="004C32C1"/>
    <w:rsid w:val="004C340D"/>
    <w:rsid w:val="004C3439"/>
    <w:rsid w:val="004C3643"/>
    <w:rsid w:val="004C3955"/>
    <w:rsid w:val="004C39E5"/>
    <w:rsid w:val="004C3A00"/>
    <w:rsid w:val="004C3A05"/>
    <w:rsid w:val="004C3BC4"/>
    <w:rsid w:val="004C3BFD"/>
    <w:rsid w:val="004C3D55"/>
    <w:rsid w:val="004C403E"/>
    <w:rsid w:val="004C42A7"/>
    <w:rsid w:val="004C42F3"/>
    <w:rsid w:val="004C444D"/>
    <w:rsid w:val="004C4694"/>
    <w:rsid w:val="004C48BE"/>
    <w:rsid w:val="004C4A7B"/>
    <w:rsid w:val="004C4ADE"/>
    <w:rsid w:val="004C4BFE"/>
    <w:rsid w:val="004C4C3C"/>
    <w:rsid w:val="004C4C51"/>
    <w:rsid w:val="004C4C85"/>
    <w:rsid w:val="004C4CB4"/>
    <w:rsid w:val="004C4DDC"/>
    <w:rsid w:val="004C4F44"/>
    <w:rsid w:val="004C5017"/>
    <w:rsid w:val="004C50CC"/>
    <w:rsid w:val="004C5108"/>
    <w:rsid w:val="004C5149"/>
    <w:rsid w:val="004C5564"/>
    <w:rsid w:val="004C55CC"/>
    <w:rsid w:val="004C5679"/>
    <w:rsid w:val="004C576F"/>
    <w:rsid w:val="004C5945"/>
    <w:rsid w:val="004C5953"/>
    <w:rsid w:val="004C5DFF"/>
    <w:rsid w:val="004C5E44"/>
    <w:rsid w:val="004C5EED"/>
    <w:rsid w:val="004C6204"/>
    <w:rsid w:val="004C634B"/>
    <w:rsid w:val="004C65C1"/>
    <w:rsid w:val="004C65EB"/>
    <w:rsid w:val="004C66EC"/>
    <w:rsid w:val="004C6B5A"/>
    <w:rsid w:val="004C6C23"/>
    <w:rsid w:val="004C6F11"/>
    <w:rsid w:val="004C7045"/>
    <w:rsid w:val="004C720B"/>
    <w:rsid w:val="004C72A7"/>
    <w:rsid w:val="004C7305"/>
    <w:rsid w:val="004C7309"/>
    <w:rsid w:val="004C740E"/>
    <w:rsid w:val="004C7757"/>
    <w:rsid w:val="004C775C"/>
    <w:rsid w:val="004C794A"/>
    <w:rsid w:val="004C7953"/>
    <w:rsid w:val="004C7CA6"/>
    <w:rsid w:val="004D00FE"/>
    <w:rsid w:val="004D035F"/>
    <w:rsid w:val="004D045D"/>
    <w:rsid w:val="004D065B"/>
    <w:rsid w:val="004D08B9"/>
    <w:rsid w:val="004D091E"/>
    <w:rsid w:val="004D0E05"/>
    <w:rsid w:val="004D0FA3"/>
    <w:rsid w:val="004D11CC"/>
    <w:rsid w:val="004D13A2"/>
    <w:rsid w:val="004D14F6"/>
    <w:rsid w:val="004D151A"/>
    <w:rsid w:val="004D199C"/>
    <w:rsid w:val="004D19DE"/>
    <w:rsid w:val="004D1A2F"/>
    <w:rsid w:val="004D1ADC"/>
    <w:rsid w:val="004D1BE6"/>
    <w:rsid w:val="004D1BE8"/>
    <w:rsid w:val="004D1C3D"/>
    <w:rsid w:val="004D1E92"/>
    <w:rsid w:val="004D1FA7"/>
    <w:rsid w:val="004D20EA"/>
    <w:rsid w:val="004D224E"/>
    <w:rsid w:val="004D22E8"/>
    <w:rsid w:val="004D27C1"/>
    <w:rsid w:val="004D2860"/>
    <w:rsid w:val="004D287C"/>
    <w:rsid w:val="004D2938"/>
    <w:rsid w:val="004D2A60"/>
    <w:rsid w:val="004D2D4A"/>
    <w:rsid w:val="004D2DC9"/>
    <w:rsid w:val="004D2EDA"/>
    <w:rsid w:val="004D2EF1"/>
    <w:rsid w:val="004D316A"/>
    <w:rsid w:val="004D3523"/>
    <w:rsid w:val="004D3879"/>
    <w:rsid w:val="004D3DD8"/>
    <w:rsid w:val="004D3E48"/>
    <w:rsid w:val="004D4073"/>
    <w:rsid w:val="004D4313"/>
    <w:rsid w:val="004D44E6"/>
    <w:rsid w:val="004D4B7A"/>
    <w:rsid w:val="004D4E3E"/>
    <w:rsid w:val="004D4F13"/>
    <w:rsid w:val="004D500D"/>
    <w:rsid w:val="004D50EB"/>
    <w:rsid w:val="004D54FE"/>
    <w:rsid w:val="004D55EB"/>
    <w:rsid w:val="004D55F2"/>
    <w:rsid w:val="004D5980"/>
    <w:rsid w:val="004D5BA1"/>
    <w:rsid w:val="004D5C06"/>
    <w:rsid w:val="004D5C69"/>
    <w:rsid w:val="004D5F6D"/>
    <w:rsid w:val="004D64D7"/>
    <w:rsid w:val="004D6561"/>
    <w:rsid w:val="004D6A7E"/>
    <w:rsid w:val="004D6EF7"/>
    <w:rsid w:val="004D6FD0"/>
    <w:rsid w:val="004D70A7"/>
    <w:rsid w:val="004D7416"/>
    <w:rsid w:val="004D744C"/>
    <w:rsid w:val="004D7472"/>
    <w:rsid w:val="004D74D1"/>
    <w:rsid w:val="004D74FE"/>
    <w:rsid w:val="004D75CA"/>
    <w:rsid w:val="004D786D"/>
    <w:rsid w:val="004D795C"/>
    <w:rsid w:val="004D7A33"/>
    <w:rsid w:val="004D7A4F"/>
    <w:rsid w:val="004D7C05"/>
    <w:rsid w:val="004D7C95"/>
    <w:rsid w:val="004D7E41"/>
    <w:rsid w:val="004E025F"/>
    <w:rsid w:val="004E0283"/>
    <w:rsid w:val="004E0289"/>
    <w:rsid w:val="004E0311"/>
    <w:rsid w:val="004E032C"/>
    <w:rsid w:val="004E0952"/>
    <w:rsid w:val="004E09D3"/>
    <w:rsid w:val="004E0A53"/>
    <w:rsid w:val="004E0CBF"/>
    <w:rsid w:val="004E0E8F"/>
    <w:rsid w:val="004E12C7"/>
    <w:rsid w:val="004E1438"/>
    <w:rsid w:val="004E14E4"/>
    <w:rsid w:val="004E16C9"/>
    <w:rsid w:val="004E181E"/>
    <w:rsid w:val="004E1F2F"/>
    <w:rsid w:val="004E1F3F"/>
    <w:rsid w:val="004E2101"/>
    <w:rsid w:val="004E21A8"/>
    <w:rsid w:val="004E2354"/>
    <w:rsid w:val="004E244E"/>
    <w:rsid w:val="004E25EC"/>
    <w:rsid w:val="004E2863"/>
    <w:rsid w:val="004E29AE"/>
    <w:rsid w:val="004E2A09"/>
    <w:rsid w:val="004E2A97"/>
    <w:rsid w:val="004E3003"/>
    <w:rsid w:val="004E3238"/>
    <w:rsid w:val="004E3596"/>
    <w:rsid w:val="004E36C1"/>
    <w:rsid w:val="004E3CB9"/>
    <w:rsid w:val="004E3E62"/>
    <w:rsid w:val="004E3FD4"/>
    <w:rsid w:val="004E41CF"/>
    <w:rsid w:val="004E44A6"/>
    <w:rsid w:val="004E4511"/>
    <w:rsid w:val="004E464A"/>
    <w:rsid w:val="004E49FA"/>
    <w:rsid w:val="004E49FF"/>
    <w:rsid w:val="004E4B68"/>
    <w:rsid w:val="004E4C4E"/>
    <w:rsid w:val="004E54DC"/>
    <w:rsid w:val="004E57A5"/>
    <w:rsid w:val="004E5A00"/>
    <w:rsid w:val="004E5BF2"/>
    <w:rsid w:val="004E60C9"/>
    <w:rsid w:val="004E6159"/>
    <w:rsid w:val="004E67D3"/>
    <w:rsid w:val="004E67F9"/>
    <w:rsid w:val="004E69C8"/>
    <w:rsid w:val="004E6D86"/>
    <w:rsid w:val="004E6D92"/>
    <w:rsid w:val="004E6EB3"/>
    <w:rsid w:val="004E6FE6"/>
    <w:rsid w:val="004E707F"/>
    <w:rsid w:val="004E7616"/>
    <w:rsid w:val="004E7A72"/>
    <w:rsid w:val="004E7CA8"/>
    <w:rsid w:val="004E7CFF"/>
    <w:rsid w:val="004E7D46"/>
    <w:rsid w:val="004F0135"/>
    <w:rsid w:val="004F01E3"/>
    <w:rsid w:val="004F0297"/>
    <w:rsid w:val="004F02CA"/>
    <w:rsid w:val="004F0369"/>
    <w:rsid w:val="004F03D9"/>
    <w:rsid w:val="004F03DF"/>
    <w:rsid w:val="004F041B"/>
    <w:rsid w:val="004F0445"/>
    <w:rsid w:val="004F06D6"/>
    <w:rsid w:val="004F0A37"/>
    <w:rsid w:val="004F0C87"/>
    <w:rsid w:val="004F0CE6"/>
    <w:rsid w:val="004F0D00"/>
    <w:rsid w:val="004F105A"/>
    <w:rsid w:val="004F165F"/>
    <w:rsid w:val="004F1684"/>
    <w:rsid w:val="004F1903"/>
    <w:rsid w:val="004F2168"/>
    <w:rsid w:val="004F22C4"/>
    <w:rsid w:val="004F2560"/>
    <w:rsid w:val="004F2F66"/>
    <w:rsid w:val="004F305C"/>
    <w:rsid w:val="004F30FE"/>
    <w:rsid w:val="004F311B"/>
    <w:rsid w:val="004F3299"/>
    <w:rsid w:val="004F3466"/>
    <w:rsid w:val="004F382A"/>
    <w:rsid w:val="004F385E"/>
    <w:rsid w:val="004F3865"/>
    <w:rsid w:val="004F3EA8"/>
    <w:rsid w:val="004F402F"/>
    <w:rsid w:val="004F43D5"/>
    <w:rsid w:val="004F45D7"/>
    <w:rsid w:val="004F473F"/>
    <w:rsid w:val="004F4834"/>
    <w:rsid w:val="004F48CD"/>
    <w:rsid w:val="004F4AD7"/>
    <w:rsid w:val="004F4CC5"/>
    <w:rsid w:val="004F4FC8"/>
    <w:rsid w:val="004F514F"/>
    <w:rsid w:val="004F5399"/>
    <w:rsid w:val="004F55A2"/>
    <w:rsid w:val="004F5811"/>
    <w:rsid w:val="004F5881"/>
    <w:rsid w:val="004F5A0D"/>
    <w:rsid w:val="004F5B5C"/>
    <w:rsid w:val="004F5C16"/>
    <w:rsid w:val="004F5D4C"/>
    <w:rsid w:val="004F5DAC"/>
    <w:rsid w:val="004F5DC8"/>
    <w:rsid w:val="004F5EF0"/>
    <w:rsid w:val="004F5F3A"/>
    <w:rsid w:val="004F6125"/>
    <w:rsid w:val="004F6204"/>
    <w:rsid w:val="004F63B6"/>
    <w:rsid w:val="004F63E3"/>
    <w:rsid w:val="004F6B85"/>
    <w:rsid w:val="004F6BC3"/>
    <w:rsid w:val="004F6E2E"/>
    <w:rsid w:val="004F70D2"/>
    <w:rsid w:val="004F7116"/>
    <w:rsid w:val="004F71D3"/>
    <w:rsid w:val="004F7236"/>
    <w:rsid w:val="004F72C5"/>
    <w:rsid w:val="004F744C"/>
    <w:rsid w:val="004F748E"/>
    <w:rsid w:val="004F78B4"/>
    <w:rsid w:val="004F7932"/>
    <w:rsid w:val="004F7A27"/>
    <w:rsid w:val="004F7A45"/>
    <w:rsid w:val="004F7E11"/>
    <w:rsid w:val="00500049"/>
    <w:rsid w:val="00500123"/>
    <w:rsid w:val="0050012E"/>
    <w:rsid w:val="00500220"/>
    <w:rsid w:val="00500FC7"/>
    <w:rsid w:val="00501038"/>
    <w:rsid w:val="00501197"/>
    <w:rsid w:val="0050119F"/>
    <w:rsid w:val="00501498"/>
    <w:rsid w:val="00501867"/>
    <w:rsid w:val="00501A38"/>
    <w:rsid w:val="00501DFF"/>
    <w:rsid w:val="00502024"/>
    <w:rsid w:val="00502380"/>
    <w:rsid w:val="005023BE"/>
    <w:rsid w:val="005023C5"/>
    <w:rsid w:val="0050263D"/>
    <w:rsid w:val="00502647"/>
    <w:rsid w:val="0050279D"/>
    <w:rsid w:val="005028D5"/>
    <w:rsid w:val="005029B8"/>
    <w:rsid w:val="005029C2"/>
    <w:rsid w:val="00502A0B"/>
    <w:rsid w:val="00502BFA"/>
    <w:rsid w:val="00502C70"/>
    <w:rsid w:val="00502E12"/>
    <w:rsid w:val="00502FD1"/>
    <w:rsid w:val="00503106"/>
    <w:rsid w:val="0050369F"/>
    <w:rsid w:val="00503940"/>
    <w:rsid w:val="00503A5C"/>
    <w:rsid w:val="00503C8A"/>
    <w:rsid w:val="00503CD5"/>
    <w:rsid w:val="00503E04"/>
    <w:rsid w:val="00503EAC"/>
    <w:rsid w:val="00503FE9"/>
    <w:rsid w:val="00504156"/>
    <w:rsid w:val="005042A8"/>
    <w:rsid w:val="0050474F"/>
    <w:rsid w:val="0050478E"/>
    <w:rsid w:val="00504A02"/>
    <w:rsid w:val="00504BE7"/>
    <w:rsid w:val="00504E07"/>
    <w:rsid w:val="00505031"/>
    <w:rsid w:val="0050545E"/>
    <w:rsid w:val="005054BB"/>
    <w:rsid w:val="00505519"/>
    <w:rsid w:val="00505758"/>
    <w:rsid w:val="00505879"/>
    <w:rsid w:val="0050590D"/>
    <w:rsid w:val="00505C10"/>
    <w:rsid w:val="00505C36"/>
    <w:rsid w:val="00505CBF"/>
    <w:rsid w:val="00505D13"/>
    <w:rsid w:val="00505EAB"/>
    <w:rsid w:val="0050615B"/>
    <w:rsid w:val="00506277"/>
    <w:rsid w:val="00506806"/>
    <w:rsid w:val="005068C1"/>
    <w:rsid w:val="005069BA"/>
    <w:rsid w:val="00506D61"/>
    <w:rsid w:val="00506DD7"/>
    <w:rsid w:val="00507198"/>
    <w:rsid w:val="005073D9"/>
    <w:rsid w:val="00507761"/>
    <w:rsid w:val="00507897"/>
    <w:rsid w:val="00507C23"/>
    <w:rsid w:val="00507C89"/>
    <w:rsid w:val="00507EBD"/>
    <w:rsid w:val="00507FA0"/>
    <w:rsid w:val="0051001B"/>
    <w:rsid w:val="005100AC"/>
    <w:rsid w:val="0051017F"/>
    <w:rsid w:val="00510350"/>
    <w:rsid w:val="005105F6"/>
    <w:rsid w:val="00510862"/>
    <w:rsid w:val="00511179"/>
    <w:rsid w:val="005111E7"/>
    <w:rsid w:val="00511275"/>
    <w:rsid w:val="0051131D"/>
    <w:rsid w:val="00511A0E"/>
    <w:rsid w:val="00511A73"/>
    <w:rsid w:val="00511CE2"/>
    <w:rsid w:val="00511E4C"/>
    <w:rsid w:val="00511F21"/>
    <w:rsid w:val="005120E6"/>
    <w:rsid w:val="00512288"/>
    <w:rsid w:val="00512579"/>
    <w:rsid w:val="0051265F"/>
    <w:rsid w:val="0051266C"/>
    <w:rsid w:val="00512716"/>
    <w:rsid w:val="00512717"/>
    <w:rsid w:val="00512743"/>
    <w:rsid w:val="00512FD8"/>
    <w:rsid w:val="00513029"/>
    <w:rsid w:val="00513047"/>
    <w:rsid w:val="005134E6"/>
    <w:rsid w:val="0051351A"/>
    <w:rsid w:val="0051374C"/>
    <w:rsid w:val="0051377C"/>
    <w:rsid w:val="0051387C"/>
    <w:rsid w:val="005139CE"/>
    <w:rsid w:val="00513D17"/>
    <w:rsid w:val="00513D5F"/>
    <w:rsid w:val="00513DAF"/>
    <w:rsid w:val="00513F53"/>
    <w:rsid w:val="00514512"/>
    <w:rsid w:val="00514540"/>
    <w:rsid w:val="005146F0"/>
    <w:rsid w:val="0051499D"/>
    <w:rsid w:val="00514C29"/>
    <w:rsid w:val="00514D1C"/>
    <w:rsid w:val="00514D95"/>
    <w:rsid w:val="00514F2A"/>
    <w:rsid w:val="005150C6"/>
    <w:rsid w:val="00515171"/>
    <w:rsid w:val="005151FE"/>
    <w:rsid w:val="005153B7"/>
    <w:rsid w:val="005155F6"/>
    <w:rsid w:val="00515680"/>
    <w:rsid w:val="00515724"/>
    <w:rsid w:val="005159FC"/>
    <w:rsid w:val="00515F20"/>
    <w:rsid w:val="00515FB1"/>
    <w:rsid w:val="00516089"/>
    <w:rsid w:val="00516131"/>
    <w:rsid w:val="005162FA"/>
    <w:rsid w:val="0051634C"/>
    <w:rsid w:val="00516608"/>
    <w:rsid w:val="00516627"/>
    <w:rsid w:val="005166A7"/>
    <w:rsid w:val="005168E5"/>
    <w:rsid w:val="005169E2"/>
    <w:rsid w:val="0051725B"/>
    <w:rsid w:val="00517929"/>
    <w:rsid w:val="00520144"/>
    <w:rsid w:val="005203B3"/>
    <w:rsid w:val="005204A2"/>
    <w:rsid w:val="00520694"/>
    <w:rsid w:val="00520711"/>
    <w:rsid w:val="00520713"/>
    <w:rsid w:val="0052071D"/>
    <w:rsid w:val="005207AF"/>
    <w:rsid w:val="00520A5B"/>
    <w:rsid w:val="00520BBA"/>
    <w:rsid w:val="00520FA0"/>
    <w:rsid w:val="005210B7"/>
    <w:rsid w:val="00521155"/>
    <w:rsid w:val="00521231"/>
    <w:rsid w:val="00521432"/>
    <w:rsid w:val="00521478"/>
    <w:rsid w:val="0052164D"/>
    <w:rsid w:val="005217A4"/>
    <w:rsid w:val="00521C1B"/>
    <w:rsid w:val="00521D2D"/>
    <w:rsid w:val="00521F27"/>
    <w:rsid w:val="005225B7"/>
    <w:rsid w:val="005228CD"/>
    <w:rsid w:val="00522DB2"/>
    <w:rsid w:val="00522FC1"/>
    <w:rsid w:val="0052301F"/>
    <w:rsid w:val="005231CC"/>
    <w:rsid w:val="005233E1"/>
    <w:rsid w:val="0052361D"/>
    <w:rsid w:val="005237F5"/>
    <w:rsid w:val="005238C7"/>
    <w:rsid w:val="00523968"/>
    <w:rsid w:val="00523A5E"/>
    <w:rsid w:val="00523C92"/>
    <w:rsid w:val="00523F62"/>
    <w:rsid w:val="0052405D"/>
    <w:rsid w:val="0052408E"/>
    <w:rsid w:val="005243E3"/>
    <w:rsid w:val="005246D3"/>
    <w:rsid w:val="00524715"/>
    <w:rsid w:val="0052485F"/>
    <w:rsid w:val="005249E8"/>
    <w:rsid w:val="00524A3A"/>
    <w:rsid w:val="00524E4F"/>
    <w:rsid w:val="00525010"/>
    <w:rsid w:val="005250F5"/>
    <w:rsid w:val="005254CF"/>
    <w:rsid w:val="00525714"/>
    <w:rsid w:val="00525A93"/>
    <w:rsid w:val="00525C2D"/>
    <w:rsid w:val="00525D62"/>
    <w:rsid w:val="00525E12"/>
    <w:rsid w:val="00525EE1"/>
    <w:rsid w:val="0052607F"/>
    <w:rsid w:val="00526185"/>
    <w:rsid w:val="005262B1"/>
    <w:rsid w:val="0052644D"/>
    <w:rsid w:val="0052697B"/>
    <w:rsid w:val="00526BCD"/>
    <w:rsid w:val="00526DFE"/>
    <w:rsid w:val="00527003"/>
    <w:rsid w:val="005271B9"/>
    <w:rsid w:val="0052722A"/>
    <w:rsid w:val="005272B1"/>
    <w:rsid w:val="00527417"/>
    <w:rsid w:val="00527547"/>
    <w:rsid w:val="005275E9"/>
    <w:rsid w:val="005275EC"/>
    <w:rsid w:val="005275F1"/>
    <w:rsid w:val="005277FE"/>
    <w:rsid w:val="005278CB"/>
    <w:rsid w:val="0052791B"/>
    <w:rsid w:val="005279D0"/>
    <w:rsid w:val="005279FC"/>
    <w:rsid w:val="00527D50"/>
    <w:rsid w:val="00527F85"/>
    <w:rsid w:val="00527FED"/>
    <w:rsid w:val="0053011C"/>
    <w:rsid w:val="00530693"/>
    <w:rsid w:val="005306B8"/>
    <w:rsid w:val="00530788"/>
    <w:rsid w:val="0053082A"/>
    <w:rsid w:val="0053085C"/>
    <w:rsid w:val="00530BD0"/>
    <w:rsid w:val="00530D06"/>
    <w:rsid w:val="00531103"/>
    <w:rsid w:val="0053111D"/>
    <w:rsid w:val="005315C4"/>
    <w:rsid w:val="00531BCE"/>
    <w:rsid w:val="00531CAF"/>
    <w:rsid w:val="00531CFD"/>
    <w:rsid w:val="00531FC5"/>
    <w:rsid w:val="005321CC"/>
    <w:rsid w:val="00532324"/>
    <w:rsid w:val="00532394"/>
    <w:rsid w:val="00532726"/>
    <w:rsid w:val="00532ADD"/>
    <w:rsid w:val="00532CD1"/>
    <w:rsid w:val="00532CDC"/>
    <w:rsid w:val="00532DB0"/>
    <w:rsid w:val="00532E53"/>
    <w:rsid w:val="00533378"/>
    <w:rsid w:val="005333F4"/>
    <w:rsid w:val="005333FF"/>
    <w:rsid w:val="005336AB"/>
    <w:rsid w:val="0053382F"/>
    <w:rsid w:val="00533944"/>
    <w:rsid w:val="00533B3C"/>
    <w:rsid w:val="00533BBA"/>
    <w:rsid w:val="00533DCE"/>
    <w:rsid w:val="0053405F"/>
    <w:rsid w:val="00534109"/>
    <w:rsid w:val="00534164"/>
    <w:rsid w:val="005343AC"/>
    <w:rsid w:val="00534465"/>
    <w:rsid w:val="0053453C"/>
    <w:rsid w:val="005345B2"/>
    <w:rsid w:val="00534744"/>
    <w:rsid w:val="00534770"/>
    <w:rsid w:val="0053482A"/>
    <w:rsid w:val="00534B02"/>
    <w:rsid w:val="00534B0E"/>
    <w:rsid w:val="00534B53"/>
    <w:rsid w:val="00534DC8"/>
    <w:rsid w:val="00534E75"/>
    <w:rsid w:val="00534EB3"/>
    <w:rsid w:val="00534FDE"/>
    <w:rsid w:val="0053502B"/>
    <w:rsid w:val="00535293"/>
    <w:rsid w:val="0053584A"/>
    <w:rsid w:val="00535D8D"/>
    <w:rsid w:val="005361D1"/>
    <w:rsid w:val="0053647F"/>
    <w:rsid w:val="0053648D"/>
    <w:rsid w:val="0053680F"/>
    <w:rsid w:val="0053696F"/>
    <w:rsid w:val="005369EF"/>
    <w:rsid w:val="00536E59"/>
    <w:rsid w:val="005371ED"/>
    <w:rsid w:val="00537480"/>
    <w:rsid w:val="00537A65"/>
    <w:rsid w:val="00537A76"/>
    <w:rsid w:val="00537D84"/>
    <w:rsid w:val="00537E78"/>
    <w:rsid w:val="00540012"/>
    <w:rsid w:val="00540305"/>
    <w:rsid w:val="00540316"/>
    <w:rsid w:val="0054035E"/>
    <w:rsid w:val="00540607"/>
    <w:rsid w:val="005407B9"/>
    <w:rsid w:val="005407D5"/>
    <w:rsid w:val="00540854"/>
    <w:rsid w:val="005409A4"/>
    <w:rsid w:val="00540A01"/>
    <w:rsid w:val="00540A76"/>
    <w:rsid w:val="00540B02"/>
    <w:rsid w:val="00540B2C"/>
    <w:rsid w:val="00540BD6"/>
    <w:rsid w:val="00540C9A"/>
    <w:rsid w:val="00540E44"/>
    <w:rsid w:val="00541081"/>
    <w:rsid w:val="005410ED"/>
    <w:rsid w:val="005411B3"/>
    <w:rsid w:val="00541352"/>
    <w:rsid w:val="00541416"/>
    <w:rsid w:val="0054143F"/>
    <w:rsid w:val="00541C41"/>
    <w:rsid w:val="00541EDE"/>
    <w:rsid w:val="0054213A"/>
    <w:rsid w:val="0054214E"/>
    <w:rsid w:val="005421E9"/>
    <w:rsid w:val="005422BC"/>
    <w:rsid w:val="0054232A"/>
    <w:rsid w:val="005423F6"/>
    <w:rsid w:val="00542536"/>
    <w:rsid w:val="005425D9"/>
    <w:rsid w:val="0054270D"/>
    <w:rsid w:val="005428C9"/>
    <w:rsid w:val="0054291C"/>
    <w:rsid w:val="00542AAA"/>
    <w:rsid w:val="00542B5A"/>
    <w:rsid w:val="00542D25"/>
    <w:rsid w:val="00542E57"/>
    <w:rsid w:val="0054311F"/>
    <w:rsid w:val="0054336D"/>
    <w:rsid w:val="00543442"/>
    <w:rsid w:val="005436E0"/>
    <w:rsid w:val="0054390C"/>
    <w:rsid w:val="00543EA8"/>
    <w:rsid w:val="00543EC6"/>
    <w:rsid w:val="00543FAE"/>
    <w:rsid w:val="0054406C"/>
    <w:rsid w:val="00544086"/>
    <w:rsid w:val="00544268"/>
    <w:rsid w:val="005442AF"/>
    <w:rsid w:val="00544354"/>
    <w:rsid w:val="0054440E"/>
    <w:rsid w:val="0054449D"/>
    <w:rsid w:val="005444C2"/>
    <w:rsid w:val="005444D2"/>
    <w:rsid w:val="00544859"/>
    <w:rsid w:val="0054492C"/>
    <w:rsid w:val="00544A35"/>
    <w:rsid w:val="00544B90"/>
    <w:rsid w:val="00544C4A"/>
    <w:rsid w:val="00544F8A"/>
    <w:rsid w:val="00544FA1"/>
    <w:rsid w:val="005450F5"/>
    <w:rsid w:val="00545273"/>
    <w:rsid w:val="0054556B"/>
    <w:rsid w:val="005455E3"/>
    <w:rsid w:val="00545666"/>
    <w:rsid w:val="005458AB"/>
    <w:rsid w:val="0054598C"/>
    <w:rsid w:val="00545A17"/>
    <w:rsid w:val="00545D24"/>
    <w:rsid w:val="00545EAB"/>
    <w:rsid w:val="00545FAB"/>
    <w:rsid w:val="005464C1"/>
    <w:rsid w:val="0054658D"/>
    <w:rsid w:val="00546681"/>
    <w:rsid w:val="0054694E"/>
    <w:rsid w:val="00546D62"/>
    <w:rsid w:val="00546E65"/>
    <w:rsid w:val="00546FD6"/>
    <w:rsid w:val="005470C2"/>
    <w:rsid w:val="005470F8"/>
    <w:rsid w:val="00547445"/>
    <w:rsid w:val="00547508"/>
    <w:rsid w:val="00547D90"/>
    <w:rsid w:val="00547E6B"/>
    <w:rsid w:val="005504C3"/>
    <w:rsid w:val="00550616"/>
    <w:rsid w:val="0055061B"/>
    <w:rsid w:val="005507B7"/>
    <w:rsid w:val="00550AEE"/>
    <w:rsid w:val="00550B24"/>
    <w:rsid w:val="00550B95"/>
    <w:rsid w:val="00550C45"/>
    <w:rsid w:val="00550F59"/>
    <w:rsid w:val="0055101C"/>
    <w:rsid w:val="005510A6"/>
    <w:rsid w:val="00551300"/>
    <w:rsid w:val="00551932"/>
    <w:rsid w:val="00551C4E"/>
    <w:rsid w:val="00551D34"/>
    <w:rsid w:val="00551D84"/>
    <w:rsid w:val="00551DBD"/>
    <w:rsid w:val="005521F8"/>
    <w:rsid w:val="00552230"/>
    <w:rsid w:val="00552334"/>
    <w:rsid w:val="005525DF"/>
    <w:rsid w:val="0055268A"/>
    <w:rsid w:val="00552785"/>
    <w:rsid w:val="005527C6"/>
    <w:rsid w:val="0055281B"/>
    <w:rsid w:val="00552FFE"/>
    <w:rsid w:val="005532FD"/>
    <w:rsid w:val="0055335A"/>
    <w:rsid w:val="00553477"/>
    <w:rsid w:val="0055352A"/>
    <w:rsid w:val="00553576"/>
    <w:rsid w:val="00553849"/>
    <w:rsid w:val="00553898"/>
    <w:rsid w:val="00553B0B"/>
    <w:rsid w:val="00553C57"/>
    <w:rsid w:val="00553F94"/>
    <w:rsid w:val="0055413A"/>
    <w:rsid w:val="00554471"/>
    <w:rsid w:val="0055451D"/>
    <w:rsid w:val="00554676"/>
    <w:rsid w:val="005551AF"/>
    <w:rsid w:val="00555235"/>
    <w:rsid w:val="00555320"/>
    <w:rsid w:val="00555347"/>
    <w:rsid w:val="00555376"/>
    <w:rsid w:val="005553CD"/>
    <w:rsid w:val="00555504"/>
    <w:rsid w:val="0055559B"/>
    <w:rsid w:val="005558A4"/>
    <w:rsid w:val="00555DA8"/>
    <w:rsid w:val="00555F01"/>
    <w:rsid w:val="00555FF1"/>
    <w:rsid w:val="0055600C"/>
    <w:rsid w:val="0055633F"/>
    <w:rsid w:val="00556412"/>
    <w:rsid w:val="00556460"/>
    <w:rsid w:val="005564A5"/>
    <w:rsid w:val="005567C1"/>
    <w:rsid w:val="005567F4"/>
    <w:rsid w:val="00556903"/>
    <w:rsid w:val="00556AD3"/>
    <w:rsid w:val="00556D45"/>
    <w:rsid w:val="00556E45"/>
    <w:rsid w:val="00556FAA"/>
    <w:rsid w:val="00556FAB"/>
    <w:rsid w:val="005570D1"/>
    <w:rsid w:val="005570EF"/>
    <w:rsid w:val="005572AD"/>
    <w:rsid w:val="00557480"/>
    <w:rsid w:val="00557490"/>
    <w:rsid w:val="00557751"/>
    <w:rsid w:val="005578F9"/>
    <w:rsid w:val="00557A16"/>
    <w:rsid w:val="00557B12"/>
    <w:rsid w:val="00557C32"/>
    <w:rsid w:val="00557CF6"/>
    <w:rsid w:val="005600D2"/>
    <w:rsid w:val="00560252"/>
    <w:rsid w:val="005603C7"/>
    <w:rsid w:val="005603DD"/>
    <w:rsid w:val="00560408"/>
    <w:rsid w:val="0056048F"/>
    <w:rsid w:val="0056062C"/>
    <w:rsid w:val="00560F12"/>
    <w:rsid w:val="00560F3C"/>
    <w:rsid w:val="005614FC"/>
    <w:rsid w:val="0056151B"/>
    <w:rsid w:val="005615DF"/>
    <w:rsid w:val="005615EC"/>
    <w:rsid w:val="005616CA"/>
    <w:rsid w:val="005616EA"/>
    <w:rsid w:val="00561AE9"/>
    <w:rsid w:val="00561FAB"/>
    <w:rsid w:val="00562040"/>
    <w:rsid w:val="005623B7"/>
    <w:rsid w:val="00562440"/>
    <w:rsid w:val="0056284E"/>
    <w:rsid w:val="00562B8F"/>
    <w:rsid w:val="00562DEA"/>
    <w:rsid w:val="00562E64"/>
    <w:rsid w:val="00562F2C"/>
    <w:rsid w:val="00562F84"/>
    <w:rsid w:val="0056329D"/>
    <w:rsid w:val="005637C4"/>
    <w:rsid w:val="005638A9"/>
    <w:rsid w:val="005639D2"/>
    <w:rsid w:val="00563CE1"/>
    <w:rsid w:val="00563DFA"/>
    <w:rsid w:val="00564145"/>
    <w:rsid w:val="005641AF"/>
    <w:rsid w:val="0056474B"/>
    <w:rsid w:val="005648BC"/>
    <w:rsid w:val="00564A64"/>
    <w:rsid w:val="00564B14"/>
    <w:rsid w:val="00564D96"/>
    <w:rsid w:val="0056500A"/>
    <w:rsid w:val="00565281"/>
    <w:rsid w:val="00565293"/>
    <w:rsid w:val="0056530F"/>
    <w:rsid w:val="00565347"/>
    <w:rsid w:val="00565457"/>
    <w:rsid w:val="005658EF"/>
    <w:rsid w:val="005658F1"/>
    <w:rsid w:val="00565973"/>
    <w:rsid w:val="00565A1F"/>
    <w:rsid w:val="00565C4E"/>
    <w:rsid w:val="00565DAF"/>
    <w:rsid w:val="00565E9D"/>
    <w:rsid w:val="00565F04"/>
    <w:rsid w:val="00565FBB"/>
    <w:rsid w:val="00566041"/>
    <w:rsid w:val="005661C3"/>
    <w:rsid w:val="0056626C"/>
    <w:rsid w:val="0056639B"/>
    <w:rsid w:val="00566472"/>
    <w:rsid w:val="00566491"/>
    <w:rsid w:val="005664A3"/>
    <w:rsid w:val="0056676F"/>
    <w:rsid w:val="005667A0"/>
    <w:rsid w:val="005667C3"/>
    <w:rsid w:val="005668C6"/>
    <w:rsid w:val="00566B99"/>
    <w:rsid w:val="00567012"/>
    <w:rsid w:val="00567244"/>
    <w:rsid w:val="00567695"/>
    <w:rsid w:val="00567703"/>
    <w:rsid w:val="0056771A"/>
    <w:rsid w:val="0056789A"/>
    <w:rsid w:val="00570386"/>
    <w:rsid w:val="00570546"/>
    <w:rsid w:val="0057092A"/>
    <w:rsid w:val="00570A71"/>
    <w:rsid w:val="00570B15"/>
    <w:rsid w:val="00570BA3"/>
    <w:rsid w:val="00570C54"/>
    <w:rsid w:val="00570CD4"/>
    <w:rsid w:val="00570D5A"/>
    <w:rsid w:val="00570FC5"/>
    <w:rsid w:val="00571013"/>
    <w:rsid w:val="005710C7"/>
    <w:rsid w:val="0057140D"/>
    <w:rsid w:val="00571457"/>
    <w:rsid w:val="00571618"/>
    <w:rsid w:val="0057165E"/>
    <w:rsid w:val="00571800"/>
    <w:rsid w:val="00571C7C"/>
    <w:rsid w:val="00571E8A"/>
    <w:rsid w:val="00571F7B"/>
    <w:rsid w:val="005726B1"/>
    <w:rsid w:val="00572726"/>
    <w:rsid w:val="00572A7B"/>
    <w:rsid w:val="00572AAC"/>
    <w:rsid w:val="00572C8E"/>
    <w:rsid w:val="00572D1C"/>
    <w:rsid w:val="00572EF8"/>
    <w:rsid w:val="00573023"/>
    <w:rsid w:val="00573099"/>
    <w:rsid w:val="005732DF"/>
    <w:rsid w:val="00573399"/>
    <w:rsid w:val="005733E0"/>
    <w:rsid w:val="00573529"/>
    <w:rsid w:val="0057353B"/>
    <w:rsid w:val="0057353F"/>
    <w:rsid w:val="00573582"/>
    <w:rsid w:val="005737CD"/>
    <w:rsid w:val="00573976"/>
    <w:rsid w:val="00573C45"/>
    <w:rsid w:val="00573CA6"/>
    <w:rsid w:val="00573CCC"/>
    <w:rsid w:val="00573D93"/>
    <w:rsid w:val="00573F24"/>
    <w:rsid w:val="005740CB"/>
    <w:rsid w:val="005742FF"/>
    <w:rsid w:val="005743D2"/>
    <w:rsid w:val="005746A2"/>
    <w:rsid w:val="00574734"/>
    <w:rsid w:val="00574744"/>
    <w:rsid w:val="0057483B"/>
    <w:rsid w:val="00574A16"/>
    <w:rsid w:val="00574EF5"/>
    <w:rsid w:val="00575000"/>
    <w:rsid w:val="00575057"/>
    <w:rsid w:val="005750C3"/>
    <w:rsid w:val="005751CB"/>
    <w:rsid w:val="00575278"/>
    <w:rsid w:val="00575526"/>
    <w:rsid w:val="00575584"/>
    <w:rsid w:val="005755F6"/>
    <w:rsid w:val="0057563E"/>
    <w:rsid w:val="005756C5"/>
    <w:rsid w:val="00575789"/>
    <w:rsid w:val="00575A8E"/>
    <w:rsid w:val="00575AB0"/>
    <w:rsid w:val="00575CA6"/>
    <w:rsid w:val="005763D1"/>
    <w:rsid w:val="0057658E"/>
    <w:rsid w:val="005766FF"/>
    <w:rsid w:val="00576735"/>
    <w:rsid w:val="005767F7"/>
    <w:rsid w:val="0057680B"/>
    <w:rsid w:val="005769CE"/>
    <w:rsid w:val="00576A9F"/>
    <w:rsid w:val="00576ADE"/>
    <w:rsid w:val="00576B2D"/>
    <w:rsid w:val="00576F6F"/>
    <w:rsid w:val="0057709A"/>
    <w:rsid w:val="00577108"/>
    <w:rsid w:val="0057725E"/>
    <w:rsid w:val="005773CC"/>
    <w:rsid w:val="00577449"/>
    <w:rsid w:val="005774C9"/>
    <w:rsid w:val="00577680"/>
    <w:rsid w:val="00577821"/>
    <w:rsid w:val="00577900"/>
    <w:rsid w:val="00577C59"/>
    <w:rsid w:val="00577D25"/>
    <w:rsid w:val="00580751"/>
    <w:rsid w:val="00580889"/>
    <w:rsid w:val="005809BD"/>
    <w:rsid w:val="00580AD4"/>
    <w:rsid w:val="00580D0F"/>
    <w:rsid w:val="00580D2A"/>
    <w:rsid w:val="0058102F"/>
    <w:rsid w:val="00581070"/>
    <w:rsid w:val="005813A0"/>
    <w:rsid w:val="005814B8"/>
    <w:rsid w:val="00581596"/>
    <w:rsid w:val="005817E4"/>
    <w:rsid w:val="00581802"/>
    <w:rsid w:val="0058185D"/>
    <w:rsid w:val="00581DCA"/>
    <w:rsid w:val="00581DE0"/>
    <w:rsid w:val="005821E6"/>
    <w:rsid w:val="00582221"/>
    <w:rsid w:val="005824E2"/>
    <w:rsid w:val="00582529"/>
    <w:rsid w:val="0058256D"/>
    <w:rsid w:val="0058263F"/>
    <w:rsid w:val="00582756"/>
    <w:rsid w:val="00582904"/>
    <w:rsid w:val="005829D1"/>
    <w:rsid w:val="00582A58"/>
    <w:rsid w:val="00582A77"/>
    <w:rsid w:val="00582AA9"/>
    <w:rsid w:val="00582CC1"/>
    <w:rsid w:val="00582D21"/>
    <w:rsid w:val="00582DA2"/>
    <w:rsid w:val="00582E63"/>
    <w:rsid w:val="00582F21"/>
    <w:rsid w:val="0058335A"/>
    <w:rsid w:val="0058359E"/>
    <w:rsid w:val="00583A69"/>
    <w:rsid w:val="00583AAE"/>
    <w:rsid w:val="00583F3D"/>
    <w:rsid w:val="005840B9"/>
    <w:rsid w:val="005840DD"/>
    <w:rsid w:val="005841FC"/>
    <w:rsid w:val="00584234"/>
    <w:rsid w:val="00584471"/>
    <w:rsid w:val="00584597"/>
    <w:rsid w:val="00584633"/>
    <w:rsid w:val="00584B7B"/>
    <w:rsid w:val="00584E86"/>
    <w:rsid w:val="005852DF"/>
    <w:rsid w:val="005852E8"/>
    <w:rsid w:val="005853D9"/>
    <w:rsid w:val="00585467"/>
    <w:rsid w:val="0058565D"/>
    <w:rsid w:val="005857A5"/>
    <w:rsid w:val="0058592C"/>
    <w:rsid w:val="00585CC6"/>
    <w:rsid w:val="00586046"/>
    <w:rsid w:val="00586097"/>
    <w:rsid w:val="005862B2"/>
    <w:rsid w:val="0058636F"/>
    <w:rsid w:val="0058666C"/>
    <w:rsid w:val="00586761"/>
    <w:rsid w:val="005867FC"/>
    <w:rsid w:val="005868EC"/>
    <w:rsid w:val="00586E58"/>
    <w:rsid w:val="00586E92"/>
    <w:rsid w:val="005872BF"/>
    <w:rsid w:val="0058736C"/>
    <w:rsid w:val="005874B4"/>
    <w:rsid w:val="0058757B"/>
    <w:rsid w:val="00587862"/>
    <w:rsid w:val="005878E7"/>
    <w:rsid w:val="00587F81"/>
    <w:rsid w:val="0059009C"/>
    <w:rsid w:val="005900E9"/>
    <w:rsid w:val="00590204"/>
    <w:rsid w:val="00590362"/>
    <w:rsid w:val="0059036A"/>
    <w:rsid w:val="00590404"/>
    <w:rsid w:val="005906FA"/>
    <w:rsid w:val="00590B39"/>
    <w:rsid w:val="00590B87"/>
    <w:rsid w:val="00590C64"/>
    <w:rsid w:val="00590D60"/>
    <w:rsid w:val="00590DA7"/>
    <w:rsid w:val="00590E20"/>
    <w:rsid w:val="00590ECC"/>
    <w:rsid w:val="00590F37"/>
    <w:rsid w:val="00590F8F"/>
    <w:rsid w:val="00590FA6"/>
    <w:rsid w:val="00591693"/>
    <w:rsid w:val="00591738"/>
    <w:rsid w:val="00591C41"/>
    <w:rsid w:val="00591DC7"/>
    <w:rsid w:val="00591DEC"/>
    <w:rsid w:val="00591F2B"/>
    <w:rsid w:val="00591FB3"/>
    <w:rsid w:val="00592272"/>
    <w:rsid w:val="00592319"/>
    <w:rsid w:val="005924C3"/>
    <w:rsid w:val="005927D3"/>
    <w:rsid w:val="005928D4"/>
    <w:rsid w:val="0059293F"/>
    <w:rsid w:val="00592F07"/>
    <w:rsid w:val="00592F28"/>
    <w:rsid w:val="005930D8"/>
    <w:rsid w:val="005930F3"/>
    <w:rsid w:val="0059370B"/>
    <w:rsid w:val="005939BC"/>
    <w:rsid w:val="00593B0A"/>
    <w:rsid w:val="00593B5A"/>
    <w:rsid w:val="00593B6D"/>
    <w:rsid w:val="00593DF3"/>
    <w:rsid w:val="00593F9C"/>
    <w:rsid w:val="00594126"/>
    <w:rsid w:val="005943DC"/>
    <w:rsid w:val="00594530"/>
    <w:rsid w:val="00594657"/>
    <w:rsid w:val="00594B47"/>
    <w:rsid w:val="00594D2B"/>
    <w:rsid w:val="00594E58"/>
    <w:rsid w:val="005951E7"/>
    <w:rsid w:val="0059525D"/>
    <w:rsid w:val="00595602"/>
    <w:rsid w:val="00595654"/>
    <w:rsid w:val="005956C1"/>
    <w:rsid w:val="0059577D"/>
    <w:rsid w:val="00595864"/>
    <w:rsid w:val="00595C3E"/>
    <w:rsid w:val="00595CB7"/>
    <w:rsid w:val="00595E47"/>
    <w:rsid w:val="0059612A"/>
    <w:rsid w:val="00596478"/>
    <w:rsid w:val="0059672E"/>
    <w:rsid w:val="0059679E"/>
    <w:rsid w:val="00596800"/>
    <w:rsid w:val="005969A8"/>
    <w:rsid w:val="00596A65"/>
    <w:rsid w:val="00596B47"/>
    <w:rsid w:val="00596C19"/>
    <w:rsid w:val="00596F53"/>
    <w:rsid w:val="00596F84"/>
    <w:rsid w:val="00596FC7"/>
    <w:rsid w:val="005970F4"/>
    <w:rsid w:val="005972F8"/>
    <w:rsid w:val="00597391"/>
    <w:rsid w:val="005976EF"/>
    <w:rsid w:val="005977B2"/>
    <w:rsid w:val="00597896"/>
    <w:rsid w:val="005978BC"/>
    <w:rsid w:val="00597AF7"/>
    <w:rsid w:val="00597B46"/>
    <w:rsid w:val="00597B48"/>
    <w:rsid w:val="00597CD4"/>
    <w:rsid w:val="00597DA6"/>
    <w:rsid w:val="005A02E1"/>
    <w:rsid w:val="005A0595"/>
    <w:rsid w:val="005A09D5"/>
    <w:rsid w:val="005A0BD6"/>
    <w:rsid w:val="005A0F8E"/>
    <w:rsid w:val="005A10CF"/>
    <w:rsid w:val="005A11CB"/>
    <w:rsid w:val="005A18BC"/>
    <w:rsid w:val="005A1958"/>
    <w:rsid w:val="005A1A33"/>
    <w:rsid w:val="005A1B69"/>
    <w:rsid w:val="005A1BFE"/>
    <w:rsid w:val="005A1F9C"/>
    <w:rsid w:val="005A1FD6"/>
    <w:rsid w:val="005A24B5"/>
    <w:rsid w:val="005A2673"/>
    <w:rsid w:val="005A26B9"/>
    <w:rsid w:val="005A2852"/>
    <w:rsid w:val="005A2A25"/>
    <w:rsid w:val="005A2BB8"/>
    <w:rsid w:val="005A2DDD"/>
    <w:rsid w:val="005A2DFF"/>
    <w:rsid w:val="005A2E48"/>
    <w:rsid w:val="005A2F53"/>
    <w:rsid w:val="005A2F69"/>
    <w:rsid w:val="005A2F9C"/>
    <w:rsid w:val="005A2FEA"/>
    <w:rsid w:val="005A33B8"/>
    <w:rsid w:val="005A3423"/>
    <w:rsid w:val="005A347B"/>
    <w:rsid w:val="005A34F7"/>
    <w:rsid w:val="005A3AF4"/>
    <w:rsid w:val="005A3CA4"/>
    <w:rsid w:val="005A3D55"/>
    <w:rsid w:val="005A3DCF"/>
    <w:rsid w:val="005A3F04"/>
    <w:rsid w:val="005A3FCC"/>
    <w:rsid w:val="005A4121"/>
    <w:rsid w:val="005A4206"/>
    <w:rsid w:val="005A427C"/>
    <w:rsid w:val="005A42C9"/>
    <w:rsid w:val="005A443A"/>
    <w:rsid w:val="005A4712"/>
    <w:rsid w:val="005A4952"/>
    <w:rsid w:val="005A49D4"/>
    <w:rsid w:val="005A4D57"/>
    <w:rsid w:val="005A4DC9"/>
    <w:rsid w:val="005A4FC3"/>
    <w:rsid w:val="005A5160"/>
    <w:rsid w:val="005A516B"/>
    <w:rsid w:val="005A521A"/>
    <w:rsid w:val="005A5300"/>
    <w:rsid w:val="005A53E6"/>
    <w:rsid w:val="005A5588"/>
    <w:rsid w:val="005A55C6"/>
    <w:rsid w:val="005A593A"/>
    <w:rsid w:val="005A5AD6"/>
    <w:rsid w:val="005A5AE9"/>
    <w:rsid w:val="005A5F63"/>
    <w:rsid w:val="005A6061"/>
    <w:rsid w:val="005A625A"/>
    <w:rsid w:val="005A6273"/>
    <w:rsid w:val="005A6395"/>
    <w:rsid w:val="005A63A1"/>
    <w:rsid w:val="005A6573"/>
    <w:rsid w:val="005A6956"/>
    <w:rsid w:val="005A6DA5"/>
    <w:rsid w:val="005A70A1"/>
    <w:rsid w:val="005A7175"/>
    <w:rsid w:val="005A7316"/>
    <w:rsid w:val="005A7544"/>
    <w:rsid w:val="005A75BB"/>
    <w:rsid w:val="005A76F5"/>
    <w:rsid w:val="005A78E3"/>
    <w:rsid w:val="005A7B3A"/>
    <w:rsid w:val="005A7BD7"/>
    <w:rsid w:val="005A7EC1"/>
    <w:rsid w:val="005B01DF"/>
    <w:rsid w:val="005B0356"/>
    <w:rsid w:val="005B041B"/>
    <w:rsid w:val="005B06EB"/>
    <w:rsid w:val="005B0898"/>
    <w:rsid w:val="005B090E"/>
    <w:rsid w:val="005B0927"/>
    <w:rsid w:val="005B0949"/>
    <w:rsid w:val="005B0E1F"/>
    <w:rsid w:val="005B0F81"/>
    <w:rsid w:val="005B11BF"/>
    <w:rsid w:val="005B128F"/>
    <w:rsid w:val="005B12A1"/>
    <w:rsid w:val="005B170C"/>
    <w:rsid w:val="005B1759"/>
    <w:rsid w:val="005B17E9"/>
    <w:rsid w:val="005B1868"/>
    <w:rsid w:val="005B1A5E"/>
    <w:rsid w:val="005B1A94"/>
    <w:rsid w:val="005B1C34"/>
    <w:rsid w:val="005B1CC0"/>
    <w:rsid w:val="005B1CDF"/>
    <w:rsid w:val="005B1E34"/>
    <w:rsid w:val="005B1EDE"/>
    <w:rsid w:val="005B20AE"/>
    <w:rsid w:val="005B24EE"/>
    <w:rsid w:val="005B26CA"/>
    <w:rsid w:val="005B2A18"/>
    <w:rsid w:val="005B2A8B"/>
    <w:rsid w:val="005B2AAD"/>
    <w:rsid w:val="005B2C57"/>
    <w:rsid w:val="005B2FE5"/>
    <w:rsid w:val="005B3509"/>
    <w:rsid w:val="005B37A4"/>
    <w:rsid w:val="005B38F9"/>
    <w:rsid w:val="005B392A"/>
    <w:rsid w:val="005B396C"/>
    <w:rsid w:val="005B3EA5"/>
    <w:rsid w:val="005B3F8D"/>
    <w:rsid w:val="005B43F6"/>
    <w:rsid w:val="005B46F7"/>
    <w:rsid w:val="005B47A0"/>
    <w:rsid w:val="005B4910"/>
    <w:rsid w:val="005B5040"/>
    <w:rsid w:val="005B52EA"/>
    <w:rsid w:val="005B56C6"/>
    <w:rsid w:val="005B56F4"/>
    <w:rsid w:val="005B5756"/>
    <w:rsid w:val="005B5B4F"/>
    <w:rsid w:val="005B5D43"/>
    <w:rsid w:val="005B5E2A"/>
    <w:rsid w:val="005B5F9F"/>
    <w:rsid w:val="005B6010"/>
    <w:rsid w:val="005B6583"/>
    <w:rsid w:val="005B6665"/>
    <w:rsid w:val="005B6945"/>
    <w:rsid w:val="005B69DF"/>
    <w:rsid w:val="005B6D3D"/>
    <w:rsid w:val="005B6ED8"/>
    <w:rsid w:val="005B6F65"/>
    <w:rsid w:val="005B703B"/>
    <w:rsid w:val="005B7089"/>
    <w:rsid w:val="005B7230"/>
    <w:rsid w:val="005B7579"/>
    <w:rsid w:val="005B76F1"/>
    <w:rsid w:val="005B774E"/>
    <w:rsid w:val="005B7778"/>
    <w:rsid w:val="005B7897"/>
    <w:rsid w:val="005B7935"/>
    <w:rsid w:val="005C010E"/>
    <w:rsid w:val="005C0163"/>
    <w:rsid w:val="005C01AE"/>
    <w:rsid w:val="005C0272"/>
    <w:rsid w:val="005C0351"/>
    <w:rsid w:val="005C04D9"/>
    <w:rsid w:val="005C0580"/>
    <w:rsid w:val="005C09CE"/>
    <w:rsid w:val="005C0F4D"/>
    <w:rsid w:val="005C101E"/>
    <w:rsid w:val="005C108C"/>
    <w:rsid w:val="005C10C2"/>
    <w:rsid w:val="005C123A"/>
    <w:rsid w:val="005C1371"/>
    <w:rsid w:val="005C141E"/>
    <w:rsid w:val="005C145F"/>
    <w:rsid w:val="005C16D4"/>
    <w:rsid w:val="005C1893"/>
    <w:rsid w:val="005C1C75"/>
    <w:rsid w:val="005C1CC9"/>
    <w:rsid w:val="005C1CCE"/>
    <w:rsid w:val="005C1F1D"/>
    <w:rsid w:val="005C2098"/>
    <w:rsid w:val="005C20DC"/>
    <w:rsid w:val="005C2279"/>
    <w:rsid w:val="005C24E8"/>
    <w:rsid w:val="005C2500"/>
    <w:rsid w:val="005C26D8"/>
    <w:rsid w:val="005C276F"/>
    <w:rsid w:val="005C290F"/>
    <w:rsid w:val="005C29B4"/>
    <w:rsid w:val="005C2BC5"/>
    <w:rsid w:val="005C2BFA"/>
    <w:rsid w:val="005C3098"/>
    <w:rsid w:val="005C33F6"/>
    <w:rsid w:val="005C35DC"/>
    <w:rsid w:val="005C3707"/>
    <w:rsid w:val="005C39AD"/>
    <w:rsid w:val="005C3A8C"/>
    <w:rsid w:val="005C3D08"/>
    <w:rsid w:val="005C3EEA"/>
    <w:rsid w:val="005C3F0D"/>
    <w:rsid w:val="005C43CF"/>
    <w:rsid w:val="005C44D4"/>
    <w:rsid w:val="005C45D2"/>
    <w:rsid w:val="005C4AEF"/>
    <w:rsid w:val="005C4B58"/>
    <w:rsid w:val="005C51C2"/>
    <w:rsid w:val="005C51F9"/>
    <w:rsid w:val="005C5412"/>
    <w:rsid w:val="005C5661"/>
    <w:rsid w:val="005C57A2"/>
    <w:rsid w:val="005C5E96"/>
    <w:rsid w:val="005C5FEB"/>
    <w:rsid w:val="005C5FF4"/>
    <w:rsid w:val="005C64F2"/>
    <w:rsid w:val="005C6748"/>
    <w:rsid w:val="005C68D8"/>
    <w:rsid w:val="005C7561"/>
    <w:rsid w:val="005C7564"/>
    <w:rsid w:val="005C75D8"/>
    <w:rsid w:val="005C769F"/>
    <w:rsid w:val="005C7729"/>
    <w:rsid w:val="005C7766"/>
    <w:rsid w:val="005C78CE"/>
    <w:rsid w:val="005C79DD"/>
    <w:rsid w:val="005D0120"/>
    <w:rsid w:val="005D0186"/>
    <w:rsid w:val="005D030D"/>
    <w:rsid w:val="005D038D"/>
    <w:rsid w:val="005D0526"/>
    <w:rsid w:val="005D058A"/>
    <w:rsid w:val="005D06F6"/>
    <w:rsid w:val="005D0EEE"/>
    <w:rsid w:val="005D0F24"/>
    <w:rsid w:val="005D0F71"/>
    <w:rsid w:val="005D10F1"/>
    <w:rsid w:val="005D1282"/>
    <w:rsid w:val="005D13DB"/>
    <w:rsid w:val="005D152D"/>
    <w:rsid w:val="005D157E"/>
    <w:rsid w:val="005D1727"/>
    <w:rsid w:val="005D196A"/>
    <w:rsid w:val="005D1D52"/>
    <w:rsid w:val="005D1D6B"/>
    <w:rsid w:val="005D1D77"/>
    <w:rsid w:val="005D1DE3"/>
    <w:rsid w:val="005D1DE4"/>
    <w:rsid w:val="005D1DF6"/>
    <w:rsid w:val="005D1FEA"/>
    <w:rsid w:val="005D21F8"/>
    <w:rsid w:val="005D24A9"/>
    <w:rsid w:val="005D24E2"/>
    <w:rsid w:val="005D2704"/>
    <w:rsid w:val="005D29AB"/>
    <w:rsid w:val="005D2A13"/>
    <w:rsid w:val="005D2D93"/>
    <w:rsid w:val="005D2DE5"/>
    <w:rsid w:val="005D32D8"/>
    <w:rsid w:val="005D32FF"/>
    <w:rsid w:val="005D3641"/>
    <w:rsid w:val="005D395F"/>
    <w:rsid w:val="005D3D7C"/>
    <w:rsid w:val="005D3E37"/>
    <w:rsid w:val="005D43C7"/>
    <w:rsid w:val="005D43C8"/>
    <w:rsid w:val="005D4495"/>
    <w:rsid w:val="005D44DB"/>
    <w:rsid w:val="005D463B"/>
    <w:rsid w:val="005D4869"/>
    <w:rsid w:val="005D49F6"/>
    <w:rsid w:val="005D4AC4"/>
    <w:rsid w:val="005D4F99"/>
    <w:rsid w:val="005D4FD7"/>
    <w:rsid w:val="005D5107"/>
    <w:rsid w:val="005D514C"/>
    <w:rsid w:val="005D53E8"/>
    <w:rsid w:val="005D53EA"/>
    <w:rsid w:val="005D56BB"/>
    <w:rsid w:val="005D5728"/>
    <w:rsid w:val="005D594C"/>
    <w:rsid w:val="005D5A51"/>
    <w:rsid w:val="005D5A9F"/>
    <w:rsid w:val="005D5C76"/>
    <w:rsid w:val="005D5CC8"/>
    <w:rsid w:val="005D5CEB"/>
    <w:rsid w:val="005D5DB0"/>
    <w:rsid w:val="005D5E7B"/>
    <w:rsid w:val="005D6315"/>
    <w:rsid w:val="005D6626"/>
    <w:rsid w:val="005D6819"/>
    <w:rsid w:val="005D6CEA"/>
    <w:rsid w:val="005D6DCD"/>
    <w:rsid w:val="005D6DF5"/>
    <w:rsid w:val="005D72D0"/>
    <w:rsid w:val="005D7494"/>
    <w:rsid w:val="005D74B4"/>
    <w:rsid w:val="005D7BC0"/>
    <w:rsid w:val="005D7C61"/>
    <w:rsid w:val="005D7F27"/>
    <w:rsid w:val="005E0371"/>
    <w:rsid w:val="005E0587"/>
    <w:rsid w:val="005E0767"/>
    <w:rsid w:val="005E084B"/>
    <w:rsid w:val="005E0A2D"/>
    <w:rsid w:val="005E0ACA"/>
    <w:rsid w:val="005E0B35"/>
    <w:rsid w:val="005E0B87"/>
    <w:rsid w:val="005E0C36"/>
    <w:rsid w:val="005E0C82"/>
    <w:rsid w:val="005E0D66"/>
    <w:rsid w:val="005E0E16"/>
    <w:rsid w:val="005E0E88"/>
    <w:rsid w:val="005E0EE0"/>
    <w:rsid w:val="005E0F6C"/>
    <w:rsid w:val="005E1625"/>
    <w:rsid w:val="005E1675"/>
    <w:rsid w:val="005E16E7"/>
    <w:rsid w:val="005E1B3D"/>
    <w:rsid w:val="005E1C26"/>
    <w:rsid w:val="005E1C99"/>
    <w:rsid w:val="005E22CF"/>
    <w:rsid w:val="005E22EE"/>
    <w:rsid w:val="005E25D3"/>
    <w:rsid w:val="005E2713"/>
    <w:rsid w:val="005E29EF"/>
    <w:rsid w:val="005E2A28"/>
    <w:rsid w:val="005E2FEC"/>
    <w:rsid w:val="005E2FF8"/>
    <w:rsid w:val="005E311A"/>
    <w:rsid w:val="005E3618"/>
    <w:rsid w:val="005E38BC"/>
    <w:rsid w:val="005E3B9E"/>
    <w:rsid w:val="005E3C06"/>
    <w:rsid w:val="005E3ED3"/>
    <w:rsid w:val="005E3F46"/>
    <w:rsid w:val="005E4119"/>
    <w:rsid w:val="005E420A"/>
    <w:rsid w:val="005E4541"/>
    <w:rsid w:val="005E4A66"/>
    <w:rsid w:val="005E4ACF"/>
    <w:rsid w:val="005E4B60"/>
    <w:rsid w:val="005E4CBE"/>
    <w:rsid w:val="005E4CD4"/>
    <w:rsid w:val="005E502D"/>
    <w:rsid w:val="005E518F"/>
    <w:rsid w:val="005E5447"/>
    <w:rsid w:val="005E5552"/>
    <w:rsid w:val="005E5A22"/>
    <w:rsid w:val="005E5AC2"/>
    <w:rsid w:val="005E5D16"/>
    <w:rsid w:val="005E5D95"/>
    <w:rsid w:val="005E5DD6"/>
    <w:rsid w:val="005E6183"/>
    <w:rsid w:val="005E627F"/>
    <w:rsid w:val="005E62CF"/>
    <w:rsid w:val="005E66F5"/>
    <w:rsid w:val="005E6766"/>
    <w:rsid w:val="005E6A60"/>
    <w:rsid w:val="005E6CE4"/>
    <w:rsid w:val="005E6D86"/>
    <w:rsid w:val="005E6F78"/>
    <w:rsid w:val="005E75C5"/>
    <w:rsid w:val="005E789C"/>
    <w:rsid w:val="005E7A64"/>
    <w:rsid w:val="005E7AFD"/>
    <w:rsid w:val="005E7B4D"/>
    <w:rsid w:val="005E7D92"/>
    <w:rsid w:val="005F0007"/>
    <w:rsid w:val="005F01FF"/>
    <w:rsid w:val="005F029E"/>
    <w:rsid w:val="005F02F4"/>
    <w:rsid w:val="005F08D9"/>
    <w:rsid w:val="005F0B28"/>
    <w:rsid w:val="005F0BF4"/>
    <w:rsid w:val="005F0DFF"/>
    <w:rsid w:val="005F0EF0"/>
    <w:rsid w:val="005F187C"/>
    <w:rsid w:val="005F18A7"/>
    <w:rsid w:val="005F1E6B"/>
    <w:rsid w:val="005F2023"/>
    <w:rsid w:val="005F20C9"/>
    <w:rsid w:val="005F2189"/>
    <w:rsid w:val="005F21E8"/>
    <w:rsid w:val="005F22BE"/>
    <w:rsid w:val="005F2372"/>
    <w:rsid w:val="005F2875"/>
    <w:rsid w:val="005F288E"/>
    <w:rsid w:val="005F292F"/>
    <w:rsid w:val="005F2988"/>
    <w:rsid w:val="005F2B27"/>
    <w:rsid w:val="005F2B40"/>
    <w:rsid w:val="005F2CF4"/>
    <w:rsid w:val="005F2D8B"/>
    <w:rsid w:val="005F2DD4"/>
    <w:rsid w:val="005F2EA4"/>
    <w:rsid w:val="005F2F6C"/>
    <w:rsid w:val="005F2FA7"/>
    <w:rsid w:val="005F30BD"/>
    <w:rsid w:val="005F3233"/>
    <w:rsid w:val="005F3481"/>
    <w:rsid w:val="005F3489"/>
    <w:rsid w:val="005F3674"/>
    <w:rsid w:val="005F38D5"/>
    <w:rsid w:val="005F39DF"/>
    <w:rsid w:val="005F3B9B"/>
    <w:rsid w:val="005F3D1B"/>
    <w:rsid w:val="005F3E63"/>
    <w:rsid w:val="005F419D"/>
    <w:rsid w:val="005F42AC"/>
    <w:rsid w:val="005F4331"/>
    <w:rsid w:val="005F45D4"/>
    <w:rsid w:val="005F462D"/>
    <w:rsid w:val="005F46B1"/>
    <w:rsid w:val="005F4707"/>
    <w:rsid w:val="005F47BB"/>
    <w:rsid w:val="005F483B"/>
    <w:rsid w:val="005F499D"/>
    <w:rsid w:val="005F4D53"/>
    <w:rsid w:val="005F500B"/>
    <w:rsid w:val="005F513F"/>
    <w:rsid w:val="005F527F"/>
    <w:rsid w:val="005F535F"/>
    <w:rsid w:val="005F585E"/>
    <w:rsid w:val="005F5BA8"/>
    <w:rsid w:val="005F5C5F"/>
    <w:rsid w:val="005F5E3C"/>
    <w:rsid w:val="005F5E54"/>
    <w:rsid w:val="005F5FEA"/>
    <w:rsid w:val="005F670B"/>
    <w:rsid w:val="005F6722"/>
    <w:rsid w:val="005F6867"/>
    <w:rsid w:val="005F6B70"/>
    <w:rsid w:val="005F6C92"/>
    <w:rsid w:val="005F73A6"/>
    <w:rsid w:val="005F74A9"/>
    <w:rsid w:val="005F7585"/>
    <w:rsid w:val="005F79C3"/>
    <w:rsid w:val="005F7C3E"/>
    <w:rsid w:val="005F7D26"/>
    <w:rsid w:val="005F7F2A"/>
    <w:rsid w:val="0060012F"/>
    <w:rsid w:val="006007A2"/>
    <w:rsid w:val="006007BC"/>
    <w:rsid w:val="006009EB"/>
    <w:rsid w:val="00600B7B"/>
    <w:rsid w:val="006014C1"/>
    <w:rsid w:val="00601812"/>
    <w:rsid w:val="00601846"/>
    <w:rsid w:val="00601AFA"/>
    <w:rsid w:val="00601C93"/>
    <w:rsid w:val="00601D52"/>
    <w:rsid w:val="00601EA9"/>
    <w:rsid w:val="00601ED8"/>
    <w:rsid w:val="00601F02"/>
    <w:rsid w:val="0060208F"/>
    <w:rsid w:val="00602166"/>
    <w:rsid w:val="00602224"/>
    <w:rsid w:val="0060242F"/>
    <w:rsid w:val="00602996"/>
    <w:rsid w:val="00602C16"/>
    <w:rsid w:val="00602CCE"/>
    <w:rsid w:val="00602E74"/>
    <w:rsid w:val="00603279"/>
    <w:rsid w:val="0060333C"/>
    <w:rsid w:val="006035BC"/>
    <w:rsid w:val="0060381F"/>
    <w:rsid w:val="0060387A"/>
    <w:rsid w:val="006039EE"/>
    <w:rsid w:val="00603B45"/>
    <w:rsid w:val="00603C62"/>
    <w:rsid w:val="00603DC3"/>
    <w:rsid w:val="00603E9A"/>
    <w:rsid w:val="00603F15"/>
    <w:rsid w:val="006040AD"/>
    <w:rsid w:val="006041F0"/>
    <w:rsid w:val="006042C8"/>
    <w:rsid w:val="0060446A"/>
    <w:rsid w:val="00604516"/>
    <w:rsid w:val="006049DB"/>
    <w:rsid w:val="00605069"/>
    <w:rsid w:val="0060533C"/>
    <w:rsid w:val="0060544A"/>
    <w:rsid w:val="0060550A"/>
    <w:rsid w:val="006058A4"/>
    <w:rsid w:val="00605FAA"/>
    <w:rsid w:val="0060616B"/>
    <w:rsid w:val="0060623D"/>
    <w:rsid w:val="0060627B"/>
    <w:rsid w:val="00606524"/>
    <w:rsid w:val="006068B8"/>
    <w:rsid w:val="00607051"/>
    <w:rsid w:val="0060730E"/>
    <w:rsid w:val="00607314"/>
    <w:rsid w:val="006073C0"/>
    <w:rsid w:val="00607562"/>
    <w:rsid w:val="006077C1"/>
    <w:rsid w:val="00607B4D"/>
    <w:rsid w:val="00607BB8"/>
    <w:rsid w:val="00607D81"/>
    <w:rsid w:val="006101EB"/>
    <w:rsid w:val="00610395"/>
    <w:rsid w:val="00610589"/>
    <w:rsid w:val="006105F3"/>
    <w:rsid w:val="00610ADC"/>
    <w:rsid w:val="00610B45"/>
    <w:rsid w:val="00610DEF"/>
    <w:rsid w:val="00610F8C"/>
    <w:rsid w:val="006111BF"/>
    <w:rsid w:val="0061139F"/>
    <w:rsid w:val="0061140E"/>
    <w:rsid w:val="006114AB"/>
    <w:rsid w:val="0061196D"/>
    <w:rsid w:val="00611AB0"/>
    <w:rsid w:val="00611B19"/>
    <w:rsid w:val="00611B56"/>
    <w:rsid w:val="00611E44"/>
    <w:rsid w:val="00612177"/>
    <w:rsid w:val="0061246F"/>
    <w:rsid w:val="006124A7"/>
    <w:rsid w:val="006126FA"/>
    <w:rsid w:val="00612770"/>
    <w:rsid w:val="0061288B"/>
    <w:rsid w:val="00612912"/>
    <w:rsid w:val="00612E82"/>
    <w:rsid w:val="00612FB0"/>
    <w:rsid w:val="006130A1"/>
    <w:rsid w:val="0061325A"/>
    <w:rsid w:val="00613475"/>
    <w:rsid w:val="006134FB"/>
    <w:rsid w:val="0061372F"/>
    <w:rsid w:val="006137D0"/>
    <w:rsid w:val="00613883"/>
    <w:rsid w:val="00613911"/>
    <w:rsid w:val="00613942"/>
    <w:rsid w:val="00613C54"/>
    <w:rsid w:val="00613E21"/>
    <w:rsid w:val="0061427E"/>
    <w:rsid w:val="006144EC"/>
    <w:rsid w:val="0061452D"/>
    <w:rsid w:val="0061470A"/>
    <w:rsid w:val="0061470D"/>
    <w:rsid w:val="00614799"/>
    <w:rsid w:val="006147D9"/>
    <w:rsid w:val="006149C3"/>
    <w:rsid w:val="00614B0C"/>
    <w:rsid w:val="00614C96"/>
    <w:rsid w:val="00614CA9"/>
    <w:rsid w:val="00614F1A"/>
    <w:rsid w:val="006151C4"/>
    <w:rsid w:val="006152C5"/>
    <w:rsid w:val="0061535C"/>
    <w:rsid w:val="00615672"/>
    <w:rsid w:val="006157B2"/>
    <w:rsid w:val="00615836"/>
    <w:rsid w:val="006158F7"/>
    <w:rsid w:val="00615B96"/>
    <w:rsid w:val="00615E0F"/>
    <w:rsid w:val="00615F6B"/>
    <w:rsid w:val="00616238"/>
    <w:rsid w:val="0061657C"/>
    <w:rsid w:val="006166D7"/>
    <w:rsid w:val="00616895"/>
    <w:rsid w:val="006169C3"/>
    <w:rsid w:val="00616AEA"/>
    <w:rsid w:val="00616B70"/>
    <w:rsid w:val="00616BCC"/>
    <w:rsid w:val="00616D11"/>
    <w:rsid w:val="00616F75"/>
    <w:rsid w:val="00616F96"/>
    <w:rsid w:val="0061707B"/>
    <w:rsid w:val="006173BC"/>
    <w:rsid w:val="0061749B"/>
    <w:rsid w:val="00617724"/>
    <w:rsid w:val="006177A3"/>
    <w:rsid w:val="00617908"/>
    <w:rsid w:val="00617922"/>
    <w:rsid w:val="00617A21"/>
    <w:rsid w:val="00617AF3"/>
    <w:rsid w:val="00617B96"/>
    <w:rsid w:val="00617D06"/>
    <w:rsid w:val="00617EC9"/>
    <w:rsid w:val="006208B8"/>
    <w:rsid w:val="0062093A"/>
    <w:rsid w:val="00620A26"/>
    <w:rsid w:val="00620C59"/>
    <w:rsid w:val="00620DC8"/>
    <w:rsid w:val="00621335"/>
    <w:rsid w:val="00621C1A"/>
    <w:rsid w:val="006220D5"/>
    <w:rsid w:val="0062236C"/>
    <w:rsid w:val="00622AC2"/>
    <w:rsid w:val="00622BDE"/>
    <w:rsid w:val="00622FE5"/>
    <w:rsid w:val="006230CB"/>
    <w:rsid w:val="00623241"/>
    <w:rsid w:val="006235DF"/>
    <w:rsid w:val="00623A3A"/>
    <w:rsid w:val="00623AA0"/>
    <w:rsid w:val="00623F96"/>
    <w:rsid w:val="0062475A"/>
    <w:rsid w:val="0062489D"/>
    <w:rsid w:val="006248F3"/>
    <w:rsid w:val="00624A8F"/>
    <w:rsid w:val="00624ADF"/>
    <w:rsid w:val="00624AE5"/>
    <w:rsid w:val="00624D1E"/>
    <w:rsid w:val="00624E2A"/>
    <w:rsid w:val="00624ED1"/>
    <w:rsid w:val="006250AA"/>
    <w:rsid w:val="00625126"/>
    <w:rsid w:val="0062526A"/>
    <w:rsid w:val="006252DD"/>
    <w:rsid w:val="006252EE"/>
    <w:rsid w:val="00625463"/>
    <w:rsid w:val="00625503"/>
    <w:rsid w:val="00625A0C"/>
    <w:rsid w:val="00625AFD"/>
    <w:rsid w:val="00625B6F"/>
    <w:rsid w:val="00625CCC"/>
    <w:rsid w:val="00625ED9"/>
    <w:rsid w:val="00625EFA"/>
    <w:rsid w:val="00626497"/>
    <w:rsid w:val="0062664A"/>
    <w:rsid w:val="00626734"/>
    <w:rsid w:val="006267A1"/>
    <w:rsid w:val="006267D4"/>
    <w:rsid w:val="00626C2B"/>
    <w:rsid w:val="00626DB9"/>
    <w:rsid w:val="00626F0A"/>
    <w:rsid w:val="006272DD"/>
    <w:rsid w:val="0062736E"/>
    <w:rsid w:val="006277FE"/>
    <w:rsid w:val="00627859"/>
    <w:rsid w:val="00627E8E"/>
    <w:rsid w:val="0063011B"/>
    <w:rsid w:val="00630371"/>
    <w:rsid w:val="006306E2"/>
    <w:rsid w:val="00630986"/>
    <w:rsid w:val="00630C5B"/>
    <w:rsid w:val="00630C75"/>
    <w:rsid w:val="00631332"/>
    <w:rsid w:val="00631459"/>
    <w:rsid w:val="00631700"/>
    <w:rsid w:val="006317AA"/>
    <w:rsid w:val="006319B7"/>
    <w:rsid w:val="00631D9C"/>
    <w:rsid w:val="00631EB1"/>
    <w:rsid w:val="00631EEE"/>
    <w:rsid w:val="00631FCA"/>
    <w:rsid w:val="00632156"/>
    <w:rsid w:val="00632262"/>
    <w:rsid w:val="00632567"/>
    <w:rsid w:val="00632BC2"/>
    <w:rsid w:val="00632DDC"/>
    <w:rsid w:val="0063380A"/>
    <w:rsid w:val="00633984"/>
    <w:rsid w:val="00633A01"/>
    <w:rsid w:val="00633B24"/>
    <w:rsid w:val="00633C49"/>
    <w:rsid w:val="00633C55"/>
    <w:rsid w:val="00634000"/>
    <w:rsid w:val="00634257"/>
    <w:rsid w:val="00634524"/>
    <w:rsid w:val="00634F2A"/>
    <w:rsid w:val="00635300"/>
    <w:rsid w:val="006355E7"/>
    <w:rsid w:val="00635D59"/>
    <w:rsid w:val="006361D5"/>
    <w:rsid w:val="0063626F"/>
    <w:rsid w:val="0063634B"/>
    <w:rsid w:val="006364FD"/>
    <w:rsid w:val="006365EF"/>
    <w:rsid w:val="0063669B"/>
    <w:rsid w:val="0063692D"/>
    <w:rsid w:val="006369E3"/>
    <w:rsid w:val="00636A19"/>
    <w:rsid w:val="00636AF4"/>
    <w:rsid w:val="00636DB0"/>
    <w:rsid w:val="00636E8C"/>
    <w:rsid w:val="00636EE9"/>
    <w:rsid w:val="00637189"/>
    <w:rsid w:val="00637427"/>
    <w:rsid w:val="006375AC"/>
    <w:rsid w:val="00637648"/>
    <w:rsid w:val="0063784E"/>
    <w:rsid w:val="00637A4A"/>
    <w:rsid w:val="00637BBB"/>
    <w:rsid w:val="00637BDE"/>
    <w:rsid w:val="00637C37"/>
    <w:rsid w:val="00637ED0"/>
    <w:rsid w:val="0064028F"/>
    <w:rsid w:val="006402EC"/>
    <w:rsid w:val="00640375"/>
    <w:rsid w:val="006403BC"/>
    <w:rsid w:val="0064045C"/>
    <w:rsid w:val="00640699"/>
    <w:rsid w:val="00640C93"/>
    <w:rsid w:val="00640D51"/>
    <w:rsid w:val="00640E4A"/>
    <w:rsid w:val="00640EC8"/>
    <w:rsid w:val="00641246"/>
    <w:rsid w:val="006415C2"/>
    <w:rsid w:val="006415CF"/>
    <w:rsid w:val="00641B1B"/>
    <w:rsid w:val="00641E95"/>
    <w:rsid w:val="00641F78"/>
    <w:rsid w:val="006421BB"/>
    <w:rsid w:val="0064222D"/>
    <w:rsid w:val="0064231B"/>
    <w:rsid w:val="00642461"/>
    <w:rsid w:val="0064267D"/>
    <w:rsid w:val="00642809"/>
    <w:rsid w:val="006428B3"/>
    <w:rsid w:val="00642DEC"/>
    <w:rsid w:val="00642E26"/>
    <w:rsid w:val="00642F0E"/>
    <w:rsid w:val="006435D9"/>
    <w:rsid w:val="00643691"/>
    <w:rsid w:val="00643771"/>
    <w:rsid w:val="00643A43"/>
    <w:rsid w:val="00643A89"/>
    <w:rsid w:val="00643E73"/>
    <w:rsid w:val="00644089"/>
    <w:rsid w:val="0064414B"/>
    <w:rsid w:val="0064435F"/>
    <w:rsid w:val="006447EC"/>
    <w:rsid w:val="00644BA2"/>
    <w:rsid w:val="00644BE5"/>
    <w:rsid w:val="00644C21"/>
    <w:rsid w:val="00644D92"/>
    <w:rsid w:val="00645341"/>
    <w:rsid w:val="006454EA"/>
    <w:rsid w:val="006456D2"/>
    <w:rsid w:val="0064583A"/>
    <w:rsid w:val="00645AF8"/>
    <w:rsid w:val="00645C3C"/>
    <w:rsid w:val="00645FFC"/>
    <w:rsid w:val="00646869"/>
    <w:rsid w:val="00646C96"/>
    <w:rsid w:val="00646CF2"/>
    <w:rsid w:val="00646D8F"/>
    <w:rsid w:val="00646EA1"/>
    <w:rsid w:val="00647085"/>
    <w:rsid w:val="006472EF"/>
    <w:rsid w:val="006473B7"/>
    <w:rsid w:val="0064745E"/>
    <w:rsid w:val="00647607"/>
    <w:rsid w:val="00647662"/>
    <w:rsid w:val="006477C0"/>
    <w:rsid w:val="006477C3"/>
    <w:rsid w:val="00647CFC"/>
    <w:rsid w:val="00647E56"/>
    <w:rsid w:val="006503F8"/>
    <w:rsid w:val="00650488"/>
    <w:rsid w:val="00650D85"/>
    <w:rsid w:val="006512A8"/>
    <w:rsid w:val="006512CC"/>
    <w:rsid w:val="0065147C"/>
    <w:rsid w:val="0065153A"/>
    <w:rsid w:val="006515A0"/>
    <w:rsid w:val="006518C1"/>
    <w:rsid w:val="00651AA9"/>
    <w:rsid w:val="00651AF9"/>
    <w:rsid w:val="00651F74"/>
    <w:rsid w:val="006520B0"/>
    <w:rsid w:val="006520CD"/>
    <w:rsid w:val="00652190"/>
    <w:rsid w:val="0065238C"/>
    <w:rsid w:val="00652457"/>
    <w:rsid w:val="0065254B"/>
    <w:rsid w:val="0065263F"/>
    <w:rsid w:val="0065268C"/>
    <w:rsid w:val="00652778"/>
    <w:rsid w:val="0065282D"/>
    <w:rsid w:val="00652CBE"/>
    <w:rsid w:val="00652DB7"/>
    <w:rsid w:val="006530FF"/>
    <w:rsid w:val="00653230"/>
    <w:rsid w:val="006532F1"/>
    <w:rsid w:val="006534B1"/>
    <w:rsid w:val="006534F5"/>
    <w:rsid w:val="0065351F"/>
    <w:rsid w:val="00653D42"/>
    <w:rsid w:val="00654013"/>
    <w:rsid w:val="00654641"/>
    <w:rsid w:val="00654804"/>
    <w:rsid w:val="00654BCF"/>
    <w:rsid w:val="00654C4F"/>
    <w:rsid w:val="006550D4"/>
    <w:rsid w:val="00655662"/>
    <w:rsid w:val="006556F2"/>
    <w:rsid w:val="006559AE"/>
    <w:rsid w:val="00655B0F"/>
    <w:rsid w:val="00655BF8"/>
    <w:rsid w:val="00655C3C"/>
    <w:rsid w:val="00655CAB"/>
    <w:rsid w:val="00655D2F"/>
    <w:rsid w:val="00655D50"/>
    <w:rsid w:val="00655EF4"/>
    <w:rsid w:val="00656204"/>
    <w:rsid w:val="006563A5"/>
    <w:rsid w:val="006566EA"/>
    <w:rsid w:val="0065686F"/>
    <w:rsid w:val="00656B2F"/>
    <w:rsid w:val="00656C2C"/>
    <w:rsid w:val="00656DD1"/>
    <w:rsid w:val="00657123"/>
    <w:rsid w:val="006575B0"/>
    <w:rsid w:val="006576F1"/>
    <w:rsid w:val="0065783B"/>
    <w:rsid w:val="00657854"/>
    <w:rsid w:val="00657A52"/>
    <w:rsid w:val="00657B29"/>
    <w:rsid w:val="00657C05"/>
    <w:rsid w:val="00657E0A"/>
    <w:rsid w:val="00657ED8"/>
    <w:rsid w:val="006609C6"/>
    <w:rsid w:val="00660A57"/>
    <w:rsid w:val="00660A65"/>
    <w:rsid w:val="00660F1B"/>
    <w:rsid w:val="006610CB"/>
    <w:rsid w:val="006613B9"/>
    <w:rsid w:val="00661A4B"/>
    <w:rsid w:val="00661B88"/>
    <w:rsid w:val="00661D0F"/>
    <w:rsid w:val="00661D33"/>
    <w:rsid w:val="00661D67"/>
    <w:rsid w:val="00661F80"/>
    <w:rsid w:val="0066202C"/>
    <w:rsid w:val="0066205A"/>
    <w:rsid w:val="0066232B"/>
    <w:rsid w:val="006623A2"/>
    <w:rsid w:val="006623A6"/>
    <w:rsid w:val="006625AE"/>
    <w:rsid w:val="0066295B"/>
    <w:rsid w:val="006629EE"/>
    <w:rsid w:val="00662A08"/>
    <w:rsid w:val="00662A73"/>
    <w:rsid w:val="00662ABB"/>
    <w:rsid w:val="00662BBE"/>
    <w:rsid w:val="00662E5E"/>
    <w:rsid w:val="0066360E"/>
    <w:rsid w:val="00663995"/>
    <w:rsid w:val="006640CE"/>
    <w:rsid w:val="0066413B"/>
    <w:rsid w:val="006643E9"/>
    <w:rsid w:val="006643F0"/>
    <w:rsid w:val="0066446D"/>
    <w:rsid w:val="0066479C"/>
    <w:rsid w:val="00664D99"/>
    <w:rsid w:val="00664DEB"/>
    <w:rsid w:val="00664ED3"/>
    <w:rsid w:val="00664F18"/>
    <w:rsid w:val="00665119"/>
    <w:rsid w:val="006652CD"/>
    <w:rsid w:val="006655BA"/>
    <w:rsid w:val="006656E8"/>
    <w:rsid w:val="00665807"/>
    <w:rsid w:val="00665893"/>
    <w:rsid w:val="00665B99"/>
    <w:rsid w:val="00665D17"/>
    <w:rsid w:val="00665E5F"/>
    <w:rsid w:val="00665F0F"/>
    <w:rsid w:val="00665F35"/>
    <w:rsid w:val="006662CE"/>
    <w:rsid w:val="00666369"/>
    <w:rsid w:val="00666630"/>
    <w:rsid w:val="006666EC"/>
    <w:rsid w:val="006667A9"/>
    <w:rsid w:val="0066686F"/>
    <w:rsid w:val="00666959"/>
    <w:rsid w:val="00666A05"/>
    <w:rsid w:val="00666BAA"/>
    <w:rsid w:val="00666C07"/>
    <w:rsid w:val="006671E2"/>
    <w:rsid w:val="00667217"/>
    <w:rsid w:val="00667238"/>
    <w:rsid w:val="006673FF"/>
    <w:rsid w:val="00667414"/>
    <w:rsid w:val="00667672"/>
    <w:rsid w:val="006677B6"/>
    <w:rsid w:val="00670091"/>
    <w:rsid w:val="006700E5"/>
    <w:rsid w:val="0067029A"/>
    <w:rsid w:val="00670389"/>
    <w:rsid w:val="006703B2"/>
    <w:rsid w:val="00670441"/>
    <w:rsid w:val="00670517"/>
    <w:rsid w:val="00670C32"/>
    <w:rsid w:val="00670DF3"/>
    <w:rsid w:val="00670FBD"/>
    <w:rsid w:val="0067106D"/>
    <w:rsid w:val="006713FC"/>
    <w:rsid w:val="00671474"/>
    <w:rsid w:val="006714AB"/>
    <w:rsid w:val="006714F0"/>
    <w:rsid w:val="006716BE"/>
    <w:rsid w:val="00671819"/>
    <w:rsid w:val="0067181E"/>
    <w:rsid w:val="00671840"/>
    <w:rsid w:val="0067194D"/>
    <w:rsid w:val="00671B37"/>
    <w:rsid w:val="00671BBB"/>
    <w:rsid w:val="00671BFA"/>
    <w:rsid w:val="00671C0A"/>
    <w:rsid w:val="00671E8C"/>
    <w:rsid w:val="006724D2"/>
    <w:rsid w:val="0067271E"/>
    <w:rsid w:val="00672E5F"/>
    <w:rsid w:val="00672FAF"/>
    <w:rsid w:val="00672FF8"/>
    <w:rsid w:val="006730D9"/>
    <w:rsid w:val="00673312"/>
    <w:rsid w:val="00673349"/>
    <w:rsid w:val="0067363B"/>
    <w:rsid w:val="006737D4"/>
    <w:rsid w:val="00673CCD"/>
    <w:rsid w:val="00673F53"/>
    <w:rsid w:val="006740B1"/>
    <w:rsid w:val="00674213"/>
    <w:rsid w:val="00674CE5"/>
    <w:rsid w:val="00675730"/>
    <w:rsid w:val="00675B75"/>
    <w:rsid w:val="00675D86"/>
    <w:rsid w:val="00675DE9"/>
    <w:rsid w:val="006762B6"/>
    <w:rsid w:val="00676329"/>
    <w:rsid w:val="0067647E"/>
    <w:rsid w:val="00676680"/>
    <w:rsid w:val="00676790"/>
    <w:rsid w:val="0067685E"/>
    <w:rsid w:val="0067708E"/>
    <w:rsid w:val="006775C9"/>
    <w:rsid w:val="0067775A"/>
    <w:rsid w:val="00677C67"/>
    <w:rsid w:val="00677CE1"/>
    <w:rsid w:val="00677D26"/>
    <w:rsid w:val="00677D9C"/>
    <w:rsid w:val="00677E27"/>
    <w:rsid w:val="00677F5C"/>
    <w:rsid w:val="00677FAB"/>
    <w:rsid w:val="00680357"/>
    <w:rsid w:val="00680460"/>
    <w:rsid w:val="00680540"/>
    <w:rsid w:val="00680577"/>
    <w:rsid w:val="006805CF"/>
    <w:rsid w:val="0068062C"/>
    <w:rsid w:val="00680633"/>
    <w:rsid w:val="006806E7"/>
    <w:rsid w:val="00680898"/>
    <w:rsid w:val="00680CA9"/>
    <w:rsid w:val="006811A2"/>
    <w:rsid w:val="00681202"/>
    <w:rsid w:val="0068140A"/>
    <w:rsid w:val="00681602"/>
    <w:rsid w:val="00681686"/>
    <w:rsid w:val="00681735"/>
    <w:rsid w:val="006817D0"/>
    <w:rsid w:val="0068213B"/>
    <w:rsid w:val="00682305"/>
    <w:rsid w:val="006824A7"/>
    <w:rsid w:val="006824B7"/>
    <w:rsid w:val="00682726"/>
    <w:rsid w:val="00682C75"/>
    <w:rsid w:val="00682CF7"/>
    <w:rsid w:val="00682D0F"/>
    <w:rsid w:val="00682FCB"/>
    <w:rsid w:val="00683158"/>
    <w:rsid w:val="006831D0"/>
    <w:rsid w:val="006831E8"/>
    <w:rsid w:val="00683318"/>
    <w:rsid w:val="00683460"/>
    <w:rsid w:val="006835B8"/>
    <w:rsid w:val="0068373A"/>
    <w:rsid w:val="00683AF0"/>
    <w:rsid w:val="00683B2A"/>
    <w:rsid w:val="00683B61"/>
    <w:rsid w:val="00683BEE"/>
    <w:rsid w:val="00683F33"/>
    <w:rsid w:val="006841F2"/>
    <w:rsid w:val="0068452E"/>
    <w:rsid w:val="006845CB"/>
    <w:rsid w:val="0068488A"/>
    <w:rsid w:val="0068497A"/>
    <w:rsid w:val="00684BBF"/>
    <w:rsid w:val="00684F7A"/>
    <w:rsid w:val="00684F91"/>
    <w:rsid w:val="00685263"/>
    <w:rsid w:val="00685662"/>
    <w:rsid w:val="00685C33"/>
    <w:rsid w:val="00685D4E"/>
    <w:rsid w:val="00685E8C"/>
    <w:rsid w:val="006864AB"/>
    <w:rsid w:val="006867D5"/>
    <w:rsid w:val="00686B5C"/>
    <w:rsid w:val="00686BB3"/>
    <w:rsid w:val="00686CCE"/>
    <w:rsid w:val="00686CD9"/>
    <w:rsid w:val="00686D24"/>
    <w:rsid w:val="00686DF4"/>
    <w:rsid w:val="00686F62"/>
    <w:rsid w:val="00686FC6"/>
    <w:rsid w:val="006870FE"/>
    <w:rsid w:val="006876D0"/>
    <w:rsid w:val="00687806"/>
    <w:rsid w:val="006878DF"/>
    <w:rsid w:val="00687F9A"/>
    <w:rsid w:val="00687FBC"/>
    <w:rsid w:val="00687FC7"/>
    <w:rsid w:val="0069008B"/>
    <w:rsid w:val="006902C2"/>
    <w:rsid w:val="00690787"/>
    <w:rsid w:val="006907AE"/>
    <w:rsid w:val="00690925"/>
    <w:rsid w:val="0069098E"/>
    <w:rsid w:val="006909A8"/>
    <w:rsid w:val="00690BB3"/>
    <w:rsid w:val="00691242"/>
    <w:rsid w:val="0069155E"/>
    <w:rsid w:val="006915C0"/>
    <w:rsid w:val="006918D7"/>
    <w:rsid w:val="00691FB7"/>
    <w:rsid w:val="00692183"/>
    <w:rsid w:val="00692232"/>
    <w:rsid w:val="006924D7"/>
    <w:rsid w:val="0069285C"/>
    <w:rsid w:val="00692A5D"/>
    <w:rsid w:val="00692B68"/>
    <w:rsid w:val="00692BA8"/>
    <w:rsid w:val="00692DC5"/>
    <w:rsid w:val="00692F5B"/>
    <w:rsid w:val="00693494"/>
    <w:rsid w:val="006935B5"/>
    <w:rsid w:val="0069362A"/>
    <w:rsid w:val="006938AB"/>
    <w:rsid w:val="00693946"/>
    <w:rsid w:val="006939A7"/>
    <w:rsid w:val="00693B5D"/>
    <w:rsid w:val="00693B8E"/>
    <w:rsid w:val="00693BAA"/>
    <w:rsid w:val="00693CE4"/>
    <w:rsid w:val="00693E8C"/>
    <w:rsid w:val="00694024"/>
    <w:rsid w:val="0069413E"/>
    <w:rsid w:val="00694141"/>
    <w:rsid w:val="00694149"/>
    <w:rsid w:val="00694161"/>
    <w:rsid w:val="00694254"/>
    <w:rsid w:val="00694377"/>
    <w:rsid w:val="006943CF"/>
    <w:rsid w:val="0069484F"/>
    <w:rsid w:val="00694894"/>
    <w:rsid w:val="006949EC"/>
    <w:rsid w:val="00694A6B"/>
    <w:rsid w:val="00694E0D"/>
    <w:rsid w:val="00694FB7"/>
    <w:rsid w:val="0069514B"/>
    <w:rsid w:val="0069535F"/>
    <w:rsid w:val="00695810"/>
    <w:rsid w:val="0069590E"/>
    <w:rsid w:val="006959D7"/>
    <w:rsid w:val="00695E5B"/>
    <w:rsid w:val="00695EF3"/>
    <w:rsid w:val="0069677C"/>
    <w:rsid w:val="00696956"/>
    <w:rsid w:val="00696B1E"/>
    <w:rsid w:val="00696C63"/>
    <w:rsid w:val="00696C7E"/>
    <w:rsid w:val="00696F5C"/>
    <w:rsid w:val="0069720F"/>
    <w:rsid w:val="0069795D"/>
    <w:rsid w:val="00697C6B"/>
    <w:rsid w:val="00697DDE"/>
    <w:rsid w:val="00697EB6"/>
    <w:rsid w:val="00697F2C"/>
    <w:rsid w:val="006A0132"/>
    <w:rsid w:val="006A016E"/>
    <w:rsid w:val="006A04E4"/>
    <w:rsid w:val="006A0608"/>
    <w:rsid w:val="006A062F"/>
    <w:rsid w:val="006A0A11"/>
    <w:rsid w:val="006A0AB0"/>
    <w:rsid w:val="006A0B9A"/>
    <w:rsid w:val="006A0C2C"/>
    <w:rsid w:val="006A0E17"/>
    <w:rsid w:val="006A1847"/>
    <w:rsid w:val="006A1FCE"/>
    <w:rsid w:val="006A215C"/>
    <w:rsid w:val="006A215F"/>
    <w:rsid w:val="006A21D6"/>
    <w:rsid w:val="006A2264"/>
    <w:rsid w:val="006A274E"/>
    <w:rsid w:val="006A28F7"/>
    <w:rsid w:val="006A2A4F"/>
    <w:rsid w:val="006A2C82"/>
    <w:rsid w:val="006A2CF1"/>
    <w:rsid w:val="006A2FE9"/>
    <w:rsid w:val="006A2FF5"/>
    <w:rsid w:val="006A309C"/>
    <w:rsid w:val="006A30BC"/>
    <w:rsid w:val="006A30E7"/>
    <w:rsid w:val="006A32C4"/>
    <w:rsid w:val="006A38DA"/>
    <w:rsid w:val="006A3986"/>
    <w:rsid w:val="006A3F6A"/>
    <w:rsid w:val="006A3FE4"/>
    <w:rsid w:val="006A456B"/>
    <w:rsid w:val="006A4666"/>
    <w:rsid w:val="006A4A7D"/>
    <w:rsid w:val="006A4A9B"/>
    <w:rsid w:val="006A4CAC"/>
    <w:rsid w:val="006A4E2F"/>
    <w:rsid w:val="006A537F"/>
    <w:rsid w:val="006A551B"/>
    <w:rsid w:val="006A558C"/>
    <w:rsid w:val="006A55CA"/>
    <w:rsid w:val="006A5697"/>
    <w:rsid w:val="006A581D"/>
    <w:rsid w:val="006A589A"/>
    <w:rsid w:val="006A5D89"/>
    <w:rsid w:val="006A5E14"/>
    <w:rsid w:val="006A5E5C"/>
    <w:rsid w:val="006A5E9B"/>
    <w:rsid w:val="006A5FCD"/>
    <w:rsid w:val="006A6234"/>
    <w:rsid w:val="006A679C"/>
    <w:rsid w:val="006A68A2"/>
    <w:rsid w:val="006A6926"/>
    <w:rsid w:val="006A69AD"/>
    <w:rsid w:val="006A69DA"/>
    <w:rsid w:val="006A6EFF"/>
    <w:rsid w:val="006A70EA"/>
    <w:rsid w:val="006A71AB"/>
    <w:rsid w:val="006A71B6"/>
    <w:rsid w:val="006A73DB"/>
    <w:rsid w:val="006A781A"/>
    <w:rsid w:val="006A7898"/>
    <w:rsid w:val="006A7A7A"/>
    <w:rsid w:val="006A7ACB"/>
    <w:rsid w:val="006A7D48"/>
    <w:rsid w:val="006A7FB1"/>
    <w:rsid w:val="006B029D"/>
    <w:rsid w:val="006B05A2"/>
    <w:rsid w:val="006B0D86"/>
    <w:rsid w:val="006B0E4D"/>
    <w:rsid w:val="006B0F3B"/>
    <w:rsid w:val="006B1184"/>
    <w:rsid w:val="006B1253"/>
    <w:rsid w:val="006B13AD"/>
    <w:rsid w:val="006B19A4"/>
    <w:rsid w:val="006B1AE2"/>
    <w:rsid w:val="006B1CEA"/>
    <w:rsid w:val="006B1F08"/>
    <w:rsid w:val="006B23FD"/>
    <w:rsid w:val="006B2599"/>
    <w:rsid w:val="006B25C5"/>
    <w:rsid w:val="006B2A67"/>
    <w:rsid w:val="006B2A74"/>
    <w:rsid w:val="006B2D98"/>
    <w:rsid w:val="006B2E3F"/>
    <w:rsid w:val="006B2F93"/>
    <w:rsid w:val="006B2FFA"/>
    <w:rsid w:val="006B3602"/>
    <w:rsid w:val="006B361F"/>
    <w:rsid w:val="006B3692"/>
    <w:rsid w:val="006B38C4"/>
    <w:rsid w:val="006B3A03"/>
    <w:rsid w:val="006B3A33"/>
    <w:rsid w:val="006B3ABB"/>
    <w:rsid w:val="006B3AF3"/>
    <w:rsid w:val="006B3B50"/>
    <w:rsid w:val="006B3D3B"/>
    <w:rsid w:val="006B4110"/>
    <w:rsid w:val="006B41EB"/>
    <w:rsid w:val="006B465F"/>
    <w:rsid w:val="006B4736"/>
    <w:rsid w:val="006B4802"/>
    <w:rsid w:val="006B4886"/>
    <w:rsid w:val="006B5119"/>
    <w:rsid w:val="006B54DD"/>
    <w:rsid w:val="006B5541"/>
    <w:rsid w:val="006B5994"/>
    <w:rsid w:val="006B5997"/>
    <w:rsid w:val="006B5B1F"/>
    <w:rsid w:val="006B5B4F"/>
    <w:rsid w:val="006B5C10"/>
    <w:rsid w:val="006B5D56"/>
    <w:rsid w:val="006B604A"/>
    <w:rsid w:val="006B62AF"/>
    <w:rsid w:val="006B655C"/>
    <w:rsid w:val="006B65D5"/>
    <w:rsid w:val="006B6604"/>
    <w:rsid w:val="006B666A"/>
    <w:rsid w:val="006B66F5"/>
    <w:rsid w:val="006B681D"/>
    <w:rsid w:val="006B697E"/>
    <w:rsid w:val="006B6B0C"/>
    <w:rsid w:val="006B6D21"/>
    <w:rsid w:val="006B6D65"/>
    <w:rsid w:val="006B6E66"/>
    <w:rsid w:val="006B6F03"/>
    <w:rsid w:val="006B7174"/>
    <w:rsid w:val="006B718A"/>
    <w:rsid w:val="006B7357"/>
    <w:rsid w:val="006B73D2"/>
    <w:rsid w:val="006B7DE0"/>
    <w:rsid w:val="006B7E3B"/>
    <w:rsid w:val="006B7F43"/>
    <w:rsid w:val="006C0061"/>
    <w:rsid w:val="006C0118"/>
    <w:rsid w:val="006C0179"/>
    <w:rsid w:val="006C04D3"/>
    <w:rsid w:val="006C0522"/>
    <w:rsid w:val="006C0777"/>
    <w:rsid w:val="006C07B5"/>
    <w:rsid w:val="006C0A4B"/>
    <w:rsid w:val="006C0B4E"/>
    <w:rsid w:val="006C0C36"/>
    <w:rsid w:val="006C0ED0"/>
    <w:rsid w:val="006C12C6"/>
    <w:rsid w:val="006C167E"/>
    <w:rsid w:val="006C177A"/>
    <w:rsid w:val="006C17C1"/>
    <w:rsid w:val="006C1B7C"/>
    <w:rsid w:val="006C1BF1"/>
    <w:rsid w:val="006C1EF5"/>
    <w:rsid w:val="006C2111"/>
    <w:rsid w:val="006C2161"/>
    <w:rsid w:val="006C22B2"/>
    <w:rsid w:val="006C23C4"/>
    <w:rsid w:val="006C29A0"/>
    <w:rsid w:val="006C2A9E"/>
    <w:rsid w:val="006C2C47"/>
    <w:rsid w:val="006C2C4A"/>
    <w:rsid w:val="006C2CBB"/>
    <w:rsid w:val="006C2DD0"/>
    <w:rsid w:val="006C2E42"/>
    <w:rsid w:val="006C2E93"/>
    <w:rsid w:val="006C2FD1"/>
    <w:rsid w:val="006C318D"/>
    <w:rsid w:val="006C32E0"/>
    <w:rsid w:val="006C35ED"/>
    <w:rsid w:val="006C3B9D"/>
    <w:rsid w:val="006C3F45"/>
    <w:rsid w:val="006C3FAE"/>
    <w:rsid w:val="006C4185"/>
    <w:rsid w:val="006C42E6"/>
    <w:rsid w:val="006C43E1"/>
    <w:rsid w:val="006C4CF1"/>
    <w:rsid w:val="006C520E"/>
    <w:rsid w:val="006C528A"/>
    <w:rsid w:val="006C5398"/>
    <w:rsid w:val="006C540F"/>
    <w:rsid w:val="006C5590"/>
    <w:rsid w:val="006C588D"/>
    <w:rsid w:val="006C59CA"/>
    <w:rsid w:val="006C5B41"/>
    <w:rsid w:val="006C5D18"/>
    <w:rsid w:val="006C5D26"/>
    <w:rsid w:val="006C5D9A"/>
    <w:rsid w:val="006C5E92"/>
    <w:rsid w:val="006C5EA1"/>
    <w:rsid w:val="006C5F1C"/>
    <w:rsid w:val="006C5FC1"/>
    <w:rsid w:val="006C6014"/>
    <w:rsid w:val="006C613C"/>
    <w:rsid w:val="006C6346"/>
    <w:rsid w:val="006C64D7"/>
    <w:rsid w:val="006C650D"/>
    <w:rsid w:val="006C672B"/>
    <w:rsid w:val="006C67BF"/>
    <w:rsid w:val="006C6D45"/>
    <w:rsid w:val="006C6D53"/>
    <w:rsid w:val="006C717D"/>
    <w:rsid w:val="006C72C6"/>
    <w:rsid w:val="006C751E"/>
    <w:rsid w:val="006C7540"/>
    <w:rsid w:val="006C7859"/>
    <w:rsid w:val="006C7973"/>
    <w:rsid w:val="006C7C41"/>
    <w:rsid w:val="006C7D25"/>
    <w:rsid w:val="006D09E4"/>
    <w:rsid w:val="006D0C55"/>
    <w:rsid w:val="006D0DE7"/>
    <w:rsid w:val="006D1133"/>
    <w:rsid w:val="006D12A5"/>
    <w:rsid w:val="006D12F7"/>
    <w:rsid w:val="006D132C"/>
    <w:rsid w:val="006D1447"/>
    <w:rsid w:val="006D161F"/>
    <w:rsid w:val="006D1859"/>
    <w:rsid w:val="006D1872"/>
    <w:rsid w:val="006D1882"/>
    <w:rsid w:val="006D1A73"/>
    <w:rsid w:val="006D1CC4"/>
    <w:rsid w:val="006D2064"/>
    <w:rsid w:val="006D21A7"/>
    <w:rsid w:val="006D2309"/>
    <w:rsid w:val="006D2468"/>
    <w:rsid w:val="006D260F"/>
    <w:rsid w:val="006D2792"/>
    <w:rsid w:val="006D2B4F"/>
    <w:rsid w:val="006D30EE"/>
    <w:rsid w:val="006D3211"/>
    <w:rsid w:val="006D32E0"/>
    <w:rsid w:val="006D3745"/>
    <w:rsid w:val="006D37B4"/>
    <w:rsid w:val="006D37D0"/>
    <w:rsid w:val="006D384C"/>
    <w:rsid w:val="006D398E"/>
    <w:rsid w:val="006D3A4E"/>
    <w:rsid w:val="006D3B8F"/>
    <w:rsid w:val="006D3BD0"/>
    <w:rsid w:val="006D3C6E"/>
    <w:rsid w:val="006D408D"/>
    <w:rsid w:val="006D4232"/>
    <w:rsid w:val="006D42F5"/>
    <w:rsid w:val="006D4385"/>
    <w:rsid w:val="006D461C"/>
    <w:rsid w:val="006D4656"/>
    <w:rsid w:val="006D4660"/>
    <w:rsid w:val="006D472A"/>
    <w:rsid w:val="006D4758"/>
    <w:rsid w:val="006D4764"/>
    <w:rsid w:val="006D483E"/>
    <w:rsid w:val="006D4CE0"/>
    <w:rsid w:val="006D4D5D"/>
    <w:rsid w:val="006D4D9B"/>
    <w:rsid w:val="006D5664"/>
    <w:rsid w:val="006D5876"/>
    <w:rsid w:val="006D592E"/>
    <w:rsid w:val="006D5ACB"/>
    <w:rsid w:val="006D5BB7"/>
    <w:rsid w:val="006D5F2D"/>
    <w:rsid w:val="006D6078"/>
    <w:rsid w:val="006D62A7"/>
    <w:rsid w:val="006D633E"/>
    <w:rsid w:val="006D63CB"/>
    <w:rsid w:val="006D66A2"/>
    <w:rsid w:val="006D67A7"/>
    <w:rsid w:val="006D6D0D"/>
    <w:rsid w:val="006D6D42"/>
    <w:rsid w:val="006D6DBB"/>
    <w:rsid w:val="006D6ED8"/>
    <w:rsid w:val="006D6F59"/>
    <w:rsid w:val="006D6FAA"/>
    <w:rsid w:val="006D7106"/>
    <w:rsid w:val="006D71CD"/>
    <w:rsid w:val="006D746D"/>
    <w:rsid w:val="006D7505"/>
    <w:rsid w:val="006D7591"/>
    <w:rsid w:val="006D774D"/>
    <w:rsid w:val="006D77F0"/>
    <w:rsid w:val="006D7982"/>
    <w:rsid w:val="006D7D35"/>
    <w:rsid w:val="006D7F6B"/>
    <w:rsid w:val="006E008C"/>
    <w:rsid w:val="006E0496"/>
    <w:rsid w:val="006E04E3"/>
    <w:rsid w:val="006E0C23"/>
    <w:rsid w:val="006E0DF9"/>
    <w:rsid w:val="006E1223"/>
    <w:rsid w:val="006E1244"/>
    <w:rsid w:val="006E12BF"/>
    <w:rsid w:val="006E15D1"/>
    <w:rsid w:val="006E192A"/>
    <w:rsid w:val="006E197D"/>
    <w:rsid w:val="006E1B63"/>
    <w:rsid w:val="006E1D3F"/>
    <w:rsid w:val="006E1FCD"/>
    <w:rsid w:val="006E206D"/>
    <w:rsid w:val="006E21A1"/>
    <w:rsid w:val="006E2283"/>
    <w:rsid w:val="006E2306"/>
    <w:rsid w:val="006E2447"/>
    <w:rsid w:val="006E260C"/>
    <w:rsid w:val="006E2645"/>
    <w:rsid w:val="006E2969"/>
    <w:rsid w:val="006E2A69"/>
    <w:rsid w:val="006E2AA6"/>
    <w:rsid w:val="006E2E9E"/>
    <w:rsid w:val="006E2F95"/>
    <w:rsid w:val="006E322D"/>
    <w:rsid w:val="006E3463"/>
    <w:rsid w:val="006E371B"/>
    <w:rsid w:val="006E3837"/>
    <w:rsid w:val="006E3BC1"/>
    <w:rsid w:val="006E3C6F"/>
    <w:rsid w:val="006E3C79"/>
    <w:rsid w:val="006E3CEB"/>
    <w:rsid w:val="006E3E53"/>
    <w:rsid w:val="006E402C"/>
    <w:rsid w:val="006E43A7"/>
    <w:rsid w:val="006E45B9"/>
    <w:rsid w:val="006E4D76"/>
    <w:rsid w:val="006E4DD0"/>
    <w:rsid w:val="006E4EFD"/>
    <w:rsid w:val="006E4F2F"/>
    <w:rsid w:val="006E4F87"/>
    <w:rsid w:val="006E5049"/>
    <w:rsid w:val="006E56D8"/>
    <w:rsid w:val="006E587B"/>
    <w:rsid w:val="006E5CC0"/>
    <w:rsid w:val="006E5CCC"/>
    <w:rsid w:val="006E5D36"/>
    <w:rsid w:val="006E5EBB"/>
    <w:rsid w:val="006E5EBC"/>
    <w:rsid w:val="006E63FA"/>
    <w:rsid w:val="006E69D4"/>
    <w:rsid w:val="006E6CA1"/>
    <w:rsid w:val="006E6CAA"/>
    <w:rsid w:val="006E6D77"/>
    <w:rsid w:val="006E6E11"/>
    <w:rsid w:val="006E70BD"/>
    <w:rsid w:val="006E72FE"/>
    <w:rsid w:val="006E775A"/>
    <w:rsid w:val="006E790E"/>
    <w:rsid w:val="006E7A07"/>
    <w:rsid w:val="006F01F7"/>
    <w:rsid w:val="006F0236"/>
    <w:rsid w:val="006F0721"/>
    <w:rsid w:val="006F0750"/>
    <w:rsid w:val="006F07CD"/>
    <w:rsid w:val="006F089C"/>
    <w:rsid w:val="006F0B7D"/>
    <w:rsid w:val="006F0DA4"/>
    <w:rsid w:val="006F0EA8"/>
    <w:rsid w:val="006F0EEF"/>
    <w:rsid w:val="006F0FC0"/>
    <w:rsid w:val="006F1031"/>
    <w:rsid w:val="006F15BD"/>
    <w:rsid w:val="006F15E1"/>
    <w:rsid w:val="006F1641"/>
    <w:rsid w:val="006F193D"/>
    <w:rsid w:val="006F1C57"/>
    <w:rsid w:val="006F1CCE"/>
    <w:rsid w:val="006F1EB6"/>
    <w:rsid w:val="006F1FD2"/>
    <w:rsid w:val="006F2250"/>
    <w:rsid w:val="006F271A"/>
    <w:rsid w:val="006F279F"/>
    <w:rsid w:val="006F2942"/>
    <w:rsid w:val="006F2A92"/>
    <w:rsid w:val="006F2AFE"/>
    <w:rsid w:val="006F2C2E"/>
    <w:rsid w:val="006F2CCB"/>
    <w:rsid w:val="006F2D23"/>
    <w:rsid w:val="006F2DC3"/>
    <w:rsid w:val="006F2F83"/>
    <w:rsid w:val="006F311F"/>
    <w:rsid w:val="006F3263"/>
    <w:rsid w:val="006F33A0"/>
    <w:rsid w:val="006F33AD"/>
    <w:rsid w:val="006F361F"/>
    <w:rsid w:val="006F3CD0"/>
    <w:rsid w:val="006F3D5C"/>
    <w:rsid w:val="006F3E29"/>
    <w:rsid w:val="006F3FF1"/>
    <w:rsid w:val="006F419A"/>
    <w:rsid w:val="006F4250"/>
    <w:rsid w:val="006F4297"/>
    <w:rsid w:val="006F42BA"/>
    <w:rsid w:val="006F4362"/>
    <w:rsid w:val="006F4363"/>
    <w:rsid w:val="006F44CC"/>
    <w:rsid w:val="006F4620"/>
    <w:rsid w:val="006F4666"/>
    <w:rsid w:val="006F47EA"/>
    <w:rsid w:val="006F4A72"/>
    <w:rsid w:val="006F4E15"/>
    <w:rsid w:val="006F4E59"/>
    <w:rsid w:val="006F4F78"/>
    <w:rsid w:val="006F52FD"/>
    <w:rsid w:val="006F54F2"/>
    <w:rsid w:val="006F570F"/>
    <w:rsid w:val="006F5885"/>
    <w:rsid w:val="006F5899"/>
    <w:rsid w:val="006F59D5"/>
    <w:rsid w:val="006F5AB9"/>
    <w:rsid w:val="006F5CD0"/>
    <w:rsid w:val="006F5E9C"/>
    <w:rsid w:val="006F606F"/>
    <w:rsid w:val="006F6112"/>
    <w:rsid w:val="006F617F"/>
    <w:rsid w:val="006F61C9"/>
    <w:rsid w:val="006F624A"/>
    <w:rsid w:val="006F6606"/>
    <w:rsid w:val="006F696A"/>
    <w:rsid w:val="006F69EC"/>
    <w:rsid w:val="006F6ACC"/>
    <w:rsid w:val="006F6B98"/>
    <w:rsid w:val="006F6C3B"/>
    <w:rsid w:val="006F6DC7"/>
    <w:rsid w:val="006F7318"/>
    <w:rsid w:val="006F782F"/>
    <w:rsid w:val="006F7BF7"/>
    <w:rsid w:val="006F7D70"/>
    <w:rsid w:val="006F7E49"/>
    <w:rsid w:val="006F7E61"/>
    <w:rsid w:val="006F7E96"/>
    <w:rsid w:val="00700215"/>
    <w:rsid w:val="00700364"/>
    <w:rsid w:val="007006CC"/>
    <w:rsid w:val="007006E3"/>
    <w:rsid w:val="00700A72"/>
    <w:rsid w:val="00700BE8"/>
    <w:rsid w:val="00700C3C"/>
    <w:rsid w:val="007012DC"/>
    <w:rsid w:val="0070162D"/>
    <w:rsid w:val="00701873"/>
    <w:rsid w:val="00701B5A"/>
    <w:rsid w:val="00701DAD"/>
    <w:rsid w:val="0070211D"/>
    <w:rsid w:val="007021CB"/>
    <w:rsid w:val="007021D3"/>
    <w:rsid w:val="007021ED"/>
    <w:rsid w:val="00702251"/>
    <w:rsid w:val="00702382"/>
    <w:rsid w:val="007023D2"/>
    <w:rsid w:val="007023F3"/>
    <w:rsid w:val="00702484"/>
    <w:rsid w:val="00702561"/>
    <w:rsid w:val="0070257C"/>
    <w:rsid w:val="0070262F"/>
    <w:rsid w:val="00702973"/>
    <w:rsid w:val="00702AF3"/>
    <w:rsid w:val="00702C1A"/>
    <w:rsid w:val="00702CC1"/>
    <w:rsid w:val="00702F21"/>
    <w:rsid w:val="0070317A"/>
    <w:rsid w:val="007031CA"/>
    <w:rsid w:val="0070348B"/>
    <w:rsid w:val="00703748"/>
    <w:rsid w:val="00703BB6"/>
    <w:rsid w:val="00703CA6"/>
    <w:rsid w:val="00703D6A"/>
    <w:rsid w:val="00703D88"/>
    <w:rsid w:val="0070411E"/>
    <w:rsid w:val="0070414E"/>
    <w:rsid w:val="0070445F"/>
    <w:rsid w:val="00704606"/>
    <w:rsid w:val="00704846"/>
    <w:rsid w:val="007049D4"/>
    <w:rsid w:val="00704B18"/>
    <w:rsid w:val="00704B41"/>
    <w:rsid w:val="00704C25"/>
    <w:rsid w:val="00704DD9"/>
    <w:rsid w:val="00704EB1"/>
    <w:rsid w:val="007050B9"/>
    <w:rsid w:val="00705412"/>
    <w:rsid w:val="007054F6"/>
    <w:rsid w:val="007055C2"/>
    <w:rsid w:val="00705888"/>
    <w:rsid w:val="00706141"/>
    <w:rsid w:val="00706380"/>
    <w:rsid w:val="00706409"/>
    <w:rsid w:val="0070673B"/>
    <w:rsid w:val="00706C08"/>
    <w:rsid w:val="00706C6D"/>
    <w:rsid w:val="00707071"/>
    <w:rsid w:val="007070FA"/>
    <w:rsid w:val="0070710E"/>
    <w:rsid w:val="007071B4"/>
    <w:rsid w:val="0070737F"/>
    <w:rsid w:val="00707405"/>
    <w:rsid w:val="0070740E"/>
    <w:rsid w:val="0070754C"/>
    <w:rsid w:val="00707A76"/>
    <w:rsid w:val="00707B9A"/>
    <w:rsid w:val="00707EE6"/>
    <w:rsid w:val="007104C5"/>
    <w:rsid w:val="00710938"/>
    <w:rsid w:val="00710A8F"/>
    <w:rsid w:val="00710CE8"/>
    <w:rsid w:val="00710D71"/>
    <w:rsid w:val="00710EC5"/>
    <w:rsid w:val="00711032"/>
    <w:rsid w:val="0071176E"/>
    <w:rsid w:val="0071199D"/>
    <w:rsid w:val="00711B16"/>
    <w:rsid w:val="00711B91"/>
    <w:rsid w:val="00711C83"/>
    <w:rsid w:val="007121BE"/>
    <w:rsid w:val="0071230A"/>
    <w:rsid w:val="00712358"/>
    <w:rsid w:val="00712522"/>
    <w:rsid w:val="007128E5"/>
    <w:rsid w:val="00712B1E"/>
    <w:rsid w:val="00712C5D"/>
    <w:rsid w:val="00713208"/>
    <w:rsid w:val="00713A43"/>
    <w:rsid w:val="00713EFE"/>
    <w:rsid w:val="00713F86"/>
    <w:rsid w:val="007143BF"/>
    <w:rsid w:val="007146D3"/>
    <w:rsid w:val="007149DA"/>
    <w:rsid w:val="00714BA5"/>
    <w:rsid w:val="007152F8"/>
    <w:rsid w:val="0071549D"/>
    <w:rsid w:val="007154FB"/>
    <w:rsid w:val="007155F6"/>
    <w:rsid w:val="00715650"/>
    <w:rsid w:val="0071578B"/>
    <w:rsid w:val="00715946"/>
    <w:rsid w:val="00715966"/>
    <w:rsid w:val="007159A8"/>
    <w:rsid w:val="00715C7A"/>
    <w:rsid w:val="0071626B"/>
    <w:rsid w:val="00716301"/>
    <w:rsid w:val="00716313"/>
    <w:rsid w:val="0071631F"/>
    <w:rsid w:val="007163BD"/>
    <w:rsid w:val="00716537"/>
    <w:rsid w:val="00716703"/>
    <w:rsid w:val="007167D6"/>
    <w:rsid w:val="007168E3"/>
    <w:rsid w:val="0071698F"/>
    <w:rsid w:val="00716C52"/>
    <w:rsid w:val="00716E66"/>
    <w:rsid w:val="00716F84"/>
    <w:rsid w:val="0071701B"/>
    <w:rsid w:val="00717092"/>
    <w:rsid w:val="007171D3"/>
    <w:rsid w:val="00717367"/>
    <w:rsid w:val="007174B0"/>
    <w:rsid w:val="007174F6"/>
    <w:rsid w:val="0071762F"/>
    <w:rsid w:val="007176C7"/>
    <w:rsid w:val="0071791D"/>
    <w:rsid w:val="007179FF"/>
    <w:rsid w:val="00717B63"/>
    <w:rsid w:val="00717C70"/>
    <w:rsid w:val="00717D9C"/>
    <w:rsid w:val="007201B2"/>
    <w:rsid w:val="007201F1"/>
    <w:rsid w:val="007203A3"/>
    <w:rsid w:val="007203A8"/>
    <w:rsid w:val="00720627"/>
    <w:rsid w:val="00720833"/>
    <w:rsid w:val="00720987"/>
    <w:rsid w:val="007209E4"/>
    <w:rsid w:val="00720C91"/>
    <w:rsid w:val="00720EC4"/>
    <w:rsid w:val="00720FD6"/>
    <w:rsid w:val="0072100A"/>
    <w:rsid w:val="0072117F"/>
    <w:rsid w:val="0072171A"/>
    <w:rsid w:val="0072173B"/>
    <w:rsid w:val="00721C5F"/>
    <w:rsid w:val="00721CE5"/>
    <w:rsid w:val="00721D08"/>
    <w:rsid w:val="00721F57"/>
    <w:rsid w:val="00721FC9"/>
    <w:rsid w:val="0072227B"/>
    <w:rsid w:val="0072260D"/>
    <w:rsid w:val="007227F1"/>
    <w:rsid w:val="00722812"/>
    <w:rsid w:val="0072292F"/>
    <w:rsid w:val="00722B18"/>
    <w:rsid w:val="00722D10"/>
    <w:rsid w:val="00722D61"/>
    <w:rsid w:val="00722DC5"/>
    <w:rsid w:val="00722DF4"/>
    <w:rsid w:val="00722EF0"/>
    <w:rsid w:val="00722FB0"/>
    <w:rsid w:val="007231A8"/>
    <w:rsid w:val="00723378"/>
    <w:rsid w:val="0072387D"/>
    <w:rsid w:val="00723CA4"/>
    <w:rsid w:val="00723DC1"/>
    <w:rsid w:val="00723E27"/>
    <w:rsid w:val="00723F3A"/>
    <w:rsid w:val="007240F3"/>
    <w:rsid w:val="007242DC"/>
    <w:rsid w:val="00724351"/>
    <w:rsid w:val="007244D1"/>
    <w:rsid w:val="00724693"/>
    <w:rsid w:val="00724B24"/>
    <w:rsid w:val="00724E8C"/>
    <w:rsid w:val="007251C6"/>
    <w:rsid w:val="0072522E"/>
    <w:rsid w:val="00725359"/>
    <w:rsid w:val="00725671"/>
    <w:rsid w:val="0072599B"/>
    <w:rsid w:val="007261E8"/>
    <w:rsid w:val="0072629C"/>
    <w:rsid w:val="0072665E"/>
    <w:rsid w:val="00726779"/>
    <w:rsid w:val="0072683F"/>
    <w:rsid w:val="00726907"/>
    <w:rsid w:val="007269B3"/>
    <w:rsid w:val="00726A78"/>
    <w:rsid w:val="00726C24"/>
    <w:rsid w:val="0072708A"/>
    <w:rsid w:val="007274FD"/>
    <w:rsid w:val="0072754C"/>
    <w:rsid w:val="0072757A"/>
    <w:rsid w:val="00727623"/>
    <w:rsid w:val="007276FA"/>
    <w:rsid w:val="0072787F"/>
    <w:rsid w:val="00727BC3"/>
    <w:rsid w:val="00727D05"/>
    <w:rsid w:val="00730720"/>
    <w:rsid w:val="00730B98"/>
    <w:rsid w:val="00730C5A"/>
    <w:rsid w:val="00730E76"/>
    <w:rsid w:val="007312E2"/>
    <w:rsid w:val="007315BC"/>
    <w:rsid w:val="00731614"/>
    <w:rsid w:val="007316AD"/>
    <w:rsid w:val="00731A73"/>
    <w:rsid w:val="00731A94"/>
    <w:rsid w:val="00731B57"/>
    <w:rsid w:val="00731BAE"/>
    <w:rsid w:val="00731C24"/>
    <w:rsid w:val="00731C93"/>
    <w:rsid w:val="007320D2"/>
    <w:rsid w:val="0073216C"/>
    <w:rsid w:val="007324B4"/>
    <w:rsid w:val="007327D3"/>
    <w:rsid w:val="0073284C"/>
    <w:rsid w:val="00732906"/>
    <w:rsid w:val="007329C0"/>
    <w:rsid w:val="00732EEC"/>
    <w:rsid w:val="0073311F"/>
    <w:rsid w:val="0073319F"/>
    <w:rsid w:val="007331AF"/>
    <w:rsid w:val="007332C8"/>
    <w:rsid w:val="007333A6"/>
    <w:rsid w:val="007333C6"/>
    <w:rsid w:val="00733552"/>
    <w:rsid w:val="0073370D"/>
    <w:rsid w:val="007337C0"/>
    <w:rsid w:val="00733C69"/>
    <w:rsid w:val="00733DF5"/>
    <w:rsid w:val="00733FD9"/>
    <w:rsid w:val="007340AE"/>
    <w:rsid w:val="0073418A"/>
    <w:rsid w:val="007341C2"/>
    <w:rsid w:val="00734757"/>
    <w:rsid w:val="00734851"/>
    <w:rsid w:val="00734A67"/>
    <w:rsid w:val="00734A7E"/>
    <w:rsid w:val="0073502A"/>
    <w:rsid w:val="0073507E"/>
    <w:rsid w:val="0073510D"/>
    <w:rsid w:val="00735743"/>
    <w:rsid w:val="00735992"/>
    <w:rsid w:val="0073599C"/>
    <w:rsid w:val="00735B3D"/>
    <w:rsid w:val="00735D4D"/>
    <w:rsid w:val="00735E5C"/>
    <w:rsid w:val="00735F83"/>
    <w:rsid w:val="00736058"/>
    <w:rsid w:val="0073612F"/>
    <w:rsid w:val="00736277"/>
    <w:rsid w:val="007365F8"/>
    <w:rsid w:val="00736812"/>
    <w:rsid w:val="00736895"/>
    <w:rsid w:val="007368C8"/>
    <w:rsid w:val="0073690E"/>
    <w:rsid w:val="00736AEF"/>
    <w:rsid w:val="00736B31"/>
    <w:rsid w:val="00736D17"/>
    <w:rsid w:val="00736D6F"/>
    <w:rsid w:val="00736F4C"/>
    <w:rsid w:val="007373FD"/>
    <w:rsid w:val="0073745B"/>
    <w:rsid w:val="00737742"/>
    <w:rsid w:val="00737B3E"/>
    <w:rsid w:val="00737E79"/>
    <w:rsid w:val="00737ED7"/>
    <w:rsid w:val="00737EDD"/>
    <w:rsid w:val="0074012C"/>
    <w:rsid w:val="007402E7"/>
    <w:rsid w:val="007404A6"/>
    <w:rsid w:val="007407A3"/>
    <w:rsid w:val="007409E8"/>
    <w:rsid w:val="00740D1E"/>
    <w:rsid w:val="0074133B"/>
    <w:rsid w:val="0074179E"/>
    <w:rsid w:val="00741A3E"/>
    <w:rsid w:val="00741B6D"/>
    <w:rsid w:val="00741D5C"/>
    <w:rsid w:val="00741DF1"/>
    <w:rsid w:val="007420C2"/>
    <w:rsid w:val="00742516"/>
    <w:rsid w:val="00742558"/>
    <w:rsid w:val="00742CCA"/>
    <w:rsid w:val="00742D7C"/>
    <w:rsid w:val="00742D92"/>
    <w:rsid w:val="00742E89"/>
    <w:rsid w:val="00742F8A"/>
    <w:rsid w:val="0074301E"/>
    <w:rsid w:val="007434B9"/>
    <w:rsid w:val="00743554"/>
    <w:rsid w:val="007436ED"/>
    <w:rsid w:val="00743759"/>
    <w:rsid w:val="00743914"/>
    <w:rsid w:val="0074392C"/>
    <w:rsid w:val="007439EF"/>
    <w:rsid w:val="00743B6F"/>
    <w:rsid w:val="00743C77"/>
    <w:rsid w:val="00744028"/>
    <w:rsid w:val="0074402A"/>
    <w:rsid w:val="00744803"/>
    <w:rsid w:val="00744958"/>
    <w:rsid w:val="00744A1C"/>
    <w:rsid w:val="00744A69"/>
    <w:rsid w:val="00744B76"/>
    <w:rsid w:val="00744B82"/>
    <w:rsid w:val="00745123"/>
    <w:rsid w:val="00745351"/>
    <w:rsid w:val="00745803"/>
    <w:rsid w:val="0074593C"/>
    <w:rsid w:val="00745CB8"/>
    <w:rsid w:val="00745CC9"/>
    <w:rsid w:val="00745D73"/>
    <w:rsid w:val="00746191"/>
    <w:rsid w:val="00746247"/>
    <w:rsid w:val="0074657E"/>
    <w:rsid w:val="0074699C"/>
    <w:rsid w:val="007469C5"/>
    <w:rsid w:val="007469F0"/>
    <w:rsid w:val="00746A23"/>
    <w:rsid w:val="00746B9E"/>
    <w:rsid w:val="00746CEE"/>
    <w:rsid w:val="00746E0B"/>
    <w:rsid w:val="00746E5E"/>
    <w:rsid w:val="00746F71"/>
    <w:rsid w:val="0074709E"/>
    <w:rsid w:val="00747455"/>
    <w:rsid w:val="00747491"/>
    <w:rsid w:val="0074754B"/>
    <w:rsid w:val="007475BA"/>
    <w:rsid w:val="007475E9"/>
    <w:rsid w:val="00747726"/>
    <w:rsid w:val="0074773F"/>
    <w:rsid w:val="00747762"/>
    <w:rsid w:val="00747A39"/>
    <w:rsid w:val="00750548"/>
    <w:rsid w:val="00750662"/>
    <w:rsid w:val="007506FA"/>
    <w:rsid w:val="00750B18"/>
    <w:rsid w:val="00751501"/>
    <w:rsid w:val="00751C04"/>
    <w:rsid w:val="00751FDB"/>
    <w:rsid w:val="00752427"/>
    <w:rsid w:val="00752664"/>
    <w:rsid w:val="007526C7"/>
    <w:rsid w:val="00752853"/>
    <w:rsid w:val="00752940"/>
    <w:rsid w:val="00752A7D"/>
    <w:rsid w:val="00752A9A"/>
    <w:rsid w:val="00752C46"/>
    <w:rsid w:val="00752DD6"/>
    <w:rsid w:val="00752DDA"/>
    <w:rsid w:val="00752EA9"/>
    <w:rsid w:val="00753099"/>
    <w:rsid w:val="007532ED"/>
    <w:rsid w:val="0075347F"/>
    <w:rsid w:val="00753487"/>
    <w:rsid w:val="007534DC"/>
    <w:rsid w:val="00753523"/>
    <w:rsid w:val="00753955"/>
    <w:rsid w:val="00753B41"/>
    <w:rsid w:val="00753CC2"/>
    <w:rsid w:val="00753D18"/>
    <w:rsid w:val="00753E32"/>
    <w:rsid w:val="00754205"/>
    <w:rsid w:val="007545A6"/>
    <w:rsid w:val="00754614"/>
    <w:rsid w:val="0075475C"/>
    <w:rsid w:val="007548D9"/>
    <w:rsid w:val="00754A73"/>
    <w:rsid w:val="00754DE7"/>
    <w:rsid w:val="00755300"/>
    <w:rsid w:val="00755699"/>
    <w:rsid w:val="0075599B"/>
    <w:rsid w:val="00755C88"/>
    <w:rsid w:val="00755DC6"/>
    <w:rsid w:val="00755E06"/>
    <w:rsid w:val="007560E8"/>
    <w:rsid w:val="007561B6"/>
    <w:rsid w:val="007561F6"/>
    <w:rsid w:val="007562FC"/>
    <w:rsid w:val="007565ED"/>
    <w:rsid w:val="00756622"/>
    <w:rsid w:val="00756867"/>
    <w:rsid w:val="00756C25"/>
    <w:rsid w:val="00756F06"/>
    <w:rsid w:val="007572F7"/>
    <w:rsid w:val="00757B7C"/>
    <w:rsid w:val="00757B87"/>
    <w:rsid w:val="00757D78"/>
    <w:rsid w:val="00757E00"/>
    <w:rsid w:val="00757FB4"/>
    <w:rsid w:val="0076009A"/>
    <w:rsid w:val="00760253"/>
    <w:rsid w:val="007603CA"/>
    <w:rsid w:val="00760510"/>
    <w:rsid w:val="00760672"/>
    <w:rsid w:val="00760766"/>
    <w:rsid w:val="0076096E"/>
    <w:rsid w:val="00760A84"/>
    <w:rsid w:val="00760AD5"/>
    <w:rsid w:val="00760CA1"/>
    <w:rsid w:val="00760DE6"/>
    <w:rsid w:val="0076106C"/>
    <w:rsid w:val="007610A6"/>
    <w:rsid w:val="00761396"/>
    <w:rsid w:val="007613B5"/>
    <w:rsid w:val="00761481"/>
    <w:rsid w:val="00761930"/>
    <w:rsid w:val="00761A38"/>
    <w:rsid w:val="00761D36"/>
    <w:rsid w:val="00761DEE"/>
    <w:rsid w:val="00761E0F"/>
    <w:rsid w:val="00761F08"/>
    <w:rsid w:val="00761F9D"/>
    <w:rsid w:val="00762055"/>
    <w:rsid w:val="0076219E"/>
    <w:rsid w:val="0076241A"/>
    <w:rsid w:val="007624AC"/>
    <w:rsid w:val="0076259E"/>
    <w:rsid w:val="007628DA"/>
    <w:rsid w:val="00762A7A"/>
    <w:rsid w:val="00762AA1"/>
    <w:rsid w:val="00762B4E"/>
    <w:rsid w:val="00762D99"/>
    <w:rsid w:val="007630E3"/>
    <w:rsid w:val="0076330E"/>
    <w:rsid w:val="007633BD"/>
    <w:rsid w:val="0076369E"/>
    <w:rsid w:val="007638DB"/>
    <w:rsid w:val="00763AD3"/>
    <w:rsid w:val="00763D87"/>
    <w:rsid w:val="00763D9D"/>
    <w:rsid w:val="007641B5"/>
    <w:rsid w:val="007644F3"/>
    <w:rsid w:val="00764549"/>
    <w:rsid w:val="0076459E"/>
    <w:rsid w:val="00764718"/>
    <w:rsid w:val="00764935"/>
    <w:rsid w:val="0076493A"/>
    <w:rsid w:val="00764A85"/>
    <w:rsid w:val="00764B16"/>
    <w:rsid w:val="00764B8A"/>
    <w:rsid w:val="00764E90"/>
    <w:rsid w:val="00764F82"/>
    <w:rsid w:val="00764FAF"/>
    <w:rsid w:val="007652E7"/>
    <w:rsid w:val="0076534D"/>
    <w:rsid w:val="007653FA"/>
    <w:rsid w:val="007657FD"/>
    <w:rsid w:val="00765874"/>
    <w:rsid w:val="0076597F"/>
    <w:rsid w:val="00765BB9"/>
    <w:rsid w:val="00765C53"/>
    <w:rsid w:val="00765C88"/>
    <w:rsid w:val="007661C4"/>
    <w:rsid w:val="00766498"/>
    <w:rsid w:val="00766603"/>
    <w:rsid w:val="00766637"/>
    <w:rsid w:val="0076682D"/>
    <w:rsid w:val="007668CC"/>
    <w:rsid w:val="00766A56"/>
    <w:rsid w:val="00766BE2"/>
    <w:rsid w:val="00766C25"/>
    <w:rsid w:val="00766D94"/>
    <w:rsid w:val="00766E2A"/>
    <w:rsid w:val="00766E9A"/>
    <w:rsid w:val="00767225"/>
    <w:rsid w:val="00767272"/>
    <w:rsid w:val="007675E8"/>
    <w:rsid w:val="00767764"/>
    <w:rsid w:val="00767779"/>
    <w:rsid w:val="007678A1"/>
    <w:rsid w:val="00767FE9"/>
    <w:rsid w:val="007704B0"/>
    <w:rsid w:val="0077058E"/>
    <w:rsid w:val="007705CF"/>
    <w:rsid w:val="00770898"/>
    <w:rsid w:val="00770A6F"/>
    <w:rsid w:val="00770BAD"/>
    <w:rsid w:val="00770C05"/>
    <w:rsid w:val="00770D74"/>
    <w:rsid w:val="00770D7E"/>
    <w:rsid w:val="00770F33"/>
    <w:rsid w:val="00770F4D"/>
    <w:rsid w:val="00770F6A"/>
    <w:rsid w:val="00770FED"/>
    <w:rsid w:val="00771063"/>
    <w:rsid w:val="0077106C"/>
    <w:rsid w:val="0077134D"/>
    <w:rsid w:val="00771852"/>
    <w:rsid w:val="00771AC3"/>
    <w:rsid w:val="00771AEF"/>
    <w:rsid w:val="00771FE2"/>
    <w:rsid w:val="00772204"/>
    <w:rsid w:val="007722F7"/>
    <w:rsid w:val="007726AE"/>
    <w:rsid w:val="00772787"/>
    <w:rsid w:val="00772C7C"/>
    <w:rsid w:val="00773390"/>
    <w:rsid w:val="0077345A"/>
    <w:rsid w:val="0077364B"/>
    <w:rsid w:val="007736EE"/>
    <w:rsid w:val="00773815"/>
    <w:rsid w:val="00773821"/>
    <w:rsid w:val="00773995"/>
    <w:rsid w:val="00773AB3"/>
    <w:rsid w:val="00773BF4"/>
    <w:rsid w:val="00773C18"/>
    <w:rsid w:val="00773DF3"/>
    <w:rsid w:val="007740C0"/>
    <w:rsid w:val="0077413C"/>
    <w:rsid w:val="00774183"/>
    <w:rsid w:val="00774189"/>
    <w:rsid w:val="007745F5"/>
    <w:rsid w:val="0077469E"/>
    <w:rsid w:val="007749A3"/>
    <w:rsid w:val="00774B39"/>
    <w:rsid w:val="00774BC3"/>
    <w:rsid w:val="00774C0B"/>
    <w:rsid w:val="00774E33"/>
    <w:rsid w:val="00774F34"/>
    <w:rsid w:val="00774F9D"/>
    <w:rsid w:val="00774F9F"/>
    <w:rsid w:val="00774FEF"/>
    <w:rsid w:val="00775057"/>
    <w:rsid w:val="0077514C"/>
    <w:rsid w:val="007751DD"/>
    <w:rsid w:val="007751EE"/>
    <w:rsid w:val="007752DD"/>
    <w:rsid w:val="0077564F"/>
    <w:rsid w:val="007760BA"/>
    <w:rsid w:val="00776515"/>
    <w:rsid w:val="007766C2"/>
    <w:rsid w:val="00776B56"/>
    <w:rsid w:val="00776C8D"/>
    <w:rsid w:val="00776FD1"/>
    <w:rsid w:val="00777344"/>
    <w:rsid w:val="00777750"/>
    <w:rsid w:val="0077788A"/>
    <w:rsid w:val="00777C4F"/>
    <w:rsid w:val="00777CF7"/>
    <w:rsid w:val="00777E0D"/>
    <w:rsid w:val="007804A5"/>
    <w:rsid w:val="007806AE"/>
    <w:rsid w:val="00780898"/>
    <w:rsid w:val="007808C6"/>
    <w:rsid w:val="007809C4"/>
    <w:rsid w:val="007809DF"/>
    <w:rsid w:val="00780AA3"/>
    <w:rsid w:val="00780BCE"/>
    <w:rsid w:val="00780E4A"/>
    <w:rsid w:val="00781347"/>
    <w:rsid w:val="007813DA"/>
    <w:rsid w:val="007815D7"/>
    <w:rsid w:val="007816E4"/>
    <w:rsid w:val="007819BD"/>
    <w:rsid w:val="00781D1C"/>
    <w:rsid w:val="00781F17"/>
    <w:rsid w:val="0078203E"/>
    <w:rsid w:val="00782280"/>
    <w:rsid w:val="0078232A"/>
    <w:rsid w:val="00782356"/>
    <w:rsid w:val="00782386"/>
    <w:rsid w:val="00782A15"/>
    <w:rsid w:val="00782A91"/>
    <w:rsid w:val="00782C6C"/>
    <w:rsid w:val="00782E32"/>
    <w:rsid w:val="007832D9"/>
    <w:rsid w:val="00783483"/>
    <w:rsid w:val="007834F8"/>
    <w:rsid w:val="00783734"/>
    <w:rsid w:val="007838AA"/>
    <w:rsid w:val="0078399E"/>
    <w:rsid w:val="00783AC8"/>
    <w:rsid w:val="00783BBC"/>
    <w:rsid w:val="00783C6A"/>
    <w:rsid w:val="00783EF2"/>
    <w:rsid w:val="00783F0E"/>
    <w:rsid w:val="00783FBD"/>
    <w:rsid w:val="00784263"/>
    <w:rsid w:val="0078456B"/>
    <w:rsid w:val="0078484A"/>
    <w:rsid w:val="00784AC8"/>
    <w:rsid w:val="00784EBF"/>
    <w:rsid w:val="00784FD8"/>
    <w:rsid w:val="00784FE2"/>
    <w:rsid w:val="00785244"/>
    <w:rsid w:val="0078560A"/>
    <w:rsid w:val="007856A1"/>
    <w:rsid w:val="00785731"/>
    <w:rsid w:val="007858E7"/>
    <w:rsid w:val="007859AB"/>
    <w:rsid w:val="00785DD9"/>
    <w:rsid w:val="007861CE"/>
    <w:rsid w:val="00786304"/>
    <w:rsid w:val="00786710"/>
    <w:rsid w:val="0078686F"/>
    <w:rsid w:val="00786BE3"/>
    <w:rsid w:val="00786BE5"/>
    <w:rsid w:val="00787196"/>
    <w:rsid w:val="0078719C"/>
    <w:rsid w:val="007871C3"/>
    <w:rsid w:val="00787334"/>
    <w:rsid w:val="00787381"/>
    <w:rsid w:val="00787507"/>
    <w:rsid w:val="00787676"/>
    <w:rsid w:val="0078775C"/>
    <w:rsid w:val="0078778D"/>
    <w:rsid w:val="007877F5"/>
    <w:rsid w:val="007879DB"/>
    <w:rsid w:val="00787BC3"/>
    <w:rsid w:val="00787C02"/>
    <w:rsid w:val="00787D78"/>
    <w:rsid w:val="00787FEF"/>
    <w:rsid w:val="0079004F"/>
    <w:rsid w:val="00790125"/>
    <w:rsid w:val="007902F8"/>
    <w:rsid w:val="00790452"/>
    <w:rsid w:val="0079061D"/>
    <w:rsid w:val="00790639"/>
    <w:rsid w:val="00790654"/>
    <w:rsid w:val="007906BA"/>
    <w:rsid w:val="007906F2"/>
    <w:rsid w:val="007908CB"/>
    <w:rsid w:val="007909A0"/>
    <w:rsid w:val="00790A2B"/>
    <w:rsid w:val="00790B29"/>
    <w:rsid w:val="00790D1D"/>
    <w:rsid w:val="00790D26"/>
    <w:rsid w:val="00790E6E"/>
    <w:rsid w:val="00790E82"/>
    <w:rsid w:val="00790F44"/>
    <w:rsid w:val="00791049"/>
    <w:rsid w:val="0079136E"/>
    <w:rsid w:val="0079194B"/>
    <w:rsid w:val="00791959"/>
    <w:rsid w:val="00791C80"/>
    <w:rsid w:val="00791CF2"/>
    <w:rsid w:val="00791DD4"/>
    <w:rsid w:val="00792001"/>
    <w:rsid w:val="007921D0"/>
    <w:rsid w:val="0079250F"/>
    <w:rsid w:val="007928EC"/>
    <w:rsid w:val="00792CA1"/>
    <w:rsid w:val="00792D04"/>
    <w:rsid w:val="00792D70"/>
    <w:rsid w:val="00793194"/>
    <w:rsid w:val="007932B3"/>
    <w:rsid w:val="007932E9"/>
    <w:rsid w:val="00793707"/>
    <w:rsid w:val="00793AB9"/>
    <w:rsid w:val="00794561"/>
    <w:rsid w:val="00794578"/>
    <w:rsid w:val="00794B57"/>
    <w:rsid w:val="00794DCB"/>
    <w:rsid w:val="00794F32"/>
    <w:rsid w:val="00794FE1"/>
    <w:rsid w:val="007957DC"/>
    <w:rsid w:val="0079581C"/>
    <w:rsid w:val="007959B4"/>
    <w:rsid w:val="00795A2D"/>
    <w:rsid w:val="00795D11"/>
    <w:rsid w:val="007962C1"/>
    <w:rsid w:val="007962F5"/>
    <w:rsid w:val="007967D2"/>
    <w:rsid w:val="00796B20"/>
    <w:rsid w:val="00796C02"/>
    <w:rsid w:val="00796C03"/>
    <w:rsid w:val="00796CB8"/>
    <w:rsid w:val="00796E3A"/>
    <w:rsid w:val="00797071"/>
    <w:rsid w:val="00797207"/>
    <w:rsid w:val="007972CE"/>
    <w:rsid w:val="0079780D"/>
    <w:rsid w:val="00797C65"/>
    <w:rsid w:val="00797D46"/>
    <w:rsid w:val="00797D6D"/>
    <w:rsid w:val="007A00D6"/>
    <w:rsid w:val="007A0286"/>
    <w:rsid w:val="007A032A"/>
    <w:rsid w:val="007A0664"/>
    <w:rsid w:val="007A0904"/>
    <w:rsid w:val="007A0A6F"/>
    <w:rsid w:val="007A0AFF"/>
    <w:rsid w:val="007A0C56"/>
    <w:rsid w:val="007A108F"/>
    <w:rsid w:val="007A112B"/>
    <w:rsid w:val="007A1625"/>
    <w:rsid w:val="007A163D"/>
    <w:rsid w:val="007A16B9"/>
    <w:rsid w:val="007A1721"/>
    <w:rsid w:val="007A175A"/>
    <w:rsid w:val="007A1CD5"/>
    <w:rsid w:val="007A20FF"/>
    <w:rsid w:val="007A223F"/>
    <w:rsid w:val="007A2767"/>
    <w:rsid w:val="007A279E"/>
    <w:rsid w:val="007A2800"/>
    <w:rsid w:val="007A2AD5"/>
    <w:rsid w:val="007A2BF7"/>
    <w:rsid w:val="007A2C51"/>
    <w:rsid w:val="007A2D4C"/>
    <w:rsid w:val="007A2D84"/>
    <w:rsid w:val="007A2E07"/>
    <w:rsid w:val="007A2E91"/>
    <w:rsid w:val="007A2F19"/>
    <w:rsid w:val="007A2F8E"/>
    <w:rsid w:val="007A346E"/>
    <w:rsid w:val="007A36CD"/>
    <w:rsid w:val="007A383B"/>
    <w:rsid w:val="007A3ACB"/>
    <w:rsid w:val="007A3AE9"/>
    <w:rsid w:val="007A40DD"/>
    <w:rsid w:val="007A440E"/>
    <w:rsid w:val="007A48D0"/>
    <w:rsid w:val="007A49CE"/>
    <w:rsid w:val="007A49E5"/>
    <w:rsid w:val="007A49E9"/>
    <w:rsid w:val="007A4B07"/>
    <w:rsid w:val="007A4C99"/>
    <w:rsid w:val="007A4DC2"/>
    <w:rsid w:val="007A4EC8"/>
    <w:rsid w:val="007A4F18"/>
    <w:rsid w:val="007A4F27"/>
    <w:rsid w:val="007A55A5"/>
    <w:rsid w:val="007A55E1"/>
    <w:rsid w:val="007A56CC"/>
    <w:rsid w:val="007A5930"/>
    <w:rsid w:val="007A5A39"/>
    <w:rsid w:val="007A5B4D"/>
    <w:rsid w:val="007A5D8E"/>
    <w:rsid w:val="007A5DE9"/>
    <w:rsid w:val="007A5F7A"/>
    <w:rsid w:val="007A64A5"/>
    <w:rsid w:val="007A6520"/>
    <w:rsid w:val="007A658F"/>
    <w:rsid w:val="007A660E"/>
    <w:rsid w:val="007A689D"/>
    <w:rsid w:val="007A69A3"/>
    <w:rsid w:val="007A6AA2"/>
    <w:rsid w:val="007A6B38"/>
    <w:rsid w:val="007A6C2C"/>
    <w:rsid w:val="007A7059"/>
    <w:rsid w:val="007A73A5"/>
    <w:rsid w:val="007A7512"/>
    <w:rsid w:val="007A751E"/>
    <w:rsid w:val="007A7824"/>
    <w:rsid w:val="007A79D2"/>
    <w:rsid w:val="007A7A36"/>
    <w:rsid w:val="007A7A3E"/>
    <w:rsid w:val="007A7D75"/>
    <w:rsid w:val="007A7E64"/>
    <w:rsid w:val="007A7E76"/>
    <w:rsid w:val="007B017A"/>
    <w:rsid w:val="007B0318"/>
    <w:rsid w:val="007B03A0"/>
    <w:rsid w:val="007B0692"/>
    <w:rsid w:val="007B08CF"/>
    <w:rsid w:val="007B0B2D"/>
    <w:rsid w:val="007B0BAD"/>
    <w:rsid w:val="007B0BF8"/>
    <w:rsid w:val="007B0DDF"/>
    <w:rsid w:val="007B0E2C"/>
    <w:rsid w:val="007B10E5"/>
    <w:rsid w:val="007B125D"/>
    <w:rsid w:val="007B136D"/>
    <w:rsid w:val="007B1482"/>
    <w:rsid w:val="007B151E"/>
    <w:rsid w:val="007B18A1"/>
    <w:rsid w:val="007B1C3C"/>
    <w:rsid w:val="007B1C98"/>
    <w:rsid w:val="007B1FCE"/>
    <w:rsid w:val="007B2028"/>
    <w:rsid w:val="007B209E"/>
    <w:rsid w:val="007B2392"/>
    <w:rsid w:val="007B285A"/>
    <w:rsid w:val="007B2AEB"/>
    <w:rsid w:val="007B2B69"/>
    <w:rsid w:val="007B2D22"/>
    <w:rsid w:val="007B2EA5"/>
    <w:rsid w:val="007B3237"/>
    <w:rsid w:val="007B32B4"/>
    <w:rsid w:val="007B32F2"/>
    <w:rsid w:val="007B3374"/>
    <w:rsid w:val="007B3487"/>
    <w:rsid w:val="007B39EB"/>
    <w:rsid w:val="007B3ABE"/>
    <w:rsid w:val="007B3B38"/>
    <w:rsid w:val="007B3CB1"/>
    <w:rsid w:val="007B3D20"/>
    <w:rsid w:val="007B3E11"/>
    <w:rsid w:val="007B3E42"/>
    <w:rsid w:val="007B41FC"/>
    <w:rsid w:val="007B43D2"/>
    <w:rsid w:val="007B444E"/>
    <w:rsid w:val="007B480A"/>
    <w:rsid w:val="007B48C2"/>
    <w:rsid w:val="007B493E"/>
    <w:rsid w:val="007B51B6"/>
    <w:rsid w:val="007B520D"/>
    <w:rsid w:val="007B5855"/>
    <w:rsid w:val="007B5A9F"/>
    <w:rsid w:val="007B5D4D"/>
    <w:rsid w:val="007B6014"/>
    <w:rsid w:val="007B60E0"/>
    <w:rsid w:val="007B621D"/>
    <w:rsid w:val="007B62EF"/>
    <w:rsid w:val="007B6375"/>
    <w:rsid w:val="007B65DF"/>
    <w:rsid w:val="007B6745"/>
    <w:rsid w:val="007B6C19"/>
    <w:rsid w:val="007B6C5B"/>
    <w:rsid w:val="007B6CE5"/>
    <w:rsid w:val="007B6E94"/>
    <w:rsid w:val="007B6F02"/>
    <w:rsid w:val="007B7051"/>
    <w:rsid w:val="007B72C3"/>
    <w:rsid w:val="007B73A8"/>
    <w:rsid w:val="007B7B17"/>
    <w:rsid w:val="007B7D06"/>
    <w:rsid w:val="007B7D59"/>
    <w:rsid w:val="007C046B"/>
    <w:rsid w:val="007C049B"/>
    <w:rsid w:val="007C05B2"/>
    <w:rsid w:val="007C0600"/>
    <w:rsid w:val="007C094A"/>
    <w:rsid w:val="007C09E0"/>
    <w:rsid w:val="007C0AAA"/>
    <w:rsid w:val="007C0B02"/>
    <w:rsid w:val="007C0B25"/>
    <w:rsid w:val="007C0B2F"/>
    <w:rsid w:val="007C0B6C"/>
    <w:rsid w:val="007C0D09"/>
    <w:rsid w:val="007C0EE8"/>
    <w:rsid w:val="007C0F3A"/>
    <w:rsid w:val="007C0F52"/>
    <w:rsid w:val="007C12F9"/>
    <w:rsid w:val="007C1530"/>
    <w:rsid w:val="007C1B80"/>
    <w:rsid w:val="007C1C1B"/>
    <w:rsid w:val="007C1D5D"/>
    <w:rsid w:val="007C1D8E"/>
    <w:rsid w:val="007C25B4"/>
    <w:rsid w:val="007C25C6"/>
    <w:rsid w:val="007C25EB"/>
    <w:rsid w:val="007C2612"/>
    <w:rsid w:val="007C263C"/>
    <w:rsid w:val="007C2664"/>
    <w:rsid w:val="007C2C19"/>
    <w:rsid w:val="007C2C5B"/>
    <w:rsid w:val="007C2E5E"/>
    <w:rsid w:val="007C31A5"/>
    <w:rsid w:val="007C31EE"/>
    <w:rsid w:val="007C3344"/>
    <w:rsid w:val="007C33EC"/>
    <w:rsid w:val="007C3898"/>
    <w:rsid w:val="007C3D22"/>
    <w:rsid w:val="007C3DAC"/>
    <w:rsid w:val="007C4247"/>
    <w:rsid w:val="007C4340"/>
    <w:rsid w:val="007C4588"/>
    <w:rsid w:val="007C4912"/>
    <w:rsid w:val="007C4949"/>
    <w:rsid w:val="007C4B6B"/>
    <w:rsid w:val="007C4CAA"/>
    <w:rsid w:val="007C4CB3"/>
    <w:rsid w:val="007C4CF9"/>
    <w:rsid w:val="007C4DA8"/>
    <w:rsid w:val="007C4E6C"/>
    <w:rsid w:val="007C4EB9"/>
    <w:rsid w:val="007C4FFE"/>
    <w:rsid w:val="007C50E2"/>
    <w:rsid w:val="007C51AE"/>
    <w:rsid w:val="007C52C6"/>
    <w:rsid w:val="007C52E3"/>
    <w:rsid w:val="007C5717"/>
    <w:rsid w:val="007C59A6"/>
    <w:rsid w:val="007C59C3"/>
    <w:rsid w:val="007C5BA7"/>
    <w:rsid w:val="007C5C6C"/>
    <w:rsid w:val="007C5DB6"/>
    <w:rsid w:val="007C5F69"/>
    <w:rsid w:val="007C6035"/>
    <w:rsid w:val="007C60D8"/>
    <w:rsid w:val="007C6499"/>
    <w:rsid w:val="007C6612"/>
    <w:rsid w:val="007C67E3"/>
    <w:rsid w:val="007C6934"/>
    <w:rsid w:val="007C69EC"/>
    <w:rsid w:val="007C6A2E"/>
    <w:rsid w:val="007C6A5E"/>
    <w:rsid w:val="007C6AB0"/>
    <w:rsid w:val="007C6E2F"/>
    <w:rsid w:val="007C6F71"/>
    <w:rsid w:val="007C701F"/>
    <w:rsid w:val="007C7101"/>
    <w:rsid w:val="007C7279"/>
    <w:rsid w:val="007C73D3"/>
    <w:rsid w:val="007C7878"/>
    <w:rsid w:val="007C790C"/>
    <w:rsid w:val="007C7A78"/>
    <w:rsid w:val="007C7AFB"/>
    <w:rsid w:val="007C7B57"/>
    <w:rsid w:val="007C7E4B"/>
    <w:rsid w:val="007D0045"/>
    <w:rsid w:val="007D00B8"/>
    <w:rsid w:val="007D014C"/>
    <w:rsid w:val="007D06EA"/>
    <w:rsid w:val="007D071A"/>
    <w:rsid w:val="007D07B8"/>
    <w:rsid w:val="007D07EC"/>
    <w:rsid w:val="007D09C8"/>
    <w:rsid w:val="007D0A05"/>
    <w:rsid w:val="007D0A57"/>
    <w:rsid w:val="007D0A80"/>
    <w:rsid w:val="007D0BE4"/>
    <w:rsid w:val="007D0CB8"/>
    <w:rsid w:val="007D0DBF"/>
    <w:rsid w:val="007D10E1"/>
    <w:rsid w:val="007D18A9"/>
    <w:rsid w:val="007D19C0"/>
    <w:rsid w:val="007D1A4C"/>
    <w:rsid w:val="007D1EBA"/>
    <w:rsid w:val="007D21EE"/>
    <w:rsid w:val="007D2342"/>
    <w:rsid w:val="007D2492"/>
    <w:rsid w:val="007D2681"/>
    <w:rsid w:val="007D27D8"/>
    <w:rsid w:val="007D2AF2"/>
    <w:rsid w:val="007D2E37"/>
    <w:rsid w:val="007D2ECB"/>
    <w:rsid w:val="007D3328"/>
    <w:rsid w:val="007D338F"/>
    <w:rsid w:val="007D3771"/>
    <w:rsid w:val="007D37E3"/>
    <w:rsid w:val="007D38B4"/>
    <w:rsid w:val="007D3A3A"/>
    <w:rsid w:val="007D3AF6"/>
    <w:rsid w:val="007D3CAB"/>
    <w:rsid w:val="007D3CE0"/>
    <w:rsid w:val="007D3DE5"/>
    <w:rsid w:val="007D3FE0"/>
    <w:rsid w:val="007D4311"/>
    <w:rsid w:val="007D439D"/>
    <w:rsid w:val="007D43CB"/>
    <w:rsid w:val="007D448A"/>
    <w:rsid w:val="007D4560"/>
    <w:rsid w:val="007D48AB"/>
    <w:rsid w:val="007D48E8"/>
    <w:rsid w:val="007D4B4E"/>
    <w:rsid w:val="007D4CF2"/>
    <w:rsid w:val="007D4E94"/>
    <w:rsid w:val="007D511C"/>
    <w:rsid w:val="007D5249"/>
    <w:rsid w:val="007D5374"/>
    <w:rsid w:val="007D53F4"/>
    <w:rsid w:val="007D5450"/>
    <w:rsid w:val="007D5587"/>
    <w:rsid w:val="007D59AF"/>
    <w:rsid w:val="007D59FA"/>
    <w:rsid w:val="007D5B21"/>
    <w:rsid w:val="007D5E05"/>
    <w:rsid w:val="007D6013"/>
    <w:rsid w:val="007D6480"/>
    <w:rsid w:val="007D66F7"/>
    <w:rsid w:val="007D6F5F"/>
    <w:rsid w:val="007D7447"/>
    <w:rsid w:val="007D77B8"/>
    <w:rsid w:val="007D7CC2"/>
    <w:rsid w:val="007D7DF0"/>
    <w:rsid w:val="007D7F4A"/>
    <w:rsid w:val="007D7FEE"/>
    <w:rsid w:val="007E0131"/>
    <w:rsid w:val="007E03D4"/>
    <w:rsid w:val="007E06D3"/>
    <w:rsid w:val="007E07AA"/>
    <w:rsid w:val="007E08E7"/>
    <w:rsid w:val="007E09F4"/>
    <w:rsid w:val="007E0CE8"/>
    <w:rsid w:val="007E0CF2"/>
    <w:rsid w:val="007E0E34"/>
    <w:rsid w:val="007E0E66"/>
    <w:rsid w:val="007E0FEC"/>
    <w:rsid w:val="007E123D"/>
    <w:rsid w:val="007E1405"/>
    <w:rsid w:val="007E1748"/>
    <w:rsid w:val="007E17C3"/>
    <w:rsid w:val="007E1A38"/>
    <w:rsid w:val="007E1E91"/>
    <w:rsid w:val="007E2105"/>
    <w:rsid w:val="007E21AB"/>
    <w:rsid w:val="007E21D6"/>
    <w:rsid w:val="007E22AF"/>
    <w:rsid w:val="007E249B"/>
    <w:rsid w:val="007E26E0"/>
    <w:rsid w:val="007E2795"/>
    <w:rsid w:val="007E2903"/>
    <w:rsid w:val="007E2BD3"/>
    <w:rsid w:val="007E2E59"/>
    <w:rsid w:val="007E2FC4"/>
    <w:rsid w:val="007E30C7"/>
    <w:rsid w:val="007E315A"/>
    <w:rsid w:val="007E3192"/>
    <w:rsid w:val="007E335C"/>
    <w:rsid w:val="007E3461"/>
    <w:rsid w:val="007E3513"/>
    <w:rsid w:val="007E3528"/>
    <w:rsid w:val="007E365C"/>
    <w:rsid w:val="007E38E1"/>
    <w:rsid w:val="007E43F8"/>
    <w:rsid w:val="007E45C8"/>
    <w:rsid w:val="007E4A14"/>
    <w:rsid w:val="007E4D2E"/>
    <w:rsid w:val="007E4D8A"/>
    <w:rsid w:val="007E4E98"/>
    <w:rsid w:val="007E5056"/>
    <w:rsid w:val="007E52D3"/>
    <w:rsid w:val="007E5342"/>
    <w:rsid w:val="007E539A"/>
    <w:rsid w:val="007E53D6"/>
    <w:rsid w:val="007E5542"/>
    <w:rsid w:val="007E55DB"/>
    <w:rsid w:val="007E5836"/>
    <w:rsid w:val="007E59E2"/>
    <w:rsid w:val="007E5A1B"/>
    <w:rsid w:val="007E5A96"/>
    <w:rsid w:val="007E5B28"/>
    <w:rsid w:val="007E5DCB"/>
    <w:rsid w:val="007E5EDA"/>
    <w:rsid w:val="007E60AD"/>
    <w:rsid w:val="007E6106"/>
    <w:rsid w:val="007E6183"/>
    <w:rsid w:val="007E61EB"/>
    <w:rsid w:val="007E646D"/>
    <w:rsid w:val="007E6AA6"/>
    <w:rsid w:val="007E6BA2"/>
    <w:rsid w:val="007E7224"/>
    <w:rsid w:val="007E7492"/>
    <w:rsid w:val="007E74FF"/>
    <w:rsid w:val="007E756B"/>
    <w:rsid w:val="007E79E8"/>
    <w:rsid w:val="007E7B37"/>
    <w:rsid w:val="007E7C63"/>
    <w:rsid w:val="007F00F7"/>
    <w:rsid w:val="007F01FB"/>
    <w:rsid w:val="007F023C"/>
    <w:rsid w:val="007F0322"/>
    <w:rsid w:val="007F03AC"/>
    <w:rsid w:val="007F04E3"/>
    <w:rsid w:val="007F073B"/>
    <w:rsid w:val="007F08E9"/>
    <w:rsid w:val="007F09A8"/>
    <w:rsid w:val="007F0C94"/>
    <w:rsid w:val="007F0D55"/>
    <w:rsid w:val="007F0E6D"/>
    <w:rsid w:val="007F0F7A"/>
    <w:rsid w:val="007F175C"/>
    <w:rsid w:val="007F1C28"/>
    <w:rsid w:val="007F1F61"/>
    <w:rsid w:val="007F2065"/>
    <w:rsid w:val="007F21C3"/>
    <w:rsid w:val="007F27A1"/>
    <w:rsid w:val="007F2A90"/>
    <w:rsid w:val="007F2AAD"/>
    <w:rsid w:val="007F3226"/>
    <w:rsid w:val="007F32F4"/>
    <w:rsid w:val="007F3516"/>
    <w:rsid w:val="007F38B8"/>
    <w:rsid w:val="007F3CEC"/>
    <w:rsid w:val="007F3F21"/>
    <w:rsid w:val="007F42E4"/>
    <w:rsid w:val="007F4518"/>
    <w:rsid w:val="007F45F2"/>
    <w:rsid w:val="007F4600"/>
    <w:rsid w:val="007F475F"/>
    <w:rsid w:val="007F478A"/>
    <w:rsid w:val="007F4851"/>
    <w:rsid w:val="007F4963"/>
    <w:rsid w:val="007F4A62"/>
    <w:rsid w:val="007F4D22"/>
    <w:rsid w:val="007F4DE7"/>
    <w:rsid w:val="007F4E92"/>
    <w:rsid w:val="007F5175"/>
    <w:rsid w:val="007F528A"/>
    <w:rsid w:val="007F5A9B"/>
    <w:rsid w:val="007F5C68"/>
    <w:rsid w:val="007F5C6B"/>
    <w:rsid w:val="007F5D20"/>
    <w:rsid w:val="007F5EEB"/>
    <w:rsid w:val="007F60CB"/>
    <w:rsid w:val="007F630D"/>
    <w:rsid w:val="007F68F9"/>
    <w:rsid w:val="007F68FC"/>
    <w:rsid w:val="007F6935"/>
    <w:rsid w:val="007F6A78"/>
    <w:rsid w:val="007F6B2C"/>
    <w:rsid w:val="007F6B5D"/>
    <w:rsid w:val="007F6BE4"/>
    <w:rsid w:val="007F6EFF"/>
    <w:rsid w:val="007F7055"/>
    <w:rsid w:val="007F7137"/>
    <w:rsid w:val="007F71B4"/>
    <w:rsid w:val="007F7312"/>
    <w:rsid w:val="007F73AE"/>
    <w:rsid w:val="007F7A78"/>
    <w:rsid w:val="007F7C3A"/>
    <w:rsid w:val="007F7EE1"/>
    <w:rsid w:val="0080004B"/>
    <w:rsid w:val="008000A3"/>
    <w:rsid w:val="008000EA"/>
    <w:rsid w:val="0080018C"/>
    <w:rsid w:val="008002B3"/>
    <w:rsid w:val="00800426"/>
    <w:rsid w:val="0080043F"/>
    <w:rsid w:val="00800522"/>
    <w:rsid w:val="008006DF"/>
    <w:rsid w:val="00800B9A"/>
    <w:rsid w:val="00800E71"/>
    <w:rsid w:val="00800E77"/>
    <w:rsid w:val="00800F38"/>
    <w:rsid w:val="00800FBF"/>
    <w:rsid w:val="008010ED"/>
    <w:rsid w:val="00801381"/>
    <w:rsid w:val="008013C8"/>
    <w:rsid w:val="0080173B"/>
    <w:rsid w:val="0080174B"/>
    <w:rsid w:val="00801AB8"/>
    <w:rsid w:val="00801C3A"/>
    <w:rsid w:val="00801E57"/>
    <w:rsid w:val="008020EA"/>
    <w:rsid w:val="008020F2"/>
    <w:rsid w:val="00802218"/>
    <w:rsid w:val="0080228E"/>
    <w:rsid w:val="008025E0"/>
    <w:rsid w:val="0080274A"/>
    <w:rsid w:val="0080298A"/>
    <w:rsid w:val="00802B7F"/>
    <w:rsid w:val="00802CBA"/>
    <w:rsid w:val="00802DC3"/>
    <w:rsid w:val="00802DC9"/>
    <w:rsid w:val="00802F73"/>
    <w:rsid w:val="0080317B"/>
    <w:rsid w:val="008031AB"/>
    <w:rsid w:val="0080366E"/>
    <w:rsid w:val="00803696"/>
    <w:rsid w:val="00803872"/>
    <w:rsid w:val="008038B0"/>
    <w:rsid w:val="00803FCB"/>
    <w:rsid w:val="0080426C"/>
    <w:rsid w:val="00804376"/>
    <w:rsid w:val="00804389"/>
    <w:rsid w:val="0080446A"/>
    <w:rsid w:val="00804499"/>
    <w:rsid w:val="0080472D"/>
    <w:rsid w:val="00804AC1"/>
    <w:rsid w:val="00804D75"/>
    <w:rsid w:val="00804F39"/>
    <w:rsid w:val="00805015"/>
    <w:rsid w:val="0080512D"/>
    <w:rsid w:val="008051A6"/>
    <w:rsid w:val="00805CAA"/>
    <w:rsid w:val="008063B9"/>
    <w:rsid w:val="00806508"/>
    <w:rsid w:val="0080659F"/>
    <w:rsid w:val="008065B2"/>
    <w:rsid w:val="00806B2A"/>
    <w:rsid w:val="00806F83"/>
    <w:rsid w:val="0080704D"/>
    <w:rsid w:val="00807125"/>
    <w:rsid w:val="008071D4"/>
    <w:rsid w:val="008075A5"/>
    <w:rsid w:val="008078C0"/>
    <w:rsid w:val="008078F9"/>
    <w:rsid w:val="00807E00"/>
    <w:rsid w:val="0081026D"/>
    <w:rsid w:val="0081028F"/>
    <w:rsid w:val="008103CA"/>
    <w:rsid w:val="0081047E"/>
    <w:rsid w:val="008104C7"/>
    <w:rsid w:val="008105F1"/>
    <w:rsid w:val="0081080C"/>
    <w:rsid w:val="00810820"/>
    <w:rsid w:val="00810DAC"/>
    <w:rsid w:val="00810E3D"/>
    <w:rsid w:val="008111A5"/>
    <w:rsid w:val="008111F5"/>
    <w:rsid w:val="0081122E"/>
    <w:rsid w:val="008114AD"/>
    <w:rsid w:val="0081164E"/>
    <w:rsid w:val="008117EC"/>
    <w:rsid w:val="00811868"/>
    <w:rsid w:val="00811B64"/>
    <w:rsid w:val="00811B99"/>
    <w:rsid w:val="00811E08"/>
    <w:rsid w:val="0081211C"/>
    <w:rsid w:val="00812396"/>
    <w:rsid w:val="008123FF"/>
    <w:rsid w:val="00812455"/>
    <w:rsid w:val="0081253E"/>
    <w:rsid w:val="008125C3"/>
    <w:rsid w:val="00812604"/>
    <w:rsid w:val="008127D6"/>
    <w:rsid w:val="0081307E"/>
    <w:rsid w:val="00813467"/>
    <w:rsid w:val="00813540"/>
    <w:rsid w:val="008136FD"/>
    <w:rsid w:val="00813A29"/>
    <w:rsid w:val="00813C1D"/>
    <w:rsid w:val="00813E42"/>
    <w:rsid w:val="00814045"/>
    <w:rsid w:val="008142C5"/>
    <w:rsid w:val="008143CE"/>
    <w:rsid w:val="00814BB0"/>
    <w:rsid w:val="00814FB1"/>
    <w:rsid w:val="00815304"/>
    <w:rsid w:val="008153E6"/>
    <w:rsid w:val="00815D71"/>
    <w:rsid w:val="00815D7F"/>
    <w:rsid w:val="00816445"/>
    <w:rsid w:val="008167F2"/>
    <w:rsid w:val="00816904"/>
    <w:rsid w:val="00816949"/>
    <w:rsid w:val="00816EA0"/>
    <w:rsid w:val="00816EFB"/>
    <w:rsid w:val="00816F89"/>
    <w:rsid w:val="00817077"/>
    <w:rsid w:val="00817310"/>
    <w:rsid w:val="008178EE"/>
    <w:rsid w:val="00817BF6"/>
    <w:rsid w:val="00817D6B"/>
    <w:rsid w:val="00817F54"/>
    <w:rsid w:val="00820770"/>
    <w:rsid w:val="0082092F"/>
    <w:rsid w:val="00821399"/>
    <w:rsid w:val="008216DB"/>
    <w:rsid w:val="00821A8D"/>
    <w:rsid w:val="00821B58"/>
    <w:rsid w:val="00821F65"/>
    <w:rsid w:val="008220DF"/>
    <w:rsid w:val="00822246"/>
    <w:rsid w:val="00822E0B"/>
    <w:rsid w:val="00822FFE"/>
    <w:rsid w:val="00823070"/>
    <w:rsid w:val="00823186"/>
    <w:rsid w:val="008231F5"/>
    <w:rsid w:val="0082350F"/>
    <w:rsid w:val="0082363B"/>
    <w:rsid w:val="0082366C"/>
    <w:rsid w:val="008238C8"/>
    <w:rsid w:val="00823A43"/>
    <w:rsid w:val="00823A84"/>
    <w:rsid w:val="00823C01"/>
    <w:rsid w:val="00823DDA"/>
    <w:rsid w:val="0082451E"/>
    <w:rsid w:val="0082453C"/>
    <w:rsid w:val="008245AD"/>
    <w:rsid w:val="008245BC"/>
    <w:rsid w:val="00824961"/>
    <w:rsid w:val="0082498C"/>
    <w:rsid w:val="00824A2A"/>
    <w:rsid w:val="00824AF2"/>
    <w:rsid w:val="00824CBA"/>
    <w:rsid w:val="00824DB4"/>
    <w:rsid w:val="00824E01"/>
    <w:rsid w:val="00824E47"/>
    <w:rsid w:val="00825159"/>
    <w:rsid w:val="00825217"/>
    <w:rsid w:val="008253B3"/>
    <w:rsid w:val="00825613"/>
    <w:rsid w:val="00825702"/>
    <w:rsid w:val="00825833"/>
    <w:rsid w:val="00825ACD"/>
    <w:rsid w:val="00825C21"/>
    <w:rsid w:val="00826160"/>
    <w:rsid w:val="008261BD"/>
    <w:rsid w:val="00826589"/>
    <w:rsid w:val="00826B97"/>
    <w:rsid w:val="00826BD7"/>
    <w:rsid w:val="00826BE5"/>
    <w:rsid w:val="00826BEC"/>
    <w:rsid w:val="00826DB7"/>
    <w:rsid w:val="00826DFD"/>
    <w:rsid w:val="00826DFE"/>
    <w:rsid w:val="00826ED6"/>
    <w:rsid w:val="00826F03"/>
    <w:rsid w:val="00827263"/>
    <w:rsid w:val="00827831"/>
    <w:rsid w:val="00827A41"/>
    <w:rsid w:val="00827C88"/>
    <w:rsid w:val="00827CF7"/>
    <w:rsid w:val="00830143"/>
    <w:rsid w:val="008301EC"/>
    <w:rsid w:val="008301F2"/>
    <w:rsid w:val="008301F7"/>
    <w:rsid w:val="00830268"/>
    <w:rsid w:val="008303CF"/>
    <w:rsid w:val="008305C4"/>
    <w:rsid w:val="0083064C"/>
    <w:rsid w:val="0083075A"/>
    <w:rsid w:val="00830C1B"/>
    <w:rsid w:val="00830E28"/>
    <w:rsid w:val="00830ECD"/>
    <w:rsid w:val="008311D6"/>
    <w:rsid w:val="0083122E"/>
    <w:rsid w:val="00831345"/>
    <w:rsid w:val="00831385"/>
    <w:rsid w:val="008314E2"/>
    <w:rsid w:val="00831514"/>
    <w:rsid w:val="00831910"/>
    <w:rsid w:val="00831E24"/>
    <w:rsid w:val="0083246F"/>
    <w:rsid w:val="008325E9"/>
    <w:rsid w:val="00832796"/>
    <w:rsid w:val="00832CC2"/>
    <w:rsid w:val="00832F7D"/>
    <w:rsid w:val="00833091"/>
    <w:rsid w:val="0083363D"/>
    <w:rsid w:val="00833B0E"/>
    <w:rsid w:val="00833B59"/>
    <w:rsid w:val="008340D3"/>
    <w:rsid w:val="008345D4"/>
    <w:rsid w:val="008346AF"/>
    <w:rsid w:val="00834C56"/>
    <w:rsid w:val="008350AC"/>
    <w:rsid w:val="0083517E"/>
    <w:rsid w:val="00835834"/>
    <w:rsid w:val="008358E1"/>
    <w:rsid w:val="00835B76"/>
    <w:rsid w:val="00835D70"/>
    <w:rsid w:val="008365E2"/>
    <w:rsid w:val="00836A48"/>
    <w:rsid w:val="00836C17"/>
    <w:rsid w:val="00836DD7"/>
    <w:rsid w:val="00836F79"/>
    <w:rsid w:val="00837001"/>
    <w:rsid w:val="008375BD"/>
    <w:rsid w:val="008375D7"/>
    <w:rsid w:val="008376BE"/>
    <w:rsid w:val="008376C0"/>
    <w:rsid w:val="0083774F"/>
    <w:rsid w:val="00837AE6"/>
    <w:rsid w:val="00837CB1"/>
    <w:rsid w:val="00840009"/>
    <w:rsid w:val="00840758"/>
    <w:rsid w:val="00840776"/>
    <w:rsid w:val="00840883"/>
    <w:rsid w:val="00840B91"/>
    <w:rsid w:val="008412C6"/>
    <w:rsid w:val="008414E1"/>
    <w:rsid w:val="0084164D"/>
    <w:rsid w:val="008418E8"/>
    <w:rsid w:val="00841932"/>
    <w:rsid w:val="00841A34"/>
    <w:rsid w:val="00841AA7"/>
    <w:rsid w:val="00841CD8"/>
    <w:rsid w:val="00841E87"/>
    <w:rsid w:val="00841EB9"/>
    <w:rsid w:val="0084212F"/>
    <w:rsid w:val="00842281"/>
    <w:rsid w:val="00842B11"/>
    <w:rsid w:val="00842B55"/>
    <w:rsid w:val="00842CD2"/>
    <w:rsid w:val="00842D1F"/>
    <w:rsid w:val="00842F95"/>
    <w:rsid w:val="008431BC"/>
    <w:rsid w:val="008435E7"/>
    <w:rsid w:val="008435F4"/>
    <w:rsid w:val="00843E83"/>
    <w:rsid w:val="00843FEB"/>
    <w:rsid w:val="00844665"/>
    <w:rsid w:val="008449D4"/>
    <w:rsid w:val="008449F3"/>
    <w:rsid w:val="00844A33"/>
    <w:rsid w:val="00844A3B"/>
    <w:rsid w:val="00844AA1"/>
    <w:rsid w:val="00844E38"/>
    <w:rsid w:val="00844FF2"/>
    <w:rsid w:val="008451B2"/>
    <w:rsid w:val="008451C6"/>
    <w:rsid w:val="0084544D"/>
    <w:rsid w:val="00845711"/>
    <w:rsid w:val="00845875"/>
    <w:rsid w:val="008459D8"/>
    <w:rsid w:val="00845DC5"/>
    <w:rsid w:val="00846063"/>
    <w:rsid w:val="0084617A"/>
    <w:rsid w:val="008461EA"/>
    <w:rsid w:val="0084631B"/>
    <w:rsid w:val="008465D3"/>
    <w:rsid w:val="00846677"/>
    <w:rsid w:val="00846B74"/>
    <w:rsid w:val="00846C78"/>
    <w:rsid w:val="00846E60"/>
    <w:rsid w:val="008472D3"/>
    <w:rsid w:val="008474DC"/>
    <w:rsid w:val="00847A04"/>
    <w:rsid w:val="00847BB0"/>
    <w:rsid w:val="00847E4A"/>
    <w:rsid w:val="00847F07"/>
    <w:rsid w:val="00847F43"/>
    <w:rsid w:val="008501EE"/>
    <w:rsid w:val="00850672"/>
    <w:rsid w:val="008509BF"/>
    <w:rsid w:val="008509C5"/>
    <w:rsid w:val="00850FCF"/>
    <w:rsid w:val="00851024"/>
    <w:rsid w:val="0085103F"/>
    <w:rsid w:val="00851224"/>
    <w:rsid w:val="008512DD"/>
    <w:rsid w:val="0085137B"/>
    <w:rsid w:val="008513D4"/>
    <w:rsid w:val="00851470"/>
    <w:rsid w:val="008514B6"/>
    <w:rsid w:val="0085151E"/>
    <w:rsid w:val="0085173B"/>
    <w:rsid w:val="00851893"/>
    <w:rsid w:val="00851BDC"/>
    <w:rsid w:val="00851E5A"/>
    <w:rsid w:val="00851E95"/>
    <w:rsid w:val="00851EE0"/>
    <w:rsid w:val="00851F1A"/>
    <w:rsid w:val="008521AA"/>
    <w:rsid w:val="00852203"/>
    <w:rsid w:val="00852205"/>
    <w:rsid w:val="0085238B"/>
    <w:rsid w:val="00852736"/>
    <w:rsid w:val="008527D7"/>
    <w:rsid w:val="00852898"/>
    <w:rsid w:val="00852B80"/>
    <w:rsid w:val="00852E9A"/>
    <w:rsid w:val="008530F6"/>
    <w:rsid w:val="00853150"/>
    <w:rsid w:val="00853323"/>
    <w:rsid w:val="008534CC"/>
    <w:rsid w:val="00853512"/>
    <w:rsid w:val="008536B2"/>
    <w:rsid w:val="00853790"/>
    <w:rsid w:val="0085386D"/>
    <w:rsid w:val="00853C36"/>
    <w:rsid w:val="00853C9F"/>
    <w:rsid w:val="00853D6B"/>
    <w:rsid w:val="00854267"/>
    <w:rsid w:val="00854ADD"/>
    <w:rsid w:val="00855461"/>
    <w:rsid w:val="0085546C"/>
    <w:rsid w:val="008556F1"/>
    <w:rsid w:val="00855E17"/>
    <w:rsid w:val="00855EB9"/>
    <w:rsid w:val="00855ED8"/>
    <w:rsid w:val="0085622F"/>
    <w:rsid w:val="008562D9"/>
    <w:rsid w:val="008565C1"/>
    <w:rsid w:val="008565CB"/>
    <w:rsid w:val="0085684E"/>
    <w:rsid w:val="0085687A"/>
    <w:rsid w:val="00856A2B"/>
    <w:rsid w:val="00856DBB"/>
    <w:rsid w:val="00856FA6"/>
    <w:rsid w:val="0085705B"/>
    <w:rsid w:val="008574E5"/>
    <w:rsid w:val="00857557"/>
    <w:rsid w:val="00857B3A"/>
    <w:rsid w:val="00857C2B"/>
    <w:rsid w:val="00857D96"/>
    <w:rsid w:val="00857F02"/>
    <w:rsid w:val="00857FEB"/>
    <w:rsid w:val="0086012A"/>
    <w:rsid w:val="00860516"/>
    <w:rsid w:val="008609CE"/>
    <w:rsid w:val="00860C28"/>
    <w:rsid w:val="00860EBF"/>
    <w:rsid w:val="008611FE"/>
    <w:rsid w:val="008612A2"/>
    <w:rsid w:val="008612EA"/>
    <w:rsid w:val="0086136E"/>
    <w:rsid w:val="008618F2"/>
    <w:rsid w:val="00861B30"/>
    <w:rsid w:val="00861FCF"/>
    <w:rsid w:val="00862034"/>
    <w:rsid w:val="00862424"/>
    <w:rsid w:val="0086253F"/>
    <w:rsid w:val="008625A0"/>
    <w:rsid w:val="0086292F"/>
    <w:rsid w:val="00862B8D"/>
    <w:rsid w:val="00862BD0"/>
    <w:rsid w:val="00862C9F"/>
    <w:rsid w:val="00862D89"/>
    <w:rsid w:val="00862D98"/>
    <w:rsid w:val="0086304D"/>
    <w:rsid w:val="00863084"/>
    <w:rsid w:val="00863433"/>
    <w:rsid w:val="008634B2"/>
    <w:rsid w:val="00863595"/>
    <w:rsid w:val="008637F7"/>
    <w:rsid w:val="008639F4"/>
    <w:rsid w:val="00863D92"/>
    <w:rsid w:val="00864007"/>
    <w:rsid w:val="00864622"/>
    <w:rsid w:val="00864698"/>
    <w:rsid w:val="00864CDB"/>
    <w:rsid w:val="00864DD4"/>
    <w:rsid w:val="00864E1C"/>
    <w:rsid w:val="008650CB"/>
    <w:rsid w:val="00865121"/>
    <w:rsid w:val="008658BC"/>
    <w:rsid w:val="00865961"/>
    <w:rsid w:val="00865995"/>
    <w:rsid w:val="008659B1"/>
    <w:rsid w:val="00865B3A"/>
    <w:rsid w:val="00865B64"/>
    <w:rsid w:val="00865B97"/>
    <w:rsid w:val="00865C42"/>
    <w:rsid w:val="00865DCB"/>
    <w:rsid w:val="00865E65"/>
    <w:rsid w:val="00866190"/>
    <w:rsid w:val="00866322"/>
    <w:rsid w:val="008663B4"/>
    <w:rsid w:val="008665F6"/>
    <w:rsid w:val="00866800"/>
    <w:rsid w:val="00866F7A"/>
    <w:rsid w:val="008671A0"/>
    <w:rsid w:val="008673A3"/>
    <w:rsid w:val="00867410"/>
    <w:rsid w:val="00867449"/>
    <w:rsid w:val="008675AE"/>
    <w:rsid w:val="00867660"/>
    <w:rsid w:val="008679D6"/>
    <w:rsid w:val="00867D03"/>
    <w:rsid w:val="00870028"/>
    <w:rsid w:val="00870068"/>
    <w:rsid w:val="008704DB"/>
    <w:rsid w:val="0087050F"/>
    <w:rsid w:val="008706BD"/>
    <w:rsid w:val="008707AE"/>
    <w:rsid w:val="00870A01"/>
    <w:rsid w:val="00870B6A"/>
    <w:rsid w:val="00870BAC"/>
    <w:rsid w:val="00870C56"/>
    <w:rsid w:val="00871023"/>
    <w:rsid w:val="00871255"/>
    <w:rsid w:val="0087148E"/>
    <w:rsid w:val="008716A9"/>
    <w:rsid w:val="0087183E"/>
    <w:rsid w:val="008718C3"/>
    <w:rsid w:val="00871DB7"/>
    <w:rsid w:val="0087201A"/>
    <w:rsid w:val="008720FC"/>
    <w:rsid w:val="008721CD"/>
    <w:rsid w:val="0087240A"/>
    <w:rsid w:val="00872551"/>
    <w:rsid w:val="008725FA"/>
    <w:rsid w:val="008726C1"/>
    <w:rsid w:val="008726C5"/>
    <w:rsid w:val="0087280D"/>
    <w:rsid w:val="00872827"/>
    <w:rsid w:val="00872C62"/>
    <w:rsid w:val="00873152"/>
    <w:rsid w:val="008732B8"/>
    <w:rsid w:val="008735C3"/>
    <w:rsid w:val="00873621"/>
    <w:rsid w:val="00873842"/>
    <w:rsid w:val="008739CB"/>
    <w:rsid w:val="00873C36"/>
    <w:rsid w:val="00873D6C"/>
    <w:rsid w:val="00873E1B"/>
    <w:rsid w:val="00873E1C"/>
    <w:rsid w:val="008740C8"/>
    <w:rsid w:val="00874430"/>
    <w:rsid w:val="00874510"/>
    <w:rsid w:val="0087464D"/>
    <w:rsid w:val="00874773"/>
    <w:rsid w:val="008747F9"/>
    <w:rsid w:val="008750ED"/>
    <w:rsid w:val="00875201"/>
    <w:rsid w:val="00875292"/>
    <w:rsid w:val="008752BF"/>
    <w:rsid w:val="008753AC"/>
    <w:rsid w:val="00875716"/>
    <w:rsid w:val="008757A9"/>
    <w:rsid w:val="0087588D"/>
    <w:rsid w:val="008759E6"/>
    <w:rsid w:val="00875B6B"/>
    <w:rsid w:val="00876018"/>
    <w:rsid w:val="00876047"/>
    <w:rsid w:val="00876060"/>
    <w:rsid w:val="008760C5"/>
    <w:rsid w:val="008760C9"/>
    <w:rsid w:val="00876363"/>
    <w:rsid w:val="008764B5"/>
    <w:rsid w:val="0087656A"/>
    <w:rsid w:val="008768A3"/>
    <w:rsid w:val="00876E51"/>
    <w:rsid w:val="00876FCD"/>
    <w:rsid w:val="008770BC"/>
    <w:rsid w:val="00877202"/>
    <w:rsid w:val="008773A7"/>
    <w:rsid w:val="00877D56"/>
    <w:rsid w:val="00877D8E"/>
    <w:rsid w:val="00877DDB"/>
    <w:rsid w:val="00877FAC"/>
    <w:rsid w:val="0088027C"/>
    <w:rsid w:val="00880555"/>
    <w:rsid w:val="0088067F"/>
    <w:rsid w:val="0088068E"/>
    <w:rsid w:val="008806A3"/>
    <w:rsid w:val="00880775"/>
    <w:rsid w:val="0088094B"/>
    <w:rsid w:val="008809A1"/>
    <w:rsid w:val="00880D8F"/>
    <w:rsid w:val="00880E1D"/>
    <w:rsid w:val="00880F08"/>
    <w:rsid w:val="0088117B"/>
    <w:rsid w:val="008812DA"/>
    <w:rsid w:val="00881541"/>
    <w:rsid w:val="00881935"/>
    <w:rsid w:val="00881AE0"/>
    <w:rsid w:val="00881F15"/>
    <w:rsid w:val="00881F45"/>
    <w:rsid w:val="00882098"/>
    <w:rsid w:val="00882279"/>
    <w:rsid w:val="008824B5"/>
    <w:rsid w:val="0088287E"/>
    <w:rsid w:val="008828BA"/>
    <w:rsid w:val="0088298C"/>
    <w:rsid w:val="008829BC"/>
    <w:rsid w:val="00882B7B"/>
    <w:rsid w:val="00882D13"/>
    <w:rsid w:val="00882D64"/>
    <w:rsid w:val="00882D9E"/>
    <w:rsid w:val="00882EB2"/>
    <w:rsid w:val="0088327E"/>
    <w:rsid w:val="0088340E"/>
    <w:rsid w:val="008834F8"/>
    <w:rsid w:val="0088354D"/>
    <w:rsid w:val="0088369E"/>
    <w:rsid w:val="00883B17"/>
    <w:rsid w:val="00883B24"/>
    <w:rsid w:val="00883D32"/>
    <w:rsid w:val="008840E6"/>
    <w:rsid w:val="0088413E"/>
    <w:rsid w:val="00884173"/>
    <w:rsid w:val="008843F9"/>
    <w:rsid w:val="008845D6"/>
    <w:rsid w:val="0088460A"/>
    <w:rsid w:val="00884702"/>
    <w:rsid w:val="0088470D"/>
    <w:rsid w:val="008849A8"/>
    <w:rsid w:val="00884B5F"/>
    <w:rsid w:val="00885212"/>
    <w:rsid w:val="0088529D"/>
    <w:rsid w:val="00885499"/>
    <w:rsid w:val="008855BA"/>
    <w:rsid w:val="00885ACA"/>
    <w:rsid w:val="00885CB0"/>
    <w:rsid w:val="00885D2D"/>
    <w:rsid w:val="008861A4"/>
    <w:rsid w:val="008862AD"/>
    <w:rsid w:val="00886328"/>
    <w:rsid w:val="00886BF6"/>
    <w:rsid w:val="00886F1B"/>
    <w:rsid w:val="0088710D"/>
    <w:rsid w:val="008872A8"/>
    <w:rsid w:val="008873FE"/>
    <w:rsid w:val="00887541"/>
    <w:rsid w:val="0088791B"/>
    <w:rsid w:val="008879D3"/>
    <w:rsid w:val="00887B25"/>
    <w:rsid w:val="00887CE1"/>
    <w:rsid w:val="00887DEA"/>
    <w:rsid w:val="00887E5D"/>
    <w:rsid w:val="00887F0D"/>
    <w:rsid w:val="00890071"/>
    <w:rsid w:val="0089018F"/>
    <w:rsid w:val="008902E8"/>
    <w:rsid w:val="00890531"/>
    <w:rsid w:val="008906BE"/>
    <w:rsid w:val="008907C2"/>
    <w:rsid w:val="00890828"/>
    <w:rsid w:val="0089091F"/>
    <w:rsid w:val="00890AB7"/>
    <w:rsid w:val="00890D43"/>
    <w:rsid w:val="00890DE8"/>
    <w:rsid w:val="00891204"/>
    <w:rsid w:val="00891558"/>
    <w:rsid w:val="008915E3"/>
    <w:rsid w:val="008919E9"/>
    <w:rsid w:val="00891AF0"/>
    <w:rsid w:val="00891AFA"/>
    <w:rsid w:val="00891BBD"/>
    <w:rsid w:val="00891BCC"/>
    <w:rsid w:val="00891D90"/>
    <w:rsid w:val="008922F6"/>
    <w:rsid w:val="00892558"/>
    <w:rsid w:val="0089263D"/>
    <w:rsid w:val="00892832"/>
    <w:rsid w:val="0089285D"/>
    <w:rsid w:val="008929ED"/>
    <w:rsid w:val="00892D9E"/>
    <w:rsid w:val="00892DC2"/>
    <w:rsid w:val="00892F4A"/>
    <w:rsid w:val="00892FEE"/>
    <w:rsid w:val="00893240"/>
    <w:rsid w:val="0089324E"/>
    <w:rsid w:val="0089348B"/>
    <w:rsid w:val="008936EC"/>
    <w:rsid w:val="0089379E"/>
    <w:rsid w:val="00893881"/>
    <w:rsid w:val="00893C52"/>
    <w:rsid w:val="00893C7A"/>
    <w:rsid w:val="00893C9A"/>
    <w:rsid w:val="00893FBF"/>
    <w:rsid w:val="00894105"/>
    <w:rsid w:val="008941C8"/>
    <w:rsid w:val="0089431A"/>
    <w:rsid w:val="008946B1"/>
    <w:rsid w:val="0089472B"/>
    <w:rsid w:val="00894734"/>
    <w:rsid w:val="008947BD"/>
    <w:rsid w:val="00894A5B"/>
    <w:rsid w:val="00894BF5"/>
    <w:rsid w:val="00894CD0"/>
    <w:rsid w:val="00894DD4"/>
    <w:rsid w:val="00894F66"/>
    <w:rsid w:val="00894FFA"/>
    <w:rsid w:val="0089548B"/>
    <w:rsid w:val="008954C9"/>
    <w:rsid w:val="008957A7"/>
    <w:rsid w:val="00895D1F"/>
    <w:rsid w:val="00895D66"/>
    <w:rsid w:val="00895D88"/>
    <w:rsid w:val="00895DC6"/>
    <w:rsid w:val="00895F5D"/>
    <w:rsid w:val="00896381"/>
    <w:rsid w:val="0089640A"/>
    <w:rsid w:val="0089651C"/>
    <w:rsid w:val="00896774"/>
    <w:rsid w:val="00896C27"/>
    <w:rsid w:val="00896C7E"/>
    <w:rsid w:val="00896E56"/>
    <w:rsid w:val="00896EC8"/>
    <w:rsid w:val="008970FE"/>
    <w:rsid w:val="00897226"/>
    <w:rsid w:val="0089748E"/>
    <w:rsid w:val="0089765E"/>
    <w:rsid w:val="0089776A"/>
    <w:rsid w:val="0089780C"/>
    <w:rsid w:val="00897C5D"/>
    <w:rsid w:val="00897E21"/>
    <w:rsid w:val="00897E3F"/>
    <w:rsid w:val="00897EC0"/>
    <w:rsid w:val="008A001D"/>
    <w:rsid w:val="008A015E"/>
    <w:rsid w:val="008A046A"/>
    <w:rsid w:val="008A061F"/>
    <w:rsid w:val="008A06F6"/>
    <w:rsid w:val="008A07D4"/>
    <w:rsid w:val="008A0874"/>
    <w:rsid w:val="008A0893"/>
    <w:rsid w:val="008A0A34"/>
    <w:rsid w:val="008A0C3E"/>
    <w:rsid w:val="008A1351"/>
    <w:rsid w:val="008A16B3"/>
    <w:rsid w:val="008A1745"/>
    <w:rsid w:val="008A1C3B"/>
    <w:rsid w:val="008A1E1E"/>
    <w:rsid w:val="008A1E38"/>
    <w:rsid w:val="008A2060"/>
    <w:rsid w:val="008A2429"/>
    <w:rsid w:val="008A2568"/>
    <w:rsid w:val="008A26CF"/>
    <w:rsid w:val="008A2729"/>
    <w:rsid w:val="008A2B86"/>
    <w:rsid w:val="008A2CE0"/>
    <w:rsid w:val="008A2D68"/>
    <w:rsid w:val="008A2DB8"/>
    <w:rsid w:val="008A2EDD"/>
    <w:rsid w:val="008A31B3"/>
    <w:rsid w:val="008A323A"/>
    <w:rsid w:val="008A35C9"/>
    <w:rsid w:val="008A3A82"/>
    <w:rsid w:val="008A3B71"/>
    <w:rsid w:val="008A3BC8"/>
    <w:rsid w:val="008A3CB8"/>
    <w:rsid w:val="008A3D57"/>
    <w:rsid w:val="008A3DC7"/>
    <w:rsid w:val="008A3E55"/>
    <w:rsid w:val="008A411F"/>
    <w:rsid w:val="008A4202"/>
    <w:rsid w:val="008A4224"/>
    <w:rsid w:val="008A424C"/>
    <w:rsid w:val="008A4310"/>
    <w:rsid w:val="008A4A1E"/>
    <w:rsid w:val="008A4C3A"/>
    <w:rsid w:val="008A4D26"/>
    <w:rsid w:val="008A4E59"/>
    <w:rsid w:val="008A4FD4"/>
    <w:rsid w:val="008A502F"/>
    <w:rsid w:val="008A5309"/>
    <w:rsid w:val="008A5FF5"/>
    <w:rsid w:val="008A6136"/>
    <w:rsid w:val="008A6452"/>
    <w:rsid w:val="008A6480"/>
    <w:rsid w:val="008A64B5"/>
    <w:rsid w:val="008A66E2"/>
    <w:rsid w:val="008A695B"/>
    <w:rsid w:val="008A6A0D"/>
    <w:rsid w:val="008A6A59"/>
    <w:rsid w:val="008A6CC9"/>
    <w:rsid w:val="008A718C"/>
    <w:rsid w:val="008A7449"/>
    <w:rsid w:val="008A747C"/>
    <w:rsid w:val="008A7615"/>
    <w:rsid w:val="008A761F"/>
    <w:rsid w:val="008A768B"/>
    <w:rsid w:val="008A76DC"/>
    <w:rsid w:val="008A78D2"/>
    <w:rsid w:val="008A7A4A"/>
    <w:rsid w:val="008A7D5C"/>
    <w:rsid w:val="008B02F0"/>
    <w:rsid w:val="008B03ED"/>
    <w:rsid w:val="008B0451"/>
    <w:rsid w:val="008B0B07"/>
    <w:rsid w:val="008B0C25"/>
    <w:rsid w:val="008B0D37"/>
    <w:rsid w:val="008B0D40"/>
    <w:rsid w:val="008B0E83"/>
    <w:rsid w:val="008B0FA4"/>
    <w:rsid w:val="008B0FB0"/>
    <w:rsid w:val="008B1049"/>
    <w:rsid w:val="008B1090"/>
    <w:rsid w:val="008B15F3"/>
    <w:rsid w:val="008B1804"/>
    <w:rsid w:val="008B1808"/>
    <w:rsid w:val="008B1989"/>
    <w:rsid w:val="008B1A3C"/>
    <w:rsid w:val="008B1A61"/>
    <w:rsid w:val="008B1C80"/>
    <w:rsid w:val="008B1D56"/>
    <w:rsid w:val="008B20F0"/>
    <w:rsid w:val="008B2255"/>
    <w:rsid w:val="008B2536"/>
    <w:rsid w:val="008B25D7"/>
    <w:rsid w:val="008B28D4"/>
    <w:rsid w:val="008B2DD8"/>
    <w:rsid w:val="008B30D9"/>
    <w:rsid w:val="008B3525"/>
    <w:rsid w:val="008B3B92"/>
    <w:rsid w:val="008B3C50"/>
    <w:rsid w:val="008B3CE3"/>
    <w:rsid w:val="008B418B"/>
    <w:rsid w:val="008B42A2"/>
    <w:rsid w:val="008B43B1"/>
    <w:rsid w:val="008B43F8"/>
    <w:rsid w:val="008B46AA"/>
    <w:rsid w:val="008B4961"/>
    <w:rsid w:val="008B4B75"/>
    <w:rsid w:val="008B4C95"/>
    <w:rsid w:val="008B522D"/>
    <w:rsid w:val="008B5241"/>
    <w:rsid w:val="008B52BB"/>
    <w:rsid w:val="008B53C2"/>
    <w:rsid w:val="008B54C3"/>
    <w:rsid w:val="008B5659"/>
    <w:rsid w:val="008B5698"/>
    <w:rsid w:val="008B56AB"/>
    <w:rsid w:val="008B5ACF"/>
    <w:rsid w:val="008B60C3"/>
    <w:rsid w:val="008B61F4"/>
    <w:rsid w:val="008B643E"/>
    <w:rsid w:val="008B67A9"/>
    <w:rsid w:val="008B6A10"/>
    <w:rsid w:val="008B6B6F"/>
    <w:rsid w:val="008B6D89"/>
    <w:rsid w:val="008B6E4F"/>
    <w:rsid w:val="008B6F07"/>
    <w:rsid w:val="008B718B"/>
    <w:rsid w:val="008B71F5"/>
    <w:rsid w:val="008B73AC"/>
    <w:rsid w:val="008B757D"/>
    <w:rsid w:val="008B7833"/>
    <w:rsid w:val="008B78CC"/>
    <w:rsid w:val="008B791D"/>
    <w:rsid w:val="008B7A81"/>
    <w:rsid w:val="008B7A84"/>
    <w:rsid w:val="008B7E12"/>
    <w:rsid w:val="008B7EF4"/>
    <w:rsid w:val="008B7F7E"/>
    <w:rsid w:val="008C025A"/>
    <w:rsid w:val="008C02A7"/>
    <w:rsid w:val="008C02B1"/>
    <w:rsid w:val="008C04B6"/>
    <w:rsid w:val="008C07B1"/>
    <w:rsid w:val="008C083E"/>
    <w:rsid w:val="008C08AA"/>
    <w:rsid w:val="008C09AD"/>
    <w:rsid w:val="008C0A57"/>
    <w:rsid w:val="008C0D3A"/>
    <w:rsid w:val="008C0D3C"/>
    <w:rsid w:val="008C109E"/>
    <w:rsid w:val="008C1529"/>
    <w:rsid w:val="008C1544"/>
    <w:rsid w:val="008C1D48"/>
    <w:rsid w:val="008C1F48"/>
    <w:rsid w:val="008C2160"/>
    <w:rsid w:val="008C21A2"/>
    <w:rsid w:val="008C2338"/>
    <w:rsid w:val="008C2480"/>
    <w:rsid w:val="008C25BF"/>
    <w:rsid w:val="008C25F5"/>
    <w:rsid w:val="008C2679"/>
    <w:rsid w:val="008C26B4"/>
    <w:rsid w:val="008C26CB"/>
    <w:rsid w:val="008C2820"/>
    <w:rsid w:val="008C2911"/>
    <w:rsid w:val="008C292C"/>
    <w:rsid w:val="008C2B86"/>
    <w:rsid w:val="008C2C37"/>
    <w:rsid w:val="008C2C49"/>
    <w:rsid w:val="008C2E0C"/>
    <w:rsid w:val="008C2F47"/>
    <w:rsid w:val="008C3152"/>
    <w:rsid w:val="008C33A8"/>
    <w:rsid w:val="008C360E"/>
    <w:rsid w:val="008C37C8"/>
    <w:rsid w:val="008C3960"/>
    <w:rsid w:val="008C397B"/>
    <w:rsid w:val="008C3A2F"/>
    <w:rsid w:val="008C3B4C"/>
    <w:rsid w:val="008C3CCF"/>
    <w:rsid w:val="008C4081"/>
    <w:rsid w:val="008C421F"/>
    <w:rsid w:val="008C4401"/>
    <w:rsid w:val="008C4402"/>
    <w:rsid w:val="008C4516"/>
    <w:rsid w:val="008C45A8"/>
    <w:rsid w:val="008C4753"/>
    <w:rsid w:val="008C4832"/>
    <w:rsid w:val="008C4BD5"/>
    <w:rsid w:val="008C4DEF"/>
    <w:rsid w:val="008C5201"/>
    <w:rsid w:val="008C5223"/>
    <w:rsid w:val="008C532F"/>
    <w:rsid w:val="008C533A"/>
    <w:rsid w:val="008C558D"/>
    <w:rsid w:val="008C597D"/>
    <w:rsid w:val="008C5A61"/>
    <w:rsid w:val="008C5B71"/>
    <w:rsid w:val="008C5C7C"/>
    <w:rsid w:val="008C5CF8"/>
    <w:rsid w:val="008C5E7F"/>
    <w:rsid w:val="008C610C"/>
    <w:rsid w:val="008C61DA"/>
    <w:rsid w:val="008C67AF"/>
    <w:rsid w:val="008C6909"/>
    <w:rsid w:val="008C6D32"/>
    <w:rsid w:val="008C6D4C"/>
    <w:rsid w:val="008C6F71"/>
    <w:rsid w:val="008C70AF"/>
    <w:rsid w:val="008C70E5"/>
    <w:rsid w:val="008C71A4"/>
    <w:rsid w:val="008C733A"/>
    <w:rsid w:val="008C7692"/>
    <w:rsid w:val="008C79C0"/>
    <w:rsid w:val="008C7CE1"/>
    <w:rsid w:val="008C7E9C"/>
    <w:rsid w:val="008C7FE2"/>
    <w:rsid w:val="008D0206"/>
    <w:rsid w:val="008D02E9"/>
    <w:rsid w:val="008D088C"/>
    <w:rsid w:val="008D0A0D"/>
    <w:rsid w:val="008D0A19"/>
    <w:rsid w:val="008D0B55"/>
    <w:rsid w:val="008D0D59"/>
    <w:rsid w:val="008D0F6D"/>
    <w:rsid w:val="008D130C"/>
    <w:rsid w:val="008D1584"/>
    <w:rsid w:val="008D15A0"/>
    <w:rsid w:val="008D1890"/>
    <w:rsid w:val="008D1A73"/>
    <w:rsid w:val="008D1CBC"/>
    <w:rsid w:val="008D218E"/>
    <w:rsid w:val="008D22B7"/>
    <w:rsid w:val="008D26FB"/>
    <w:rsid w:val="008D2C47"/>
    <w:rsid w:val="008D2C7C"/>
    <w:rsid w:val="008D3129"/>
    <w:rsid w:val="008D327C"/>
    <w:rsid w:val="008D36B2"/>
    <w:rsid w:val="008D3A5D"/>
    <w:rsid w:val="008D3B0E"/>
    <w:rsid w:val="008D3B5F"/>
    <w:rsid w:val="008D3DAF"/>
    <w:rsid w:val="008D415D"/>
    <w:rsid w:val="008D4276"/>
    <w:rsid w:val="008D4AF1"/>
    <w:rsid w:val="008D4C43"/>
    <w:rsid w:val="008D4CAC"/>
    <w:rsid w:val="008D4CCC"/>
    <w:rsid w:val="008D503B"/>
    <w:rsid w:val="008D5398"/>
    <w:rsid w:val="008D5753"/>
    <w:rsid w:val="008D5762"/>
    <w:rsid w:val="008D57C7"/>
    <w:rsid w:val="008D57E7"/>
    <w:rsid w:val="008D5A90"/>
    <w:rsid w:val="008D5AE6"/>
    <w:rsid w:val="008D5B08"/>
    <w:rsid w:val="008D5B20"/>
    <w:rsid w:val="008D5BA2"/>
    <w:rsid w:val="008D5F53"/>
    <w:rsid w:val="008D5F99"/>
    <w:rsid w:val="008D62C1"/>
    <w:rsid w:val="008D62F9"/>
    <w:rsid w:val="008D6627"/>
    <w:rsid w:val="008D6632"/>
    <w:rsid w:val="008D69A3"/>
    <w:rsid w:val="008D6BA6"/>
    <w:rsid w:val="008D6E76"/>
    <w:rsid w:val="008D6F13"/>
    <w:rsid w:val="008D7164"/>
    <w:rsid w:val="008D73AF"/>
    <w:rsid w:val="008D771F"/>
    <w:rsid w:val="008D786E"/>
    <w:rsid w:val="008D78BE"/>
    <w:rsid w:val="008D7A54"/>
    <w:rsid w:val="008D7D33"/>
    <w:rsid w:val="008D7D4E"/>
    <w:rsid w:val="008D7E52"/>
    <w:rsid w:val="008E0244"/>
    <w:rsid w:val="008E0366"/>
    <w:rsid w:val="008E0428"/>
    <w:rsid w:val="008E0445"/>
    <w:rsid w:val="008E0743"/>
    <w:rsid w:val="008E0B90"/>
    <w:rsid w:val="008E0C7E"/>
    <w:rsid w:val="008E0D9C"/>
    <w:rsid w:val="008E0DFD"/>
    <w:rsid w:val="008E0FD7"/>
    <w:rsid w:val="008E1003"/>
    <w:rsid w:val="008E1357"/>
    <w:rsid w:val="008E13CD"/>
    <w:rsid w:val="008E1486"/>
    <w:rsid w:val="008E173F"/>
    <w:rsid w:val="008E1A79"/>
    <w:rsid w:val="008E1E43"/>
    <w:rsid w:val="008E1F04"/>
    <w:rsid w:val="008E202C"/>
    <w:rsid w:val="008E2338"/>
    <w:rsid w:val="008E26D4"/>
    <w:rsid w:val="008E2A88"/>
    <w:rsid w:val="008E2B16"/>
    <w:rsid w:val="008E2D18"/>
    <w:rsid w:val="008E3360"/>
    <w:rsid w:val="008E3455"/>
    <w:rsid w:val="008E359E"/>
    <w:rsid w:val="008E36CC"/>
    <w:rsid w:val="008E371A"/>
    <w:rsid w:val="008E3762"/>
    <w:rsid w:val="008E39A9"/>
    <w:rsid w:val="008E3A46"/>
    <w:rsid w:val="008E3C95"/>
    <w:rsid w:val="008E3D8C"/>
    <w:rsid w:val="008E3DA8"/>
    <w:rsid w:val="008E3E15"/>
    <w:rsid w:val="008E3EB8"/>
    <w:rsid w:val="008E43B2"/>
    <w:rsid w:val="008E4405"/>
    <w:rsid w:val="008E44B7"/>
    <w:rsid w:val="008E45D2"/>
    <w:rsid w:val="008E4757"/>
    <w:rsid w:val="008E4B03"/>
    <w:rsid w:val="008E4B22"/>
    <w:rsid w:val="008E4D53"/>
    <w:rsid w:val="008E4D99"/>
    <w:rsid w:val="008E4E94"/>
    <w:rsid w:val="008E5376"/>
    <w:rsid w:val="008E53C8"/>
    <w:rsid w:val="008E55A4"/>
    <w:rsid w:val="008E59F8"/>
    <w:rsid w:val="008E5B55"/>
    <w:rsid w:val="008E5BF1"/>
    <w:rsid w:val="008E5C92"/>
    <w:rsid w:val="008E5DD5"/>
    <w:rsid w:val="008E5E85"/>
    <w:rsid w:val="008E5F24"/>
    <w:rsid w:val="008E5F6A"/>
    <w:rsid w:val="008E5F6E"/>
    <w:rsid w:val="008E6019"/>
    <w:rsid w:val="008E609F"/>
    <w:rsid w:val="008E60A2"/>
    <w:rsid w:val="008E6621"/>
    <w:rsid w:val="008E6EBC"/>
    <w:rsid w:val="008E6F05"/>
    <w:rsid w:val="008E707D"/>
    <w:rsid w:val="008E72EC"/>
    <w:rsid w:val="008E7825"/>
    <w:rsid w:val="008E78B4"/>
    <w:rsid w:val="008E7BFF"/>
    <w:rsid w:val="008E7E33"/>
    <w:rsid w:val="008E7E58"/>
    <w:rsid w:val="008F0031"/>
    <w:rsid w:val="008F00A3"/>
    <w:rsid w:val="008F00BC"/>
    <w:rsid w:val="008F0214"/>
    <w:rsid w:val="008F02BB"/>
    <w:rsid w:val="008F03B4"/>
    <w:rsid w:val="008F03DD"/>
    <w:rsid w:val="008F0833"/>
    <w:rsid w:val="008F0BB6"/>
    <w:rsid w:val="008F0EB6"/>
    <w:rsid w:val="008F0EEF"/>
    <w:rsid w:val="008F12EC"/>
    <w:rsid w:val="008F15B6"/>
    <w:rsid w:val="008F17AC"/>
    <w:rsid w:val="008F1BAC"/>
    <w:rsid w:val="008F1BE7"/>
    <w:rsid w:val="008F1C57"/>
    <w:rsid w:val="008F1D38"/>
    <w:rsid w:val="008F2509"/>
    <w:rsid w:val="008F256B"/>
    <w:rsid w:val="008F2755"/>
    <w:rsid w:val="008F2B5F"/>
    <w:rsid w:val="008F2DAD"/>
    <w:rsid w:val="008F3172"/>
    <w:rsid w:val="008F31DF"/>
    <w:rsid w:val="008F3358"/>
    <w:rsid w:val="008F336C"/>
    <w:rsid w:val="008F350B"/>
    <w:rsid w:val="008F352B"/>
    <w:rsid w:val="008F3621"/>
    <w:rsid w:val="008F3627"/>
    <w:rsid w:val="008F368B"/>
    <w:rsid w:val="008F36AD"/>
    <w:rsid w:val="008F37A4"/>
    <w:rsid w:val="008F3E76"/>
    <w:rsid w:val="008F3F58"/>
    <w:rsid w:val="008F41D5"/>
    <w:rsid w:val="008F4228"/>
    <w:rsid w:val="008F45D2"/>
    <w:rsid w:val="008F48A2"/>
    <w:rsid w:val="008F4E49"/>
    <w:rsid w:val="008F528C"/>
    <w:rsid w:val="008F54A8"/>
    <w:rsid w:val="008F582B"/>
    <w:rsid w:val="008F5F81"/>
    <w:rsid w:val="008F652D"/>
    <w:rsid w:val="008F6535"/>
    <w:rsid w:val="008F67D2"/>
    <w:rsid w:val="008F6ACC"/>
    <w:rsid w:val="008F6E1B"/>
    <w:rsid w:val="008F7173"/>
    <w:rsid w:val="008F7388"/>
    <w:rsid w:val="008F73CB"/>
    <w:rsid w:val="008F782B"/>
    <w:rsid w:val="008F7B2F"/>
    <w:rsid w:val="008F7CE5"/>
    <w:rsid w:val="00900094"/>
    <w:rsid w:val="0090015C"/>
    <w:rsid w:val="0090016B"/>
    <w:rsid w:val="009001E5"/>
    <w:rsid w:val="009004FE"/>
    <w:rsid w:val="0090080A"/>
    <w:rsid w:val="0090083F"/>
    <w:rsid w:val="00900AFC"/>
    <w:rsid w:val="00900CC8"/>
    <w:rsid w:val="00900DF1"/>
    <w:rsid w:val="00900E14"/>
    <w:rsid w:val="00900E24"/>
    <w:rsid w:val="00900F18"/>
    <w:rsid w:val="009014B8"/>
    <w:rsid w:val="00901657"/>
    <w:rsid w:val="00901753"/>
    <w:rsid w:val="00901A2B"/>
    <w:rsid w:val="00901A79"/>
    <w:rsid w:val="00901A7F"/>
    <w:rsid w:val="00901D3E"/>
    <w:rsid w:val="00901DD6"/>
    <w:rsid w:val="009022C3"/>
    <w:rsid w:val="009023A3"/>
    <w:rsid w:val="009023FF"/>
    <w:rsid w:val="00902531"/>
    <w:rsid w:val="00902A00"/>
    <w:rsid w:val="00902B98"/>
    <w:rsid w:val="00902FD2"/>
    <w:rsid w:val="00903018"/>
    <w:rsid w:val="0090334E"/>
    <w:rsid w:val="0090369D"/>
    <w:rsid w:val="009036BD"/>
    <w:rsid w:val="00903A92"/>
    <w:rsid w:val="00903B82"/>
    <w:rsid w:val="00903BCD"/>
    <w:rsid w:val="00903CBB"/>
    <w:rsid w:val="00903DC3"/>
    <w:rsid w:val="00903E29"/>
    <w:rsid w:val="009042B4"/>
    <w:rsid w:val="00904837"/>
    <w:rsid w:val="009049E1"/>
    <w:rsid w:val="00904E55"/>
    <w:rsid w:val="00904F23"/>
    <w:rsid w:val="00905298"/>
    <w:rsid w:val="009052AF"/>
    <w:rsid w:val="009052BC"/>
    <w:rsid w:val="0090531F"/>
    <w:rsid w:val="00905328"/>
    <w:rsid w:val="009053AF"/>
    <w:rsid w:val="009053FF"/>
    <w:rsid w:val="00905426"/>
    <w:rsid w:val="00905455"/>
    <w:rsid w:val="00905456"/>
    <w:rsid w:val="009055D9"/>
    <w:rsid w:val="009057DD"/>
    <w:rsid w:val="009059C5"/>
    <w:rsid w:val="00905C52"/>
    <w:rsid w:val="00905D66"/>
    <w:rsid w:val="00905F10"/>
    <w:rsid w:val="00905F7C"/>
    <w:rsid w:val="00906326"/>
    <w:rsid w:val="0090641E"/>
    <w:rsid w:val="00906511"/>
    <w:rsid w:val="0090674C"/>
    <w:rsid w:val="0090691E"/>
    <w:rsid w:val="009069C6"/>
    <w:rsid w:val="00906D20"/>
    <w:rsid w:val="00906D21"/>
    <w:rsid w:val="00906D65"/>
    <w:rsid w:val="00906DF4"/>
    <w:rsid w:val="00906E2F"/>
    <w:rsid w:val="00907047"/>
    <w:rsid w:val="009074A7"/>
    <w:rsid w:val="009074F6"/>
    <w:rsid w:val="0090772D"/>
    <w:rsid w:val="009079A1"/>
    <w:rsid w:val="009079B5"/>
    <w:rsid w:val="00907B67"/>
    <w:rsid w:val="00907D1C"/>
    <w:rsid w:val="00910322"/>
    <w:rsid w:val="00910330"/>
    <w:rsid w:val="00910393"/>
    <w:rsid w:val="009105F2"/>
    <w:rsid w:val="009106DA"/>
    <w:rsid w:val="0091084F"/>
    <w:rsid w:val="00910878"/>
    <w:rsid w:val="00910A0A"/>
    <w:rsid w:val="00910C18"/>
    <w:rsid w:val="00911069"/>
    <w:rsid w:val="00911454"/>
    <w:rsid w:val="009114D2"/>
    <w:rsid w:val="0091185F"/>
    <w:rsid w:val="0091191E"/>
    <w:rsid w:val="0091199E"/>
    <w:rsid w:val="009119E7"/>
    <w:rsid w:val="00911A63"/>
    <w:rsid w:val="00911AEB"/>
    <w:rsid w:val="00911BD0"/>
    <w:rsid w:val="00911DDB"/>
    <w:rsid w:val="00911E9A"/>
    <w:rsid w:val="00911EBA"/>
    <w:rsid w:val="00911ED2"/>
    <w:rsid w:val="00911F12"/>
    <w:rsid w:val="00912385"/>
    <w:rsid w:val="00912442"/>
    <w:rsid w:val="009128FE"/>
    <w:rsid w:val="00912B1A"/>
    <w:rsid w:val="00912B9D"/>
    <w:rsid w:val="00912CDB"/>
    <w:rsid w:val="00912D39"/>
    <w:rsid w:val="00912E85"/>
    <w:rsid w:val="00912FF7"/>
    <w:rsid w:val="0091301E"/>
    <w:rsid w:val="00913175"/>
    <w:rsid w:val="009133E3"/>
    <w:rsid w:val="009135B9"/>
    <w:rsid w:val="00913A52"/>
    <w:rsid w:val="00913D46"/>
    <w:rsid w:val="00914117"/>
    <w:rsid w:val="00914680"/>
    <w:rsid w:val="00914780"/>
    <w:rsid w:val="00914A7F"/>
    <w:rsid w:val="00914DCF"/>
    <w:rsid w:val="00914FBA"/>
    <w:rsid w:val="00915087"/>
    <w:rsid w:val="009152A4"/>
    <w:rsid w:val="0091581D"/>
    <w:rsid w:val="00915865"/>
    <w:rsid w:val="00915BC2"/>
    <w:rsid w:val="00915F07"/>
    <w:rsid w:val="00915FCB"/>
    <w:rsid w:val="009160BD"/>
    <w:rsid w:val="009160E4"/>
    <w:rsid w:val="0091614B"/>
    <w:rsid w:val="009161B4"/>
    <w:rsid w:val="00916250"/>
    <w:rsid w:val="00916286"/>
    <w:rsid w:val="009164A6"/>
    <w:rsid w:val="00916A00"/>
    <w:rsid w:val="00916BED"/>
    <w:rsid w:val="00916E4E"/>
    <w:rsid w:val="00917179"/>
    <w:rsid w:val="009173BD"/>
    <w:rsid w:val="009173DA"/>
    <w:rsid w:val="009176A1"/>
    <w:rsid w:val="009176A8"/>
    <w:rsid w:val="00917844"/>
    <w:rsid w:val="00917876"/>
    <w:rsid w:val="00917ADC"/>
    <w:rsid w:val="00917E10"/>
    <w:rsid w:val="00917F18"/>
    <w:rsid w:val="00920B37"/>
    <w:rsid w:val="00920C72"/>
    <w:rsid w:val="00920CBF"/>
    <w:rsid w:val="00920E7D"/>
    <w:rsid w:val="00920ECA"/>
    <w:rsid w:val="00920F1C"/>
    <w:rsid w:val="00921337"/>
    <w:rsid w:val="0092134A"/>
    <w:rsid w:val="0092156C"/>
    <w:rsid w:val="0092181B"/>
    <w:rsid w:val="00921AA7"/>
    <w:rsid w:val="00921CEC"/>
    <w:rsid w:val="00921CF6"/>
    <w:rsid w:val="00921EE9"/>
    <w:rsid w:val="00921EFB"/>
    <w:rsid w:val="00921F67"/>
    <w:rsid w:val="0092201F"/>
    <w:rsid w:val="009222C6"/>
    <w:rsid w:val="009224F4"/>
    <w:rsid w:val="0092273A"/>
    <w:rsid w:val="00922793"/>
    <w:rsid w:val="009228AA"/>
    <w:rsid w:val="0092294B"/>
    <w:rsid w:val="00922C7A"/>
    <w:rsid w:val="00922CF1"/>
    <w:rsid w:val="00922D04"/>
    <w:rsid w:val="00922D45"/>
    <w:rsid w:val="00922E0B"/>
    <w:rsid w:val="00922FC7"/>
    <w:rsid w:val="0092307D"/>
    <w:rsid w:val="00923472"/>
    <w:rsid w:val="009234DA"/>
    <w:rsid w:val="0092365E"/>
    <w:rsid w:val="009237A7"/>
    <w:rsid w:val="009237E9"/>
    <w:rsid w:val="00923B03"/>
    <w:rsid w:val="00923DBF"/>
    <w:rsid w:val="00923FD9"/>
    <w:rsid w:val="009240BA"/>
    <w:rsid w:val="00924383"/>
    <w:rsid w:val="00924565"/>
    <w:rsid w:val="0092471E"/>
    <w:rsid w:val="009248B5"/>
    <w:rsid w:val="00924B17"/>
    <w:rsid w:val="00924DFF"/>
    <w:rsid w:val="00924ECE"/>
    <w:rsid w:val="00925090"/>
    <w:rsid w:val="009252D3"/>
    <w:rsid w:val="00925502"/>
    <w:rsid w:val="009259CC"/>
    <w:rsid w:val="00925A35"/>
    <w:rsid w:val="00925B27"/>
    <w:rsid w:val="00925C45"/>
    <w:rsid w:val="00925C91"/>
    <w:rsid w:val="00926065"/>
    <w:rsid w:val="009261BD"/>
    <w:rsid w:val="009269C7"/>
    <w:rsid w:val="00926C5A"/>
    <w:rsid w:val="00926D86"/>
    <w:rsid w:val="00926ECE"/>
    <w:rsid w:val="0092705F"/>
    <w:rsid w:val="009273BA"/>
    <w:rsid w:val="0092754F"/>
    <w:rsid w:val="00927599"/>
    <w:rsid w:val="009275F8"/>
    <w:rsid w:val="0092771E"/>
    <w:rsid w:val="0092773D"/>
    <w:rsid w:val="00927854"/>
    <w:rsid w:val="009278EB"/>
    <w:rsid w:val="00927CF8"/>
    <w:rsid w:val="00927DB3"/>
    <w:rsid w:val="00927E46"/>
    <w:rsid w:val="00927F31"/>
    <w:rsid w:val="00927FA0"/>
    <w:rsid w:val="00930327"/>
    <w:rsid w:val="00930577"/>
    <w:rsid w:val="0093065F"/>
    <w:rsid w:val="00930D63"/>
    <w:rsid w:val="00930F5F"/>
    <w:rsid w:val="009313D0"/>
    <w:rsid w:val="00931423"/>
    <w:rsid w:val="00931802"/>
    <w:rsid w:val="00931BAA"/>
    <w:rsid w:val="009324ED"/>
    <w:rsid w:val="009324EE"/>
    <w:rsid w:val="009325EE"/>
    <w:rsid w:val="00932C2F"/>
    <w:rsid w:val="00932CE4"/>
    <w:rsid w:val="00932E6A"/>
    <w:rsid w:val="00932E7D"/>
    <w:rsid w:val="0093313B"/>
    <w:rsid w:val="00933223"/>
    <w:rsid w:val="0093351A"/>
    <w:rsid w:val="00933524"/>
    <w:rsid w:val="009339EF"/>
    <w:rsid w:val="00933A38"/>
    <w:rsid w:val="00933AAA"/>
    <w:rsid w:val="00933CEA"/>
    <w:rsid w:val="00934021"/>
    <w:rsid w:val="00934105"/>
    <w:rsid w:val="00934139"/>
    <w:rsid w:val="009341E2"/>
    <w:rsid w:val="00934434"/>
    <w:rsid w:val="009345B9"/>
    <w:rsid w:val="00934618"/>
    <w:rsid w:val="0093467E"/>
    <w:rsid w:val="00934685"/>
    <w:rsid w:val="0093483A"/>
    <w:rsid w:val="009348DB"/>
    <w:rsid w:val="009348E6"/>
    <w:rsid w:val="00934B15"/>
    <w:rsid w:val="00934D51"/>
    <w:rsid w:val="00934DFE"/>
    <w:rsid w:val="0093528A"/>
    <w:rsid w:val="009355CE"/>
    <w:rsid w:val="00935989"/>
    <w:rsid w:val="00935A2D"/>
    <w:rsid w:val="00935C1D"/>
    <w:rsid w:val="00935C49"/>
    <w:rsid w:val="00935CA2"/>
    <w:rsid w:val="00935D69"/>
    <w:rsid w:val="00935DE7"/>
    <w:rsid w:val="00935E7E"/>
    <w:rsid w:val="00935FAB"/>
    <w:rsid w:val="00935FD1"/>
    <w:rsid w:val="0093604B"/>
    <w:rsid w:val="0093617A"/>
    <w:rsid w:val="0093659E"/>
    <w:rsid w:val="00936731"/>
    <w:rsid w:val="00936AD5"/>
    <w:rsid w:val="00936BF1"/>
    <w:rsid w:val="00936DFE"/>
    <w:rsid w:val="00936E1B"/>
    <w:rsid w:val="00936F7D"/>
    <w:rsid w:val="00937048"/>
    <w:rsid w:val="0093730E"/>
    <w:rsid w:val="009374D8"/>
    <w:rsid w:val="009378D9"/>
    <w:rsid w:val="00937904"/>
    <w:rsid w:val="0093795E"/>
    <w:rsid w:val="00937AB1"/>
    <w:rsid w:val="00937AE9"/>
    <w:rsid w:val="00937CAE"/>
    <w:rsid w:val="00937CF1"/>
    <w:rsid w:val="00937FC8"/>
    <w:rsid w:val="009400FD"/>
    <w:rsid w:val="0094015C"/>
    <w:rsid w:val="00940612"/>
    <w:rsid w:val="0094064E"/>
    <w:rsid w:val="00940B5B"/>
    <w:rsid w:val="00940C99"/>
    <w:rsid w:val="00940EF5"/>
    <w:rsid w:val="00941081"/>
    <w:rsid w:val="00941164"/>
    <w:rsid w:val="009412AD"/>
    <w:rsid w:val="009413C8"/>
    <w:rsid w:val="009415A3"/>
    <w:rsid w:val="009417D6"/>
    <w:rsid w:val="00941900"/>
    <w:rsid w:val="0094195F"/>
    <w:rsid w:val="009419FA"/>
    <w:rsid w:val="00941A39"/>
    <w:rsid w:val="00941B7B"/>
    <w:rsid w:val="00941FC2"/>
    <w:rsid w:val="009423DD"/>
    <w:rsid w:val="00942530"/>
    <w:rsid w:val="0094284C"/>
    <w:rsid w:val="00942853"/>
    <w:rsid w:val="00942878"/>
    <w:rsid w:val="00942890"/>
    <w:rsid w:val="009428DF"/>
    <w:rsid w:val="00942972"/>
    <w:rsid w:val="00942DE2"/>
    <w:rsid w:val="00942E1A"/>
    <w:rsid w:val="0094304B"/>
    <w:rsid w:val="009430F4"/>
    <w:rsid w:val="00943399"/>
    <w:rsid w:val="00943542"/>
    <w:rsid w:val="00943753"/>
    <w:rsid w:val="009438F4"/>
    <w:rsid w:val="00943D02"/>
    <w:rsid w:val="00943E17"/>
    <w:rsid w:val="00943E7C"/>
    <w:rsid w:val="00943ED6"/>
    <w:rsid w:val="00943F6B"/>
    <w:rsid w:val="009442C4"/>
    <w:rsid w:val="00944497"/>
    <w:rsid w:val="009444F2"/>
    <w:rsid w:val="009446DC"/>
    <w:rsid w:val="00944781"/>
    <w:rsid w:val="009447CD"/>
    <w:rsid w:val="009447D8"/>
    <w:rsid w:val="00944992"/>
    <w:rsid w:val="00944F9B"/>
    <w:rsid w:val="009453BE"/>
    <w:rsid w:val="0094544C"/>
    <w:rsid w:val="009454B9"/>
    <w:rsid w:val="00945579"/>
    <w:rsid w:val="00945637"/>
    <w:rsid w:val="00945647"/>
    <w:rsid w:val="00945D83"/>
    <w:rsid w:val="00945FBB"/>
    <w:rsid w:val="00946059"/>
    <w:rsid w:val="0094624D"/>
    <w:rsid w:val="00946264"/>
    <w:rsid w:val="0094657F"/>
    <w:rsid w:val="00946657"/>
    <w:rsid w:val="00946827"/>
    <w:rsid w:val="009468E8"/>
    <w:rsid w:val="00946A2F"/>
    <w:rsid w:val="00946D75"/>
    <w:rsid w:val="0094733A"/>
    <w:rsid w:val="0094734D"/>
    <w:rsid w:val="00947418"/>
    <w:rsid w:val="00947461"/>
    <w:rsid w:val="00947547"/>
    <w:rsid w:val="0094759B"/>
    <w:rsid w:val="009476C5"/>
    <w:rsid w:val="0094771F"/>
    <w:rsid w:val="009479E6"/>
    <w:rsid w:val="00947AA4"/>
    <w:rsid w:val="00950130"/>
    <w:rsid w:val="009502C3"/>
    <w:rsid w:val="009505BF"/>
    <w:rsid w:val="009506E9"/>
    <w:rsid w:val="00950C27"/>
    <w:rsid w:val="00950CF6"/>
    <w:rsid w:val="00950EFC"/>
    <w:rsid w:val="0095132C"/>
    <w:rsid w:val="0095136F"/>
    <w:rsid w:val="009514F3"/>
    <w:rsid w:val="009515EE"/>
    <w:rsid w:val="00951668"/>
    <w:rsid w:val="00951794"/>
    <w:rsid w:val="009517C4"/>
    <w:rsid w:val="009519B1"/>
    <w:rsid w:val="00951A57"/>
    <w:rsid w:val="00951F9B"/>
    <w:rsid w:val="00951FDA"/>
    <w:rsid w:val="00952036"/>
    <w:rsid w:val="009521CA"/>
    <w:rsid w:val="0095241E"/>
    <w:rsid w:val="0095249E"/>
    <w:rsid w:val="00952803"/>
    <w:rsid w:val="00952A96"/>
    <w:rsid w:val="00952EB1"/>
    <w:rsid w:val="00953336"/>
    <w:rsid w:val="00953403"/>
    <w:rsid w:val="009535A4"/>
    <w:rsid w:val="009536FE"/>
    <w:rsid w:val="009537DC"/>
    <w:rsid w:val="009537FD"/>
    <w:rsid w:val="00953D5F"/>
    <w:rsid w:val="00953E2E"/>
    <w:rsid w:val="00954671"/>
    <w:rsid w:val="00954D47"/>
    <w:rsid w:val="00955105"/>
    <w:rsid w:val="0095512B"/>
    <w:rsid w:val="00955132"/>
    <w:rsid w:val="0095544C"/>
    <w:rsid w:val="009554A5"/>
    <w:rsid w:val="0095563F"/>
    <w:rsid w:val="00955DDE"/>
    <w:rsid w:val="00955EA5"/>
    <w:rsid w:val="00956062"/>
    <w:rsid w:val="009565D3"/>
    <w:rsid w:val="00956907"/>
    <w:rsid w:val="00956B2B"/>
    <w:rsid w:val="00956BE5"/>
    <w:rsid w:val="00956D0B"/>
    <w:rsid w:val="00956E83"/>
    <w:rsid w:val="00956F5B"/>
    <w:rsid w:val="00957082"/>
    <w:rsid w:val="00957136"/>
    <w:rsid w:val="00957137"/>
    <w:rsid w:val="009574B7"/>
    <w:rsid w:val="00957602"/>
    <w:rsid w:val="009576AE"/>
    <w:rsid w:val="009576D0"/>
    <w:rsid w:val="00957894"/>
    <w:rsid w:val="0095789A"/>
    <w:rsid w:val="009578F6"/>
    <w:rsid w:val="00957A47"/>
    <w:rsid w:val="00957B71"/>
    <w:rsid w:val="00957E76"/>
    <w:rsid w:val="00957E78"/>
    <w:rsid w:val="00957F15"/>
    <w:rsid w:val="00957F30"/>
    <w:rsid w:val="00957FEC"/>
    <w:rsid w:val="009604A7"/>
    <w:rsid w:val="009606DB"/>
    <w:rsid w:val="0096099A"/>
    <w:rsid w:val="00960B14"/>
    <w:rsid w:val="00960E9D"/>
    <w:rsid w:val="00960F6E"/>
    <w:rsid w:val="00960FCE"/>
    <w:rsid w:val="009610B8"/>
    <w:rsid w:val="0096126A"/>
    <w:rsid w:val="0096190B"/>
    <w:rsid w:val="0096191F"/>
    <w:rsid w:val="00961C2C"/>
    <w:rsid w:val="00961F90"/>
    <w:rsid w:val="00962521"/>
    <w:rsid w:val="00962620"/>
    <w:rsid w:val="009628CA"/>
    <w:rsid w:val="0096292D"/>
    <w:rsid w:val="009629E0"/>
    <w:rsid w:val="00962A5E"/>
    <w:rsid w:val="00962ACA"/>
    <w:rsid w:val="00962F49"/>
    <w:rsid w:val="00963001"/>
    <w:rsid w:val="0096304D"/>
    <w:rsid w:val="0096312C"/>
    <w:rsid w:val="0096313A"/>
    <w:rsid w:val="0096333D"/>
    <w:rsid w:val="00963667"/>
    <w:rsid w:val="009636FD"/>
    <w:rsid w:val="00963AC8"/>
    <w:rsid w:val="00963EB0"/>
    <w:rsid w:val="00964034"/>
    <w:rsid w:val="009645D6"/>
    <w:rsid w:val="00964786"/>
    <w:rsid w:val="00964B79"/>
    <w:rsid w:val="00965149"/>
    <w:rsid w:val="009651AA"/>
    <w:rsid w:val="009652DE"/>
    <w:rsid w:val="009653DC"/>
    <w:rsid w:val="00965518"/>
    <w:rsid w:val="00965617"/>
    <w:rsid w:val="00965727"/>
    <w:rsid w:val="0096590D"/>
    <w:rsid w:val="00965973"/>
    <w:rsid w:val="009659ED"/>
    <w:rsid w:val="00965AD3"/>
    <w:rsid w:val="00965DE6"/>
    <w:rsid w:val="00965FD6"/>
    <w:rsid w:val="009662D8"/>
    <w:rsid w:val="00966747"/>
    <w:rsid w:val="00966896"/>
    <w:rsid w:val="00966E45"/>
    <w:rsid w:val="00966E89"/>
    <w:rsid w:val="00966EAE"/>
    <w:rsid w:val="009670E1"/>
    <w:rsid w:val="00967561"/>
    <w:rsid w:val="009677A4"/>
    <w:rsid w:val="00967863"/>
    <w:rsid w:val="009678F7"/>
    <w:rsid w:val="0096799C"/>
    <w:rsid w:val="00967CD9"/>
    <w:rsid w:val="00967D73"/>
    <w:rsid w:val="00967F3D"/>
    <w:rsid w:val="0097038B"/>
    <w:rsid w:val="00970789"/>
    <w:rsid w:val="00970A4E"/>
    <w:rsid w:val="00970B72"/>
    <w:rsid w:val="00970BE6"/>
    <w:rsid w:val="00970CF0"/>
    <w:rsid w:val="00970EF9"/>
    <w:rsid w:val="0097172D"/>
    <w:rsid w:val="009718C8"/>
    <w:rsid w:val="00971AE7"/>
    <w:rsid w:val="009724D3"/>
    <w:rsid w:val="00972934"/>
    <w:rsid w:val="00972AE1"/>
    <w:rsid w:val="00972D9B"/>
    <w:rsid w:val="00972E3F"/>
    <w:rsid w:val="00973241"/>
    <w:rsid w:val="009732A9"/>
    <w:rsid w:val="00973313"/>
    <w:rsid w:val="00973CA0"/>
    <w:rsid w:val="00973E14"/>
    <w:rsid w:val="00973E16"/>
    <w:rsid w:val="00973F6F"/>
    <w:rsid w:val="00974093"/>
    <w:rsid w:val="009740B8"/>
    <w:rsid w:val="00974210"/>
    <w:rsid w:val="009742F1"/>
    <w:rsid w:val="009743BB"/>
    <w:rsid w:val="00974476"/>
    <w:rsid w:val="009745FF"/>
    <w:rsid w:val="00974606"/>
    <w:rsid w:val="00974718"/>
    <w:rsid w:val="00974850"/>
    <w:rsid w:val="00974876"/>
    <w:rsid w:val="00974B67"/>
    <w:rsid w:val="00974C2F"/>
    <w:rsid w:val="00974C8B"/>
    <w:rsid w:val="00974E53"/>
    <w:rsid w:val="00974F7C"/>
    <w:rsid w:val="00975254"/>
    <w:rsid w:val="00975328"/>
    <w:rsid w:val="009755A6"/>
    <w:rsid w:val="00975BD6"/>
    <w:rsid w:val="00975BE2"/>
    <w:rsid w:val="00975C0D"/>
    <w:rsid w:val="00976005"/>
    <w:rsid w:val="0097621E"/>
    <w:rsid w:val="009763CE"/>
    <w:rsid w:val="009763E0"/>
    <w:rsid w:val="009764DC"/>
    <w:rsid w:val="00976C57"/>
    <w:rsid w:val="00977743"/>
    <w:rsid w:val="00977A1E"/>
    <w:rsid w:val="00977CC5"/>
    <w:rsid w:val="00977DDA"/>
    <w:rsid w:val="00977FEF"/>
    <w:rsid w:val="00980078"/>
    <w:rsid w:val="0098037A"/>
    <w:rsid w:val="009803C1"/>
    <w:rsid w:val="009803C6"/>
    <w:rsid w:val="00980442"/>
    <w:rsid w:val="009806CB"/>
    <w:rsid w:val="009807F0"/>
    <w:rsid w:val="00980831"/>
    <w:rsid w:val="009808BD"/>
    <w:rsid w:val="00980CF0"/>
    <w:rsid w:val="00980D4A"/>
    <w:rsid w:val="0098117F"/>
    <w:rsid w:val="0098125C"/>
    <w:rsid w:val="0098128A"/>
    <w:rsid w:val="00981537"/>
    <w:rsid w:val="00981668"/>
    <w:rsid w:val="00981776"/>
    <w:rsid w:val="00981802"/>
    <w:rsid w:val="00981B85"/>
    <w:rsid w:val="00981D85"/>
    <w:rsid w:val="00981E53"/>
    <w:rsid w:val="00981E6B"/>
    <w:rsid w:val="00981EA7"/>
    <w:rsid w:val="009822E9"/>
    <w:rsid w:val="009823F8"/>
    <w:rsid w:val="00982D43"/>
    <w:rsid w:val="00982D5F"/>
    <w:rsid w:val="009830D6"/>
    <w:rsid w:val="009831A8"/>
    <w:rsid w:val="00983280"/>
    <w:rsid w:val="009836AB"/>
    <w:rsid w:val="009837B8"/>
    <w:rsid w:val="00983812"/>
    <w:rsid w:val="009839CD"/>
    <w:rsid w:val="00983A15"/>
    <w:rsid w:val="00983A21"/>
    <w:rsid w:val="00983D6F"/>
    <w:rsid w:val="00983F18"/>
    <w:rsid w:val="00983F74"/>
    <w:rsid w:val="00983F94"/>
    <w:rsid w:val="00983FF9"/>
    <w:rsid w:val="00984299"/>
    <w:rsid w:val="00984716"/>
    <w:rsid w:val="009847DE"/>
    <w:rsid w:val="00984F74"/>
    <w:rsid w:val="009850D5"/>
    <w:rsid w:val="00985396"/>
    <w:rsid w:val="009855B6"/>
    <w:rsid w:val="0098576D"/>
    <w:rsid w:val="009866BD"/>
    <w:rsid w:val="009866D9"/>
    <w:rsid w:val="009866DE"/>
    <w:rsid w:val="00986798"/>
    <w:rsid w:val="0098686E"/>
    <w:rsid w:val="00986D67"/>
    <w:rsid w:val="00986FDB"/>
    <w:rsid w:val="00987088"/>
    <w:rsid w:val="0098713B"/>
    <w:rsid w:val="009872F5"/>
    <w:rsid w:val="009875F5"/>
    <w:rsid w:val="009878D1"/>
    <w:rsid w:val="0098792B"/>
    <w:rsid w:val="009879B0"/>
    <w:rsid w:val="00987DF9"/>
    <w:rsid w:val="00990366"/>
    <w:rsid w:val="009903CC"/>
    <w:rsid w:val="00990547"/>
    <w:rsid w:val="00990792"/>
    <w:rsid w:val="00990797"/>
    <w:rsid w:val="009907E5"/>
    <w:rsid w:val="00990A4A"/>
    <w:rsid w:val="00990AA6"/>
    <w:rsid w:val="00990BE9"/>
    <w:rsid w:val="00990CA3"/>
    <w:rsid w:val="0099112E"/>
    <w:rsid w:val="009911EA"/>
    <w:rsid w:val="009912FD"/>
    <w:rsid w:val="00991413"/>
    <w:rsid w:val="009918AA"/>
    <w:rsid w:val="009918E4"/>
    <w:rsid w:val="00991BFE"/>
    <w:rsid w:val="00991DDD"/>
    <w:rsid w:val="00991DEE"/>
    <w:rsid w:val="00991EB0"/>
    <w:rsid w:val="00992042"/>
    <w:rsid w:val="0099205E"/>
    <w:rsid w:val="00992133"/>
    <w:rsid w:val="009921F7"/>
    <w:rsid w:val="009922BD"/>
    <w:rsid w:val="009925F6"/>
    <w:rsid w:val="009928D1"/>
    <w:rsid w:val="00992BA7"/>
    <w:rsid w:val="00992CF4"/>
    <w:rsid w:val="00992DB0"/>
    <w:rsid w:val="009932B1"/>
    <w:rsid w:val="00993414"/>
    <w:rsid w:val="00993439"/>
    <w:rsid w:val="0099372D"/>
    <w:rsid w:val="0099377E"/>
    <w:rsid w:val="0099399A"/>
    <w:rsid w:val="00993A2E"/>
    <w:rsid w:val="00993B53"/>
    <w:rsid w:val="00993CDF"/>
    <w:rsid w:val="00993F33"/>
    <w:rsid w:val="009940BD"/>
    <w:rsid w:val="0099420C"/>
    <w:rsid w:val="009943FC"/>
    <w:rsid w:val="0099458C"/>
    <w:rsid w:val="00994BCE"/>
    <w:rsid w:val="00994BE4"/>
    <w:rsid w:val="00995303"/>
    <w:rsid w:val="009953FA"/>
    <w:rsid w:val="009955F2"/>
    <w:rsid w:val="009956EF"/>
    <w:rsid w:val="00995BFC"/>
    <w:rsid w:val="00995C9A"/>
    <w:rsid w:val="00995E95"/>
    <w:rsid w:val="00995F1F"/>
    <w:rsid w:val="009963DA"/>
    <w:rsid w:val="00996462"/>
    <w:rsid w:val="00996682"/>
    <w:rsid w:val="009968D8"/>
    <w:rsid w:val="00996937"/>
    <w:rsid w:val="00996947"/>
    <w:rsid w:val="0099695F"/>
    <w:rsid w:val="00996D86"/>
    <w:rsid w:val="00996FB7"/>
    <w:rsid w:val="009970A0"/>
    <w:rsid w:val="00997347"/>
    <w:rsid w:val="0099738F"/>
    <w:rsid w:val="00997938"/>
    <w:rsid w:val="00997B3F"/>
    <w:rsid w:val="00997B7E"/>
    <w:rsid w:val="00997DAC"/>
    <w:rsid w:val="009A0123"/>
    <w:rsid w:val="009A014A"/>
    <w:rsid w:val="009A023C"/>
    <w:rsid w:val="009A02B8"/>
    <w:rsid w:val="009A0490"/>
    <w:rsid w:val="009A0727"/>
    <w:rsid w:val="009A07C3"/>
    <w:rsid w:val="009A093F"/>
    <w:rsid w:val="009A0A80"/>
    <w:rsid w:val="009A0D7C"/>
    <w:rsid w:val="009A0FD8"/>
    <w:rsid w:val="009A0FE6"/>
    <w:rsid w:val="009A14AF"/>
    <w:rsid w:val="009A16B3"/>
    <w:rsid w:val="009A1800"/>
    <w:rsid w:val="009A1923"/>
    <w:rsid w:val="009A1943"/>
    <w:rsid w:val="009A19B3"/>
    <w:rsid w:val="009A1A39"/>
    <w:rsid w:val="009A1BDD"/>
    <w:rsid w:val="009A1BFE"/>
    <w:rsid w:val="009A1D3B"/>
    <w:rsid w:val="009A1EEE"/>
    <w:rsid w:val="009A1F2A"/>
    <w:rsid w:val="009A20EF"/>
    <w:rsid w:val="009A2556"/>
    <w:rsid w:val="009A276C"/>
    <w:rsid w:val="009A2880"/>
    <w:rsid w:val="009A29D9"/>
    <w:rsid w:val="009A2BF1"/>
    <w:rsid w:val="009A2E9D"/>
    <w:rsid w:val="009A2FB4"/>
    <w:rsid w:val="009A317A"/>
    <w:rsid w:val="009A317D"/>
    <w:rsid w:val="009A33BE"/>
    <w:rsid w:val="009A35E9"/>
    <w:rsid w:val="009A39EC"/>
    <w:rsid w:val="009A3C5A"/>
    <w:rsid w:val="009A3C82"/>
    <w:rsid w:val="009A3E6F"/>
    <w:rsid w:val="009A3EAE"/>
    <w:rsid w:val="009A4228"/>
    <w:rsid w:val="009A425A"/>
    <w:rsid w:val="009A4301"/>
    <w:rsid w:val="009A4544"/>
    <w:rsid w:val="009A462A"/>
    <w:rsid w:val="009A46AC"/>
    <w:rsid w:val="009A4796"/>
    <w:rsid w:val="009A47CB"/>
    <w:rsid w:val="009A484D"/>
    <w:rsid w:val="009A4908"/>
    <w:rsid w:val="009A4B9F"/>
    <w:rsid w:val="009A4C76"/>
    <w:rsid w:val="009A4D97"/>
    <w:rsid w:val="009A4E11"/>
    <w:rsid w:val="009A5293"/>
    <w:rsid w:val="009A52F7"/>
    <w:rsid w:val="009A5369"/>
    <w:rsid w:val="009A5573"/>
    <w:rsid w:val="009A55BA"/>
    <w:rsid w:val="009A58FA"/>
    <w:rsid w:val="009A5A16"/>
    <w:rsid w:val="009A5ED4"/>
    <w:rsid w:val="009A5ED6"/>
    <w:rsid w:val="009A61E4"/>
    <w:rsid w:val="009A6277"/>
    <w:rsid w:val="009A6656"/>
    <w:rsid w:val="009A6BB0"/>
    <w:rsid w:val="009A6E7B"/>
    <w:rsid w:val="009A70A1"/>
    <w:rsid w:val="009A721E"/>
    <w:rsid w:val="009A73D6"/>
    <w:rsid w:val="009A73FA"/>
    <w:rsid w:val="009A74E8"/>
    <w:rsid w:val="009A75CD"/>
    <w:rsid w:val="009A771A"/>
    <w:rsid w:val="009A77F9"/>
    <w:rsid w:val="009A7D2C"/>
    <w:rsid w:val="009A7FEB"/>
    <w:rsid w:val="009B0132"/>
    <w:rsid w:val="009B04C5"/>
    <w:rsid w:val="009B08B3"/>
    <w:rsid w:val="009B0927"/>
    <w:rsid w:val="009B0AD2"/>
    <w:rsid w:val="009B0AE0"/>
    <w:rsid w:val="009B0BDA"/>
    <w:rsid w:val="009B0C29"/>
    <w:rsid w:val="009B0D9F"/>
    <w:rsid w:val="009B0E04"/>
    <w:rsid w:val="009B10DF"/>
    <w:rsid w:val="009B173C"/>
    <w:rsid w:val="009B1982"/>
    <w:rsid w:val="009B19DE"/>
    <w:rsid w:val="009B1ECF"/>
    <w:rsid w:val="009B21DB"/>
    <w:rsid w:val="009B24E3"/>
    <w:rsid w:val="009B2840"/>
    <w:rsid w:val="009B29BC"/>
    <w:rsid w:val="009B2AD6"/>
    <w:rsid w:val="009B2CFB"/>
    <w:rsid w:val="009B2F21"/>
    <w:rsid w:val="009B2F66"/>
    <w:rsid w:val="009B2FAC"/>
    <w:rsid w:val="009B3027"/>
    <w:rsid w:val="009B3524"/>
    <w:rsid w:val="009B37EF"/>
    <w:rsid w:val="009B38E0"/>
    <w:rsid w:val="009B3D8E"/>
    <w:rsid w:val="009B3EBF"/>
    <w:rsid w:val="009B4068"/>
    <w:rsid w:val="009B4159"/>
    <w:rsid w:val="009B42D3"/>
    <w:rsid w:val="009B4331"/>
    <w:rsid w:val="009B4366"/>
    <w:rsid w:val="009B4399"/>
    <w:rsid w:val="009B4910"/>
    <w:rsid w:val="009B4D9F"/>
    <w:rsid w:val="009B4EC9"/>
    <w:rsid w:val="009B5096"/>
    <w:rsid w:val="009B5210"/>
    <w:rsid w:val="009B5259"/>
    <w:rsid w:val="009B539D"/>
    <w:rsid w:val="009B564A"/>
    <w:rsid w:val="009B5840"/>
    <w:rsid w:val="009B5A9D"/>
    <w:rsid w:val="009B5D71"/>
    <w:rsid w:val="009B5DC2"/>
    <w:rsid w:val="009B5F13"/>
    <w:rsid w:val="009B6115"/>
    <w:rsid w:val="009B62B7"/>
    <w:rsid w:val="009B6372"/>
    <w:rsid w:val="009B666F"/>
    <w:rsid w:val="009B6699"/>
    <w:rsid w:val="009B671C"/>
    <w:rsid w:val="009B67F3"/>
    <w:rsid w:val="009B6811"/>
    <w:rsid w:val="009B6AEC"/>
    <w:rsid w:val="009B6D5E"/>
    <w:rsid w:val="009B6F66"/>
    <w:rsid w:val="009B768C"/>
    <w:rsid w:val="009B7721"/>
    <w:rsid w:val="009B7B67"/>
    <w:rsid w:val="009B7CB2"/>
    <w:rsid w:val="009B7E00"/>
    <w:rsid w:val="009C0196"/>
    <w:rsid w:val="009C028B"/>
    <w:rsid w:val="009C034B"/>
    <w:rsid w:val="009C03CE"/>
    <w:rsid w:val="009C057C"/>
    <w:rsid w:val="009C07A7"/>
    <w:rsid w:val="009C08C2"/>
    <w:rsid w:val="009C0950"/>
    <w:rsid w:val="009C0A25"/>
    <w:rsid w:val="009C0A4B"/>
    <w:rsid w:val="009C0B2D"/>
    <w:rsid w:val="009C0C45"/>
    <w:rsid w:val="009C0D2A"/>
    <w:rsid w:val="009C0DB1"/>
    <w:rsid w:val="009C11A2"/>
    <w:rsid w:val="009C129F"/>
    <w:rsid w:val="009C13AB"/>
    <w:rsid w:val="009C171B"/>
    <w:rsid w:val="009C1766"/>
    <w:rsid w:val="009C17DC"/>
    <w:rsid w:val="009C1F2B"/>
    <w:rsid w:val="009C2048"/>
    <w:rsid w:val="009C20C9"/>
    <w:rsid w:val="009C227B"/>
    <w:rsid w:val="009C2657"/>
    <w:rsid w:val="009C270A"/>
    <w:rsid w:val="009C27A8"/>
    <w:rsid w:val="009C2B4F"/>
    <w:rsid w:val="009C2C86"/>
    <w:rsid w:val="009C358A"/>
    <w:rsid w:val="009C35DF"/>
    <w:rsid w:val="009C39F9"/>
    <w:rsid w:val="009C3F43"/>
    <w:rsid w:val="009C3FB8"/>
    <w:rsid w:val="009C431B"/>
    <w:rsid w:val="009C443C"/>
    <w:rsid w:val="009C458F"/>
    <w:rsid w:val="009C49FF"/>
    <w:rsid w:val="009C4C1E"/>
    <w:rsid w:val="009C4D76"/>
    <w:rsid w:val="009C50BE"/>
    <w:rsid w:val="009C56A2"/>
    <w:rsid w:val="009C5702"/>
    <w:rsid w:val="009C59EB"/>
    <w:rsid w:val="009C5E06"/>
    <w:rsid w:val="009C5E71"/>
    <w:rsid w:val="009C62AE"/>
    <w:rsid w:val="009C6AF7"/>
    <w:rsid w:val="009C6BAC"/>
    <w:rsid w:val="009C6ED2"/>
    <w:rsid w:val="009C70D9"/>
    <w:rsid w:val="009C739E"/>
    <w:rsid w:val="009C744F"/>
    <w:rsid w:val="009C762F"/>
    <w:rsid w:val="009C76BA"/>
    <w:rsid w:val="009C7AFB"/>
    <w:rsid w:val="009C7CB1"/>
    <w:rsid w:val="009C7D9E"/>
    <w:rsid w:val="009C7FE8"/>
    <w:rsid w:val="009D001A"/>
    <w:rsid w:val="009D00BF"/>
    <w:rsid w:val="009D03A5"/>
    <w:rsid w:val="009D0428"/>
    <w:rsid w:val="009D0B0E"/>
    <w:rsid w:val="009D0D04"/>
    <w:rsid w:val="009D0E34"/>
    <w:rsid w:val="009D115F"/>
    <w:rsid w:val="009D12A9"/>
    <w:rsid w:val="009D13A2"/>
    <w:rsid w:val="009D180D"/>
    <w:rsid w:val="009D1BC2"/>
    <w:rsid w:val="009D1BCC"/>
    <w:rsid w:val="009D1D27"/>
    <w:rsid w:val="009D1FAB"/>
    <w:rsid w:val="009D220D"/>
    <w:rsid w:val="009D27C9"/>
    <w:rsid w:val="009D27CE"/>
    <w:rsid w:val="009D2855"/>
    <w:rsid w:val="009D289B"/>
    <w:rsid w:val="009D292C"/>
    <w:rsid w:val="009D2A0E"/>
    <w:rsid w:val="009D2B62"/>
    <w:rsid w:val="009D34AE"/>
    <w:rsid w:val="009D34E5"/>
    <w:rsid w:val="009D36F4"/>
    <w:rsid w:val="009D3BF7"/>
    <w:rsid w:val="009D3CBE"/>
    <w:rsid w:val="009D3D62"/>
    <w:rsid w:val="009D3E10"/>
    <w:rsid w:val="009D420C"/>
    <w:rsid w:val="009D4660"/>
    <w:rsid w:val="009D4A5B"/>
    <w:rsid w:val="009D4D05"/>
    <w:rsid w:val="009D543B"/>
    <w:rsid w:val="009D5455"/>
    <w:rsid w:val="009D5748"/>
    <w:rsid w:val="009D5DD2"/>
    <w:rsid w:val="009D5ED2"/>
    <w:rsid w:val="009D5EFD"/>
    <w:rsid w:val="009D62F5"/>
    <w:rsid w:val="009D65A7"/>
    <w:rsid w:val="009D6679"/>
    <w:rsid w:val="009D671F"/>
    <w:rsid w:val="009D692B"/>
    <w:rsid w:val="009D6E18"/>
    <w:rsid w:val="009D6F7E"/>
    <w:rsid w:val="009D79F4"/>
    <w:rsid w:val="009D7EAF"/>
    <w:rsid w:val="009D7F79"/>
    <w:rsid w:val="009D7FBD"/>
    <w:rsid w:val="009E0117"/>
    <w:rsid w:val="009E02D6"/>
    <w:rsid w:val="009E0362"/>
    <w:rsid w:val="009E056F"/>
    <w:rsid w:val="009E057D"/>
    <w:rsid w:val="009E0588"/>
    <w:rsid w:val="009E073E"/>
    <w:rsid w:val="009E095D"/>
    <w:rsid w:val="009E0A8B"/>
    <w:rsid w:val="009E0BFF"/>
    <w:rsid w:val="009E0D34"/>
    <w:rsid w:val="009E0DE4"/>
    <w:rsid w:val="009E0E92"/>
    <w:rsid w:val="009E10A9"/>
    <w:rsid w:val="009E1182"/>
    <w:rsid w:val="009E185A"/>
    <w:rsid w:val="009E192D"/>
    <w:rsid w:val="009E1A04"/>
    <w:rsid w:val="009E1B24"/>
    <w:rsid w:val="009E1F61"/>
    <w:rsid w:val="009E2275"/>
    <w:rsid w:val="009E25ED"/>
    <w:rsid w:val="009E261A"/>
    <w:rsid w:val="009E2702"/>
    <w:rsid w:val="009E2BC3"/>
    <w:rsid w:val="009E2FC3"/>
    <w:rsid w:val="009E31BA"/>
    <w:rsid w:val="009E34AD"/>
    <w:rsid w:val="009E355A"/>
    <w:rsid w:val="009E3599"/>
    <w:rsid w:val="009E3624"/>
    <w:rsid w:val="009E3661"/>
    <w:rsid w:val="009E3A73"/>
    <w:rsid w:val="009E3A7E"/>
    <w:rsid w:val="009E3D56"/>
    <w:rsid w:val="009E3E8B"/>
    <w:rsid w:val="009E40C8"/>
    <w:rsid w:val="009E4166"/>
    <w:rsid w:val="009E41A5"/>
    <w:rsid w:val="009E45D5"/>
    <w:rsid w:val="009E48AD"/>
    <w:rsid w:val="009E4B30"/>
    <w:rsid w:val="009E4DA9"/>
    <w:rsid w:val="009E4E39"/>
    <w:rsid w:val="009E507A"/>
    <w:rsid w:val="009E50F4"/>
    <w:rsid w:val="009E53C3"/>
    <w:rsid w:val="009E5400"/>
    <w:rsid w:val="009E54BB"/>
    <w:rsid w:val="009E54D2"/>
    <w:rsid w:val="009E5593"/>
    <w:rsid w:val="009E572F"/>
    <w:rsid w:val="009E5A1F"/>
    <w:rsid w:val="009E5A68"/>
    <w:rsid w:val="009E5AAC"/>
    <w:rsid w:val="009E5DA9"/>
    <w:rsid w:val="009E6442"/>
    <w:rsid w:val="009E65BA"/>
    <w:rsid w:val="009E6839"/>
    <w:rsid w:val="009E6B35"/>
    <w:rsid w:val="009E6BB1"/>
    <w:rsid w:val="009E7400"/>
    <w:rsid w:val="009E7455"/>
    <w:rsid w:val="009E7605"/>
    <w:rsid w:val="009E77B5"/>
    <w:rsid w:val="009E7881"/>
    <w:rsid w:val="009E7996"/>
    <w:rsid w:val="009E7D4B"/>
    <w:rsid w:val="009E7E57"/>
    <w:rsid w:val="009F00B0"/>
    <w:rsid w:val="009F0367"/>
    <w:rsid w:val="009F0BD9"/>
    <w:rsid w:val="009F0BFB"/>
    <w:rsid w:val="009F0C26"/>
    <w:rsid w:val="009F0D9A"/>
    <w:rsid w:val="009F0EA7"/>
    <w:rsid w:val="009F102A"/>
    <w:rsid w:val="009F10B5"/>
    <w:rsid w:val="009F1115"/>
    <w:rsid w:val="009F11CB"/>
    <w:rsid w:val="009F137B"/>
    <w:rsid w:val="009F14E2"/>
    <w:rsid w:val="009F15FD"/>
    <w:rsid w:val="009F168F"/>
    <w:rsid w:val="009F1762"/>
    <w:rsid w:val="009F1825"/>
    <w:rsid w:val="009F1887"/>
    <w:rsid w:val="009F1AAB"/>
    <w:rsid w:val="009F1BB4"/>
    <w:rsid w:val="009F1BB7"/>
    <w:rsid w:val="009F1EDF"/>
    <w:rsid w:val="009F1FCB"/>
    <w:rsid w:val="009F20AC"/>
    <w:rsid w:val="009F249E"/>
    <w:rsid w:val="009F2627"/>
    <w:rsid w:val="009F2909"/>
    <w:rsid w:val="009F29FE"/>
    <w:rsid w:val="009F3032"/>
    <w:rsid w:val="009F30C0"/>
    <w:rsid w:val="009F33E2"/>
    <w:rsid w:val="009F33E9"/>
    <w:rsid w:val="009F348C"/>
    <w:rsid w:val="009F35B8"/>
    <w:rsid w:val="009F37F7"/>
    <w:rsid w:val="009F38BD"/>
    <w:rsid w:val="009F3919"/>
    <w:rsid w:val="009F3A85"/>
    <w:rsid w:val="009F3DE4"/>
    <w:rsid w:val="009F3E0E"/>
    <w:rsid w:val="009F3FB1"/>
    <w:rsid w:val="009F42DD"/>
    <w:rsid w:val="009F4485"/>
    <w:rsid w:val="009F4704"/>
    <w:rsid w:val="009F4836"/>
    <w:rsid w:val="009F4895"/>
    <w:rsid w:val="009F4A9D"/>
    <w:rsid w:val="009F5209"/>
    <w:rsid w:val="009F525A"/>
    <w:rsid w:val="009F5288"/>
    <w:rsid w:val="009F535F"/>
    <w:rsid w:val="009F5407"/>
    <w:rsid w:val="009F546B"/>
    <w:rsid w:val="009F5734"/>
    <w:rsid w:val="009F58D6"/>
    <w:rsid w:val="009F5946"/>
    <w:rsid w:val="009F5AB6"/>
    <w:rsid w:val="009F600D"/>
    <w:rsid w:val="009F61BC"/>
    <w:rsid w:val="009F6264"/>
    <w:rsid w:val="009F6274"/>
    <w:rsid w:val="009F635F"/>
    <w:rsid w:val="009F6555"/>
    <w:rsid w:val="009F655C"/>
    <w:rsid w:val="009F6852"/>
    <w:rsid w:val="009F6985"/>
    <w:rsid w:val="009F6AF4"/>
    <w:rsid w:val="009F6F60"/>
    <w:rsid w:val="009F700D"/>
    <w:rsid w:val="009F7155"/>
    <w:rsid w:val="009F72F7"/>
    <w:rsid w:val="009F730C"/>
    <w:rsid w:val="009F73E6"/>
    <w:rsid w:val="009F74B7"/>
    <w:rsid w:val="009F75DC"/>
    <w:rsid w:val="009F760D"/>
    <w:rsid w:val="009F7651"/>
    <w:rsid w:val="009F767A"/>
    <w:rsid w:val="009F7959"/>
    <w:rsid w:val="009F7C66"/>
    <w:rsid w:val="009F7EA6"/>
    <w:rsid w:val="00A0005B"/>
    <w:rsid w:val="00A006D4"/>
    <w:rsid w:val="00A00802"/>
    <w:rsid w:val="00A009CE"/>
    <w:rsid w:val="00A00B81"/>
    <w:rsid w:val="00A00BAC"/>
    <w:rsid w:val="00A00F67"/>
    <w:rsid w:val="00A01064"/>
    <w:rsid w:val="00A01397"/>
    <w:rsid w:val="00A017C6"/>
    <w:rsid w:val="00A017F7"/>
    <w:rsid w:val="00A01AED"/>
    <w:rsid w:val="00A01E66"/>
    <w:rsid w:val="00A01E7B"/>
    <w:rsid w:val="00A02169"/>
    <w:rsid w:val="00A02241"/>
    <w:rsid w:val="00A023E9"/>
    <w:rsid w:val="00A025B3"/>
    <w:rsid w:val="00A025E3"/>
    <w:rsid w:val="00A02722"/>
    <w:rsid w:val="00A028D4"/>
    <w:rsid w:val="00A02920"/>
    <w:rsid w:val="00A02A97"/>
    <w:rsid w:val="00A02B3B"/>
    <w:rsid w:val="00A02EFF"/>
    <w:rsid w:val="00A02FA6"/>
    <w:rsid w:val="00A0311B"/>
    <w:rsid w:val="00A0321D"/>
    <w:rsid w:val="00A03497"/>
    <w:rsid w:val="00A03520"/>
    <w:rsid w:val="00A0372E"/>
    <w:rsid w:val="00A03756"/>
    <w:rsid w:val="00A038EE"/>
    <w:rsid w:val="00A03A30"/>
    <w:rsid w:val="00A03A33"/>
    <w:rsid w:val="00A03AB2"/>
    <w:rsid w:val="00A03B96"/>
    <w:rsid w:val="00A03C8C"/>
    <w:rsid w:val="00A03CFA"/>
    <w:rsid w:val="00A03F8D"/>
    <w:rsid w:val="00A0427C"/>
    <w:rsid w:val="00A04396"/>
    <w:rsid w:val="00A04A25"/>
    <w:rsid w:val="00A04B35"/>
    <w:rsid w:val="00A04E01"/>
    <w:rsid w:val="00A04EF0"/>
    <w:rsid w:val="00A04FCF"/>
    <w:rsid w:val="00A05010"/>
    <w:rsid w:val="00A05321"/>
    <w:rsid w:val="00A056B4"/>
    <w:rsid w:val="00A05724"/>
    <w:rsid w:val="00A0579B"/>
    <w:rsid w:val="00A0599E"/>
    <w:rsid w:val="00A060FD"/>
    <w:rsid w:val="00A062F7"/>
    <w:rsid w:val="00A062FD"/>
    <w:rsid w:val="00A06510"/>
    <w:rsid w:val="00A06904"/>
    <w:rsid w:val="00A06A64"/>
    <w:rsid w:val="00A06BF6"/>
    <w:rsid w:val="00A06C78"/>
    <w:rsid w:val="00A06CE7"/>
    <w:rsid w:val="00A06E23"/>
    <w:rsid w:val="00A070CB"/>
    <w:rsid w:val="00A07C72"/>
    <w:rsid w:val="00A07CEE"/>
    <w:rsid w:val="00A07D24"/>
    <w:rsid w:val="00A07ED6"/>
    <w:rsid w:val="00A07EEB"/>
    <w:rsid w:val="00A101C0"/>
    <w:rsid w:val="00A10484"/>
    <w:rsid w:val="00A10774"/>
    <w:rsid w:val="00A10A3D"/>
    <w:rsid w:val="00A10A7E"/>
    <w:rsid w:val="00A10A91"/>
    <w:rsid w:val="00A10D3B"/>
    <w:rsid w:val="00A10D7C"/>
    <w:rsid w:val="00A1163A"/>
    <w:rsid w:val="00A11677"/>
    <w:rsid w:val="00A118EF"/>
    <w:rsid w:val="00A11AE8"/>
    <w:rsid w:val="00A11CB4"/>
    <w:rsid w:val="00A11E51"/>
    <w:rsid w:val="00A12293"/>
    <w:rsid w:val="00A12472"/>
    <w:rsid w:val="00A126AC"/>
    <w:rsid w:val="00A126D8"/>
    <w:rsid w:val="00A12814"/>
    <w:rsid w:val="00A1288C"/>
    <w:rsid w:val="00A12909"/>
    <w:rsid w:val="00A12912"/>
    <w:rsid w:val="00A12A3D"/>
    <w:rsid w:val="00A13072"/>
    <w:rsid w:val="00A13093"/>
    <w:rsid w:val="00A13157"/>
    <w:rsid w:val="00A1319D"/>
    <w:rsid w:val="00A13217"/>
    <w:rsid w:val="00A13731"/>
    <w:rsid w:val="00A1388D"/>
    <w:rsid w:val="00A13BF6"/>
    <w:rsid w:val="00A13D10"/>
    <w:rsid w:val="00A13E0F"/>
    <w:rsid w:val="00A13E6F"/>
    <w:rsid w:val="00A1401B"/>
    <w:rsid w:val="00A140CA"/>
    <w:rsid w:val="00A14341"/>
    <w:rsid w:val="00A14361"/>
    <w:rsid w:val="00A14387"/>
    <w:rsid w:val="00A143B8"/>
    <w:rsid w:val="00A146AB"/>
    <w:rsid w:val="00A146BB"/>
    <w:rsid w:val="00A14782"/>
    <w:rsid w:val="00A14946"/>
    <w:rsid w:val="00A149E7"/>
    <w:rsid w:val="00A14A24"/>
    <w:rsid w:val="00A14B91"/>
    <w:rsid w:val="00A14BEA"/>
    <w:rsid w:val="00A14C36"/>
    <w:rsid w:val="00A14C41"/>
    <w:rsid w:val="00A14E22"/>
    <w:rsid w:val="00A14ED6"/>
    <w:rsid w:val="00A15282"/>
    <w:rsid w:val="00A15805"/>
    <w:rsid w:val="00A1599F"/>
    <w:rsid w:val="00A159F1"/>
    <w:rsid w:val="00A15A81"/>
    <w:rsid w:val="00A15A82"/>
    <w:rsid w:val="00A15DE6"/>
    <w:rsid w:val="00A16296"/>
    <w:rsid w:val="00A16455"/>
    <w:rsid w:val="00A16458"/>
    <w:rsid w:val="00A16605"/>
    <w:rsid w:val="00A166C1"/>
    <w:rsid w:val="00A167A2"/>
    <w:rsid w:val="00A167DB"/>
    <w:rsid w:val="00A16BE2"/>
    <w:rsid w:val="00A16D27"/>
    <w:rsid w:val="00A16EB7"/>
    <w:rsid w:val="00A1722F"/>
    <w:rsid w:val="00A17326"/>
    <w:rsid w:val="00A175E2"/>
    <w:rsid w:val="00A176C1"/>
    <w:rsid w:val="00A176EE"/>
    <w:rsid w:val="00A17999"/>
    <w:rsid w:val="00A17E68"/>
    <w:rsid w:val="00A20049"/>
    <w:rsid w:val="00A200CB"/>
    <w:rsid w:val="00A20224"/>
    <w:rsid w:val="00A20249"/>
    <w:rsid w:val="00A204E3"/>
    <w:rsid w:val="00A20544"/>
    <w:rsid w:val="00A20654"/>
    <w:rsid w:val="00A20C03"/>
    <w:rsid w:val="00A20E08"/>
    <w:rsid w:val="00A21A1B"/>
    <w:rsid w:val="00A21CB3"/>
    <w:rsid w:val="00A21F71"/>
    <w:rsid w:val="00A2225C"/>
    <w:rsid w:val="00A2234B"/>
    <w:rsid w:val="00A228BA"/>
    <w:rsid w:val="00A2292E"/>
    <w:rsid w:val="00A22BB0"/>
    <w:rsid w:val="00A22C62"/>
    <w:rsid w:val="00A22CC7"/>
    <w:rsid w:val="00A230CC"/>
    <w:rsid w:val="00A23163"/>
    <w:rsid w:val="00A232D6"/>
    <w:rsid w:val="00A236F9"/>
    <w:rsid w:val="00A23745"/>
    <w:rsid w:val="00A239DA"/>
    <w:rsid w:val="00A23A53"/>
    <w:rsid w:val="00A23C4B"/>
    <w:rsid w:val="00A23CB6"/>
    <w:rsid w:val="00A23E18"/>
    <w:rsid w:val="00A23ED8"/>
    <w:rsid w:val="00A24002"/>
    <w:rsid w:val="00A24017"/>
    <w:rsid w:val="00A2401D"/>
    <w:rsid w:val="00A2431B"/>
    <w:rsid w:val="00A24DB6"/>
    <w:rsid w:val="00A24E47"/>
    <w:rsid w:val="00A24F12"/>
    <w:rsid w:val="00A2502F"/>
    <w:rsid w:val="00A2519D"/>
    <w:rsid w:val="00A252AC"/>
    <w:rsid w:val="00A2553F"/>
    <w:rsid w:val="00A25547"/>
    <w:rsid w:val="00A2582C"/>
    <w:rsid w:val="00A25A37"/>
    <w:rsid w:val="00A25B00"/>
    <w:rsid w:val="00A25F54"/>
    <w:rsid w:val="00A25F8B"/>
    <w:rsid w:val="00A2601C"/>
    <w:rsid w:val="00A26895"/>
    <w:rsid w:val="00A2693C"/>
    <w:rsid w:val="00A26B37"/>
    <w:rsid w:val="00A26B7E"/>
    <w:rsid w:val="00A26E5B"/>
    <w:rsid w:val="00A27287"/>
    <w:rsid w:val="00A2739E"/>
    <w:rsid w:val="00A276BE"/>
    <w:rsid w:val="00A2777E"/>
    <w:rsid w:val="00A279C6"/>
    <w:rsid w:val="00A27AB7"/>
    <w:rsid w:val="00A27D97"/>
    <w:rsid w:val="00A30890"/>
    <w:rsid w:val="00A30A3B"/>
    <w:rsid w:val="00A30A4E"/>
    <w:rsid w:val="00A30B36"/>
    <w:rsid w:val="00A30B6E"/>
    <w:rsid w:val="00A31136"/>
    <w:rsid w:val="00A311D9"/>
    <w:rsid w:val="00A3140D"/>
    <w:rsid w:val="00A3141D"/>
    <w:rsid w:val="00A3146F"/>
    <w:rsid w:val="00A31575"/>
    <w:rsid w:val="00A31607"/>
    <w:rsid w:val="00A31651"/>
    <w:rsid w:val="00A319BB"/>
    <w:rsid w:val="00A31A3A"/>
    <w:rsid w:val="00A31AE7"/>
    <w:rsid w:val="00A31CD5"/>
    <w:rsid w:val="00A31D8A"/>
    <w:rsid w:val="00A31F4E"/>
    <w:rsid w:val="00A3202C"/>
    <w:rsid w:val="00A3220B"/>
    <w:rsid w:val="00A32514"/>
    <w:rsid w:val="00A32DC7"/>
    <w:rsid w:val="00A32F36"/>
    <w:rsid w:val="00A3321B"/>
    <w:rsid w:val="00A3345A"/>
    <w:rsid w:val="00A337F0"/>
    <w:rsid w:val="00A339AB"/>
    <w:rsid w:val="00A33AB2"/>
    <w:rsid w:val="00A33F14"/>
    <w:rsid w:val="00A34025"/>
    <w:rsid w:val="00A34AFB"/>
    <w:rsid w:val="00A353DF"/>
    <w:rsid w:val="00A354C8"/>
    <w:rsid w:val="00A35566"/>
    <w:rsid w:val="00A35A0C"/>
    <w:rsid w:val="00A35A5A"/>
    <w:rsid w:val="00A35B38"/>
    <w:rsid w:val="00A35E68"/>
    <w:rsid w:val="00A36387"/>
    <w:rsid w:val="00A364EC"/>
    <w:rsid w:val="00A3651D"/>
    <w:rsid w:val="00A36879"/>
    <w:rsid w:val="00A36A12"/>
    <w:rsid w:val="00A36FB0"/>
    <w:rsid w:val="00A36FE8"/>
    <w:rsid w:val="00A3708D"/>
    <w:rsid w:val="00A37258"/>
    <w:rsid w:val="00A374A0"/>
    <w:rsid w:val="00A3757D"/>
    <w:rsid w:val="00A37860"/>
    <w:rsid w:val="00A37A6D"/>
    <w:rsid w:val="00A37AAA"/>
    <w:rsid w:val="00A37DAE"/>
    <w:rsid w:val="00A37EBB"/>
    <w:rsid w:val="00A37ED8"/>
    <w:rsid w:val="00A37FC6"/>
    <w:rsid w:val="00A37FCE"/>
    <w:rsid w:val="00A402B0"/>
    <w:rsid w:val="00A4044D"/>
    <w:rsid w:val="00A404F2"/>
    <w:rsid w:val="00A4058F"/>
    <w:rsid w:val="00A405FD"/>
    <w:rsid w:val="00A407A7"/>
    <w:rsid w:val="00A4088D"/>
    <w:rsid w:val="00A40B30"/>
    <w:rsid w:val="00A40BB7"/>
    <w:rsid w:val="00A40BDE"/>
    <w:rsid w:val="00A40C86"/>
    <w:rsid w:val="00A40DCB"/>
    <w:rsid w:val="00A40DF5"/>
    <w:rsid w:val="00A40E24"/>
    <w:rsid w:val="00A40E30"/>
    <w:rsid w:val="00A40F0B"/>
    <w:rsid w:val="00A40F0E"/>
    <w:rsid w:val="00A41372"/>
    <w:rsid w:val="00A417C3"/>
    <w:rsid w:val="00A41864"/>
    <w:rsid w:val="00A418F7"/>
    <w:rsid w:val="00A41BD2"/>
    <w:rsid w:val="00A41BF3"/>
    <w:rsid w:val="00A41DC7"/>
    <w:rsid w:val="00A41DE2"/>
    <w:rsid w:val="00A41FBA"/>
    <w:rsid w:val="00A42385"/>
    <w:rsid w:val="00A42587"/>
    <w:rsid w:val="00A4267B"/>
    <w:rsid w:val="00A427AE"/>
    <w:rsid w:val="00A428ED"/>
    <w:rsid w:val="00A42A2B"/>
    <w:rsid w:val="00A42AAD"/>
    <w:rsid w:val="00A42CBD"/>
    <w:rsid w:val="00A42E3A"/>
    <w:rsid w:val="00A43213"/>
    <w:rsid w:val="00A43460"/>
    <w:rsid w:val="00A4356B"/>
    <w:rsid w:val="00A43795"/>
    <w:rsid w:val="00A43830"/>
    <w:rsid w:val="00A438EA"/>
    <w:rsid w:val="00A43BE9"/>
    <w:rsid w:val="00A444BF"/>
    <w:rsid w:val="00A446A6"/>
    <w:rsid w:val="00A44719"/>
    <w:rsid w:val="00A447A2"/>
    <w:rsid w:val="00A44BD3"/>
    <w:rsid w:val="00A44DDF"/>
    <w:rsid w:val="00A44EE8"/>
    <w:rsid w:val="00A44F83"/>
    <w:rsid w:val="00A44FCD"/>
    <w:rsid w:val="00A44FE5"/>
    <w:rsid w:val="00A45841"/>
    <w:rsid w:val="00A4586A"/>
    <w:rsid w:val="00A459F2"/>
    <w:rsid w:val="00A45AB2"/>
    <w:rsid w:val="00A45D66"/>
    <w:rsid w:val="00A45F18"/>
    <w:rsid w:val="00A461AB"/>
    <w:rsid w:val="00A4648C"/>
    <w:rsid w:val="00A466B9"/>
    <w:rsid w:val="00A46737"/>
    <w:rsid w:val="00A4680B"/>
    <w:rsid w:val="00A468C8"/>
    <w:rsid w:val="00A46B0F"/>
    <w:rsid w:val="00A46CAF"/>
    <w:rsid w:val="00A46DB4"/>
    <w:rsid w:val="00A476B8"/>
    <w:rsid w:val="00A47BF5"/>
    <w:rsid w:val="00A47EA0"/>
    <w:rsid w:val="00A50082"/>
    <w:rsid w:val="00A5018B"/>
    <w:rsid w:val="00A50262"/>
    <w:rsid w:val="00A5032C"/>
    <w:rsid w:val="00A509E8"/>
    <w:rsid w:val="00A50A0B"/>
    <w:rsid w:val="00A50BC8"/>
    <w:rsid w:val="00A50CA4"/>
    <w:rsid w:val="00A5110D"/>
    <w:rsid w:val="00A51162"/>
    <w:rsid w:val="00A518D9"/>
    <w:rsid w:val="00A51989"/>
    <w:rsid w:val="00A51C62"/>
    <w:rsid w:val="00A51D8F"/>
    <w:rsid w:val="00A51F15"/>
    <w:rsid w:val="00A521AE"/>
    <w:rsid w:val="00A52271"/>
    <w:rsid w:val="00A529FF"/>
    <w:rsid w:val="00A52A58"/>
    <w:rsid w:val="00A52A71"/>
    <w:rsid w:val="00A52AC4"/>
    <w:rsid w:val="00A52ADE"/>
    <w:rsid w:val="00A52B6F"/>
    <w:rsid w:val="00A52C23"/>
    <w:rsid w:val="00A52D60"/>
    <w:rsid w:val="00A52D84"/>
    <w:rsid w:val="00A52E56"/>
    <w:rsid w:val="00A52ECD"/>
    <w:rsid w:val="00A5339C"/>
    <w:rsid w:val="00A533FE"/>
    <w:rsid w:val="00A53427"/>
    <w:rsid w:val="00A5387E"/>
    <w:rsid w:val="00A53959"/>
    <w:rsid w:val="00A53CCA"/>
    <w:rsid w:val="00A53EBC"/>
    <w:rsid w:val="00A54054"/>
    <w:rsid w:val="00A5447A"/>
    <w:rsid w:val="00A54641"/>
    <w:rsid w:val="00A54B27"/>
    <w:rsid w:val="00A5503F"/>
    <w:rsid w:val="00A5505C"/>
    <w:rsid w:val="00A5505E"/>
    <w:rsid w:val="00A551EF"/>
    <w:rsid w:val="00A5531B"/>
    <w:rsid w:val="00A55608"/>
    <w:rsid w:val="00A558E4"/>
    <w:rsid w:val="00A55923"/>
    <w:rsid w:val="00A55FC7"/>
    <w:rsid w:val="00A5624E"/>
    <w:rsid w:val="00A56291"/>
    <w:rsid w:val="00A5660A"/>
    <w:rsid w:val="00A56766"/>
    <w:rsid w:val="00A56933"/>
    <w:rsid w:val="00A56A6D"/>
    <w:rsid w:val="00A56BB0"/>
    <w:rsid w:val="00A56C04"/>
    <w:rsid w:val="00A56E78"/>
    <w:rsid w:val="00A56F7C"/>
    <w:rsid w:val="00A5705E"/>
    <w:rsid w:val="00A57080"/>
    <w:rsid w:val="00A570BC"/>
    <w:rsid w:val="00A5742B"/>
    <w:rsid w:val="00A577F1"/>
    <w:rsid w:val="00A5782A"/>
    <w:rsid w:val="00A5794E"/>
    <w:rsid w:val="00A57983"/>
    <w:rsid w:val="00A579BB"/>
    <w:rsid w:val="00A57D7D"/>
    <w:rsid w:val="00A603E2"/>
    <w:rsid w:val="00A606D3"/>
    <w:rsid w:val="00A60A25"/>
    <w:rsid w:val="00A60C7D"/>
    <w:rsid w:val="00A60D5D"/>
    <w:rsid w:val="00A60D6B"/>
    <w:rsid w:val="00A6112F"/>
    <w:rsid w:val="00A6116D"/>
    <w:rsid w:val="00A61223"/>
    <w:rsid w:val="00A615C3"/>
    <w:rsid w:val="00A616CB"/>
    <w:rsid w:val="00A618C7"/>
    <w:rsid w:val="00A61920"/>
    <w:rsid w:val="00A61996"/>
    <w:rsid w:val="00A61EFF"/>
    <w:rsid w:val="00A62249"/>
    <w:rsid w:val="00A622C7"/>
    <w:rsid w:val="00A6260C"/>
    <w:rsid w:val="00A62924"/>
    <w:rsid w:val="00A62962"/>
    <w:rsid w:val="00A62AE6"/>
    <w:rsid w:val="00A62E93"/>
    <w:rsid w:val="00A62EE7"/>
    <w:rsid w:val="00A631EA"/>
    <w:rsid w:val="00A6347B"/>
    <w:rsid w:val="00A63BF4"/>
    <w:rsid w:val="00A63CA8"/>
    <w:rsid w:val="00A63DBA"/>
    <w:rsid w:val="00A641C5"/>
    <w:rsid w:val="00A64676"/>
    <w:rsid w:val="00A646B4"/>
    <w:rsid w:val="00A646E4"/>
    <w:rsid w:val="00A646F1"/>
    <w:rsid w:val="00A646FB"/>
    <w:rsid w:val="00A648FC"/>
    <w:rsid w:val="00A64A15"/>
    <w:rsid w:val="00A64C3E"/>
    <w:rsid w:val="00A64ED5"/>
    <w:rsid w:val="00A6508A"/>
    <w:rsid w:val="00A6510D"/>
    <w:rsid w:val="00A6516E"/>
    <w:rsid w:val="00A65235"/>
    <w:rsid w:val="00A6565E"/>
    <w:rsid w:val="00A65819"/>
    <w:rsid w:val="00A65DEE"/>
    <w:rsid w:val="00A66247"/>
    <w:rsid w:val="00A667D9"/>
    <w:rsid w:val="00A66946"/>
    <w:rsid w:val="00A66ADD"/>
    <w:rsid w:val="00A66AF5"/>
    <w:rsid w:val="00A66E10"/>
    <w:rsid w:val="00A67357"/>
    <w:rsid w:val="00A673E7"/>
    <w:rsid w:val="00A67635"/>
    <w:rsid w:val="00A676F5"/>
    <w:rsid w:val="00A6791F"/>
    <w:rsid w:val="00A6794A"/>
    <w:rsid w:val="00A67961"/>
    <w:rsid w:val="00A67D7A"/>
    <w:rsid w:val="00A67D90"/>
    <w:rsid w:val="00A67E22"/>
    <w:rsid w:val="00A707A7"/>
    <w:rsid w:val="00A707F1"/>
    <w:rsid w:val="00A70C9C"/>
    <w:rsid w:val="00A70DB5"/>
    <w:rsid w:val="00A710EA"/>
    <w:rsid w:val="00A71189"/>
    <w:rsid w:val="00A7130D"/>
    <w:rsid w:val="00A713D5"/>
    <w:rsid w:val="00A7144C"/>
    <w:rsid w:val="00A71540"/>
    <w:rsid w:val="00A71AB6"/>
    <w:rsid w:val="00A71C60"/>
    <w:rsid w:val="00A71D58"/>
    <w:rsid w:val="00A723FE"/>
    <w:rsid w:val="00A724A8"/>
    <w:rsid w:val="00A72875"/>
    <w:rsid w:val="00A728C8"/>
    <w:rsid w:val="00A72B65"/>
    <w:rsid w:val="00A72CE3"/>
    <w:rsid w:val="00A72F8C"/>
    <w:rsid w:val="00A73141"/>
    <w:rsid w:val="00A739F5"/>
    <w:rsid w:val="00A73A84"/>
    <w:rsid w:val="00A73C42"/>
    <w:rsid w:val="00A73E38"/>
    <w:rsid w:val="00A74117"/>
    <w:rsid w:val="00A7418D"/>
    <w:rsid w:val="00A74300"/>
    <w:rsid w:val="00A744B8"/>
    <w:rsid w:val="00A744F3"/>
    <w:rsid w:val="00A74DD4"/>
    <w:rsid w:val="00A75319"/>
    <w:rsid w:val="00A75442"/>
    <w:rsid w:val="00A75901"/>
    <w:rsid w:val="00A760E3"/>
    <w:rsid w:val="00A76229"/>
    <w:rsid w:val="00A7676D"/>
    <w:rsid w:val="00A76B96"/>
    <w:rsid w:val="00A76E67"/>
    <w:rsid w:val="00A76FE7"/>
    <w:rsid w:val="00A77058"/>
    <w:rsid w:val="00A771AF"/>
    <w:rsid w:val="00A77216"/>
    <w:rsid w:val="00A7723F"/>
    <w:rsid w:val="00A772E8"/>
    <w:rsid w:val="00A77366"/>
    <w:rsid w:val="00A775FE"/>
    <w:rsid w:val="00A777FC"/>
    <w:rsid w:val="00A77A93"/>
    <w:rsid w:val="00A77B6D"/>
    <w:rsid w:val="00A77C53"/>
    <w:rsid w:val="00A77CD4"/>
    <w:rsid w:val="00A77F3D"/>
    <w:rsid w:val="00A80246"/>
    <w:rsid w:val="00A8045C"/>
    <w:rsid w:val="00A804FF"/>
    <w:rsid w:val="00A80745"/>
    <w:rsid w:val="00A80933"/>
    <w:rsid w:val="00A80A4B"/>
    <w:rsid w:val="00A80B1D"/>
    <w:rsid w:val="00A80CAF"/>
    <w:rsid w:val="00A80E86"/>
    <w:rsid w:val="00A810EC"/>
    <w:rsid w:val="00A812F6"/>
    <w:rsid w:val="00A8143C"/>
    <w:rsid w:val="00A81544"/>
    <w:rsid w:val="00A8201D"/>
    <w:rsid w:val="00A824BA"/>
    <w:rsid w:val="00A824C0"/>
    <w:rsid w:val="00A82B41"/>
    <w:rsid w:val="00A82BAD"/>
    <w:rsid w:val="00A82BE1"/>
    <w:rsid w:val="00A82F3F"/>
    <w:rsid w:val="00A8313B"/>
    <w:rsid w:val="00A831A3"/>
    <w:rsid w:val="00A8343F"/>
    <w:rsid w:val="00A83769"/>
    <w:rsid w:val="00A837F2"/>
    <w:rsid w:val="00A8384E"/>
    <w:rsid w:val="00A83BC0"/>
    <w:rsid w:val="00A83D00"/>
    <w:rsid w:val="00A83E35"/>
    <w:rsid w:val="00A83EE4"/>
    <w:rsid w:val="00A840CD"/>
    <w:rsid w:val="00A8440C"/>
    <w:rsid w:val="00A846B8"/>
    <w:rsid w:val="00A84766"/>
    <w:rsid w:val="00A84957"/>
    <w:rsid w:val="00A84A97"/>
    <w:rsid w:val="00A84D9E"/>
    <w:rsid w:val="00A84FE8"/>
    <w:rsid w:val="00A85222"/>
    <w:rsid w:val="00A857EB"/>
    <w:rsid w:val="00A858D0"/>
    <w:rsid w:val="00A85BB7"/>
    <w:rsid w:val="00A85CAF"/>
    <w:rsid w:val="00A85DDB"/>
    <w:rsid w:val="00A85F20"/>
    <w:rsid w:val="00A86153"/>
    <w:rsid w:val="00A86489"/>
    <w:rsid w:val="00A864F7"/>
    <w:rsid w:val="00A866A6"/>
    <w:rsid w:val="00A869A5"/>
    <w:rsid w:val="00A86BAF"/>
    <w:rsid w:val="00A86E07"/>
    <w:rsid w:val="00A87B67"/>
    <w:rsid w:val="00A87C7D"/>
    <w:rsid w:val="00A900C8"/>
    <w:rsid w:val="00A90653"/>
    <w:rsid w:val="00A9069C"/>
    <w:rsid w:val="00A90A5D"/>
    <w:rsid w:val="00A91123"/>
    <w:rsid w:val="00A9133E"/>
    <w:rsid w:val="00A91477"/>
    <w:rsid w:val="00A9151F"/>
    <w:rsid w:val="00A91AFC"/>
    <w:rsid w:val="00A91CEA"/>
    <w:rsid w:val="00A92050"/>
    <w:rsid w:val="00A92063"/>
    <w:rsid w:val="00A92108"/>
    <w:rsid w:val="00A92255"/>
    <w:rsid w:val="00A925A5"/>
    <w:rsid w:val="00A928D3"/>
    <w:rsid w:val="00A9299C"/>
    <w:rsid w:val="00A929FE"/>
    <w:rsid w:val="00A92A60"/>
    <w:rsid w:val="00A92B31"/>
    <w:rsid w:val="00A92CEB"/>
    <w:rsid w:val="00A92F18"/>
    <w:rsid w:val="00A92F1B"/>
    <w:rsid w:val="00A92F34"/>
    <w:rsid w:val="00A92F46"/>
    <w:rsid w:val="00A935B7"/>
    <w:rsid w:val="00A93C5B"/>
    <w:rsid w:val="00A93E8A"/>
    <w:rsid w:val="00A93F7F"/>
    <w:rsid w:val="00A94222"/>
    <w:rsid w:val="00A94581"/>
    <w:rsid w:val="00A94C70"/>
    <w:rsid w:val="00A94DBC"/>
    <w:rsid w:val="00A94DE8"/>
    <w:rsid w:val="00A94F07"/>
    <w:rsid w:val="00A95008"/>
    <w:rsid w:val="00A953A8"/>
    <w:rsid w:val="00A95499"/>
    <w:rsid w:val="00A95591"/>
    <w:rsid w:val="00A955C7"/>
    <w:rsid w:val="00A95638"/>
    <w:rsid w:val="00A957A6"/>
    <w:rsid w:val="00A958FF"/>
    <w:rsid w:val="00A95936"/>
    <w:rsid w:val="00A959F4"/>
    <w:rsid w:val="00A95A2C"/>
    <w:rsid w:val="00A95A74"/>
    <w:rsid w:val="00A95CB2"/>
    <w:rsid w:val="00A96195"/>
    <w:rsid w:val="00A961F0"/>
    <w:rsid w:val="00A964B5"/>
    <w:rsid w:val="00A96640"/>
    <w:rsid w:val="00A966E6"/>
    <w:rsid w:val="00A96807"/>
    <w:rsid w:val="00A96917"/>
    <w:rsid w:val="00A96961"/>
    <w:rsid w:val="00A969CD"/>
    <w:rsid w:val="00A96A80"/>
    <w:rsid w:val="00A96A81"/>
    <w:rsid w:val="00A96B49"/>
    <w:rsid w:val="00A96B67"/>
    <w:rsid w:val="00A96DEB"/>
    <w:rsid w:val="00A96E18"/>
    <w:rsid w:val="00A96FD5"/>
    <w:rsid w:val="00A97158"/>
    <w:rsid w:val="00A9722D"/>
    <w:rsid w:val="00A97714"/>
    <w:rsid w:val="00A97AB9"/>
    <w:rsid w:val="00A97C82"/>
    <w:rsid w:val="00A97F0F"/>
    <w:rsid w:val="00AA0045"/>
    <w:rsid w:val="00AA020E"/>
    <w:rsid w:val="00AA0236"/>
    <w:rsid w:val="00AA028E"/>
    <w:rsid w:val="00AA0383"/>
    <w:rsid w:val="00AA052B"/>
    <w:rsid w:val="00AA0E9C"/>
    <w:rsid w:val="00AA0F3D"/>
    <w:rsid w:val="00AA0F3E"/>
    <w:rsid w:val="00AA1065"/>
    <w:rsid w:val="00AA106D"/>
    <w:rsid w:val="00AA1087"/>
    <w:rsid w:val="00AA1359"/>
    <w:rsid w:val="00AA1460"/>
    <w:rsid w:val="00AA152D"/>
    <w:rsid w:val="00AA15F5"/>
    <w:rsid w:val="00AA169D"/>
    <w:rsid w:val="00AA19CE"/>
    <w:rsid w:val="00AA1BBA"/>
    <w:rsid w:val="00AA1F1A"/>
    <w:rsid w:val="00AA1FD8"/>
    <w:rsid w:val="00AA22CC"/>
    <w:rsid w:val="00AA246E"/>
    <w:rsid w:val="00AA266A"/>
    <w:rsid w:val="00AA2681"/>
    <w:rsid w:val="00AA26CA"/>
    <w:rsid w:val="00AA2774"/>
    <w:rsid w:val="00AA278A"/>
    <w:rsid w:val="00AA29A5"/>
    <w:rsid w:val="00AA29AF"/>
    <w:rsid w:val="00AA29C5"/>
    <w:rsid w:val="00AA2A0A"/>
    <w:rsid w:val="00AA2CF1"/>
    <w:rsid w:val="00AA326C"/>
    <w:rsid w:val="00AA3441"/>
    <w:rsid w:val="00AA427A"/>
    <w:rsid w:val="00AA431B"/>
    <w:rsid w:val="00AA4372"/>
    <w:rsid w:val="00AA473C"/>
    <w:rsid w:val="00AA4759"/>
    <w:rsid w:val="00AA49A9"/>
    <w:rsid w:val="00AA4A6D"/>
    <w:rsid w:val="00AA4D91"/>
    <w:rsid w:val="00AA50EB"/>
    <w:rsid w:val="00AA51E2"/>
    <w:rsid w:val="00AA58D4"/>
    <w:rsid w:val="00AA5910"/>
    <w:rsid w:val="00AA59CF"/>
    <w:rsid w:val="00AA5B28"/>
    <w:rsid w:val="00AA5C5B"/>
    <w:rsid w:val="00AA5C95"/>
    <w:rsid w:val="00AA5FA8"/>
    <w:rsid w:val="00AA6190"/>
    <w:rsid w:val="00AA624C"/>
    <w:rsid w:val="00AA62F7"/>
    <w:rsid w:val="00AA62FE"/>
    <w:rsid w:val="00AA66BC"/>
    <w:rsid w:val="00AA680B"/>
    <w:rsid w:val="00AA6A37"/>
    <w:rsid w:val="00AA70F9"/>
    <w:rsid w:val="00AA71E9"/>
    <w:rsid w:val="00AA7327"/>
    <w:rsid w:val="00AA783E"/>
    <w:rsid w:val="00AA790E"/>
    <w:rsid w:val="00AA7987"/>
    <w:rsid w:val="00AA7B8C"/>
    <w:rsid w:val="00AA7BA0"/>
    <w:rsid w:val="00AA7C17"/>
    <w:rsid w:val="00AA7D98"/>
    <w:rsid w:val="00AA7DA1"/>
    <w:rsid w:val="00AA7E59"/>
    <w:rsid w:val="00AA7F04"/>
    <w:rsid w:val="00AA7F5A"/>
    <w:rsid w:val="00AB004D"/>
    <w:rsid w:val="00AB0051"/>
    <w:rsid w:val="00AB0069"/>
    <w:rsid w:val="00AB0189"/>
    <w:rsid w:val="00AB0315"/>
    <w:rsid w:val="00AB0344"/>
    <w:rsid w:val="00AB05BA"/>
    <w:rsid w:val="00AB07E0"/>
    <w:rsid w:val="00AB08B6"/>
    <w:rsid w:val="00AB0960"/>
    <w:rsid w:val="00AB0A5F"/>
    <w:rsid w:val="00AB0DD2"/>
    <w:rsid w:val="00AB1123"/>
    <w:rsid w:val="00AB1132"/>
    <w:rsid w:val="00AB123F"/>
    <w:rsid w:val="00AB12BF"/>
    <w:rsid w:val="00AB1B1C"/>
    <w:rsid w:val="00AB1BCC"/>
    <w:rsid w:val="00AB1CE5"/>
    <w:rsid w:val="00AB1F24"/>
    <w:rsid w:val="00AB222E"/>
    <w:rsid w:val="00AB24B3"/>
    <w:rsid w:val="00AB25E1"/>
    <w:rsid w:val="00AB2603"/>
    <w:rsid w:val="00AB262F"/>
    <w:rsid w:val="00AB2AE2"/>
    <w:rsid w:val="00AB2C3B"/>
    <w:rsid w:val="00AB2C9D"/>
    <w:rsid w:val="00AB2D06"/>
    <w:rsid w:val="00AB3088"/>
    <w:rsid w:val="00AB3300"/>
    <w:rsid w:val="00AB362A"/>
    <w:rsid w:val="00AB38D2"/>
    <w:rsid w:val="00AB3976"/>
    <w:rsid w:val="00AB3A18"/>
    <w:rsid w:val="00AB3B2E"/>
    <w:rsid w:val="00AB3C01"/>
    <w:rsid w:val="00AB3C36"/>
    <w:rsid w:val="00AB3CB7"/>
    <w:rsid w:val="00AB3FB9"/>
    <w:rsid w:val="00AB4116"/>
    <w:rsid w:val="00AB467F"/>
    <w:rsid w:val="00AB46E8"/>
    <w:rsid w:val="00AB47F1"/>
    <w:rsid w:val="00AB4944"/>
    <w:rsid w:val="00AB4A19"/>
    <w:rsid w:val="00AB4EEB"/>
    <w:rsid w:val="00AB5307"/>
    <w:rsid w:val="00AB5554"/>
    <w:rsid w:val="00AB5C9E"/>
    <w:rsid w:val="00AB5D8E"/>
    <w:rsid w:val="00AB5DA3"/>
    <w:rsid w:val="00AB6222"/>
    <w:rsid w:val="00AB6405"/>
    <w:rsid w:val="00AB6696"/>
    <w:rsid w:val="00AB66D2"/>
    <w:rsid w:val="00AB6AFC"/>
    <w:rsid w:val="00AB6BAD"/>
    <w:rsid w:val="00AB6CBF"/>
    <w:rsid w:val="00AB6CE2"/>
    <w:rsid w:val="00AB6F10"/>
    <w:rsid w:val="00AB73F2"/>
    <w:rsid w:val="00AB757B"/>
    <w:rsid w:val="00AB768C"/>
    <w:rsid w:val="00AB7791"/>
    <w:rsid w:val="00AB78E5"/>
    <w:rsid w:val="00AB796A"/>
    <w:rsid w:val="00AB7A41"/>
    <w:rsid w:val="00AB7EE9"/>
    <w:rsid w:val="00AB7F5B"/>
    <w:rsid w:val="00AC04F5"/>
    <w:rsid w:val="00AC0581"/>
    <w:rsid w:val="00AC07D1"/>
    <w:rsid w:val="00AC0994"/>
    <w:rsid w:val="00AC0A5D"/>
    <w:rsid w:val="00AC0DC1"/>
    <w:rsid w:val="00AC1275"/>
    <w:rsid w:val="00AC127E"/>
    <w:rsid w:val="00AC130E"/>
    <w:rsid w:val="00AC14B1"/>
    <w:rsid w:val="00AC168E"/>
    <w:rsid w:val="00AC1D65"/>
    <w:rsid w:val="00AC1D8F"/>
    <w:rsid w:val="00AC1EDD"/>
    <w:rsid w:val="00AC1F75"/>
    <w:rsid w:val="00AC1F80"/>
    <w:rsid w:val="00AC213C"/>
    <w:rsid w:val="00AC2171"/>
    <w:rsid w:val="00AC255F"/>
    <w:rsid w:val="00AC269E"/>
    <w:rsid w:val="00AC29B6"/>
    <w:rsid w:val="00AC30AE"/>
    <w:rsid w:val="00AC31B2"/>
    <w:rsid w:val="00AC3211"/>
    <w:rsid w:val="00AC3451"/>
    <w:rsid w:val="00AC3758"/>
    <w:rsid w:val="00AC3A14"/>
    <w:rsid w:val="00AC3A85"/>
    <w:rsid w:val="00AC3BE9"/>
    <w:rsid w:val="00AC3D0F"/>
    <w:rsid w:val="00AC3D4A"/>
    <w:rsid w:val="00AC3E98"/>
    <w:rsid w:val="00AC407F"/>
    <w:rsid w:val="00AC41B2"/>
    <w:rsid w:val="00AC4232"/>
    <w:rsid w:val="00AC482B"/>
    <w:rsid w:val="00AC4ADA"/>
    <w:rsid w:val="00AC4AF9"/>
    <w:rsid w:val="00AC4E65"/>
    <w:rsid w:val="00AC4ED9"/>
    <w:rsid w:val="00AC4F97"/>
    <w:rsid w:val="00AC5720"/>
    <w:rsid w:val="00AC57E1"/>
    <w:rsid w:val="00AC5EA2"/>
    <w:rsid w:val="00AC614F"/>
    <w:rsid w:val="00AC6184"/>
    <w:rsid w:val="00AC6252"/>
    <w:rsid w:val="00AC62AF"/>
    <w:rsid w:val="00AC634E"/>
    <w:rsid w:val="00AC64AE"/>
    <w:rsid w:val="00AC683B"/>
    <w:rsid w:val="00AC68CE"/>
    <w:rsid w:val="00AC6964"/>
    <w:rsid w:val="00AC6974"/>
    <w:rsid w:val="00AC72A9"/>
    <w:rsid w:val="00AC7314"/>
    <w:rsid w:val="00AC7468"/>
    <w:rsid w:val="00AC7572"/>
    <w:rsid w:val="00AC7805"/>
    <w:rsid w:val="00AC792C"/>
    <w:rsid w:val="00AC7C05"/>
    <w:rsid w:val="00AC7C94"/>
    <w:rsid w:val="00AD0201"/>
    <w:rsid w:val="00AD0252"/>
    <w:rsid w:val="00AD0266"/>
    <w:rsid w:val="00AD038E"/>
    <w:rsid w:val="00AD05B7"/>
    <w:rsid w:val="00AD065D"/>
    <w:rsid w:val="00AD06E3"/>
    <w:rsid w:val="00AD0740"/>
    <w:rsid w:val="00AD09B7"/>
    <w:rsid w:val="00AD0AB4"/>
    <w:rsid w:val="00AD0C08"/>
    <w:rsid w:val="00AD0DBB"/>
    <w:rsid w:val="00AD0F27"/>
    <w:rsid w:val="00AD0FFA"/>
    <w:rsid w:val="00AD1195"/>
    <w:rsid w:val="00AD1297"/>
    <w:rsid w:val="00AD1872"/>
    <w:rsid w:val="00AD1B8F"/>
    <w:rsid w:val="00AD1D0E"/>
    <w:rsid w:val="00AD1E71"/>
    <w:rsid w:val="00AD1FF9"/>
    <w:rsid w:val="00AD203F"/>
    <w:rsid w:val="00AD214F"/>
    <w:rsid w:val="00AD21AF"/>
    <w:rsid w:val="00AD220A"/>
    <w:rsid w:val="00AD224F"/>
    <w:rsid w:val="00AD2333"/>
    <w:rsid w:val="00AD233A"/>
    <w:rsid w:val="00AD2641"/>
    <w:rsid w:val="00AD29F3"/>
    <w:rsid w:val="00AD2B64"/>
    <w:rsid w:val="00AD2FCC"/>
    <w:rsid w:val="00AD343B"/>
    <w:rsid w:val="00AD3837"/>
    <w:rsid w:val="00AD3895"/>
    <w:rsid w:val="00AD3E3C"/>
    <w:rsid w:val="00AD3FC1"/>
    <w:rsid w:val="00AD400D"/>
    <w:rsid w:val="00AD44DE"/>
    <w:rsid w:val="00AD4717"/>
    <w:rsid w:val="00AD4D6F"/>
    <w:rsid w:val="00AD4DD6"/>
    <w:rsid w:val="00AD5149"/>
    <w:rsid w:val="00AD5169"/>
    <w:rsid w:val="00AD51AD"/>
    <w:rsid w:val="00AD55FF"/>
    <w:rsid w:val="00AD574B"/>
    <w:rsid w:val="00AD57C7"/>
    <w:rsid w:val="00AD58D3"/>
    <w:rsid w:val="00AD60E3"/>
    <w:rsid w:val="00AD64F5"/>
    <w:rsid w:val="00AD6727"/>
    <w:rsid w:val="00AD67D7"/>
    <w:rsid w:val="00AD6879"/>
    <w:rsid w:val="00AD6F4B"/>
    <w:rsid w:val="00AD7114"/>
    <w:rsid w:val="00AD738F"/>
    <w:rsid w:val="00AD73C9"/>
    <w:rsid w:val="00AD7733"/>
    <w:rsid w:val="00AD7BD6"/>
    <w:rsid w:val="00AD7FA3"/>
    <w:rsid w:val="00AE0026"/>
    <w:rsid w:val="00AE0481"/>
    <w:rsid w:val="00AE07C0"/>
    <w:rsid w:val="00AE0B8F"/>
    <w:rsid w:val="00AE0BD5"/>
    <w:rsid w:val="00AE0C88"/>
    <w:rsid w:val="00AE0D8F"/>
    <w:rsid w:val="00AE0F21"/>
    <w:rsid w:val="00AE13C6"/>
    <w:rsid w:val="00AE13F3"/>
    <w:rsid w:val="00AE140A"/>
    <w:rsid w:val="00AE143F"/>
    <w:rsid w:val="00AE1503"/>
    <w:rsid w:val="00AE19D2"/>
    <w:rsid w:val="00AE1B2B"/>
    <w:rsid w:val="00AE21F8"/>
    <w:rsid w:val="00AE24CF"/>
    <w:rsid w:val="00AE2690"/>
    <w:rsid w:val="00AE2759"/>
    <w:rsid w:val="00AE2A81"/>
    <w:rsid w:val="00AE2BBE"/>
    <w:rsid w:val="00AE2C94"/>
    <w:rsid w:val="00AE2E4B"/>
    <w:rsid w:val="00AE2F88"/>
    <w:rsid w:val="00AE322C"/>
    <w:rsid w:val="00AE3272"/>
    <w:rsid w:val="00AE32B5"/>
    <w:rsid w:val="00AE3A6D"/>
    <w:rsid w:val="00AE3B19"/>
    <w:rsid w:val="00AE3B9A"/>
    <w:rsid w:val="00AE4098"/>
    <w:rsid w:val="00AE4210"/>
    <w:rsid w:val="00AE4309"/>
    <w:rsid w:val="00AE456B"/>
    <w:rsid w:val="00AE477E"/>
    <w:rsid w:val="00AE48B3"/>
    <w:rsid w:val="00AE4911"/>
    <w:rsid w:val="00AE49CA"/>
    <w:rsid w:val="00AE4A4A"/>
    <w:rsid w:val="00AE4C19"/>
    <w:rsid w:val="00AE51BD"/>
    <w:rsid w:val="00AE553F"/>
    <w:rsid w:val="00AE556E"/>
    <w:rsid w:val="00AE559B"/>
    <w:rsid w:val="00AE59B3"/>
    <w:rsid w:val="00AE5C24"/>
    <w:rsid w:val="00AE6486"/>
    <w:rsid w:val="00AE6E72"/>
    <w:rsid w:val="00AE6EC5"/>
    <w:rsid w:val="00AE7200"/>
    <w:rsid w:val="00AE7433"/>
    <w:rsid w:val="00AE75D2"/>
    <w:rsid w:val="00AE7638"/>
    <w:rsid w:val="00AE7CA4"/>
    <w:rsid w:val="00AE7CCD"/>
    <w:rsid w:val="00AE7F35"/>
    <w:rsid w:val="00AE7F6F"/>
    <w:rsid w:val="00AF00E2"/>
    <w:rsid w:val="00AF0166"/>
    <w:rsid w:val="00AF0372"/>
    <w:rsid w:val="00AF03A2"/>
    <w:rsid w:val="00AF04E5"/>
    <w:rsid w:val="00AF0788"/>
    <w:rsid w:val="00AF0986"/>
    <w:rsid w:val="00AF0BC5"/>
    <w:rsid w:val="00AF0D1E"/>
    <w:rsid w:val="00AF0EEB"/>
    <w:rsid w:val="00AF0F1F"/>
    <w:rsid w:val="00AF1077"/>
    <w:rsid w:val="00AF127F"/>
    <w:rsid w:val="00AF176B"/>
    <w:rsid w:val="00AF1820"/>
    <w:rsid w:val="00AF1897"/>
    <w:rsid w:val="00AF1A2B"/>
    <w:rsid w:val="00AF1B39"/>
    <w:rsid w:val="00AF1CA2"/>
    <w:rsid w:val="00AF1E43"/>
    <w:rsid w:val="00AF1EBD"/>
    <w:rsid w:val="00AF1F0E"/>
    <w:rsid w:val="00AF1FEB"/>
    <w:rsid w:val="00AF209E"/>
    <w:rsid w:val="00AF2173"/>
    <w:rsid w:val="00AF237A"/>
    <w:rsid w:val="00AF2397"/>
    <w:rsid w:val="00AF247D"/>
    <w:rsid w:val="00AF2C7E"/>
    <w:rsid w:val="00AF2E4D"/>
    <w:rsid w:val="00AF2EC5"/>
    <w:rsid w:val="00AF335D"/>
    <w:rsid w:val="00AF33B3"/>
    <w:rsid w:val="00AF37A9"/>
    <w:rsid w:val="00AF3958"/>
    <w:rsid w:val="00AF3969"/>
    <w:rsid w:val="00AF3AF5"/>
    <w:rsid w:val="00AF3B82"/>
    <w:rsid w:val="00AF3B99"/>
    <w:rsid w:val="00AF3D21"/>
    <w:rsid w:val="00AF3DB0"/>
    <w:rsid w:val="00AF3FD1"/>
    <w:rsid w:val="00AF429C"/>
    <w:rsid w:val="00AF4413"/>
    <w:rsid w:val="00AF4583"/>
    <w:rsid w:val="00AF4632"/>
    <w:rsid w:val="00AF4804"/>
    <w:rsid w:val="00AF4B35"/>
    <w:rsid w:val="00AF4B9C"/>
    <w:rsid w:val="00AF4D70"/>
    <w:rsid w:val="00AF4FF8"/>
    <w:rsid w:val="00AF5236"/>
    <w:rsid w:val="00AF5766"/>
    <w:rsid w:val="00AF5907"/>
    <w:rsid w:val="00AF5ABD"/>
    <w:rsid w:val="00AF5B74"/>
    <w:rsid w:val="00AF67BD"/>
    <w:rsid w:val="00AF6804"/>
    <w:rsid w:val="00AF682E"/>
    <w:rsid w:val="00AF6BEA"/>
    <w:rsid w:val="00AF6F0C"/>
    <w:rsid w:val="00AF6F3B"/>
    <w:rsid w:val="00AF6F66"/>
    <w:rsid w:val="00AF6F90"/>
    <w:rsid w:val="00AF70B5"/>
    <w:rsid w:val="00AF731E"/>
    <w:rsid w:val="00AF773B"/>
    <w:rsid w:val="00AF7BFE"/>
    <w:rsid w:val="00AF7F47"/>
    <w:rsid w:val="00B00043"/>
    <w:rsid w:val="00B00087"/>
    <w:rsid w:val="00B00194"/>
    <w:rsid w:val="00B0023E"/>
    <w:rsid w:val="00B002F3"/>
    <w:rsid w:val="00B00405"/>
    <w:rsid w:val="00B006B0"/>
    <w:rsid w:val="00B0080B"/>
    <w:rsid w:val="00B00BD3"/>
    <w:rsid w:val="00B00CE9"/>
    <w:rsid w:val="00B00D34"/>
    <w:rsid w:val="00B00D96"/>
    <w:rsid w:val="00B00EC0"/>
    <w:rsid w:val="00B0112B"/>
    <w:rsid w:val="00B0136C"/>
    <w:rsid w:val="00B014B6"/>
    <w:rsid w:val="00B0150E"/>
    <w:rsid w:val="00B0161E"/>
    <w:rsid w:val="00B01882"/>
    <w:rsid w:val="00B018C8"/>
    <w:rsid w:val="00B018E3"/>
    <w:rsid w:val="00B01A94"/>
    <w:rsid w:val="00B01DA7"/>
    <w:rsid w:val="00B01DF4"/>
    <w:rsid w:val="00B02048"/>
    <w:rsid w:val="00B02168"/>
    <w:rsid w:val="00B02541"/>
    <w:rsid w:val="00B02D43"/>
    <w:rsid w:val="00B02F66"/>
    <w:rsid w:val="00B03077"/>
    <w:rsid w:val="00B03122"/>
    <w:rsid w:val="00B03128"/>
    <w:rsid w:val="00B031D2"/>
    <w:rsid w:val="00B0323A"/>
    <w:rsid w:val="00B036CC"/>
    <w:rsid w:val="00B03985"/>
    <w:rsid w:val="00B03DF5"/>
    <w:rsid w:val="00B03E5C"/>
    <w:rsid w:val="00B03E6B"/>
    <w:rsid w:val="00B03EEC"/>
    <w:rsid w:val="00B04071"/>
    <w:rsid w:val="00B043E7"/>
    <w:rsid w:val="00B0452E"/>
    <w:rsid w:val="00B04712"/>
    <w:rsid w:val="00B04739"/>
    <w:rsid w:val="00B048CE"/>
    <w:rsid w:val="00B049EB"/>
    <w:rsid w:val="00B04BCF"/>
    <w:rsid w:val="00B04C95"/>
    <w:rsid w:val="00B04E67"/>
    <w:rsid w:val="00B04EE1"/>
    <w:rsid w:val="00B04F53"/>
    <w:rsid w:val="00B050DD"/>
    <w:rsid w:val="00B05149"/>
    <w:rsid w:val="00B05271"/>
    <w:rsid w:val="00B053C8"/>
    <w:rsid w:val="00B0543F"/>
    <w:rsid w:val="00B0545F"/>
    <w:rsid w:val="00B05538"/>
    <w:rsid w:val="00B057FB"/>
    <w:rsid w:val="00B05949"/>
    <w:rsid w:val="00B05CAA"/>
    <w:rsid w:val="00B05FF5"/>
    <w:rsid w:val="00B06263"/>
    <w:rsid w:val="00B06404"/>
    <w:rsid w:val="00B064E2"/>
    <w:rsid w:val="00B06788"/>
    <w:rsid w:val="00B0688B"/>
    <w:rsid w:val="00B069F1"/>
    <w:rsid w:val="00B06AE2"/>
    <w:rsid w:val="00B06E14"/>
    <w:rsid w:val="00B06E15"/>
    <w:rsid w:val="00B06F48"/>
    <w:rsid w:val="00B06FA6"/>
    <w:rsid w:val="00B07397"/>
    <w:rsid w:val="00B074A4"/>
    <w:rsid w:val="00B074AA"/>
    <w:rsid w:val="00B07535"/>
    <w:rsid w:val="00B07771"/>
    <w:rsid w:val="00B079AB"/>
    <w:rsid w:val="00B07B13"/>
    <w:rsid w:val="00B07CFD"/>
    <w:rsid w:val="00B07DBB"/>
    <w:rsid w:val="00B101D4"/>
    <w:rsid w:val="00B10513"/>
    <w:rsid w:val="00B1052D"/>
    <w:rsid w:val="00B10596"/>
    <w:rsid w:val="00B105C7"/>
    <w:rsid w:val="00B1085C"/>
    <w:rsid w:val="00B109CD"/>
    <w:rsid w:val="00B10CC8"/>
    <w:rsid w:val="00B117BF"/>
    <w:rsid w:val="00B11892"/>
    <w:rsid w:val="00B119D7"/>
    <w:rsid w:val="00B11B10"/>
    <w:rsid w:val="00B11B30"/>
    <w:rsid w:val="00B120A8"/>
    <w:rsid w:val="00B1234F"/>
    <w:rsid w:val="00B12353"/>
    <w:rsid w:val="00B1273A"/>
    <w:rsid w:val="00B127CE"/>
    <w:rsid w:val="00B127F4"/>
    <w:rsid w:val="00B128D2"/>
    <w:rsid w:val="00B12BE8"/>
    <w:rsid w:val="00B131FE"/>
    <w:rsid w:val="00B1322C"/>
    <w:rsid w:val="00B13234"/>
    <w:rsid w:val="00B13486"/>
    <w:rsid w:val="00B1353E"/>
    <w:rsid w:val="00B13DBF"/>
    <w:rsid w:val="00B142DE"/>
    <w:rsid w:val="00B14360"/>
    <w:rsid w:val="00B1486D"/>
    <w:rsid w:val="00B151AE"/>
    <w:rsid w:val="00B15220"/>
    <w:rsid w:val="00B15305"/>
    <w:rsid w:val="00B15432"/>
    <w:rsid w:val="00B15916"/>
    <w:rsid w:val="00B15944"/>
    <w:rsid w:val="00B15A3D"/>
    <w:rsid w:val="00B15BDA"/>
    <w:rsid w:val="00B15D5E"/>
    <w:rsid w:val="00B15E01"/>
    <w:rsid w:val="00B15E09"/>
    <w:rsid w:val="00B1613F"/>
    <w:rsid w:val="00B16186"/>
    <w:rsid w:val="00B1648E"/>
    <w:rsid w:val="00B16684"/>
    <w:rsid w:val="00B167EB"/>
    <w:rsid w:val="00B1689C"/>
    <w:rsid w:val="00B1694B"/>
    <w:rsid w:val="00B16B5A"/>
    <w:rsid w:val="00B16B99"/>
    <w:rsid w:val="00B17695"/>
    <w:rsid w:val="00B17BC8"/>
    <w:rsid w:val="00B17D36"/>
    <w:rsid w:val="00B17E31"/>
    <w:rsid w:val="00B17FEF"/>
    <w:rsid w:val="00B20105"/>
    <w:rsid w:val="00B202E4"/>
    <w:rsid w:val="00B203A6"/>
    <w:rsid w:val="00B2044B"/>
    <w:rsid w:val="00B2068D"/>
    <w:rsid w:val="00B207E3"/>
    <w:rsid w:val="00B208FB"/>
    <w:rsid w:val="00B209E6"/>
    <w:rsid w:val="00B20B92"/>
    <w:rsid w:val="00B21121"/>
    <w:rsid w:val="00B21226"/>
    <w:rsid w:val="00B21618"/>
    <w:rsid w:val="00B21646"/>
    <w:rsid w:val="00B216B6"/>
    <w:rsid w:val="00B21766"/>
    <w:rsid w:val="00B21AE4"/>
    <w:rsid w:val="00B21ED8"/>
    <w:rsid w:val="00B221B6"/>
    <w:rsid w:val="00B22202"/>
    <w:rsid w:val="00B223EB"/>
    <w:rsid w:val="00B225E7"/>
    <w:rsid w:val="00B225EC"/>
    <w:rsid w:val="00B22989"/>
    <w:rsid w:val="00B22A54"/>
    <w:rsid w:val="00B22AA5"/>
    <w:rsid w:val="00B22D70"/>
    <w:rsid w:val="00B22E0F"/>
    <w:rsid w:val="00B22EB4"/>
    <w:rsid w:val="00B22EC4"/>
    <w:rsid w:val="00B22F92"/>
    <w:rsid w:val="00B22FC6"/>
    <w:rsid w:val="00B23044"/>
    <w:rsid w:val="00B2317A"/>
    <w:rsid w:val="00B232BD"/>
    <w:rsid w:val="00B236A4"/>
    <w:rsid w:val="00B2384F"/>
    <w:rsid w:val="00B23C69"/>
    <w:rsid w:val="00B23DF9"/>
    <w:rsid w:val="00B23E85"/>
    <w:rsid w:val="00B23FBB"/>
    <w:rsid w:val="00B246C7"/>
    <w:rsid w:val="00B246F3"/>
    <w:rsid w:val="00B2481C"/>
    <w:rsid w:val="00B24A78"/>
    <w:rsid w:val="00B24D66"/>
    <w:rsid w:val="00B24DF7"/>
    <w:rsid w:val="00B24F37"/>
    <w:rsid w:val="00B25001"/>
    <w:rsid w:val="00B25028"/>
    <w:rsid w:val="00B250A4"/>
    <w:rsid w:val="00B250DB"/>
    <w:rsid w:val="00B2529F"/>
    <w:rsid w:val="00B252C3"/>
    <w:rsid w:val="00B25622"/>
    <w:rsid w:val="00B25677"/>
    <w:rsid w:val="00B2585D"/>
    <w:rsid w:val="00B25B60"/>
    <w:rsid w:val="00B25E2F"/>
    <w:rsid w:val="00B26641"/>
    <w:rsid w:val="00B26780"/>
    <w:rsid w:val="00B267C0"/>
    <w:rsid w:val="00B26987"/>
    <w:rsid w:val="00B26AE0"/>
    <w:rsid w:val="00B26CE2"/>
    <w:rsid w:val="00B26D96"/>
    <w:rsid w:val="00B27309"/>
    <w:rsid w:val="00B273F9"/>
    <w:rsid w:val="00B27547"/>
    <w:rsid w:val="00B2766B"/>
    <w:rsid w:val="00B27741"/>
    <w:rsid w:val="00B27797"/>
    <w:rsid w:val="00B278A0"/>
    <w:rsid w:val="00B3014C"/>
    <w:rsid w:val="00B30235"/>
    <w:rsid w:val="00B30483"/>
    <w:rsid w:val="00B30700"/>
    <w:rsid w:val="00B3090B"/>
    <w:rsid w:val="00B30920"/>
    <w:rsid w:val="00B30966"/>
    <w:rsid w:val="00B30983"/>
    <w:rsid w:val="00B30AD3"/>
    <w:rsid w:val="00B30E3F"/>
    <w:rsid w:val="00B30EF8"/>
    <w:rsid w:val="00B31060"/>
    <w:rsid w:val="00B3106D"/>
    <w:rsid w:val="00B31172"/>
    <w:rsid w:val="00B31387"/>
    <w:rsid w:val="00B3155A"/>
    <w:rsid w:val="00B3163F"/>
    <w:rsid w:val="00B318BA"/>
    <w:rsid w:val="00B31903"/>
    <w:rsid w:val="00B31AE9"/>
    <w:rsid w:val="00B31C1C"/>
    <w:rsid w:val="00B31C41"/>
    <w:rsid w:val="00B31D22"/>
    <w:rsid w:val="00B31DDA"/>
    <w:rsid w:val="00B31E22"/>
    <w:rsid w:val="00B321AB"/>
    <w:rsid w:val="00B325E5"/>
    <w:rsid w:val="00B3282A"/>
    <w:rsid w:val="00B32BA5"/>
    <w:rsid w:val="00B32D58"/>
    <w:rsid w:val="00B3316B"/>
    <w:rsid w:val="00B33170"/>
    <w:rsid w:val="00B331EC"/>
    <w:rsid w:val="00B332E1"/>
    <w:rsid w:val="00B334ED"/>
    <w:rsid w:val="00B336D1"/>
    <w:rsid w:val="00B33E37"/>
    <w:rsid w:val="00B33EB3"/>
    <w:rsid w:val="00B33F6F"/>
    <w:rsid w:val="00B34036"/>
    <w:rsid w:val="00B3441D"/>
    <w:rsid w:val="00B34462"/>
    <w:rsid w:val="00B34579"/>
    <w:rsid w:val="00B34652"/>
    <w:rsid w:val="00B34719"/>
    <w:rsid w:val="00B34BDC"/>
    <w:rsid w:val="00B34F03"/>
    <w:rsid w:val="00B34FCF"/>
    <w:rsid w:val="00B35079"/>
    <w:rsid w:val="00B35341"/>
    <w:rsid w:val="00B353FE"/>
    <w:rsid w:val="00B3577A"/>
    <w:rsid w:val="00B35783"/>
    <w:rsid w:val="00B358D8"/>
    <w:rsid w:val="00B35A5B"/>
    <w:rsid w:val="00B35D1A"/>
    <w:rsid w:val="00B36053"/>
    <w:rsid w:val="00B361E0"/>
    <w:rsid w:val="00B363BE"/>
    <w:rsid w:val="00B364A8"/>
    <w:rsid w:val="00B36555"/>
    <w:rsid w:val="00B366B0"/>
    <w:rsid w:val="00B36792"/>
    <w:rsid w:val="00B369CE"/>
    <w:rsid w:val="00B36A44"/>
    <w:rsid w:val="00B36B67"/>
    <w:rsid w:val="00B36BD2"/>
    <w:rsid w:val="00B36C7F"/>
    <w:rsid w:val="00B36C84"/>
    <w:rsid w:val="00B36C92"/>
    <w:rsid w:val="00B36D7C"/>
    <w:rsid w:val="00B36ECB"/>
    <w:rsid w:val="00B370B6"/>
    <w:rsid w:val="00B3712D"/>
    <w:rsid w:val="00B3734D"/>
    <w:rsid w:val="00B3756A"/>
    <w:rsid w:val="00B376B8"/>
    <w:rsid w:val="00B377A0"/>
    <w:rsid w:val="00B37A22"/>
    <w:rsid w:val="00B37A9C"/>
    <w:rsid w:val="00B37D0F"/>
    <w:rsid w:val="00B400F5"/>
    <w:rsid w:val="00B404F7"/>
    <w:rsid w:val="00B4052C"/>
    <w:rsid w:val="00B4060B"/>
    <w:rsid w:val="00B4091E"/>
    <w:rsid w:val="00B40D4C"/>
    <w:rsid w:val="00B40F7E"/>
    <w:rsid w:val="00B411D0"/>
    <w:rsid w:val="00B4127B"/>
    <w:rsid w:val="00B412B4"/>
    <w:rsid w:val="00B4145C"/>
    <w:rsid w:val="00B41543"/>
    <w:rsid w:val="00B418BC"/>
    <w:rsid w:val="00B41914"/>
    <w:rsid w:val="00B419B8"/>
    <w:rsid w:val="00B41C99"/>
    <w:rsid w:val="00B41EDF"/>
    <w:rsid w:val="00B41EF8"/>
    <w:rsid w:val="00B41F8F"/>
    <w:rsid w:val="00B42490"/>
    <w:rsid w:val="00B4257A"/>
    <w:rsid w:val="00B42AD5"/>
    <w:rsid w:val="00B42CE2"/>
    <w:rsid w:val="00B42D77"/>
    <w:rsid w:val="00B42F0F"/>
    <w:rsid w:val="00B4307B"/>
    <w:rsid w:val="00B4330F"/>
    <w:rsid w:val="00B43375"/>
    <w:rsid w:val="00B436DC"/>
    <w:rsid w:val="00B43794"/>
    <w:rsid w:val="00B438F8"/>
    <w:rsid w:val="00B43D6D"/>
    <w:rsid w:val="00B43FF0"/>
    <w:rsid w:val="00B4450D"/>
    <w:rsid w:val="00B44663"/>
    <w:rsid w:val="00B447A5"/>
    <w:rsid w:val="00B44A6C"/>
    <w:rsid w:val="00B44C66"/>
    <w:rsid w:val="00B44CD1"/>
    <w:rsid w:val="00B44E7C"/>
    <w:rsid w:val="00B4514A"/>
    <w:rsid w:val="00B45555"/>
    <w:rsid w:val="00B455CF"/>
    <w:rsid w:val="00B455E1"/>
    <w:rsid w:val="00B45692"/>
    <w:rsid w:val="00B458D9"/>
    <w:rsid w:val="00B45900"/>
    <w:rsid w:val="00B45987"/>
    <w:rsid w:val="00B46272"/>
    <w:rsid w:val="00B46461"/>
    <w:rsid w:val="00B46B47"/>
    <w:rsid w:val="00B46C4B"/>
    <w:rsid w:val="00B47317"/>
    <w:rsid w:val="00B47367"/>
    <w:rsid w:val="00B47380"/>
    <w:rsid w:val="00B473B4"/>
    <w:rsid w:val="00B47415"/>
    <w:rsid w:val="00B474E4"/>
    <w:rsid w:val="00B47A12"/>
    <w:rsid w:val="00B47A35"/>
    <w:rsid w:val="00B47AC3"/>
    <w:rsid w:val="00B47CFD"/>
    <w:rsid w:val="00B47DB7"/>
    <w:rsid w:val="00B47F6C"/>
    <w:rsid w:val="00B50139"/>
    <w:rsid w:val="00B50283"/>
    <w:rsid w:val="00B502A9"/>
    <w:rsid w:val="00B5033C"/>
    <w:rsid w:val="00B50542"/>
    <w:rsid w:val="00B507CA"/>
    <w:rsid w:val="00B50A35"/>
    <w:rsid w:val="00B50D7D"/>
    <w:rsid w:val="00B50D8E"/>
    <w:rsid w:val="00B50EEE"/>
    <w:rsid w:val="00B50F58"/>
    <w:rsid w:val="00B51163"/>
    <w:rsid w:val="00B51285"/>
    <w:rsid w:val="00B513E0"/>
    <w:rsid w:val="00B51411"/>
    <w:rsid w:val="00B51513"/>
    <w:rsid w:val="00B517A1"/>
    <w:rsid w:val="00B52000"/>
    <w:rsid w:val="00B5212E"/>
    <w:rsid w:val="00B52260"/>
    <w:rsid w:val="00B52484"/>
    <w:rsid w:val="00B5249C"/>
    <w:rsid w:val="00B526F4"/>
    <w:rsid w:val="00B5276B"/>
    <w:rsid w:val="00B52C7B"/>
    <w:rsid w:val="00B5316A"/>
    <w:rsid w:val="00B537E8"/>
    <w:rsid w:val="00B5396A"/>
    <w:rsid w:val="00B53F96"/>
    <w:rsid w:val="00B540B6"/>
    <w:rsid w:val="00B5469F"/>
    <w:rsid w:val="00B546DF"/>
    <w:rsid w:val="00B54798"/>
    <w:rsid w:val="00B54873"/>
    <w:rsid w:val="00B549A5"/>
    <w:rsid w:val="00B54ACD"/>
    <w:rsid w:val="00B54B63"/>
    <w:rsid w:val="00B54CC8"/>
    <w:rsid w:val="00B55331"/>
    <w:rsid w:val="00B55480"/>
    <w:rsid w:val="00B556F0"/>
    <w:rsid w:val="00B55713"/>
    <w:rsid w:val="00B558F6"/>
    <w:rsid w:val="00B55F66"/>
    <w:rsid w:val="00B560A0"/>
    <w:rsid w:val="00B5628E"/>
    <w:rsid w:val="00B5638A"/>
    <w:rsid w:val="00B563E5"/>
    <w:rsid w:val="00B564F0"/>
    <w:rsid w:val="00B5661C"/>
    <w:rsid w:val="00B5665F"/>
    <w:rsid w:val="00B566DA"/>
    <w:rsid w:val="00B56B74"/>
    <w:rsid w:val="00B56C1B"/>
    <w:rsid w:val="00B56D8B"/>
    <w:rsid w:val="00B56DBC"/>
    <w:rsid w:val="00B56E6B"/>
    <w:rsid w:val="00B56FC4"/>
    <w:rsid w:val="00B57106"/>
    <w:rsid w:val="00B573A9"/>
    <w:rsid w:val="00B57439"/>
    <w:rsid w:val="00B5799A"/>
    <w:rsid w:val="00B57A0A"/>
    <w:rsid w:val="00B57A32"/>
    <w:rsid w:val="00B57DA5"/>
    <w:rsid w:val="00B60096"/>
    <w:rsid w:val="00B6014F"/>
    <w:rsid w:val="00B60253"/>
    <w:rsid w:val="00B604DA"/>
    <w:rsid w:val="00B60822"/>
    <w:rsid w:val="00B609EB"/>
    <w:rsid w:val="00B60BD2"/>
    <w:rsid w:val="00B60CDE"/>
    <w:rsid w:val="00B60D79"/>
    <w:rsid w:val="00B60DBC"/>
    <w:rsid w:val="00B60F22"/>
    <w:rsid w:val="00B610C5"/>
    <w:rsid w:val="00B614BF"/>
    <w:rsid w:val="00B615F2"/>
    <w:rsid w:val="00B616B2"/>
    <w:rsid w:val="00B619F1"/>
    <w:rsid w:val="00B61FFA"/>
    <w:rsid w:val="00B62058"/>
    <w:rsid w:val="00B621F8"/>
    <w:rsid w:val="00B624BF"/>
    <w:rsid w:val="00B6265C"/>
    <w:rsid w:val="00B62913"/>
    <w:rsid w:val="00B6292C"/>
    <w:rsid w:val="00B62A38"/>
    <w:rsid w:val="00B62D9B"/>
    <w:rsid w:val="00B62E1E"/>
    <w:rsid w:val="00B63443"/>
    <w:rsid w:val="00B639C8"/>
    <w:rsid w:val="00B63CA2"/>
    <w:rsid w:val="00B63CF0"/>
    <w:rsid w:val="00B6480E"/>
    <w:rsid w:val="00B6482A"/>
    <w:rsid w:val="00B64B2C"/>
    <w:rsid w:val="00B64B83"/>
    <w:rsid w:val="00B64BEE"/>
    <w:rsid w:val="00B64CC2"/>
    <w:rsid w:val="00B64E65"/>
    <w:rsid w:val="00B650B6"/>
    <w:rsid w:val="00B65349"/>
    <w:rsid w:val="00B653C4"/>
    <w:rsid w:val="00B655EC"/>
    <w:rsid w:val="00B65853"/>
    <w:rsid w:val="00B65DEF"/>
    <w:rsid w:val="00B65E69"/>
    <w:rsid w:val="00B65F4C"/>
    <w:rsid w:val="00B66166"/>
    <w:rsid w:val="00B661A8"/>
    <w:rsid w:val="00B6648A"/>
    <w:rsid w:val="00B66579"/>
    <w:rsid w:val="00B6666A"/>
    <w:rsid w:val="00B66766"/>
    <w:rsid w:val="00B66824"/>
    <w:rsid w:val="00B66887"/>
    <w:rsid w:val="00B66980"/>
    <w:rsid w:val="00B67002"/>
    <w:rsid w:val="00B6713B"/>
    <w:rsid w:val="00B67239"/>
    <w:rsid w:val="00B674A4"/>
    <w:rsid w:val="00B677C1"/>
    <w:rsid w:val="00B67F54"/>
    <w:rsid w:val="00B7001F"/>
    <w:rsid w:val="00B701C3"/>
    <w:rsid w:val="00B702B1"/>
    <w:rsid w:val="00B704C3"/>
    <w:rsid w:val="00B7056B"/>
    <w:rsid w:val="00B70744"/>
    <w:rsid w:val="00B70827"/>
    <w:rsid w:val="00B708BF"/>
    <w:rsid w:val="00B70925"/>
    <w:rsid w:val="00B70A95"/>
    <w:rsid w:val="00B70C74"/>
    <w:rsid w:val="00B70EDD"/>
    <w:rsid w:val="00B70FB4"/>
    <w:rsid w:val="00B713F1"/>
    <w:rsid w:val="00B71720"/>
    <w:rsid w:val="00B717D2"/>
    <w:rsid w:val="00B7185D"/>
    <w:rsid w:val="00B7187E"/>
    <w:rsid w:val="00B71941"/>
    <w:rsid w:val="00B71984"/>
    <w:rsid w:val="00B7198D"/>
    <w:rsid w:val="00B71D32"/>
    <w:rsid w:val="00B71DC8"/>
    <w:rsid w:val="00B71E09"/>
    <w:rsid w:val="00B7224E"/>
    <w:rsid w:val="00B727D4"/>
    <w:rsid w:val="00B7281E"/>
    <w:rsid w:val="00B729DC"/>
    <w:rsid w:val="00B72B59"/>
    <w:rsid w:val="00B72BD7"/>
    <w:rsid w:val="00B72C42"/>
    <w:rsid w:val="00B72D6D"/>
    <w:rsid w:val="00B72DF8"/>
    <w:rsid w:val="00B72F39"/>
    <w:rsid w:val="00B73665"/>
    <w:rsid w:val="00B73865"/>
    <w:rsid w:val="00B738AC"/>
    <w:rsid w:val="00B73A27"/>
    <w:rsid w:val="00B73CDA"/>
    <w:rsid w:val="00B73F5A"/>
    <w:rsid w:val="00B7455F"/>
    <w:rsid w:val="00B747AF"/>
    <w:rsid w:val="00B7487C"/>
    <w:rsid w:val="00B748D8"/>
    <w:rsid w:val="00B7498B"/>
    <w:rsid w:val="00B74A13"/>
    <w:rsid w:val="00B74BC3"/>
    <w:rsid w:val="00B74DC6"/>
    <w:rsid w:val="00B750C6"/>
    <w:rsid w:val="00B75221"/>
    <w:rsid w:val="00B75433"/>
    <w:rsid w:val="00B75871"/>
    <w:rsid w:val="00B758BD"/>
    <w:rsid w:val="00B75A10"/>
    <w:rsid w:val="00B75B9C"/>
    <w:rsid w:val="00B75CC1"/>
    <w:rsid w:val="00B75DB7"/>
    <w:rsid w:val="00B75FDE"/>
    <w:rsid w:val="00B761F1"/>
    <w:rsid w:val="00B7687A"/>
    <w:rsid w:val="00B769F9"/>
    <w:rsid w:val="00B76A4C"/>
    <w:rsid w:val="00B76A9B"/>
    <w:rsid w:val="00B76DD0"/>
    <w:rsid w:val="00B77080"/>
    <w:rsid w:val="00B7714D"/>
    <w:rsid w:val="00B7732D"/>
    <w:rsid w:val="00B77338"/>
    <w:rsid w:val="00B7749C"/>
    <w:rsid w:val="00B7762D"/>
    <w:rsid w:val="00B77753"/>
    <w:rsid w:val="00B77855"/>
    <w:rsid w:val="00B8016E"/>
    <w:rsid w:val="00B802C7"/>
    <w:rsid w:val="00B802E0"/>
    <w:rsid w:val="00B80660"/>
    <w:rsid w:val="00B8069A"/>
    <w:rsid w:val="00B8073E"/>
    <w:rsid w:val="00B80BC0"/>
    <w:rsid w:val="00B80BE7"/>
    <w:rsid w:val="00B80BEB"/>
    <w:rsid w:val="00B80CA9"/>
    <w:rsid w:val="00B80D0C"/>
    <w:rsid w:val="00B80F3D"/>
    <w:rsid w:val="00B810FC"/>
    <w:rsid w:val="00B81122"/>
    <w:rsid w:val="00B813C9"/>
    <w:rsid w:val="00B81482"/>
    <w:rsid w:val="00B817D3"/>
    <w:rsid w:val="00B8199F"/>
    <w:rsid w:val="00B82029"/>
    <w:rsid w:val="00B820C6"/>
    <w:rsid w:val="00B82374"/>
    <w:rsid w:val="00B823C3"/>
    <w:rsid w:val="00B82484"/>
    <w:rsid w:val="00B82486"/>
    <w:rsid w:val="00B8261C"/>
    <w:rsid w:val="00B82702"/>
    <w:rsid w:val="00B82DF7"/>
    <w:rsid w:val="00B82E74"/>
    <w:rsid w:val="00B83045"/>
    <w:rsid w:val="00B8305B"/>
    <w:rsid w:val="00B83106"/>
    <w:rsid w:val="00B8310B"/>
    <w:rsid w:val="00B83213"/>
    <w:rsid w:val="00B8365D"/>
    <w:rsid w:val="00B8395F"/>
    <w:rsid w:val="00B839F8"/>
    <w:rsid w:val="00B83D57"/>
    <w:rsid w:val="00B83E17"/>
    <w:rsid w:val="00B83EA6"/>
    <w:rsid w:val="00B83F2C"/>
    <w:rsid w:val="00B84330"/>
    <w:rsid w:val="00B84464"/>
    <w:rsid w:val="00B846AF"/>
    <w:rsid w:val="00B847E0"/>
    <w:rsid w:val="00B848E2"/>
    <w:rsid w:val="00B84A0A"/>
    <w:rsid w:val="00B85711"/>
    <w:rsid w:val="00B85A76"/>
    <w:rsid w:val="00B85B23"/>
    <w:rsid w:val="00B85E7C"/>
    <w:rsid w:val="00B85E9A"/>
    <w:rsid w:val="00B85F1D"/>
    <w:rsid w:val="00B8604E"/>
    <w:rsid w:val="00B860D8"/>
    <w:rsid w:val="00B8616E"/>
    <w:rsid w:val="00B8638C"/>
    <w:rsid w:val="00B863AB"/>
    <w:rsid w:val="00B8653A"/>
    <w:rsid w:val="00B86C58"/>
    <w:rsid w:val="00B86FB3"/>
    <w:rsid w:val="00B873A9"/>
    <w:rsid w:val="00B875DB"/>
    <w:rsid w:val="00B87775"/>
    <w:rsid w:val="00B87ADF"/>
    <w:rsid w:val="00B90164"/>
    <w:rsid w:val="00B90492"/>
    <w:rsid w:val="00B906D0"/>
    <w:rsid w:val="00B9078E"/>
    <w:rsid w:val="00B90C50"/>
    <w:rsid w:val="00B90C6A"/>
    <w:rsid w:val="00B90F90"/>
    <w:rsid w:val="00B90FC4"/>
    <w:rsid w:val="00B91367"/>
    <w:rsid w:val="00B91438"/>
    <w:rsid w:val="00B91462"/>
    <w:rsid w:val="00B915F0"/>
    <w:rsid w:val="00B9168C"/>
    <w:rsid w:val="00B916FF"/>
    <w:rsid w:val="00B917E5"/>
    <w:rsid w:val="00B91B5C"/>
    <w:rsid w:val="00B91CD1"/>
    <w:rsid w:val="00B91E2A"/>
    <w:rsid w:val="00B91EAD"/>
    <w:rsid w:val="00B91F0A"/>
    <w:rsid w:val="00B92263"/>
    <w:rsid w:val="00B92823"/>
    <w:rsid w:val="00B9285B"/>
    <w:rsid w:val="00B92A9D"/>
    <w:rsid w:val="00B92D69"/>
    <w:rsid w:val="00B93148"/>
    <w:rsid w:val="00B9314F"/>
    <w:rsid w:val="00B93444"/>
    <w:rsid w:val="00B9381D"/>
    <w:rsid w:val="00B93B6F"/>
    <w:rsid w:val="00B93E4C"/>
    <w:rsid w:val="00B93F4B"/>
    <w:rsid w:val="00B93FAB"/>
    <w:rsid w:val="00B93FE1"/>
    <w:rsid w:val="00B9414B"/>
    <w:rsid w:val="00B94154"/>
    <w:rsid w:val="00B94593"/>
    <w:rsid w:val="00B945D6"/>
    <w:rsid w:val="00B94EBC"/>
    <w:rsid w:val="00B94F4E"/>
    <w:rsid w:val="00B94FC3"/>
    <w:rsid w:val="00B9567B"/>
    <w:rsid w:val="00B956E9"/>
    <w:rsid w:val="00B95887"/>
    <w:rsid w:val="00B95B35"/>
    <w:rsid w:val="00B95CF1"/>
    <w:rsid w:val="00B95D75"/>
    <w:rsid w:val="00B95DB2"/>
    <w:rsid w:val="00B95DF4"/>
    <w:rsid w:val="00B96317"/>
    <w:rsid w:val="00B964CD"/>
    <w:rsid w:val="00B96742"/>
    <w:rsid w:val="00B967FC"/>
    <w:rsid w:val="00B96923"/>
    <w:rsid w:val="00B96FA0"/>
    <w:rsid w:val="00B97225"/>
    <w:rsid w:val="00B97249"/>
    <w:rsid w:val="00B9760E"/>
    <w:rsid w:val="00B976B4"/>
    <w:rsid w:val="00B9795B"/>
    <w:rsid w:val="00B97A0D"/>
    <w:rsid w:val="00B97C99"/>
    <w:rsid w:val="00B97F2A"/>
    <w:rsid w:val="00B97F43"/>
    <w:rsid w:val="00BA041C"/>
    <w:rsid w:val="00BA04BA"/>
    <w:rsid w:val="00BA04F6"/>
    <w:rsid w:val="00BA0501"/>
    <w:rsid w:val="00BA0518"/>
    <w:rsid w:val="00BA067C"/>
    <w:rsid w:val="00BA079A"/>
    <w:rsid w:val="00BA0840"/>
    <w:rsid w:val="00BA0844"/>
    <w:rsid w:val="00BA09C1"/>
    <w:rsid w:val="00BA0D31"/>
    <w:rsid w:val="00BA0E8B"/>
    <w:rsid w:val="00BA1044"/>
    <w:rsid w:val="00BA1386"/>
    <w:rsid w:val="00BA163A"/>
    <w:rsid w:val="00BA1724"/>
    <w:rsid w:val="00BA1BF2"/>
    <w:rsid w:val="00BA1D14"/>
    <w:rsid w:val="00BA1F6F"/>
    <w:rsid w:val="00BA20A5"/>
    <w:rsid w:val="00BA2182"/>
    <w:rsid w:val="00BA237F"/>
    <w:rsid w:val="00BA2747"/>
    <w:rsid w:val="00BA27DC"/>
    <w:rsid w:val="00BA2A9D"/>
    <w:rsid w:val="00BA2CEC"/>
    <w:rsid w:val="00BA2F4B"/>
    <w:rsid w:val="00BA314B"/>
    <w:rsid w:val="00BA39C5"/>
    <w:rsid w:val="00BA3C06"/>
    <w:rsid w:val="00BA3D7E"/>
    <w:rsid w:val="00BA3E1D"/>
    <w:rsid w:val="00BA3E58"/>
    <w:rsid w:val="00BA3E66"/>
    <w:rsid w:val="00BA426B"/>
    <w:rsid w:val="00BA43DB"/>
    <w:rsid w:val="00BA472E"/>
    <w:rsid w:val="00BA4ABA"/>
    <w:rsid w:val="00BA4AFE"/>
    <w:rsid w:val="00BA4B12"/>
    <w:rsid w:val="00BA4BB9"/>
    <w:rsid w:val="00BA4CD1"/>
    <w:rsid w:val="00BA4EBF"/>
    <w:rsid w:val="00BA4FD8"/>
    <w:rsid w:val="00BA5171"/>
    <w:rsid w:val="00BA51E1"/>
    <w:rsid w:val="00BA5220"/>
    <w:rsid w:val="00BA5247"/>
    <w:rsid w:val="00BA5432"/>
    <w:rsid w:val="00BA5825"/>
    <w:rsid w:val="00BA58BA"/>
    <w:rsid w:val="00BA5B73"/>
    <w:rsid w:val="00BA5DF7"/>
    <w:rsid w:val="00BA5F34"/>
    <w:rsid w:val="00BA6202"/>
    <w:rsid w:val="00BA6437"/>
    <w:rsid w:val="00BA6533"/>
    <w:rsid w:val="00BA65A4"/>
    <w:rsid w:val="00BA666B"/>
    <w:rsid w:val="00BA6AD1"/>
    <w:rsid w:val="00BA6B9E"/>
    <w:rsid w:val="00BA6C75"/>
    <w:rsid w:val="00BA6C91"/>
    <w:rsid w:val="00BA6D51"/>
    <w:rsid w:val="00BA6E50"/>
    <w:rsid w:val="00BA7067"/>
    <w:rsid w:val="00BA726C"/>
    <w:rsid w:val="00BA763D"/>
    <w:rsid w:val="00BA764B"/>
    <w:rsid w:val="00BA775A"/>
    <w:rsid w:val="00BA7A3E"/>
    <w:rsid w:val="00BA7AB6"/>
    <w:rsid w:val="00BA7D94"/>
    <w:rsid w:val="00BA7DA7"/>
    <w:rsid w:val="00BA7DBB"/>
    <w:rsid w:val="00BA7E65"/>
    <w:rsid w:val="00BB0094"/>
    <w:rsid w:val="00BB00AC"/>
    <w:rsid w:val="00BB00D8"/>
    <w:rsid w:val="00BB00FD"/>
    <w:rsid w:val="00BB0344"/>
    <w:rsid w:val="00BB03B9"/>
    <w:rsid w:val="00BB0453"/>
    <w:rsid w:val="00BB04CD"/>
    <w:rsid w:val="00BB05C7"/>
    <w:rsid w:val="00BB0861"/>
    <w:rsid w:val="00BB08FC"/>
    <w:rsid w:val="00BB0C81"/>
    <w:rsid w:val="00BB0F1F"/>
    <w:rsid w:val="00BB125E"/>
    <w:rsid w:val="00BB1378"/>
    <w:rsid w:val="00BB1664"/>
    <w:rsid w:val="00BB1741"/>
    <w:rsid w:val="00BB1914"/>
    <w:rsid w:val="00BB1EDD"/>
    <w:rsid w:val="00BB1F52"/>
    <w:rsid w:val="00BB2217"/>
    <w:rsid w:val="00BB264F"/>
    <w:rsid w:val="00BB2912"/>
    <w:rsid w:val="00BB2C1E"/>
    <w:rsid w:val="00BB3623"/>
    <w:rsid w:val="00BB37C5"/>
    <w:rsid w:val="00BB37C8"/>
    <w:rsid w:val="00BB3A37"/>
    <w:rsid w:val="00BB3B38"/>
    <w:rsid w:val="00BB3B62"/>
    <w:rsid w:val="00BB3D68"/>
    <w:rsid w:val="00BB3D79"/>
    <w:rsid w:val="00BB3DC9"/>
    <w:rsid w:val="00BB3E64"/>
    <w:rsid w:val="00BB3F30"/>
    <w:rsid w:val="00BB44D5"/>
    <w:rsid w:val="00BB4506"/>
    <w:rsid w:val="00BB4672"/>
    <w:rsid w:val="00BB4678"/>
    <w:rsid w:val="00BB4753"/>
    <w:rsid w:val="00BB4766"/>
    <w:rsid w:val="00BB478A"/>
    <w:rsid w:val="00BB47C9"/>
    <w:rsid w:val="00BB47DB"/>
    <w:rsid w:val="00BB48D5"/>
    <w:rsid w:val="00BB4C89"/>
    <w:rsid w:val="00BB4D05"/>
    <w:rsid w:val="00BB4D08"/>
    <w:rsid w:val="00BB4F8A"/>
    <w:rsid w:val="00BB50DF"/>
    <w:rsid w:val="00BB5218"/>
    <w:rsid w:val="00BB54FD"/>
    <w:rsid w:val="00BB567E"/>
    <w:rsid w:val="00BB596D"/>
    <w:rsid w:val="00BB5AF6"/>
    <w:rsid w:val="00BB5B7A"/>
    <w:rsid w:val="00BB606C"/>
    <w:rsid w:val="00BB6099"/>
    <w:rsid w:val="00BB63E8"/>
    <w:rsid w:val="00BB65F9"/>
    <w:rsid w:val="00BB6816"/>
    <w:rsid w:val="00BB6902"/>
    <w:rsid w:val="00BB6A86"/>
    <w:rsid w:val="00BB6C5E"/>
    <w:rsid w:val="00BB6C7E"/>
    <w:rsid w:val="00BB6CB8"/>
    <w:rsid w:val="00BB6E74"/>
    <w:rsid w:val="00BB6FAF"/>
    <w:rsid w:val="00BB70D8"/>
    <w:rsid w:val="00BB7411"/>
    <w:rsid w:val="00BB7959"/>
    <w:rsid w:val="00BB7CB0"/>
    <w:rsid w:val="00BB7CCA"/>
    <w:rsid w:val="00BB7E5B"/>
    <w:rsid w:val="00BB7FEF"/>
    <w:rsid w:val="00BC0504"/>
    <w:rsid w:val="00BC08DB"/>
    <w:rsid w:val="00BC0925"/>
    <w:rsid w:val="00BC0941"/>
    <w:rsid w:val="00BC0A01"/>
    <w:rsid w:val="00BC0C6A"/>
    <w:rsid w:val="00BC0CE9"/>
    <w:rsid w:val="00BC0E9B"/>
    <w:rsid w:val="00BC0F31"/>
    <w:rsid w:val="00BC100F"/>
    <w:rsid w:val="00BC1974"/>
    <w:rsid w:val="00BC1A12"/>
    <w:rsid w:val="00BC1BC9"/>
    <w:rsid w:val="00BC1CA0"/>
    <w:rsid w:val="00BC1E21"/>
    <w:rsid w:val="00BC2235"/>
    <w:rsid w:val="00BC2699"/>
    <w:rsid w:val="00BC2ACE"/>
    <w:rsid w:val="00BC2F0A"/>
    <w:rsid w:val="00BC31C5"/>
    <w:rsid w:val="00BC3436"/>
    <w:rsid w:val="00BC343F"/>
    <w:rsid w:val="00BC3539"/>
    <w:rsid w:val="00BC354A"/>
    <w:rsid w:val="00BC3569"/>
    <w:rsid w:val="00BC358E"/>
    <w:rsid w:val="00BC363F"/>
    <w:rsid w:val="00BC37C5"/>
    <w:rsid w:val="00BC380C"/>
    <w:rsid w:val="00BC38B4"/>
    <w:rsid w:val="00BC38F5"/>
    <w:rsid w:val="00BC39B6"/>
    <w:rsid w:val="00BC3BD0"/>
    <w:rsid w:val="00BC3C26"/>
    <w:rsid w:val="00BC3D5D"/>
    <w:rsid w:val="00BC3E9C"/>
    <w:rsid w:val="00BC3FF0"/>
    <w:rsid w:val="00BC4231"/>
    <w:rsid w:val="00BC4335"/>
    <w:rsid w:val="00BC436C"/>
    <w:rsid w:val="00BC44B3"/>
    <w:rsid w:val="00BC47E5"/>
    <w:rsid w:val="00BC499C"/>
    <w:rsid w:val="00BC4B1A"/>
    <w:rsid w:val="00BC4B45"/>
    <w:rsid w:val="00BC4E0A"/>
    <w:rsid w:val="00BC4F1B"/>
    <w:rsid w:val="00BC5104"/>
    <w:rsid w:val="00BC52D8"/>
    <w:rsid w:val="00BC5336"/>
    <w:rsid w:val="00BC55BD"/>
    <w:rsid w:val="00BC5781"/>
    <w:rsid w:val="00BC5B47"/>
    <w:rsid w:val="00BC5DC1"/>
    <w:rsid w:val="00BC619F"/>
    <w:rsid w:val="00BC622E"/>
    <w:rsid w:val="00BC6364"/>
    <w:rsid w:val="00BC6407"/>
    <w:rsid w:val="00BC6417"/>
    <w:rsid w:val="00BC6526"/>
    <w:rsid w:val="00BC65A3"/>
    <w:rsid w:val="00BC6662"/>
    <w:rsid w:val="00BC67AF"/>
    <w:rsid w:val="00BC6B0F"/>
    <w:rsid w:val="00BC6B9D"/>
    <w:rsid w:val="00BC6C03"/>
    <w:rsid w:val="00BC6DCD"/>
    <w:rsid w:val="00BC6FD1"/>
    <w:rsid w:val="00BC722C"/>
    <w:rsid w:val="00BC746B"/>
    <w:rsid w:val="00BC7525"/>
    <w:rsid w:val="00BC7567"/>
    <w:rsid w:val="00BC7AFC"/>
    <w:rsid w:val="00BC7B44"/>
    <w:rsid w:val="00BC7E00"/>
    <w:rsid w:val="00BC7FB6"/>
    <w:rsid w:val="00BC7FFD"/>
    <w:rsid w:val="00BD0139"/>
    <w:rsid w:val="00BD02BD"/>
    <w:rsid w:val="00BD036D"/>
    <w:rsid w:val="00BD0563"/>
    <w:rsid w:val="00BD05A2"/>
    <w:rsid w:val="00BD0644"/>
    <w:rsid w:val="00BD0B1E"/>
    <w:rsid w:val="00BD0D54"/>
    <w:rsid w:val="00BD100E"/>
    <w:rsid w:val="00BD109E"/>
    <w:rsid w:val="00BD11A8"/>
    <w:rsid w:val="00BD1710"/>
    <w:rsid w:val="00BD18E4"/>
    <w:rsid w:val="00BD1BE3"/>
    <w:rsid w:val="00BD1DC3"/>
    <w:rsid w:val="00BD1DEE"/>
    <w:rsid w:val="00BD1F35"/>
    <w:rsid w:val="00BD207A"/>
    <w:rsid w:val="00BD2509"/>
    <w:rsid w:val="00BD269C"/>
    <w:rsid w:val="00BD2972"/>
    <w:rsid w:val="00BD2E3F"/>
    <w:rsid w:val="00BD2F49"/>
    <w:rsid w:val="00BD3354"/>
    <w:rsid w:val="00BD33F7"/>
    <w:rsid w:val="00BD34F3"/>
    <w:rsid w:val="00BD36D7"/>
    <w:rsid w:val="00BD3704"/>
    <w:rsid w:val="00BD3800"/>
    <w:rsid w:val="00BD39B1"/>
    <w:rsid w:val="00BD3AD3"/>
    <w:rsid w:val="00BD3B23"/>
    <w:rsid w:val="00BD3DAE"/>
    <w:rsid w:val="00BD4877"/>
    <w:rsid w:val="00BD4C7D"/>
    <w:rsid w:val="00BD4CCD"/>
    <w:rsid w:val="00BD4D3B"/>
    <w:rsid w:val="00BD4DB7"/>
    <w:rsid w:val="00BD4E0D"/>
    <w:rsid w:val="00BD58DA"/>
    <w:rsid w:val="00BD5977"/>
    <w:rsid w:val="00BD5A54"/>
    <w:rsid w:val="00BD6072"/>
    <w:rsid w:val="00BD60DC"/>
    <w:rsid w:val="00BD61D0"/>
    <w:rsid w:val="00BD6334"/>
    <w:rsid w:val="00BD686E"/>
    <w:rsid w:val="00BD6A1E"/>
    <w:rsid w:val="00BD6BD4"/>
    <w:rsid w:val="00BD6D2F"/>
    <w:rsid w:val="00BD6D48"/>
    <w:rsid w:val="00BD6D5B"/>
    <w:rsid w:val="00BD73DF"/>
    <w:rsid w:val="00BD7636"/>
    <w:rsid w:val="00BD76C2"/>
    <w:rsid w:val="00BD7B03"/>
    <w:rsid w:val="00BD7BBA"/>
    <w:rsid w:val="00BD7D59"/>
    <w:rsid w:val="00BD7D74"/>
    <w:rsid w:val="00BD7E20"/>
    <w:rsid w:val="00BD7E5B"/>
    <w:rsid w:val="00BD7EBC"/>
    <w:rsid w:val="00BD7FA8"/>
    <w:rsid w:val="00BE024D"/>
    <w:rsid w:val="00BE065C"/>
    <w:rsid w:val="00BE07E4"/>
    <w:rsid w:val="00BE0C0D"/>
    <w:rsid w:val="00BE0D52"/>
    <w:rsid w:val="00BE1102"/>
    <w:rsid w:val="00BE110D"/>
    <w:rsid w:val="00BE13A0"/>
    <w:rsid w:val="00BE163B"/>
    <w:rsid w:val="00BE17A4"/>
    <w:rsid w:val="00BE1A40"/>
    <w:rsid w:val="00BE1D15"/>
    <w:rsid w:val="00BE1ECA"/>
    <w:rsid w:val="00BE1F20"/>
    <w:rsid w:val="00BE214F"/>
    <w:rsid w:val="00BE2215"/>
    <w:rsid w:val="00BE22B0"/>
    <w:rsid w:val="00BE246B"/>
    <w:rsid w:val="00BE2637"/>
    <w:rsid w:val="00BE2878"/>
    <w:rsid w:val="00BE2A05"/>
    <w:rsid w:val="00BE2B03"/>
    <w:rsid w:val="00BE2E6A"/>
    <w:rsid w:val="00BE2F66"/>
    <w:rsid w:val="00BE2FA8"/>
    <w:rsid w:val="00BE2FD1"/>
    <w:rsid w:val="00BE34E6"/>
    <w:rsid w:val="00BE38BE"/>
    <w:rsid w:val="00BE3A7B"/>
    <w:rsid w:val="00BE3AED"/>
    <w:rsid w:val="00BE3E64"/>
    <w:rsid w:val="00BE4380"/>
    <w:rsid w:val="00BE4DBE"/>
    <w:rsid w:val="00BE4F22"/>
    <w:rsid w:val="00BE4F49"/>
    <w:rsid w:val="00BE4F94"/>
    <w:rsid w:val="00BE52E5"/>
    <w:rsid w:val="00BE5462"/>
    <w:rsid w:val="00BE5619"/>
    <w:rsid w:val="00BE59BB"/>
    <w:rsid w:val="00BE5A93"/>
    <w:rsid w:val="00BE5C40"/>
    <w:rsid w:val="00BE5C96"/>
    <w:rsid w:val="00BE5DBC"/>
    <w:rsid w:val="00BE6053"/>
    <w:rsid w:val="00BE629A"/>
    <w:rsid w:val="00BE6549"/>
    <w:rsid w:val="00BE671D"/>
    <w:rsid w:val="00BE68E6"/>
    <w:rsid w:val="00BE6910"/>
    <w:rsid w:val="00BE6AC9"/>
    <w:rsid w:val="00BE6B5B"/>
    <w:rsid w:val="00BE6C80"/>
    <w:rsid w:val="00BE6D13"/>
    <w:rsid w:val="00BE6D6B"/>
    <w:rsid w:val="00BE700A"/>
    <w:rsid w:val="00BE72E1"/>
    <w:rsid w:val="00BE746F"/>
    <w:rsid w:val="00BE7480"/>
    <w:rsid w:val="00BE76C0"/>
    <w:rsid w:val="00BE76D1"/>
    <w:rsid w:val="00BE76DA"/>
    <w:rsid w:val="00BE7815"/>
    <w:rsid w:val="00BE7C5F"/>
    <w:rsid w:val="00BE7D90"/>
    <w:rsid w:val="00BE7DD8"/>
    <w:rsid w:val="00BF010E"/>
    <w:rsid w:val="00BF01CB"/>
    <w:rsid w:val="00BF01DA"/>
    <w:rsid w:val="00BF0264"/>
    <w:rsid w:val="00BF0598"/>
    <w:rsid w:val="00BF06E5"/>
    <w:rsid w:val="00BF086C"/>
    <w:rsid w:val="00BF0B26"/>
    <w:rsid w:val="00BF0B8D"/>
    <w:rsid w:val="00BF1050"/>
    <w:rsid w:val="00BF1081"/>
    <w:rsid w:val="00BF113C"/>
    <w:rsid w:val="00BF123F"/>
    <w:rsid w:val="00BF1448"/>
    <w:rsid w:val="00BF14BC"/>
    <w:rsid w:val="00BF168D"/>
    <w:rsid w:val="00BF18F9"/>
    <w:rsid w:val="00BF194C"/>
    <w:rsid w:val="00BF1A39"/>
    <w:rsid w:val="00BF1AEE"/>
    <w:rsid w:val="00BF1CB0"/>
    <w:rsid w:val="00BF1FDF"/>
    <w:rsid w:val="00BF223C"/>
    <w:rsid w:val="00BF2292"/>
    <w:rsid w:val="00BF248C"/>
    <w:rsid w:val="00BF29AA"/>
    <w:rsid w:val="00BF2A4A"/>
    <w:rsid w:val="00BF2A90"/>
    <w:rsid w:val="00BF2CD5"/>
    <w:rsid w:val="00BF2DEB"/>
    <w:rsid w:val="00BF3105"/>
    <w:rsid w:val="00BF33EC"/>
    <w:rsid w:val="00BF34F0"/>
    <w:rsid w:val="00BF46AC"/>
    <w:rsid w:val="00BF4889"/>
    <w:rsid w:val="00BF4B8F"/>
    <w:rsid w:val="00BF4BB9"/>
    <w:rsid w:val="00BF4CA3"/>
    <w:rsid w:val="00BF4CB5"/>
    <w:rsid w:val="00BF4CF3"/>
    <w:rsid w:val="00BF4D47"/>
    <w:rsid w:val="00BF507D"/>
    <w:rsid w:val="00BF50E1"/>
    <w:rsid w:val="00BF557E"/>
    <w:rsid w:val="00BF5614"/>
    <w:rsid w:val="00BF5770"/>
    <w:rsid w:val="00BF5B26"/>
    <w:rsid w:val="00BF5BC1"/>
    <w:rsid w:val="00BF5BF3"/>
    <w:rsid w:val="00BF5C03"/>
    <w:rsid w:val="00BF5FA8"/>
    <w:rsid w:val="00BF60E0"/>
    <w:rsid w:val="00BF641F"/>
    <w:rsid w:val="00BF6777"/>
    <w:rsid w:val="00BF69D9"/>
    <w:rsid w:val="00BF6BDC"/>
    <w:rsid w:val="00BF6E54"/>
    <w:rsid w:val="00BF6F4A"/>
    <w:rsid w:val="00BF6F81"/>
    <w:rsid w:val="00BF6FA6"/>
    <w:rsid w:val="00BF74EA"/>
    <w:rsid w:val="00BF776B"/>
    <w:rsid w:val="00BF7A29"/>
    <w:rsid w:val="00BF7C12"/>
    <w:rsid w:val="00BF7CAC"/>
    <w:rsid w:val="00C000FF"/>
    <w:rsid w:val="00C004F6"/>
    <w:rsid w:val="00C008A9"/>
    <w:rsid w:val="00C009B7"/>
    <w:rsid w:val="00C00A28"/>
    <w:rsid w:val="00C00B6D"/>
    <w:rsid w:val="00C00C60"/>
    <w:rsid w:val="00C00D2C"/>
    <w:rsid w:val="00C00D72"/>
    <w:rsid w:val="00C00E71"/>
    <w:rsid w:val="00C00EB0"/>
    <w:rsid w:val="00C00F19"/>
    <w:rsid w:val="00C010E4"/>
    <w:rsid w:val="00C01161"/>
    <w:rsid w:val="00C016A7"/>
    <w:rsid w:val="00C01836"/>
    <w:rsid w:val="00C018D0"/>
    <w:rsid w:val="00C01D74"/>
    <w:rsid w:val="00C01E58"/>
    <w:rsid w:val="00C01E7D"/>
    <w:rsid w:val="00C023DF"/>
    <w:rsid w:val="00C027FF"/>
    <w:rsid w:val="00C02869"/>
    <w:rsid w:val="00C029E2"/>
    <w:rsid w:val="00C02A9E"/>
    <w:rsid w:val="00C02F25"/>
    <w:rsid w:val="00C0303D"/>
    <w:rsid w:val="00C030FE"/>
    <w:rsid w:val="00C0367C"/>
    <w:rsid w:val="00C036AC"/>
    <w:rsid w:val="00C03723"/>
    <w:rsid w:val="00C0373F"/>
    <w:rsid w:val="00C03893"/>
    <w:rsid w:val="00C03ABF"/>
    <w:rsid w:val="00C03B81"/>
    <w:rsid w:val="00C03DE5"/>
    <w:rsid w:val="00C03E2C"/>
    <w:rsid w:val="00C03E74"/>
    <w:rsid w:val="00C03F16"/>
    <w:rsid w:val="00C03F86"/>
    <w:rsid w:val="00C03FDE"/>
    <w:rsid w:val="00C040F9"/>
    <w:rsid w:val="00C04110"/>
    <w:rsid w:val="00C04164"/>
    <w:rsid w:val="00C0416E"/>
    <w:rsid w:val="00C046D0"/>
    <w:rsid w:val="00C047A4"/>
    <w:rsid w:val="00C04C56"/>
    <w:rsid w:val="00C0505E"/>
    <w:rsid w:val="00C050D3"/>
    <w:rsid w:val="00C0512E"/>
    <w:rsid w:val="00C0522D"/>
    <w:rsid w:val="00C056A9"/>
    <w:rsid w:val="00C0598B"/>
    <w:rsid w:val="00C059CC"/>
    <w:rsid w:val="00C05AC6"/>
    <w:rsid w:val="00C05B1D"/>
    <w:rsid w:val="00C05C32"/>
    <w:rsid w:val="00C05CFB"/>
    <w:rsid w:val="00C05DB4"/>
    <w:rsid w:val="00C0613E"/>
    <w:rsid w:val="00C06EFB"/>
    <w:rsid w:val="00C06F84"/>
    <w:rsid w:val="00C07247"/>
    <w:rsid w:val="00C073AB"/>
    <w:rsid w:val="00C074E1"/>
    <w:rsid w:val="00C074F6"/>
    <w:rsid w:val="00C07A10"/>
    <w:rsid w:val="00C07C16"/>
    <w:rsid w:val="00C07E95"/>
    <w:rsid w:val="00C10570"/>
    <w:rsid w:val="00C10634"/>
    <w:rsid w:val="00C107CA"/>
    <w:rsid w:val="00C10AB4"/>
    <w:rsid w:val="00C10B72"/>
    <w:rsid w:val="00C10BA6"/>
    <w:rsid w:val="00C10CA0"/>
    <w:rsid w:val="00C1108A"/>
    <w:rsid w:val="00C110FB"/>
    <w:rsid w:val="00C1132F"/>
    <w:rsid w:val="00C11AF8"/>
    <w:rsid w:val="00C120F7"/>
    <w:rsid w:val="00C123F4"/>
    <w:rsid w:val="00C124A1"/>
    <w:rsid w:val="00C126FB"/>
    <w:rsid w:val="00C1271F"/>
    <w:rsid w:val="00C127A7"/>
    <w:rsid w:val="00C12C42"/>
    <w:rsid w:val="00C12C6B"/>
    <w:rsid w:val="00C12E6C"/>
    <w:rsid w:val="00C12E75"/>
    <w:rsid w:val="00C130ED"/>
    <w:rsid w:val="00C13123"/>
    <w:rsid w:val="00C13500"/>
    <w:rsid w:val="00C13529"/>
    <w:rsid w:val="00C13587"/>
    <w:rsid w:val="00C136C2"/>
    <w:rsid w:val="00C13736"/>
    <w:rsid w:val="00C139F6"/>
    <w:rsid w:val="00C13CAF"/>
    <w:rsid w:val="00C13DA7"/>
    <w:rsid w:val="00C13EE0"/>
    <w:rsid w:val="00C14064"/>
    <w:rsid w:val="00C14330"/>
    <w:rsid w:val="00C144C7"/>
    <w:rsid w:val="00C14528"/>
    <w:rsid w:val="00C145C6"/>
    <w:rsid w:val="00C1487F"/>
    <w:rsid w:val="00C149E3"/>
    <w:rsid w:val="00C14A5C"/>
    <w:rsid w:val="00C14BA8"/>
    <w:rsid w:val="00C14CEA"/>
    <w:rsid w:val="00C150AE"/>
    <w:rsid w:val="00C154E4"/>
    <w:rsid w:val="00C157B2"/>
    <w:rsid w:val="00C15B16"/>
    <w:rsid w:val="00C16230"/>
    <w:rsid w:val="00C167D6"/>
    <w:rsid w:val="00C168E3"/>
    <w:rsid w:val="00C1698F"/>
    <w:rsid w:val="00C16AD9"/>
    <w:rsid w:val="00C16CDC"/>
    <w:rsid w:val="00C16FC9"/>
    <w:rsid w:val="00C1706D"/>
    <w:rsid w:val="00C170B8"/>
    <w:rsid w:val="00C172B3"/>
    <w:rsid w:val="00C174E9"/>
    <w:rsid w:val="00C17598"/>
    <w:rsid w:val="00C177AA"/>
    <w:rsid w:val="00C177B9"/>
    <w:rsid w:val="00C1790F"/>
    <w:rsid w:val="00C1794D"/>
    <w:rsid w:val="00C20078"/>
    <w:rsid w:val="00C20264"/>
    <w:rsid w:val="00C2039D"/>
    <w:rsid w:val="00C20499"/>
    <w:rsid w:val="00C204E3"/>
    <w:rsid w:val="00C2056B"/>
    <w:rsid w:val="00C20751"/>
    <w:rsid w:val="00C20A43"/>
    <w:rsid w:val="00C20E48"/>
    <w:rsid w:val="00C20EC9"/>
    <w:rsid w:val="00C20F6A"/>
    <w:rsid w:val="00C2117D"/>
    <w:rsid w:val="00C21190"/>
    <w:rsid w:val="00C212C8"/>
    <w:rsid w:val="00C21330"/>
    <w:rsid w:val="00C2137E"/>
    <w:rsid w:val="00C21576"/>
    <w:rsid w:val="00C21596"/>
    <w:rsid w:val="00C21627"/>
    <w:rsid w:val="00C2162C"/>
    <w:rsid w:val="00C21771"/>
    <w:rsid w:val="00C21778"/>
    <w:rsid w:val="00C21966"/>
    <w:rsid w:val="00C21BA2"/>
    <w:rsid w:val="00C21F81"/>
    <w:rsid w:val="00C21FF4"/>
    <w:rsid w:val="00C221D2"/>
    <w:rsid w:val="00C22560"/>
    <w:rsid w:val="00C226C2"/>
    <w:rsid w:val="00C22B4A"/>
    <w:rsid w:val="00C22BC4"/>
    <w:rsid w:val="00C22DAB"/>
    <w:rsid w:val="00C22E7A"/>
    <w:rsid w:val="00C22F92"/>
    <w:rsid w:val="00C231A5"/>
    <w:rsid w:val="00C231A9"/>
    <w:rsid w:val="00C236BF"/>
    <w:rsid w:val="00C2374C"/>
    <w:rsid w:val="00C23867"/>
    <w:rsid w:val="00C23AFF"/>
    <w:rsid w:val="00C23BDE"/>
    <w:rsid w:val="00C23D05"/>
    <w:rsid w:val="00C240DA"/>
    <w:rsid w:val="00C24448"/>
    <w:rsid w:val="00C2465B"/>
    <w:rsid w:val="00C24751"/>
    <w:rsid w:val="00C248E0"/>
    <w:rsid w:val="00C2542E"/>
    <w:rsid w:val="00C25761"/>
    <w:rsid w:val="00C25A8B"/>
    <w:rsid w:val="00C25B20"/>
    <w:rsid w:val="00C25D2B"/>
    <w:rsid w:val="00C25DD8"/>
    <w:rsid w:val="00C260BE"/>
    <w:rsid w:val="00C264D8"/>
    <w:rsid w:val="00C26B9A"/>
    <w:rsid w:val="00C26DEA"/>
    <w:rsid w:val="00C26DF3"/>
    <w:rsid w:val="00C2702D"/>
    <w:rsid w:val="00C27171"/>
    <w:rsid w:val="00C2726B"/>
    <w:rsid w:val="00C2751F"/>
    <w:rsid w:val="00C275F3"/>
    <w:rsid w:val="00C276CD"/>
    <w:rsid w:val="00C2780B"/>
    <w:rsid w:val="00C27B3C"/>
    <w:rsid w:val="00C27C96"/>
    <w:rsid w:val="00C27CFC"/>
    <w:rsid w:val="00C27F36"/>
    <w:rsid w:val="00C30028"/>
    <w:rsid w:val="00C301FD"/>
    <w:rsid w:val="00C3021F"/>
    <w:rsid w:val="00C30261"/>
    <w:rsid w:val="00C302C6"/>
    <w:rsid w:val="00C30363"/>
    <w:rsid w:val="00C3069A"/>
    <w:rsid w:val="00C30B57"/>
    <w:rsid w:val="00C30BD4"/>
    <w:rsid w:val="00C30D45"/>
    <w:rsid w:val="00C30F09"/>
    <w:rsid w:val="00C30FB1"/>
    <w:rsid w:val="00C30FF9"/>
    <w:rsid w:val="00C312F1"/>
    <w:rsid w:val="00C3138B"/>
    <w:rsid w:val="00C3191A"/>
    <w:rsid w:val="00C31B8A"/>
    <w:rsid w:val="00C31C1E"/>
    <w:rsid w:val="00C31CBE"/>
    <w:rsid w:val="00C31F27"/>
    <w:rsid w:val="00C321F0"/>
    <w:rsid w:val="00C32364"/>
    <w:rsid w:val="00C3237F"/>
    <w:rsid w:val="00C324B6"/>
    <w:rsid w:val="00C32731"/>
    <w:rsid w:val="00C327C0"/>
    <w:rsid w:val="00C3286D"/>
    <w:rsid w:val="00C329DA"/>
    <w:rsid w:val="00C32A2B"/>
    <w:rsid w:val="00C32D36"/>
    <w:rsid w:val="00C331B3"/>
    <w:rsid w:val="00C33218"/>
    <w:rsid w:val="00C333C6"/>
    <w:rsid w:val="00C3346E"/>
    <w:rsid w:val="00C335B3"/>
    <w:rsid w:val="00C33744"/>
    <w:rsid w:val="00C33B9C"/>
    <w:rsid w:val="00C33DD7"/>
    <w:rsid w:val="00C33EB4"/>
    <w:rsid w:val="00C341F4"/>
    <w:rsid w:val="00C342BE"/>
    <w:rsid w:val="00C34588"/>
    <w:rsid w:val="00C345F8"/>
    <w:rsid w:val="00C348ED"/>
    <w:rsid w:val="00C34A37"/>
    <w:rsid w:val="00C34BAE"/>
    <w:rsid w:val="00C35095"/>
    <w:rsid w:val="00C3509B"/>
    <w:rsid w:val="00C3540D"/>
    <w:rsid w:val="00C358CF"/>
    <w:rsid w:val="00C3590E"/>
    <w:rsid w:val="00C35CD0"/>
    <w:rsid w:val="00C35CF8"/>
    <w:rsid w:val="00C36165"/>
    <w:rsid w:val="00C362A7"/>
    <w:rsid w:val="00C36859"/>
    <w:rsid w:val="00C368C3"/>
    <w:rsid w:val="00C369F0"/>
    <w:rsid w:val="00C36A87"/>
    <w:rsid w:val="00C36B69"/>
    <w:rsid w:val="00C36DC3"/>
    <w:rsid w:val="00C3705E"/>
    <w:rsid w:val="00C37584"/>
    <w:rsid w:val="00C37920"/>
    <w:rsid w:val="00C37AC0"/>
    <w:rsid w:val="00C37CBD"/>
    <w:rsid w:val="00C37F07"/>
    <w:rsid w:val="00C40037"/>
    <w:rsid w:val="00C40084"/>
    <w:rsid w:val="00C40296"/>
    <w:rsid w:val="00C402DE"/>
    <w:rsid w:val="00C4045B"/>
    <w:rsid w:val="00C404BC"/>
    <w:rsid w:val="00C40644"/>
    <w:rsid w:val="00C4075C"/>
    <w:rsid w:val="00C4085D"/>
    <w:rsid w:val="00C40A1E"/>
    <w:rsid w:val="00C40BE3"/>
    <w:rsid w:val="00C40C03"/>
    <w:rsid w:val="00C40CCE"/>
    <w:rsid w:val="00C40CE1"/>
    <w:rsid w:val="00C40D43"/>
    <w:rsid w:val="00C40EC9"/>
    <w:rsid w:val="00C411FF"/>
    <w:rsid w:val="00C41381"/>
    <w:rsid w:val="00C413FC"/>
    <w:rsid w:val="00C41657"/>
    <w:rsid w:val="00C41A7B"/>
    <w:rsid w:val="00C41F27"/>
    <w:rsid w:val="00C423D8"/>
    <w:rsid w:val="00C42778"/>
    <w:rsid w:val="00C42796"/>
    <w:rsid w:val="00C42A57"/>
    <w:rsid w:val="00C42A5F"/>
    <w:rsid w:val="00C42BBD"/>
    <w:rsid w:val="00C42BCD"/>
    <w:rsid w:val="00C42DC2"/>
    <w:rsid w:val="00C42E29"/>
    <w:rsid w:val="00C42F4A"/>
    <w:rsid w:val="00C4309F"/>
    <w:rsid w:val="00C430A6"/>
    <w:rsid w:val="00C4315E"/>
    <w:rsid w:val="00C4322F"/>
    <w:rsid w:val="00C4329D"/>
    <w:rsid w:val="00C4336D"/>
    <w:rsid w:val="00C43392"/>
    <w:rsid w:val="00C433FE"/>
    <w:rsid w:val="00C434C2"/>
    <w:rsid w:val="00C435EB"/>
    <w:rsid w:val="00C4368E"/>
    <w:rsid w:val="00C43841"/>
    <w:rsid w:val="00C4391C"/>
    <w:rsid w:val="00C43E37"/>
    <w:rsid w:val="00C4409C"/>
    <w:rsid w:val="00C44327"/>
    <w:rsid w:val="00C44353"/>
    <w:rsid w:val="00C445AD"/>
    <w:rsid w:val="00C445C6"/>
    <w:rsid w:val="00C44668"/>
    <w:rsid w:val="00C44680"/>
    <w:rsid w:val="00C44707"/>
    <w:rsid w:val="00C44839"/>
    <w:rsid w:val="00C44957"/>
    <w:rsid w:val="00C449F0"/>
    <w:rsid w:val="00C44A39"/>
    <w:rsid w:val="00C44B52"/>
    <w:rsid w:val="00C44B7B"/>
    <w:rsid w:val="00C44CBB"/>
    <w:rsid w:val="00C44E0B"/>
    <w:rsid w:val="00C44FA3"/>
    <w:rsid w:val="00C45485"/>
    <w:rsid w:val="00C45527"/>
    <w:rsid w:val="00C4593A"/>
    <w:rsid w:val="00C45BC6"/>
    <w:rsid w:val="00C45D4A"/>
    <w:rsid w:val="00C45E28"/>
    <w:rsid w:val="00C46027"/>
    <w:rsid w:val="00C460EF"/>
    <w:rsid w:val="00C46142"/>
    <w:rsid w:val="00C46164"/>
    <w:rsid w:val="00C4628B"/>
    <w:rsid w:val="00C462F2"/>
    <w:rsid w:val="00C465AB"/>
    <w:rsid w:val="00C46AC6"/>
    <w:rsid w:val="00C46C56"/>
    <w:rsid w:val="00C46EA5"/>
    <w:rsid w:val="00C46EE9"/>
    <w:rsid w:val="00C4734A"/>
    <w:rsid w:val="00C4742A"/>
    <w:rsid w:val="00C476D3"/>
    <w:rsid w:val="00C47897"/>
    <w:rsid w:val="00C47AFE"/>
    <w:rsid w:val="00C47CDC"/>
    <w:rsid w:val="00C47DEA"/>
    <w:rsid w:val="00C500F3"/>
    <w:rsid w:val="00C5032F"/>
    <w:rsid w:val="00C504D5"/>
    <w:rsid w:val="00C50A18"/>
    <w:rsid w:val="00C50ACF"/>
    <w:rsid w:val="00C50B66"/>
    <w:rsid w:val="00C50D35"/>
    <w:rsid w:val="00C51078"/>
    <w:rsid w:val="00C514D3"/>
    <w:rsid w:val="00C515BF"/>
    <w:rsid w:val="00C5161A"/>
    <w:rsid w:val="00C518DB"/>
    <w:rsid w:val="00C51AD2"/>
    <w:rsid w:val="00C51B4F"/>
    <w:rsid w:val="00C51E77"/>
    <w:rsid w:val="00C5213C"/>
    <w:rsid w:val="00C5232A"/>
    <w:rsid w:val="00C523D7"/>
    <w:rsid w:val="00C5280D"/>
    <w:rsid w:val="00C52A06"/>
    <w:rsid w:val="00C52B2C"/>
    <w:rsid w:val="00C52B53"/>
    <w:rsid w:val="00C52C20"/>
    <w:rsid w:val="00C52DD2"/>
    <w:rsid w:val="00C52DF5"/>
    <w:rsid w:val="00C5309B"/>
    <w:rsid w:val="00C530D2"/>
    <w:rsid w:val="00C53239"/>
    <w:rsid w:val="00C5332E"/>
    <w:rsid w:val="00C53445"/>
    <w:rsid w:val="00C53945"/>
    <w:rsid w:val="00C53986"/>
    <w:rsid w:val="00C53AE8"/>
    <w:rsid w:val="00C53B9D"/>
    <w:rsid w:val="00C53BEA"/>
    <w:rsid w:val="00C542E4"/>
    <w:rsid w:val="00C54306"/>
    <w:rsid w:val="00C544E7"/>
    <w:rsid w:val="00C547EB"/>
    <w:rsid w:val="00C54A36"/>
    <w:rsid w:val="00C54DC5"/>
    <w:rsid w:val="00C54F32"/>
    <w:rsid w:val="00C55037"/>
    <w:rsid w:val="00C551EE"/>
    <w:rsid w:val="00C5591A"/>
    <w:rsid w:val="00C55E3E"/>
    <w:rsid w:val="00C55EE9"/>
    <w:rsid w:val="00C55F35"/>
    <w:rsid w:val="00C55FBE"/>
    <w:rsid w:val="00C561D3"/>
    <w:rsid w:val="00C5646D"/>
    <w:rsid w:val="00C56486"/>
    <w:rsid w:val="00C5654E"/>
    <w:rsid w:val="00C56567"/>
    <w:rsid w:val="00C565B6"/>
    <w:rsid w:val="00C565DE"/>
    <w:rsid w:val="00C566A2"/>
    <w:rsid w:val="00C566C9"/>
    <w:rsid w:val="00C566F4"/>
    <w:rsid w:val="00C5679C"/>
    <w:rsid w:val="00C56989"/>
    <w:rsid w:val="00C569D8"/>
    <w:rsid w:val="00C56D3E"/>
    <w:rsid w:val="00C56DE9"/>
    <w:rsid w:val="00C56E23"/>
    <w:rsid w:val="00C56E24"/>
    <w:rsid w:val="00C56F64"/>
    <w:rsid w:val="00C56F99"/>
    <w:rsid w:val="00C56FA5"/>
    <w:rsid w:val="00C56FC8"/>
    <w:rsid w:val="00C573A3"/>
    <w:rsid w:val="00C57647"/>
    <w:rsid w:val="00C578E7"/>
    <w:rsid w:val="00C57902"/>
    <w:rsid w:val="00C57ABD"/>
    <w:rsid w:val="00C57FE3"/>
    <w:rsid w:val="00C600E4"/>
    <w:rsid w:val="00C60180"/>
    <w:rsid w:val="00C60281"/>
    <w:rsid w:val="00C60296"/>
    <w:rsid w:val="00C60916"/>
    <w:rsid w:val="00C60B4E"/>
    <w:rsid w:val="00C60DBC"/>
    <w:rsid w:val="00C60F3F"/>
    <w:rsid w:val="00C60F41"/>
    <w:rsid w:val="00C60FB8"/>
    <w:rsid w:val="00C61495"/>
    <w:rsid w:val="00C6194B"/>
    <w:rsid w:val="00C619B6"/>
    <w:rsid w:val="00C619C8"/>
    <w:rsid w:val="00C61B1F"/>
    <w:rsid w:val="00C61B2E"/>
    <w:rsid w:val="00C61B9E"/>
    <w:rsid w:val="00C61D19"/>
    <w:rsid w:val="00C61F55"/>
    <w:rsid w:val="00C62411"/>
    <w:rsid w:val="00C6241D"/>
    <w:rsid w:val="00C62424"/>
    <w:rsid w:val="00C625D2"/>
    <w:rsid w:val="00C63366"/>
    <w:rsid w:val="00C637A2"/>
    <w:rsid w:val="00C6380F"/>
    <w:rsid w:val="00C63B69"/>
    <w:rsid w:val="00C63BE6"/>
    <w:rsid w:val="00C640CA"/>
    <w:rsid w:val="00C64216"/>
    <w:rsid w:val="00C645FF"/>
    <w:rsid w:val="00C64717"/>
    <w:rsid w:val="00C647A0"/>
    <w:rsid w:val="00C64A93"/>
    <w:rsid w:val="00C64B6E"/>
    <w:rsid w:val="00C64E1C"/>
    <w:rsid w:val="00C64E60"/>
    <w:rsid w:val="00C64EF0"/>
    <w:rsid w:val="00C65093"/>
    <w:rsid w:val="00C65150"/>
    <w:rsid w:val="00C651E5"/>
    <w:rsid w:val="00C652A7"/>
    <w:rsid w:val="00C65458"/>
    <w:rsid w:val="00C65502"/>
    <w:rsid w:val="00C6556C"/>
    <w:rsid w:val="00C6557E"/>
    <w:rsid w:val="00C655A6"/>
    <w:rsid w:val="00C655E3"/>
    <w:rsid w:val="00C65736"/>
    <w:rsid w:val="00C65D6D"/>
    <w:rsid w:val="00C6610C"/>
    <w:rsid w:val="00C6635E"/>
    <w:rsid w:val="00C664C7"/>
    <w:rsid w:val="00C66716"/>
    <w:rsid w:val="00C66719"/>
    <w:rsid w:val="00C66AF5"/>
    <w:rsid w:val="00C66BF4"/>
    <w:rsid w:val="00C6706C"/>
    <w:rsid w:val="00C67082"/>
    <w:rsid w:val="00C6752C"/>
    <w:rsid w:val="00C676F5"/>
    <w:rsid w:val="00C67812"/>
    <w:rsid w:val="00C67840"/>
    <w:rsid w:val="00C67CB4"/>
    <w:rsid w:val="00C67D6D"/>
    <w:rsid w:val="00C67DFA"/>
    <w:rsid w:val="00C70007"/>
    <w:rsid w:val="00C7055C"/>
    <w:rsid w:val="00C705EA"/>
    <w:rsid w:val="00C709AA"/>
    <w:rsid w:val="00C709F4"/>
    <w:rsid w:val="00C70B4C"/>
    <w:rsid w:val="00C70C14"/>
    <w:rsid w:val="00C70D63"/>
    <w:rsid w:val="00C70FBE"/>
    <w:rsid w:val="00C71122"/>
    <w:rsid w:val="00C71515"/>
    <w:rsid w:val="00C717E8"/>
    <w:rsid w:val="00C71E0B"/>
    <w:rsid w:val="00C71EF4"/>
    <w:rsid w:val="00C71F83"/>
    <w:rsid w:val="00C7214E"/>
    <w:rsid w:val="00C72181"/>
    <w:rsid w:val="00C724D3"/>
    <w:rsid w:val="00C72902"/>
    <w:rsid w:val="00C72A47"/>
    <w:rsid w:val="00C72A9D"/>
    <w:rsid w:val="00C72C63"/>
    <w:rsid w:val="00C72C7D"/>
    <w:rsid w:val="00C72CB7"/>
    <w:rsid w:val="00C72E4A"/>
    <w:rsid w:val="00C73042"/>
    <w:rsid w:val="00C73246"/>
    <w:rsid w:val="00C735B4"/>
    <w:rsid w:val="00C7381C"/>
    <w:rsid w:val="00C73B7D"/>
    <w:rsid w:val="00C73CE0"/>
    <w:rsid w:val="00C73FAF"/>
    <w:rsid w:val="00C74538"/>
    <w:rsid w:val="00C74613"/>
    <w:rsid w:val="00C74700"/>
    <w:rsid w:val="00C74751"/>
    <w:rsid w:val="00C74766"/>
    <w:rsid w:val="00C74985"/>
    <w:rsid w:val="00C74BB5"/>
    <w:rsid w:val="00C75128"/>
    <w:rsid w:val="00C7525F"/>
    <w:rsid w:val="00C752A7"/>
    <w:rsid w:val="00C752C1"/>
    <w:rsid w:val="00C752E2"/>
    <w:rsid w:val="00C756B9"/>
    <w:rsid w:val="00C756EF"/>
    <w:rsid w:val="00C75A33"/>
    <w:rsid w:val="00C75E9E"/>
    <w:rsid w:val="00C76001"/>
    <w:rsid w:val="00C761FD"/>
    <w:rsid w:val="00C76542"/>
    <w:rsid w:val="00C7689C"/>
    <w:rsid w:val="00C769B1"/>
    <w:rsid w:val="00C76A86"/>
    <w:rsid w:val="00C76B7F"/>
    <w:rsid w:val="00C76C5E"/>
    <w:rsid w:val="00C76F2A"/>
    <w:rsid w:val="00C771A1"/>
    <w:rsid w:val="00C7722B"/>
    <w:rsid w:val="00C77417"/>
    <w:rsid w:val="00C77437"/>
    <w:rsid w:val="00C7783D"/>
    <w:rsid w:val="00C77949"/>
    <w:rsid w:val="00C779E8"/>
    <w:rsid w:val="00C77D80"/>
    <w:rsid w:val="00C8012A"/>
    <w:rsid w:val="00C802FA"/>
    <w:rsid w:val="00C8038C"/>
    <w:rsid w:val="00C8045A"/>
    <w:rsid w:val="00C804DC"/>
    <w:rsid w:val="00C806DA"/>
    <w:rsid w:val="00C80850"/>
    <w:rsid w:val="00C8097D"/>
    <w:rsid w:val="00C80D99"/>
    <w:rsid w:val="00C80EE1"/>
    <w:rsid w:val="00C81095"/>
    <w:rsid w:val="00C8119D"/>
    <w:rsid w:val="00C81331"/>
    <w:rsid w:val="00C81343"/>
    <w:rsid w:val="00C8145F"/>
    <w:rsid w:val="00C8166F"/>
    <w:rsid w:val="00C816A5"/>
    <w:rsid w:val="00C81CF7"/>
    <w:rsid w:val="00C81DEC"/>
    <w:rsid w:val="00C820FF"/>
    <w:rsid w:val="00C825F9"/>
    <w:rsid w:val="00C82651"/>
    <w:rsid w:val="00C82744"/>
    <w:rsid w:val="00C827C5"/>
    <w:rsid w:val="00C828DD"/>
    <w:rsid w:val="00C82958"/>
    <w:rsid w:val="00C829BA"/>
    <w:rsid w:val="00C829FC"/>
    <w:rsid w:val="00C82A87"/>
    <w:rsid w:val="00C82DF6"/>
    <w:rsid w:val="00C82F5D"/>
    <w:rsid w:val="00C83426"/>
    <w:rsid w:val="00C834FC"/>
    <w:rsid w:val="00C83576"/>
    <w:rsid w:val="00C836B0"/>
    <w:rsid w:val="00C8371E"/>
    <w:rsid w:val="00C8378C"/>
    <w:rsid w:val="00C83CD8"/>
    <w:rsid w:val="00C83CDE"/>
    <w:rsid w:val="00C840A5"/>
    <w:rsid w:val="00C8421C"/>
    <w:rsid w:val="00C844D1"/>
    <w:rsid w:val="00C844E6"/>
    <w:rsid w:val="00C84510"/>
    <w:rsid w:val="00C84605"/>
    <w:rsid w:val="00C84631"/>
    <w:rsid w:val="00C846F3"/>
    <w:rsid w:val="00C8478C"/>
    <w:rsid w:val="00C84A36"/>
    <w:rsid w:val="00C84AA3"/>
    <w:rsid w:val="00C84E2D"/>
    <w:rsid w:val="00C84F6E"/>
    <w:rsid w:val="00C85024"/>
    <w:rsid w:val="00C852C4"/>
    <w:rsid w:val="00C853DD"/>
    <w:rsid w:val="00C8561B"/>
    <w:rsid w:val="00C85900"/>
    <w:rsid w:val="00C85A8C"/>
    <w:rsid w:val="00C85D01"/>
    <w:rsid w:val="00C85FE5"/>
    <w:rsid w:val="00C86061"/>
    <w:rsid w:val="00C860DE"/>
    <w:rsid w:val="00C861D2"/>
    <w:rsid w:val="00C862B2"/>
    <w:rsid w:val="00C86406"/>
    <w:rsid w:val="00C865F5"/>
    <w:rsid w:val="00C867C5"/>
    <w:rsid w:val="00C86B68"/>
    <w:rsid w:val="00C86FE5"/>
    <w:rsid w:val="00C870B1"/>
    <w:rsid w:val="00C87743"/>
    <w:rsid w:val="00C87BF3"/>
    <w:rsid w:val="00C90456"/>
    <w:rsid w:val="00C904DF"/>
    <w:rsid w:val="00C907D7"/>
    <w:rsid w:val="00C90801"/>
    <w:rsid w:val="00C910C9"/>
    <w:rsid w:val="00C9131A"/>
    <w:rsid w:val="00C91D59"/>
    <w:rsid w:val="00C91F17"/>
    <w:rsid w:val="00C91F61"/>
    <w:rsid w:val="00C920E1"/>
    <w:rsid w:val="00C92231"/>
    <w:rsid w:val="00C92322"/>
    <w:rsid w:val="00C9275B"/>
    <w:rsid w:val="00C927A1"/>
    <w:rsid w:val="00C927A4"/>
    <w:rsid w:val="00C927D4"/>
    <w:rsid w:val="00C92C29"/>
    <w:rsid w:val="00C92C71"/>
    <w:rsid w:val="00C92D66"/>
    <w:rsid w:val="00C92E00"/>
    <w:rsid w:val="00C9313D"/>
    <w:rsid w:val="00C933D7"/>
    <w:rsid w:val="00C935B6"/>
    <w:rsid w:val="00C935BD"/>
    <w:rsid w:val="00C9369A"/>
    <w:rsid w:val="00C93C71"/>
    <w:rsid w:val="00C93D04"/>
    <w:rsid w:val="00C94147"/>
    <w:rsid w:val="00C94262"/>
    <w:rsid w:val="00C9427C"/>
    <w:rsid w:val="00C94558"/>
    <w:rsid w:val="00C9484D"/>
    <w:rsid w:val="00C948E8"/>
    <w:rsid w:val="00C9492D"/>
    <w:rsid w:val="00C94B28"/>
    <w:rsid w:val="00C94B86"/>
    <w:rsid w:val="00C95299"/>
    <w:rsid w:val="00C952F6"/>
    <w:rsid w:val="00C95323"/>
    <w:rsid w:val="00C9558E"/>
    <w:rsid w:val="00C95599"/>
    <w:rsid w:val="00C958BA"/>
    <w:rsid w:val="00C95AA2"/>
    <w:rsid w:val="00C95AAC"/>
    <w:rsid w:val="00C95AC3"/>
    <w:rsid w:val="00C95AE5"/>
    <w:rsid w:val="00C95D22"/>
    <w:rsid w:val="00C95F83"/>
    <w:rsid w:val="00C9610D"/>
    <w:rsid w:val="00C96129"/>
    <w:rsid w:val="00C9616F"/>
    <w:rsid w:val="00C961F5"/>
    <w:rsid w:val="00C962B1"/>
    <w:rsid w:val="00C9676B"/>
    <w:rsid w:val="00C9681C"/>
    <w:rsid w:val="00C96AA9"/>
    <w:rsid w:val="00C96B0B"/>
    <w:rsid w:val="00C96D37"/>
    <w:rsid w:val="00C970AF"/>
    <w:rsid w:val="00C970F0"/>
    <w:rsid w:val="00C972E1"/>
    <w:rsid w:val="00C97438"/>
    <w:rsid w:val="00C97564"/>
    <w:rsid w:val="00C975CC"/>
    <w:rsid w:val="00C97707"/>
    <w:rsid w:val="00C9797C"/>
    <w:rsid w:val="00C97AB9"/>
    <w:rsid w:val="00C97BC6"/>
    <w:rsid w:val="00C97CE1"/>
    <w:rsid w:val="00C97FB9"/>
    <w:rsid w:val="00CA014C"/>
    <w:rsid w:val="00CA01B7"/>
    <w:rsid w:val="00CA02FE"/>
    <w:rsid w:val="00CA04E9"/>
    <w:rsid w:val="00CA075E"/>
    <w:rsid w:val="00CA083C"/>
    <w:rsid w:val="00CA0AAD"/>
    <w:rsid w:val="00CA10CE"/>
    <w:rsid w:val="00CA12BA"/>
    <w:rsid w:val="00CA12F9"/>
    <w:rsid w:val="00CA134B"/>
    <w:rsid w:val="00CA138C"/>
    <w:rsid w:val="00CA1601"/>
    <w:rsid w:val="00CA1A86"/>
    <w:rsid w:val="00CA1D64"/>
    <w:rsid w:val="00CA20AA"/>
    <w:rsid w:val="00CA20E1"/>
    <w:rsid w:val="00CA2308"/>
    <w:rsid w:val="00CA240F"/>
    <w:rsid w:val="00CA24B2"/>
    <w:rsid w:val="00CA261B"/>
    <w:rsid w:val="00CA2ABC"/>
    <w:rsid w:val="00CA2BAA"/>
    <w:rsid w:val="00CA2F9D"/>
    <w:rsid w:val="00CA301D"/>
    <w:rsid w:val="00CA319F"/>
    <w:rsid w:val="00CA3315"/>
    <w:rsid w:val="00CA3932"/>
    <w:rsid w:val="00CA3A58"/>
    <w:rsid w:val="00CA3A9F"/>
    <w:rsid w:val="00CA3B39"/>
    <w:rsid w:val="00CA400F"/>
    <w:rsid w:val="00CA42BF"/>
    <w:rsid w:val="00CA43E2"/>
    <w:rsid w:val="00CA4407"/>
    <w:rsid w:val="00CA4769"/>
    <w:rsid w:val="00CA48AC"/>
    <w:rsid w:val="00CA4A98"/>
    <w:rsid w:val="00CA4F5C"/>
    <w:rsid w:val="00CA50AB"/>
    <w:rsid w:val="00CA55FA"/>
    <w:rsid w:val="00CA560A"/>
    <w:rsid w:val="00CA5678"/>
    <w:rsid w:val="00CA587E"/>
    <w:rsid w:val="00CA58E0"/>
    <w:rsid w:val="00CA5AD3"/>
    <w:rsid w:val="00CA5D69"/>
    <w:rsid w:val="00CA5F0C"/>
    <w:rsid w:val="00CA6008"/>
    <w:rsid w:val="00CA62F8"/>
    <w:rsid w:val="00CA67B9"/>
    <w:rsid w:val="00CA6B99"/>
    <w:rsid w:val="00CA6DC6"/>
    <w:rsid w:val="00CA731A"/>
    <w:rsid w:val="00CA74C0"/>
    <w:rsid w:val="00CA75FE"/>
    <w:rsid w:val="00CA798A"/>
    <w:rsid w:val="00CA7E35"/>
    <w:rsid w:val="00CA7F37"/>
    <w:rsid w:val="00CB0095"/>
    <w:rsid w:val="00CB00BA"/>
    <w:rsid w:val="00CB01C6"/>
    <w:rsid w:val="00CB0238"/>
    <w:rsid w:val="00CB075B"/>
    <w:rsid w:val="00CB08FE"/>
    <w:rsid w:val="00CB0BD1"/>
    <w:rsid w:val="00CB0D1D"/>
    <w:rsid w:val="00CB1018"/>
    <w:rsid w:val="00CB1360"/>
    <w:rsid w:val="00CB149A"/>
    <w:rsid w:val="00CB16F3"/>
    <w:rsid w:val="00CB18F4"/>
    <w:rsid w:val="00CB19B6"/>
    <w:rsid w:val="00CB1A96"/>
    <w:rsid w:val="00CB1D73"/>
    <w:rsid w:val="00CB1FD2"/>
    <w:rsid w:val="00CB23DF"/>
    <w:rsid w:val="00CB2730"/>
    <w:rsid w:val="00CB285D"/>
    <w:rsid w:val="00CB2994"/>
    <w:rsid w:val="00CB2A18"/>
    <w:rsid w:val="00CB2A55"/>
    <w:rsid w:val="00CB2CEB"/>
    <w:rsid w:val="00CB2D12"/>
    <w:rsid w:val="00CB2D45"/>
    <w:rsid w:val="00CB2E86"/>
    <w:rsid w:val="00CB2F90"/>
    <w:rsid w:val="00CB308F"/>
    <w:rsid w:val="00CB31AF"/>
    <w:rsid w:val="00CB31FF"/>
    <w:rsid w:val="00CB332E"/>
    <w:rsid w:val="00CB33FA"/>
    <w:rsid w:val="00CB374E"/>
    <w:rsid w:val="00CB3B71"/>
    <w:rsid w:val="00CB3C9B"/>
    <w:rsid w:val="00CB3E83"/>
    <w:rsid w:val="00CB3ECC"/>
    <w:rsid w:val="00CB3F99"/>
    <w:rsid w:val="00CB4051"/>
    <w:rsid w:val="00CB4089"/>
    <w:rsid w:val="00CB4620"/>
    <w:rsid w:val="00CB4625"/>
    <w:rsid w:val="00CB4647"/>
    <w:rsid w:val="00CB47BB"/>
    <w:rsid w:val="00CB489D"/>
    <w:rsid w:val="00CB4A8D"/>
    <w:rsid w:val="00CB4C02"/>
    <w:rsid w:val="00CB4C07"/>
    <w:rsid w:val="00CB4EE9"/>
    <w:rsid w:val="00CB4F16"/>
    <w:rsid w:val="00CB500D"/>
    <w:rsid w:val="00CB5050"/>
    <w:rsid w:val="00CB52CB"/>
    <w:rsid w:val="00CB53A6"/>
    <w:rsid w:val="00CB545C"/>
    <w:rsid w:val="00CB56CB"/>
    <w:rsid w:val="00CB593E"/>
    <w:rsid w:val="00CB5B0C"/>
    <w:rsid w:val="00CB62A8"/>
    <w:rsid w:val="00CB646D"/>
    <w:rsid w:val="00CB6FBB"/>
    <w:rsid w:val="00CB70DB"/>
    <w:rsid w:val="00CB7470"/>
    <w:rsid w:val="00CB76EB"/>
    <w:rsid w:val="00CB7901"/>
    <w:rsid w:val="00CB7ACF"/>
    <w:rsid w:val="00CB7C0A"/>
    <w:rsid w:val="00CB7CE1"/>
    <w:rsid w:val="00CB7F1A"/>
    <w:rsid w:val="00CB7F97"/>
    <w:rsid w:val="00CC0081"/>
    <w:rsid w:val="00CC0096"/>
    <w:rsid w:val="00CC05E8"/>
    <w:rsid w:val="00CC062E"/>
    <w:rsid w:val="00CC0826"/>
    <w:rsid w:val="00CC08D3"/>
    <w:rsid w:val="00CC0A23"/>
    <w:rsid w:val="00CC0AEB"/>
    <w:rsid w:val="00CC0D7B"/>
    <w:rsid w:val="00CC0E1B"/>
    <w:rsid w:val="00CC11A9"/>
    <w:rsid w:val="00CC120C"/>
    <w:rsid w:val="00CC14C5"/>
    <w:rsid w:val="00CC159B"/>
    <w:rsid w:val="00CC18F8"/>
    <w:rsid w:val="00CC1D97"/>
    <w:rsid w:val="00CC1D99"/>
    <w:rsid w:val="00CC2283"/>
    <w:rsid w:val="00CC235C"/>
    <w:rsid w:val="00CC24AF"/>
    <w:rsid w:val="00CC29A2"/>
    <w:rsid w:val="00CC2BC9"/>
    <w:rsid w:val="00CC2FD6"/>
    <w:rsid w:val="00CC31E3"/>
    <w:rsid w:val="00CC34AB"/>
    <w:rsid w:val="00CC35C1"/>
    <w:rsid w:val="00CC35D5"/>
    <w:rsid w:val="00CC35DE"/>
    <w:rsid w:val="00CC3A37"/>
    <w:rsid w:val="00CC3BA0"/>
    <w:rsid w:val="00CC4084"/>
    <w:rsid w:val="00CC4183"/>
    <w:rsid w:val="00CC4271"/>
    <w:rsid w:val="00CC44C6"/>
    <w:rsid w:val="00CC4729"/>
    <w:rsid w:val="00CC47F7"/>
    <w:rsid w:val="00CC4A00"/>
    <w:rsid w:val="00CC4CA4"/>
    <w:rsid w:val="00CC508C"/>
    <w:rsid w:val="00CC519F"/>
    <w:rsid w:val="00CC51E5"/>
    <w:rsid w:val="00CC521F"/>
    <w:rsid w:val="00CC56C9"/>
    <w:rsid w:val="00CC5B81"/>
    <w:rsid w:val="00CC5DAC"/>
    <w:rsid w:val="00CC5F12"/>
    <w:rsid w:val="00CC5F9D"/>
    <w:rsid w:val="00CC6143"/>
    <w:rsid w:val="00CC693D"/>
    <w:rsid w:val="00CC6D8D"/>
    <w:rsid w:val="00CC7055"/>
    <w:rsid w:val="00CC7292"/>
    <w:rsid w:val="00CC738D"/>
    <w:rsid w:val="00CC766D"/>
    <w:rsid w:val="00CC76D5"/>
    <w:rsid w:val="00CC7717"/>
    <w:rsid w:val="00CC7767"/>
    <w:rsid w:val="00CC7AC1"/>
    <w:rsid w:val="00CC7D4F"/>
    <w:rsid w:val="00CC7DFA"/>
    <w:rsid w:val="00CD00DE"/>
    <w:rsid w:val="00CD0245"/>
    <w:rsid w:val="00CD0729"/>
    <w:rsid w:val="00CD0848"/>
    <w:rsid w:val="00CD0BE5"/>
    <w:rsid w:val="00CD0E19"/>
    <w:rsid w:val="00CD0E28"/>
    <w:rsid w:val="00CD0EC6"/>
    <w:rsid w:val="00CD0F78"/>
    <w:rsid w:val="00CD1537"/>
    <w:rsid w:val="00CD15E6"/>
    <w:rsid w:val="00CD172D"/>
    <w:rsid w:val="00CD178A"/>
    <w:rsid w:val="00CD17C2"/>
    <w:rsid w:val="00CD1955"/>
    <w:rsid w:val="00CD1BAF"/>
    <w:rsid w:val="00CD1F23"/>
    <w:rsid w:val="00CD1F29"/>
    <w:rsid w:val="00CD21B9"/>
    <w:rsid w:val="00CD2821"/>
    <w:rsid w:val="00CD2B5F"/>
    <w:rsid w:val="00CD2C46"/>
    <w:rsid w:val="00CD2E8E"/>
    <w:rsid w:val="00CD3130"/>
    <w:rsid w:val="00CD319E"/>
    <w:rsid w:val="00CD3412"/>
    <w:rsid w:val="00CD347C"/>
    <w:rsid w:val="00CD34E2"/>
    <w:rsid w:val="00CD38E1"/>
    <w:rsid w:val="00CD3AA4"/>
    <w:rsid w:val="00CD3CAB"/>
    <w:rsid w:val="00CD3CD6"/>
    <w:rsid w:val="00CD3D20"/>
    <w:rsid w:val="00CD403F"/>
    <w:rsid w:val="00CD4799"/>
    <w:rsid w:val="00CD4B70"/>
    <w:rsid w:val="00CD4C0F"/>
    <w:rsid w:val="00CD4D7E"/>
    <w:rsid w:val="00CD4F55"/>
    <w:rsid w:val="00CD5046"/>
    <w:rsid w:val="00CD536B"/>
    <w:rsid w:val="00CD5C5A"/>
    <w:rsid w:val="00CD5C6E"/>
    <w:rsid w:val="00CD6009"/>
    <w:rsid w:val="00CD6255"/>
    <w:rsid w:val="00CD6318"/>
    <w:rsid w:val="00CD6360"/>
    <w:rsid w:val="00CD660F"/>
    <w:rsid w:val="00CD66E4"/>
    <w:rsid w:val="00CD6754"/>
    <w:rsid w:val="00CD6B70"/>
    <w:rsid w:val="00CD6CED"/>
    <w:rsid w:val="00CD70C5"/>
    <w:rsid w:val="00CD725E"/>
    <w:rsid w:val="00CD7328"/>
    <w:rsid w:val="00CD74AF"/>
    <w:rsid w:val="00CD7894"/>
    <w:rsid w:val="00CD7ACC"/>
    <w:rsid w:val="00CD7B9F"/>
    <w:rsid w:val="00CD7E66"/>
    <w:rsid w:val="00CE00CD"/>
    <w:rsid w:val="00CE0D0B"/>
    <w:rsid w:val="00CE0D0C"/>
    <w:rsid w:val="00CE0DE7"/>
    <w:rsid w:val="00CE0F1B"/>
    <w:rsid w:val="00CE1350"/>
    <w:rsid w:val="00CE1698"/>
    <w:rsid w:val="00CE1AAD"/>
    <w:rsid w:val="00CE1BEC"/>
    <w:rsid w:val="00CE1D06"/>
    <w:rsid w:val="00CE1D17"/>
    <w:rsid w:val="00CE1D83"/>
    <w:rsid w:val="00CE1F05"/>
    <w:rsid w:val="00CE1FD2"/>
    <w:rsid w:val="00CE2037"/>
    <w:rsid w:val="00CE211F"/>
    <w:rsid w:val="00CE2570"/>
    <w:rsid w:val="00CE2864"/>
    <w:rsid w:val="00CE2875"/>
    <w:rsid w:val="00CE2AAA"/>
    <w:rsid w:val="00CE2B28"/>
    <w:rsid w:val="00CE2F57"/>
    <w:rsid w:val="00CE2FFA"/>
    <w:rsid w:val="00CE30F6"/>
    <w:rsid w:val="00CE31E8"/>
    <w:rsid w:val="00CE3353"/>
    <w:rsid w:val="00CE33AD"/>
    <w:rsid w:val="00CE365A"/>
    <w:rsid w:val="00CE3679"/>
    <w:rsid w:val="00CE39B3"/>
    <w:rsid w:val="00CE3F26"/>
    <w:rsid w:val="00CE3F6F"/>
    <w:rsid w:val="00CE42FD"/>
    <w:rsid w:val="00CE43DF"/>
    <w:rsid w:val="00CE44A8"/>
    <w:rsid w:val="00CE46BB"/>
    <w:rsid w:val="00CE4840"/>
    <w:rsid w:val="00CE4AC3"/>
    <w:rsid w:val="00CE4C4A"/>
    <w:rsid w:val="00CE4C94"/>
    <w:rsid w:val="00CE52AB"/>
    <w:rsid w:val="00CE55BD"/>
    <w:rsid w:val="00CE5612"/>
    <w:rsid w:val="00CE57D0"/>
    <w:rsid w:val="00CE5882"/>
    <w:rsid w:val="00CE5928"/>
    <w:rsid w:val="00CE5AD3"/>
    <w:rsid w:val="00CE5B67"/>
    <w:rsid w:val="00CE5FAF"/>
    <w:rsid w:val="00CE6048"/>
    <w:rsid w:val="00CE60E5"/>
    <w:rsid w:val="00CE61D3"/>
    <w:rsid w:val="00CE623B"/>
    <w:rsid w:val="00CE62F0"/>
    <w:rsid w:val="00CE630A"/>
    <w:rsid w:val="00CE64B1"/>
    <w:rsid w:val="00CE6616"/>
    <w:rsid w:val="00CE6644"/>
    <w:rsid w:val="00CE673E"/>
    <w:rsid w:val="00CE6BDD"/>
    <w:rsid w:val="00CE6C6F"/>
    <w:rsid w:val="00CE6C9B"/>
    <w:rsid w:val="00CE6DB9"/>
    <w:rsid w:val="00CE6FCC"/>
    <w:rsid w:val="00CE7427"/>
    <w:rsid w:val="00CE763B"/>
    <w:rsid w:val="00CE76F5"/>
    <w:rsid w:val="00CE77AB"/>
    <w:rsid w:val="00CE786F"/>
    <w:rsid w:val="00CE789B"/>
    <w:rsid w:val="00CE7DC6"/>
    <w:rsid w:val="00CE7DFC"/>
    <w:rsid w:val="00CE7E28"/>
    <w:rsid w:val="00CE7EA6"/>
    <w:rsid w:val="00CE7F3A"/>
    <w:rsid w:val="00CF0042"/>
    <w:rsid w:val="00CF025C"/>
    <w:rsid w:val="00CF05DB"/>
    <w:rsid w:val="00CF0946"/>
    <w:rsid w:val="00CF09F1"/>
    <w:rsid w:val="00CF0C07"/>
    <w:rsid w:val="00CF0DD1"/>
    <w:rsid w:val="00CF0E7D"/>
    <w:rsid w:val="00CF0FA2"/>
    <w:rsid w:val="00CF121D"/>
    <w:rsid w:val="00CF13AD"/>
    <w:rsid w:val="00CF142E"/>
    <w:rsid w:val="00CF146C"/>
    <w:rsid w:val="00CF15A5"/>
    <w:rsid w:val="00CF18FE"/>
    <w:rsid w:val="00CF1BE1"/>
    <w:rsid w:val="00CF241B"/>
    <w:rsid w:val="00CF247D"/>
    <w:rsid w:val="00CF2BA6"/>
    <w:rsid w:val="00CF2D3A"/>
    <w:rsid w:val="00CF2E39"/>
    <w:rsid w:val="00CF2E6C"/>
    <w:rsid w:val="00CF2F4D"/>
    <w:rsid w:val="00CF3115"/>
    <w:rsid w:val="00CF313F"/>
    <w:rsid w:val="00CF3556"/>
    <w:rsid w:val="00CF35B4"/>
    <w:rsid w:val="00CF3636"/>
    <w:rsid w:val="00CF369D"/>
    <w:rsid w:val="00CF3C54"/>
    <w:rsid w:val="00CF4100"/>
    <w:rsid w:val="00CF4240"/>
    <w:rsid w:val="00CF442F"/>
    <w:rsid w:val="00CF4BBD"/>
    <w:rsid w:val="00CF4E18"/>
    <w:rsid w:val="00CF4E98"/>
    <w:rsid w:val="00CF5099"/>
    <w:rsid w:val="00CF5474"/>
    <w:rsid w:val="00CF5966"/>
    <w:rsid w:val="00CF5AB9"/>
    <w:rsid w:val="00CF5D09"/>
    <w:rsid w:val="00CF5D0C"/>
    <w:rsid w:val="00CF5F13"/>
    <w:rsid w:val="00CF5F6F"/>
    <w:rsid w:val="00CF6890"/>
    <w:rsid w:val="00CF7254"/>
    <w:rsid w:val="00CF750E"/>
    <w:rsid w:val="00CF768C"/>
    <w:rsid w:val="00CF7A72"/>
    <w:rsid w:val="00D000A6"/>
    <w:rsid w:val="00D0013F"/>
    <w:rsid w:val="00D0033F"/>
    <w:rsid w:val="00D00354"/>
    <w:rsid w:val="00D00873"/>
    <w:rsid w:val="00D0094C"/>
    <w:rsid w:val="00D00D5B"/>
    <w:rsid w:val="00D00FC9"/>
    <w:rsid w:val="00D010B4"/>
    <w:rsid w:val="00D012E0"/>
    <w:rsid w:val="00D0135A"/>
    <w:rsid w:val="00D014DE"/>
    <w:rsid w:val="00D01726"/>
    <w:rsid w:val="00D0177E"/>
    <w:rsid w:val="00D01938"/>
    <w:rsid w:val="00D01A3C"/>
    <w:rsid w:val="00D01A87"/>
    <w:rsid w:val="00D01BCD"/>
    <w:rsid w:val="00D022EE"/>
    <w:rsid w:val="00D02315"/>
    <w:rsid w:val="00D02562"/>
    <w:rsid w:val="00D02690"/>
    <w:rsid w:val="00D026A4"/>
    <w:rsid w:val="00D02707"/>
    <w:rsid w:val="00D03087"/>
    <w:rsid w:val="00D0330B"/>
    <w:rsid w:val="00D03362"/>
    <w:rsid w:val="00D033C4"/>
    <w:rsid w:val="00D033CD"/>
    <w:rsid w:val="00D0353E"/>
    <w:rsid w:val="00D03E37"/>
    <w:rsid w:val="00D03FC6"/>
    <w:rsid w:val="00D042BD"/>
    <w:rsid w:val="00D048F2"/>
    <w:rsid w:val="00D04BD7"/>
    <w:rsid w:val="00D04EBF"/>
    <w:rsid w:val="00D05664"/>
    <w:rsid w:val="00D0579E"/>
    <w:rsid w:val="00D05BB1"/>
    <w:rsid w:val="00D05E6E"/>
    <w:rsid w:val="00D05F58"/>
    <w:rsid w:val="00D063D1"/>
    <w:rsid w:val="00D069F6"/>
    <w:rsid w:val="00D06B73"/>
    <w:rsid w:val="00D06CF1"/>
    <w:rsid w:val="00D06F02"/>
    <w:rsid w:val="00D06FC1"/>
    <w:rsid w:val="00D07330"/>
    <w:rsid w:val="00D07416"/>
    <w:rsid w:val="00D075D6"/>
    <w:rsid w:val="00D076A3"/>
    <w:rsid w:val="00D07E76"/>
    <w:rsid w:val="00D07E9A"/>
    <w:rsid w:val="00D100DB"/>
    <w:rsid w:val="00D10134"/>
    <w:rsid w:val="00D10C81"/>
    <w:rsid w:val="00D10C96"/>
    <w:rsid w:val="00D10CA3"/>
    <w:rsid w:val="00D10D20"/>
    <w:rsid w:val="00D10F38"/>
    <w:rsid w:val="00D1127B"/>
    <w:rsid w:val="00D116D6"/>
    <w:rsid w:val="00D1194B"/>
    <w:rsid w:val="00D12073"/>
    <w:rsid w:val="00D12358"/>
    <w:rsid w:val="00D12414"/>
    <w:rsid w:val="00D12635"/>
    <w:rsid w:val="00D1281A"/>
    <w:rsid w:val="00D12852"/>
    <w:rsid w:val="00D12A89"/>
    <w:rsid w:val="00D12AB7"/>
    <w:rsid w:val="00D12CFF"/>
    <w:rsid w:val="00D12E34"/>
    <w:rsid w:val="00D12F7B"/>
    <w:rsid w:val="00D12F9A"/>
    <w:rsid w:val="00D1304F"/>
    <w:rsid w:val="00D131DF"/>
    <w:rsid w:val="00D13C04"/>
    <w:rsid w:val="00D1410D"/>
    <w:rsid w:val="00D148AF"/>
    <w:rsid w:val="00D1498C"/>
    <w:rsid w:val="00D1498D"/>
    <w:rsid w:val="00D14A08"/>
    <w:rsid w:val="00D14A2A"/>
    <w:rsid w:val="00D14A53"/>
    <w:rsid w:val="00D14B1D"/>
    <w:rsid w:val="00D15693"/>
    <w:rsid w:val="00D15874"/>
    <w:rsid w:val="00D158AA"/>
    <w:rsid w:val="00D15A9C"/>
    <w:rsid w:val="00D1603F"/>
    <w:rsid w:val="00D16144"/>
    <w:rsid w:val="00D16408"/>
    <w:rsid w:val="00D166A9"/>
    <w:rsid w:val="00D166F3"/>
    <w:rsid w:val="00D16866"/>
    <w:rsid w:val="00D16AFB"/>
    <w:rsid w:val="00D16C11"/>
    <w:rsid w:val="00D1715E"/>
    <w:rsid w:val="00D171FC"/>
    <w:rsid w:val="00D17939"/>
    <w:rsid w:val="00D179A0"/>
    <w:rsid w:val="00D17C55"/>
    <w:rsid w:val="00D17E77"/>
    <w:rsid w:val="00D17FE3"/>
    <w:rsid w:val="00D20607"/>
    <w:rsid w:val="00D2070F"/>
    <w:rsid w:val="00D207DC"/>
    <w:rsid w:val="00D20867"/>
    <w:rsid w:val="00D209FD"/>
    <w:rsid w:val="00D20A43"/>
    <w:rsid w:val="00D20A8B"/>
    <w:rsid w:val="00D20D65"/>
    <w:rsid w:val="00D20D67"/>
    <w:rsid w:val="00D20F06"/>
    <w:rsid w:val="00D2101A"/>
    <w:rsid w:val="00D2127D"/>
    <w:rsid w:val="00D212C1"/>
    <w:rsid w:val="00D21589"/>
    <w:rsid w:val="00D2170B"/>
    <w:rsid w:val="00D21874"/>
    <w:rsid w:val="00D219FB"/>
    <w:rsid w:val="00D22096"/>
    <w:rsid w:val="00D220AD"/>
    <w:rsid w:val="00D22491"/>
    <w:rsid w:val="00D227B9"/>
    <w:rsid w:val="00D2290E"/>
    <w:rsid w:val="00D229C3"/>
    <w:rsid w:val="00D22AA5"/>
    <w:rsid w:val="00D22CAA"/>
    <w:rsid w:val="00D22F7F"/>
    <w:rsid w:val="00D239D2"/>
    <w:rsid w:val="00D23CA9"/>
    <w:rsid w:val="00D23DF2"/>
    <w:rsid w:val="00D23FAD"/>
    <w:rsid w:val="00D24061"/>
    <w:rsid w:val="00D24138"/>
    <w:rsid w:val="00D241FC"/>
    <w:rsid w:val="00D24226"/>
    <w:rsid w:val="00D2425A"/>
    <w:rsid w:val="00D24563"/>
    <w:rsid w:val="00D245C6"/>
    <w:rsid w:val="00D24614"/>
    <w:rsid w:val="00D2465A"/>
    <w:rsid w:val="00D24963"/>
    <w:rsid w:val="00D24AAD"/>
    <w:rsid w:val="00D24ABB"/>
    <w:rsid w:val="00D24DBD"/>
    <w:rsid w:val="00D24F9F"/>
    <w:rsid w:val="00D25133"/>
    <w:rsid w:val="00D257B6"/>
    <w:rsid w:val="00D2589A"/>
    <w:rsid w:val="00D259D3"/>
    <w:rsid w:val="00D25D0D"/>
    <w:rsid w:val="00D25DA7"/>
    <w:rsid w:val="00D2607F"/>
    <w:rsid w:val="00D269BC"/>
    <w:rsid w:val="00D26E57"/>
    <w:rsid w:val="00D26E88"/>
    <w:rsid w:val="00D270DD"/>
    <w:rsid w:val="00D27202"/>
    <w:rsid w:val="00D273D4"/>
    <w:rsid w:val="00D2755E"/>
    <w:rsid w:val="00D275C9"/>
    <w:rsid w:val="00D275DB"/>
    <w:rsid w:val="00D278D3"/>
    <w:rsid w:val="00D27998"/>
    <w:rsid w:val="00D27A14"/>
    <w:rsid w:val="00D27AD4"/>
    <w:rsid w:val="00D27DB2"/>
    <w:rsid w:val="00D27DBA"/>
    <w:rsid w:val="00D27DE4"/>
    <w:rsid w:val="00D300BB"/>
    <w:rsid w:val="00D3026C"/>
    <w:rsid w:val="00D30303"/>
    <w:rsid w:val="00D30398"/>
    <w:rsid w:val="00D30434"/>
    <w:rsid w:val="00D3092F"/>
    <w:rsid w:val="00D30BB0"/>
    <w:rsid w:val="00D30CA1"/>
    <w:rsid w:val="00D311E9"/>
    <w:rsid w:val="00D31207"/>
    <w:rsid w:val="00D31210"/>
    <w:rsid w:val="00D314CE"/>
    <w:rsid w:val="00D31579"/>
    <w:rsid w:val="00D316D2"/>
    <w:rsid w:val="00D3197E"/>
    <w:rsid w:val="00D31CB4"/>
    <w:rsid w:val="00D31D3E"/>
    <w:rsid w:val="00D31D6F"/>
    <w:rsid w:val="00D31DC0"/>
    <w:rsid w:val="00D31F43"/>
    <w:rsid w:val="00D3205B"/>
    <w:rsid w:val="00D324C4"/>
    <w:rsid w:val="00D3253C"/>
    <w:rsid w:val="00D325EB"/>
    <w:rsid w:val="00D32696"/>
    <w:rsid w:val="00D3277E"/>
    <w:rsid w:val="00D3286F"/>
    <w:rsid w:val="00D329A6"/>
    <w:rsid w:val="00D32BBF"/>
    <w:rsid w:val="00D32D49"/>
    <w:rsid w:val="00D32DF5"/>
    <w:rsid w:val="00D3300E"/>
    <w:rsid w:val="00D3314F"/>
    <w:rsid w:val="00D33379"/>
    <w:rsid w:val="00D333E8"/>
    <w:rsid w:val="00D33492"/>
    <w:rsid w:val="00D3380E"/>
    <w:rsid w:val="00D33882"/>
    <w:rsid w:val="00D33956"/>
    <w:rsid w:val="00D339F4"/>
    <w:rsid w:val="00D33A7E"/>
    <w:rsid w:val="00D33AE8"/>
    <w:rsid w:val="00D33B5D"/>
    <w:rsid w:val="00D33CB7"/>
    <w:rsid w:val="00D33F2C"/>
    <w:rsid w:val="00D33FA9"/>
    <w:rsid w:val="00D33FB4"/>
    <w:rsid w:val="00D34272"/>
    <w:rsid w:val="00D3431F"/>
    <w:rsid w:val="00D3460D"/>
    <w:rsid w:val="00D34784"/>
    <w:rsid w:val="00D349E0"/>
    <w:rsid w:val="00D3501E"/>
    <w:rsid w:val="00D35742"/>
    <w:rsid w:val="00D357F1"/>
    <w:rsid w:val="00D35D4D"/>
    <w:rsid w:val="00D35E49"/>
    <w:rsid w:val="00D36244"/>
    <w:rsid w:val="00D36328"/>
    <w:rsid w:val="00D3636E"/>
    <w:rsid w:val="00D3639F"/>
    <w:rsid w:val="00D364C4"/>
    <w:rsid w:val="00D36668"/>
    <w:rsid w:val="00D36788"/>
    <w:rsid w:val="00D36A16"/>
    <w:rsid w:val="00D36B0A"/>
    <w:rsid w:val="00D36CE8"/>
    <w:rsid w:val="00D36EBE"/>
    <w:rsid w:val="00D370F2"/>
    <w:rsid w:val="00D371F5"/>
    <w:rsid w:val="00D37427"/>
    <w:rsid w:val="00D37596"/>
    <w:rsid w:val="00D37969"/>
    <w:rsid w:val="00D37B1E"/>
    <w:rsid w:val="00D37C2F"/>
    <w:rsid w:val="00D37DE7"/>
    <w:rsid w:val="00D4019C"/>
    <w:rsid w:val="00D4027F"/>
    <w:rsid w:val="00D405FC"/>
    <w:rsid w:val="00D40716"/>
    <w:rsid w:val="00D40C1B"/>
    <w:rsid w:val="00D41060"/>
    <w:rsid w:val="00D410D6"/>
    <w:rsid w:val="00D413AF"/>
    <w:rsid w:val="00D41810"/>
    <w:rsid w:val="00D41820"/>
    <w:rsid w:val="00D4187F"/>
    <w:rsid w:val="00D419B7"/>
    <w:rsid w:val="00D41AB5"/>
    <w:rsid w:val="00D41B2A"/>
    <w:rsid w:val="00D41CDA"/>
    <w:rsid w:val="00D41F46"/>
    <w:rsid w:val="00D420C8"/>
    <w:rsid w:val="00D42480"/>
    <w:rsid w:val="00D428CA"/>
    <w:rsid w:val="00D42BD1"/>
    <w:rsid w:val="00D42DDF"/>
    <w:rsid w:val="00D42E02"/>
    <w:rsid w:val="00D43726"/>
    <w:rsid w:val="00D43756"/>
    <w:rsid w:val="00D4383F"/>
    <w:rsid w:val="00D43986"/>
    <w:rsid w:val="00D43BCC"/>
    <w:rsid w:val="00D43CAE"/>
    <w:rsid w:val="00D44A43"/>
    <w:rsid w:val="00D44B68"/>
    <w:rsid w:val="00D44E79"/>
    <w:rsid w:val="00D44F27"/>
    <w:rsid w:val="00D44F56"/>
    <w:rsid w:val="00D44F99"/>
    <w:rsid w:val="00D45120"/>
    <w:rsid w:val="00D4523C"/>
    <w:rsid w:val="00D45CC2"/>
    <w:rsid w:val="00D45D22"/>
    <w:rsid w:val="00D45EB8"/>
    <w:rsid w:val="00D45EDC"/>
    <w:rsid w:val="00D464E2"/>
    <w:rsid w:val="00D4672F"/>
    <w:rsid w:val="00D46792"/>
    <w:rsid w:val="00D468B5"/>
    <w:rsid w:val="00D46972"/>
    <w:rsid w:val="00D46AA6"/>
    <w:rsid w:val="00D46CD3"/>
    <w:rsid w:val="00D46DD5"/>
    <w:rsid w:val="00D46EA5"/>
    <w:rsid w:val="00D46FEE"/>
    <w:rsid w:val="00D47225"/>
    <w:rsid w:val="00D47394"/>
    <w:rsid w:val="00D47532"/>
    <w:rsid w:val="00D476EC"/>
    <w:rsid w:val="00D47AC3"/>
    <w:rsid w:val="00D47AC6"/>
    <w:rsid w:val="00D47AEE"/>
    <w:rsid w:val="00D47B2A"/>
    <w:rsid w:val="00D47C14"/>
    <w:rsid w:val="00D47EE9"/>
    <w:rsid w:val="00D50055"/>
    <w:rsid w:val="00D5006A"/>
    <w:rsid w:val="00D500BA"/>
    <w:rsid w:val="00D501AD"/>
    <w:rsid w:val="00D50367"/>
    <w:rsid w:val="00D5046C"/>
    <w:rsid w:val="00D5062C"/>
    <w:rsid w:val="00D506C0"/>
    <w:rsid w:val="00D50847"/>
    <w:rsid w:val="00D508C1"/>
    <w:rsid w:val="00D50BE7"/>
    <w:rsid w:val="00D5116A"/>
    <w:rsid w:val="00D511E9"/>
    <w:rsid w:val="00D513F8"/>
    <w:rsid w:val="00D51419"/>
    <w:rsid w:val="00D516C1"/>
    <w:rsid w:val="00D517B2"/>
    <w:rsid w:val="00D518B2"/>
    <w:rsid w:val="00D518D1"/>
    <w:rsid w:val="00D51A38"/>
    <w:rsid w:val="00D52030"/>
    <w:rsid w:val="00D520DB"/>
    <w:rsid w:val="00D521C0"/>
    <w:rsid w:val="00D52519"/>
    <w:rsid w:val="00D526BA"/>
    <w:rsid w:val="00D5282A"/>
    <w:rsid w:val="00D52892"/>
    <w:rsid w:val="00D529E0"/>
    <w:rsid w:val="00D52B20"/>
    <w:rsid w:val="00D52B97"/>
    <w:rsid w:val="00D52C55"/>
    <w:rsid w:val="00D52D36"/>
    <w:rsid w:val="00D5332D"/>
    <w:rsid w:val="00D533D7"/>
    <w:rsid w:val="00D537C8"/>
    <w:rsid w:val="00D53B31"/>
    <w:rsid w:val="00D53B60"/>
    <w:rsid w:val="00D53C77"/>
    <w:rsid w:val="00D53CAE"/>
    <w:rsid w:val="00D53CBD"/>
    <w:rsid w:val="00D53D55"/>
    <w:rsid w:val="00D53DC4"/>
    <w:rsid w:val="00D53E10"/>
    <w:rsid w:val="00D54096"/>
    <w:rsid w:val="00D542B1"/>
    <w:rsid w:val="00D549B6"/>
    <w:rsid w:val="00D5501B"/>
    <w:rsid w:val="00D55031"/>
    <w:rsid w:val="00D55545"/>
    <w:rsid w:val="00D55873"/>
    <w:rsid w:val="00D55B5F"/>
    <w:rsid w:val="00D55DCD"/>
    <w:rsid w:val="00D55E9F"/>
    <w:rsid w:val="00D55FA1"/>
    <w:rsid w:val="00D5609A"/>
    <w:rsid w:val="00D562AE"/>
    <w:rsid w:val="00D56306"/>
    <w:rsid w:val="00D5637B"/>
    <w:rsid w:val="00D563E4"/>
    <w:rsid w:val="00D56B34"/>
    <w:rsid w:val="00D56B97"/>
    <w:rsid w:val="00D571E3"/>
    <w:rsid w:val="00D5735C"/>
    <w:rsid w:val="00D577AF"/>
    <w:rsid w:val="00D57B88"/>
    <w:rsid w:val="00D57EB4"/>
    <w:rsid w:val="00D600DD"/>
    <w:rsid w:val="00D6024E"/>
    <w:rsid w:val="00D602C8"/>
    <w:rsid w:val="00D60403"/>
    <w:rsid w:val="00D605D7"/>
    <w:rsid w:val="00D60658"/>
    <w:rsid w:val="00D606D1"/>
    <w:rsid w:val="00D60F76"/>
    <w:rsid w:val="00D61278"/>
    <w:rsid w:val="00D61485"/>
    <w:rsid w:val="00D6150D"/>
    <w:rsid w:val="00D6153E"/>
    <w:rsid w:val="00D61594"/>
    <w:rsid w:val="00D615FF"/>
    <w:rsid w:val="00D61C9C"/>
    <w:rsid w:val="00D61DBC"/>
    <w:rsid w:val="00D61F13"/>
    <w:rsid w:val="00D62281"/>
    <w:rsid w:val="00D622D7"/>
    <w:rsid w:val="00D6245B"/>
    <w:rsid w:val="00D629E5"/>
    <w:rsid w:val="00D62A97"/>
    <w:rsid w:val="00D62CB3"/>
    <w:rsid w:val="00D62D8E"/>
    <w:rsid w:val="00D62DBE"/>
    <w:rsid w:val="00D62DD9"/>
    <w:rsid w:val="00D62E7D"/>
    <w:rsid w:val="00D62ED3"/>
    <w:rsid w:val="00D62EED"/>
    <w:rsid w:val="00D62EFB"/>
    <w:rsid w:val="00D62F37"/>
    <w:rsid w:val="00D63369"/>
    <w:rsid w:val="00D63387"/>
    <w:rsid w:val="00D6341D"/>
    <w:rsid w:val="00D63641"/>
    <w:rsid w:val="00D639B7"/>
    <w:rsid w:val="00D63B3E"/>
    <w:rsid w:val="00D63B44"/>
    <w:rsid w:val="00D63D02"/>
    <w:rsid w:val="00D63E3B"/>
    <w:rsid w:val="00D63ED7"/>
    <w:rsid w:val="00D64227"/>
    <w:rsid w:val="00D6428B"/>
    <w:rsid w:val="00D64414"/>
    <w:rsid w:val="00D64430"/>
    <w:rsid w:val="00D646BD"/>
    <w:rsid w:val="00D646ED"/>
    <w:rsid w:val="00D6472A"/>
    <w:rsid w:val="00D64744"/>
    <w:rsid w:val="00D647D4"/>
    <w:rsid w:val="00D64C03"/>
    <w:rsid w:val="00D64DD3"/>
    <w:rsid w:val="00D64EB1"/>
    <w:rsid w:val="00D64EDB"/>
    <w:rsid w:val="00D65472"/>
    <w:rsid w:val="00D655EA"/>
    <w:rsid w:val="00D65C37"/>
    <w:rsid w:val="00D65ECC"/>
    <w:rsid w:val="00D65F81"/>
    <w:rsid w:val="00D660C1"/>
    <w:rsid w:val="00D66173"/>
    <w:rsid w:val="00D66196"/>
    <w:rsid w:val="00D661C7"/>
    <w:rsid w:val="00D6626B"/>
    <w:rsid w:val="00D66795"/>
    <w:rsid w:val="00D66993"/>
    <w:rsid w:val="00D66AB8"/>
    <w:rsid w:val="00D66BDA"/>
    <w:rsid w:val="00D66D9F"/>
    <w:rsid w:val="00D66E63"/>
    <w:rsid w:val="00D66EF8"/>
    <w:rsid w:val="00D674B0"/>
    <w:rsid w:val="00D674C9"/>
    <w:rsid w:val="00D674DF"/>
    <w:rsid w:val="00D675A1"/>
    <w:rsid w:val="00D675CC"/>
    <w:rsid w:val="00D67BDF"/>
    <w:rsid w:val="00D67C5A"/>
    <w:rsid w:val="00D67DEB"/>
    <w:rsid w:val="00D67F26"/>
    <w:rsid w:val="00D67FCF"/>
    <w:rsid w:val="00D700FC"/>
    <w:rsid w:val="00D700FD"/>
    <w:rsid w:val="00D70104"/>
    <w:rsid w:val="00D705F6"/>
    <w:rsid w:val="00D70618"/>
    <w:rsid w:val="00D70A85"/>
    <w:rsid w:val="00D70BFF"/>
    <w:rsid w:val="00D710B5"/>
    <w:rsid w:val="00D7118C"/>
    <w:rsid w:val="00D712A1"/>
    <w:rsid w:val="00D71385"/>
    <w:rsid w:val="00D715F6"/>
    <w:rsid w:val="00D71606"/>
    <w:rsid w:val="00D7174F"/>
    <w:rsid w:val="00D71A26"/>
    <w:rsid w:val="00D71AFD"/>
    <w:rsid w:val="00D71B06"/>
    <w:rsid w:val="00D71CA1"/>
    <w:rsid w:val="00D71CDC"/>
    <w:rsid w:val="00D71E90"/>
    <w:rsid w:val="00D7205C"/>
    <w:rsid w:val="00D72568"/>
    <w:rsid w:val="00D725F9"/>
    <w:rsid w:val="00D726AE"/>
    <w:rsid w:val="00D72882"/>
    <w:rsid w:val="00D7292D"/>
    <w:rsid w:val="00D729E2"/>
    <w:rsid w:val="00D72A27"/>
    <w:rsid w:val="00D72A4B"/>
    <w:rsid w:val="00D72C9A"/>
    <w:rsid w:val="00D72D3D"/>
    <w:rsid w:val="00D73038"/>
    <w:rsid w:val="00D7306D"/>
    <w:rsid w:val="00D7311E"/>
    <w:rsid w:val="00D733F8"/>
    <w:rsid w:val="00D7358C"/>
    <w:rsid w:val="00D7374C"/>
    <w:rsid w:val="00D7378A"/>
    <w:rsid w:val="00D737BB"/>
    <w:rsid w:val="00D737E0"/>
    <w:rsid w:val="00D73882"/>
    <w:rsid w:val="00D739AC"/>
    <w:rsid w:val="00D73B06"/>
    <w:rsid w:val="00D73C30"/>
    <w:rsid w:val="00D73D49"/>
    <w:rsid w:val="00D73F04"/>
    <w:rsid w:val="00D740BC"/>
    <w:rsid w:val="00D740CC"/>
    <w:rsid w:val="00D74224"/>
    <w:rsid w:val="00D7432A"/>
    <w:rsid w:val="00D7440B"/>
    <w:rsid w:val="00D7461F"/>
    <w:rsid w:val="00D7467C"/>
    <w:rsid w:val="00D74761"/>
    <w:rsid w:val="00D747F8"/>
    <w:rsid w:val="00D74CA0"/>
    <w:rsid w:val="00D74CEC"/>
    <w:rsid w:val="00D74D48"/>
    <w:rsid w:val="00D74E81"/>
    <w:rsid w:val="00D74F80"/>
    <w:rsid w:val="00D74F88"/>
    <w:rsid w:val="00D74FA4"/>
    <w:rsid w:val="00D75126"/>
    <w:rsid w:val="00D7517E"/>
    <w:rsid w:val="00D7518B"/>
    <w:rsid w:val="00D75692"/>
    <w:rsid w:val="00D75948"/>
    <w:rsid w:val="00D75C24"/>
    <w:rsid w:val="00D75DE1"/>
    <w:rsid w:val="00D76229"/>
    <w:rsid w:val="00D7623F"/>
    <w:rsid w:val="00D76277"/>
    <w:rsid w:val="00D7638E"/>
    <w:rsid w:val="00D764BD"/>
    <w:rsid w:val="00D76528"/>
    <w:rsid w:val="00D765C5"/>
    <w:rsid w:val="00D76604"/>
    <w:rsid w:val="00D76634"/>
    <w:rsid w:val="00D76861"/>
    <w:rsid w:val="00D77284"/>
    <w:rsid w:val="00D7729D"/>
    <w:rsid w:val="00D77301"/>
    <w:rsid w:val="00D7755E"/>
    <w:rsid w:val="00D777A5"/>
    <w:rsid w:val="00D779F6"/>
    <w:rsid w:val="00D77D4F"/>
    <w:rsid w:val="00D77F0C"/>
    <w:rsid w:val="00D80355"/>
    <w:rsid w:val="00D805D9"/>
    <w:rsid w:val="00D805DB"/>
    <w:rsid w:val="00D806B1"/>
    <w:rsid w:val="00D808A8"/>
    <w:rsid w:val="00D8091A"/>
    <w:rsid w:val="00D80A97"/>
    <w:rsid w:val="00D80B26"/>
    <w:rsid w:val="00D80B44"/>
    <w:rsid w:val="00D80DAF"/>
    <w:rsid w:val="00D80F63"/>
    <w:rsid w:val="00D80FC7"/>
    <w:rsid w:val="00D81218"/>
    <w:rsid w:val="00D81384"/>
    <w:rsid w:val="00D81548"/>
    <w:rsid w:val="00D81D76"/>
    <w:rsid w:val="00D823CF"/>
    <w:rsid w:val="00D826B0"/>
    <w:rsid w:val="00D8296E"/>
    <w:rsid w:val="00D829E7"/>
    <w:rsid w:val="00D82A19"/>
    <w:rsid w:val="00D82C79"/>
    <w:rsid w:val="00D82C7E"/>
    <w:rsid w:val="00D82FC1"/>
    <w:rsid w:val="00D82FF2"/>
    <w:rsid w:val="00D832AF"/>
    <w:rsid w:val="00D8343E"/>
    <w:rsid w:val="00D83716"/>
    <w:rsid w:val="00D83949"/>
    <w:rsid w:val="00D83C0E"/>
    <w:rsid w:val="00D83D14"/>
    <w:rsid w:val="00D83E54"/>
    <w:rsid w:val="00D84820"/>
    <w:rsid w:val="00D8495A"/>
    <w:rsid w:val="00D849C9"/>
    <w:rsid w:val="00D84DC6"/>
    <w:rsid w:val="00D84F98"/>
    <w:rsid w:val="00D85126"/>
    <w:rsid w:val="00D85190"/>
    <w:rsid w:val="00D853F1"/>
    <w:rsid w:val="00D855DA"/>
    <w:rsid w:val="00D8586A"/>
    <w:rsid w:val="00D85B42"/>
    <w:rsid w:val="00D86582"/>
    <w:rsid w:val="00D8660A"/>
    <w:rsid w:val="00D86728"/>
    <w:rsid w:val="00D86C09"/>
    <w:rsid w:val="00D86E87"/>
    <w:rsid w:val="00D86F9A"/>
    <w:rsid w:val="00D871F1"/>
    <w:rsid w:val="00D87676"/>
    <w:rsid w:val="00D87884"/>
    <w:rsid w:val="00D87CB0"/>
    <w:rsid w:val="00D87ECF"/>
    <w:rsid w:val="00D87FCC"/>
    <w:rsid w:val="00D90318"/>
    <w:rsid w:val="00D9099E"/>
    <w:rsid w:val="00D90DED"/>
    <w:rsid w:val="00D90FF0"/>
    <w:rsid w:val="00D913B9"/>
    <w:rsid w:val="00D91442"/>
    <w:rsid w:val="00D91486"/>
    <w:rsid w:val="00D9157A"/>
    <w:rsid w:val="00D916DC"/>
    <w:rsid w:val="00D91920"/>
    <w:rsid w:val="00D919B7"/>
    <w:rsid w:val="00D919B8"/>
    <w:rsid w:val="00D91AA8"/>
    <w:rsid w:val="00D91C1F"/>
    <w:rsid w:val="00D91CC5"/>
    <w:rsid w:val="00D91EB0"/>
    <w:rsid w:val="00D92003"/>
    <w:rsid w:val="00D92086"/>
    <w:rsid w:val="00D92118"/>
    <w:rsid w:val="00D92151"/>
    <w:rsid w:val="00D921CD"/>
    <w:rsid w:val="00D92420"/>
    <w:rsid w:val="00D92666"/>
    <w:rsid w:val="00D9286C"/>
    <w:rsid w:val="00D92967"/>
    <w:rsid w:val="00D92AAF"/>
    <w:rsid w:val="00D9353F"/>
    <w:rsid w:val="00D93642"/>
    <w:rsid w:val="00D93821"/>
    <w:rsid w:val="00D93A67"/>
    <w:rsid w:val="00D93C8D"/>
    <w:rsid w:val="00D93EF8"/>
    <w:rsid w:val="00D93F02"/>
    <w:rsid w:val="00D93F58"/>
    <w:rsid w:val="00D940EB"/>
    <w:rsid w:val="00D9423C"/>
    <w:rsid w:val="00D94436"/>
    <w:rsid w:val="00D944A5"/>
    <w:rsid w:val="00D944D1"/>
    <w:rsid w:val="00D946BF"/>
    <w:rsid w:val="00D94995"/>
    <w:rsid w:val="00D94C8C"/>
    <w:rsid w:val="00D94D24"/>
    <w:rsid w:val="00D94E19"/>
    <w:rsid w:val="00D95079"/>
    <w:rsid w:val="00D95349"/>
    <w:rsid w:val="00D9556B"/>
    <w:rsid w:val="00D955B3"/>
    <w:rsid w:val="00D956E6"/>
    <w:rsid w:val="00D9586E"/>
    <w:rsid w:val="00D95909"/>
    <w:rsid w:val="00D95E42"/>
    <w:rsid w:val="00D963D3"/>
    <w:rsid w:val="00D9649C"/>
    <w:rsid w:val="00D9658E"/>
    <w:rsid w:val="00D96600"/>
    <w:rsid w:val="00D967BB"/>
    <w:rsid w:val="00D968D4"/>
    <w:rsid w:val="00D96B02"/>
    <w:rsid w:val="00D96BCE"/>
    <w:rsid w:val="00D96FC2"/>
    <w:rsid w:val="00D9722B"/>
    <w:rsid w:val="00D9729E"/>
    <w:rsid w:val="00D9730E"/>
    <w:rsid w:val="00D9740D"/>
    <w:rsid w:val="00D976D7"/>
    <w:rsid w:val="00D97781"/>
    <w:rsid w:val="00D979A6"/>
    <w:rsid w:val="00D97AB9"/>
    <w:rsid w:val="00D97E43"/>
    <w:rsid w:val="00DA018C"/>
    <w:rsid w:val="00DA0254"/>
    <w:rsid w:val="00DA043A"/>
    <w:rsid w:val="00DA044F"/>
    <w:rsid w:val="00DA07AD"/>
    <w:rsid w:val="00DA086E"/>
    <w:rsid w:val="00DA0951"/>
    <w:rsid w:val="00DA09A1"/>
    <w:rsid w:val="00DA0A56"/>
    <w:rsid w:val="00DA0A83"/>
    <w:rsid w:val="00DA0B4D"/>
    <w:rsid w:val="00DA0B88"/>
    <w:rsid w:val="00DA1364"/>
    <w:rsid w:val="00DA1449"/>
    <w:rsid w:val="00DA17D5"/>
    <w:rsid w:val="00DA180E"/>
    <w:rsid w:val="00DA181C"/>
    <w:rsid w:val="00DA1834"/>
    <w:rsid w:val="00DA1B0A"/>
    <w:rsid w:val="00DA1E8E"/>
    <w:rsid w:val="00DA1EB5"/>
    <w:rsid w:val="00DA1FEA"/>
    <w:rsid w:val="00DA2015"/>
    <w:rsid w:val="00DA204D"/>
    <w:rsid w:val="00DA23B3"/>
    <w:rsid w:val="00DA2404"/>
    <w:rsid w:val="00DA2516"/>
    <w:rsid w:val="00DA287F"/>
    <w:rsid w:val="00DA2C99"/>
    <w:rsid w:val="00DA2CA3"/>
    <w:rsid w:val="00DA2D25"/>
    <w:rsid w:val="00DA2F46"/>
    <w:rsid w:val="00DA3029"/>
    <w:rsid w:val="00DA3258"/>
    <w:rsid w:val="00DA345B"/>
    <w:rsid w:val="00DA3567"/>
    <w:rsid w:val="00DA390F"/>
    <w:rsid w:val="00DA3D89"/>
    <w:rsid w:val="00DA3DE8"/>
    <w:rsid w:val="00DA3E04"/>
    <w:rsid w:val="00DA3F61"/>
    <w:rsid w:val="00DA430D"/>
    <w:rsid w:val="00DA431E"/>
    <w:rsid w:val="00DA466C"/>
    <w:rsid w:val="00DA4714"/>
    <w:rsid w:val="00DA49F4"/>
    <w:rsid w:val="00DA5281"/>
    <w:rsid w:val="00DA5335"/>
    <w:rsid w:val="00DA5360"/>
    <w:rsid w:val="00DA582B"/>
    <w:rsid w:val="00DA5867"/>
    <w:rsid w:val="00DA58F6"/>
    <w:rsid w:val="00DA5C63"/>
    <w:rsid w:val="00DA5E3B"/>
    <w:rsid w:val="00DA5EC0"/>
    <w:rsid w:val="00DA5EC6"/>
    <w:rsid w:val="00DA60CA"/>
    <w:rsid w:val="00DA60D1"/>
    <w:rsid w:val="00DA60F6"/>
    <w:rsid w:val="00DA6993"/>
    <w:rsid w:val="00DA6CB6"/>
    <w:rsid w:val="00DA6EC6"/>
    <w:rsid w:val="00DA71A8"/>
    <w:rsid w:val="00DA7240"/>
    <w:rsid w:val="00DA73DD"/>
    <w:rsid w:val="00DA744C"/>
    <w:rsid w:val="00DA75FD"/>
    <w:rsid w:val="00DA7702"/>
    <w:rsid w:val="00DA77C7"/>
    <w:rsid w:val="00DA78C1"/>
    <w:rsid w:val="00DA7B5C"/>
    <w:rsid w:val="00DA7C21"/>
    <w:rsid w:val="00DA7D5F"/>
    <w:rsid w:val="00DA7DB9"/>
    <w:rsid w:val="00DA7F43"/>
    <w:rsid w:val="00DA7FD0"/>
    <w:rsid w:val="00DB00E7"/>
    <w:rsid w:val="00DB0287"/>
    <w:rsid w:val="00DB0693"/>
    <w:rsid w:val="00DB081B"/>
    <w:rsid w:val="00DB09BB"/>
    <w:rsid w:val="00DB09C4"/>
    <w:rsid w:val="00DB0A4F"/>
    <w:rsid w:val="00DB0D1E"/>
    <w:rsid w:val="00DB11DC"/>
    <w:rsid w:val="00DB120B"/>
    <w:rsid w:val="00DB12AA"/>
    <w:rsid w:val="00DB172C"/>
    <w:rsid w:val="00DB1845"/>
    <w:rsid w:val="00DB18AE"/>
    <w:rsid w:val="00DB18D3"/>
    <w:rsid w:val="00DB1975"/>
    <w:rsid w:val="00DB19B2"/>
    <w:rsid w:val="00DB1B26"/>
    <w:rsid w:val="00DB1D5F"/>
    <w:rsid w:val="00DB1DF3"/>
    <w:rsid w:val="00DB1F90"/>
    <w:rsid w:val="00DB1FCD"/>
    <w:rsid w:val="00DB20BE"/>
    <w:rsid w:val="00DB22A2"/>
    <w:rsid w:val="00DB2339"/>
    <w:rsid w:val="00DB2372"/>
    <w:rsid w:val="00DB2580"/>
    <w:rsid w:val="00DB28AE"/>
    <w:rsid w:val="00DB28F2"/>
    <w:rsid w:val="00DB290B"/>
    <w:rsid w:val="00DB30AF"/>
    <w:rsid w:val="00DB33C2"/>
    <w:rsid w:val="00DB34BB"/>
    <w:rsid w:val="00DB357A"/>
    <w:rsid w:val="00DB3676"/>
    <w:rsid w:val="00DB392E"/>
    <w:rsid w:val="00DB39AE"/>
    <w:rsid w:val="00DB3A3B"/>
    <w:rsid w:val="00DB3C5B"/>
    <w:rsid w:val="00DB3CA4"/>
    <w:rsid w:val="00DB41C5"/>
    <w:rsid w:val="00DB4684"/>
    <w:rsid w:val="00DB4704"/>
    <w:rsid w:val="00DB4878"/>
    <w:rsid w:val="00DB49CF"/>
    <w:rsid w:val="00DB49DA"/>
    <w:rsid w:val="00DB4B49"/>
    <w:rsid w:val="00DB4C40"/>
    <w:rsid w:val="00DB4DBE"/>
    <w:rsid w:val="00DB4DFB"/>
    <w:rsid w:val="00DB4F17"/>
    <w:rsid w:val="00DB5113"/>
    <w:rsid w:val="00DB52C5"/>
    <w:rsid w:val="00DB5537"/>
    <w:rsid w:val="00DB554D"/>
    <w:rsid w:val="00DB569E"/>
    <w:rsid w:val="00DB56DF"/>
    <w:rsid w:val="00DB59F4"/>
    <w:rsid w:val="00DB5B4F"/>
    <w:rsid w:val="00DB5E01"/>
    <w:rsid w:val="00DB5F1A"/>
    <w:rsid w:val="00DB602A"/>
    <w:rsid w:val="00DB612B"/>
    <w:rsid w:val="00DB6198"/>
    <w:rsid w:val="00DB6436"/>
    <w:rsid w:val="00DB65FC"/>
    <w:rsid w:val="00DB664F"/>
    <w:rsid w:val="00DB691A"/>
    <w:rsid w:val="00DB698D"/>
    <w:rsid w:val="00DB6D61"/>
    <w:rsid w:val="00DB7014"/>
    <w:rsid w:val="00DB71B2"/>
    <w:rsid w:val="00DB73AD"/>
    <w:rsid w:val="00DB7509"/>
    <w:rsid w:val="00DB7554"/>
    <w:rsid w:val="00DB765F"/>
    <w:rsid w:val="00DB7E29"/>
    <w:rsid w:val="00DB7E54"/>
    <w:rsid w:val="00DB7F6C"/>
    <w:rsid w:val="00DC0008"/>
    <w:rsid w:val="00DC02AD"/>
    <w:rsid w:val="00DC03A2"/>
    <w:rsid w:val="00DC053B"/>
    <w:rsid w:val="00DC065F"/>
    <w:rsid w:val="00DC07FD"/>
    <w:rsid w:val="00DC09C3"/>
    <w:rsid w:val="00DC0B27"/>
    <w:rsid w:val="00DC10AA"/>
    <w:rsid w:val="00DC110F"/>
    <w:rsid w:val="00DC1137"/>
    <w:rsid w:val="00DC124E"/>
    <w:rsid w:val="00DC1368"/>
    <w:rsid w:val="00DC145E"/>
    <w:rsid w:val="00DC14C2"/>
    <w:rsid w:val="00DC179D"/>
    <w:rsid w:val="00DC17CB"/>
    <w:rsid w:val="00DC1A5F"/>
    <w:rsid w:val="00DC1AA4"/>
    <w:rsid w:val="00DC1AFD"/>
    <w:rsid w:val="00DC1DC1"/>
    <w:rsid w:val="00DC1E64"/>
    <w:rsid w:val="00DC1E70"/>
    <w:rsid w:val="00DC21A0"/>
    <w:rsid w:val="00DC230F"/>
    <w:rsid w:val="00DC2511"/>
    <w:rsid w:val="00DC2999"/>
    <w:rsid w:val="00DC2A76"/>
    <w:rsid w:val="00DC2CCF"/>
    <w:rsid w:val="00DC2D5C"/>
    <w:rsid w:val="00DC2DC5"/>
    <w:rsid w:val="00DC336C"/>
    <w:rsid w:val="00DC3394"/>
    <w:rsid w:val="00DC36CA"/>
    <w:rsid w:val="00DC3825"/>
    <w:rsid w:val="00DC3978"/>
    <w:rsid w:val="00DC40B9"/>
    <w:rsid w:val="00DC40E2"/>
    <w:rsid w:val="00DC41C8"/>
    <w:rsid w:val="00DC4264"/>
    <w:rsid w:val="00DC4577"/>
    <w:rsid w:val="00DC478A"/>
    <w:rsid w:val="00DC4A4A"/>
    <w:rsid w:val="00DC4B02"/>
    <w:rsid w:val="00DC4B91"/>
    <w:rsid w:val="00DC4C0C"/>
    <w:rsid w:val="00DC4D92"/>
    <w:rsid w:val="00DC4DF0"/>
    <w:rsid w:val="00DC4E13"/>
    <w:rsid w:val="00DC4F40"/>
    <w:rsid w:val="00DC4F96"/>
    <w:rsid w:val="00DC550A"/>
    <w:rsid w:val="00DC59E1"/>
    <w:rsid w:val="00DC5A49"/>
    <w:rsid w:val="00DC5DD6"/>
    <w:rsid w:val="00DC5F37"/>
    <w:rsid w:val="00DC62D7"/>
    <w:rsid w:val="00DC641A"/>
    <w:rsid w:val="00DC68B3"/>
    <w:rsid w:val="00DC6C49"/>
    <w:rsid w:val="00DC72AF"/>
    <w:rsid w:val="00DC7387"/>
    <w:rsid w:val="00DC77B3"/>
    <w:rsid w:val="00DC77E4"/>
    <w:rsid w:val="00DC7C8C"/>
    <w:rsid w:val="00DC7E54"/>
    <w:rsid w:val="00DC7F68"/>
    <w:rsid w:val="00DD0251"/>
    <w:rsid w:val="00DD03D9"/>
    <w:rsid w:val="00DD069E"/>
    <w:rsid w:val="00DD1040"/>
    <w:rsid w:val="00DD12D8"/>
    <w:rsid w:val="00DD1362"/>
    <w:rsid w:val="00DD1436"/>
    <w:rsid w:val="00DD1497"/>
    <w:rsid w:val="00DD14E1"/>
    <w:rsid w:val="00DD156A"/>
    <w:rsid w:val="00DD1711"/>
    <w:rsid w:val="00DD18EC"/>
    <w:rsid w:val="00DD1963"/>
    <w:rsid w:val="00DD1B3A"/>
    <w:rsid w:val="00DD1B57"/>
    <w:rsid w:val="00DD2018"/>
    <w:rsid w:val="00DD2150"/>
    <w:rsid w:val="00DD2409"/>
    <w:rsid w:val="00DD2476"/>
    <w:rsid w:val="00DD27EE"/>
    <w:rsid w:val="00DD2921"/>
    <w:rsid w:val="00DD295E"/>
    <w:rsid w:val="00DD2981"/>
    <w:rsid w:val="00DD29BB"/>
    <w:rsid w:val="00DD2A33"/>
    <w:rsid w:val="00DD2DF4"/>
    <w:rsid w:val="00DD31D5"/>
    <w:rsid w:val="00DD37D0"/>
    <w:rsid w:val="00DD37D5"/>
    <w:rsid w:val="00DD3A0B"/>
    <w:rsid w:val="00DD3B51"/>
    <w:rsid w:val="00DD3C03"/>
    <w:rsid w:val="00DD3E3E"/>
    <w:rsid w:val="00DD451B"/>
    <w:rsid w:val="00DD4859"/>
    <w:rsid w:val="00DD4940"/>
    <w:rsid w:val="00DD4C3B"/>
    <w:rsid w:val="00DD4C60"/>
    <w:rsid w:val="00DD4EED"/>
    <w:rsid w:val="00DD4FDE"/>
    <w:rsid w:val="00DD513F"/>
    <w:rsid w:val="00DD570B"/>
    <w:rsid w:val="00DD5710"/>
    <w:rsid w:val="00DD5A49"/>
    <w:rsid w:val="00DD5C3E"/>
    <w:rsid w:val="00DD5C89"/>
    <w:rsid w:val="00DD5E27"/>
    <w:rsid w:val="00DD5FEC"/>
    <w:rsid w:val="00DD61D4"/>
    <w:rsid w:val="00DD64AA"/>
    <w:rsid w:val="00DD69AE"/>
    <w:rsid w:val="00DD6D59"/>
    <w:rsid w:val="00DD6DB4"/>
    <w:rsid w:val="00DD72D3"/>
    <w:rsid w:val="00DD72FE"/>
    <w:rsid w:val="00DD7540"/>
    <w:rsid w:val="00DD754E"/>
    <w:rsid w:val="00DD7579"/>
    <w:rsid w:val="00DD76AC"/>
    <w:rsid w:val="00DD78DE"/>
    <w:rsid w:val="00DD7A34"/>
    <w:rsid w:val="00DD7DC2"/>
    <w:rsid w:val="00DD7EF7"/>
    <w:rsid w:val="00DD7F98"/>
    <w:rsid w:val="00DD7FAA"/>
    <w:rsid w:val="00DD7FD7"/>
    <w:rsid w:val="00DD7FD9"/>
    <w:rsid w:val="00DD7FF3"/>
    <w:rsid w:val="00DE01F4"/>
    <w:rsid w:val="00DE027C"/>
    <w:rsid w:val="00DE03A7"/>
    <w:rsid w:val="00DE04F9"/>
    <w:rsid w:val="00DE057E"/>
    <w:rsid w:val="00DE058D"/>
    <w:rsid w:val="00DE076C"/>
    <w:rsid w:val="00DE0F1C"/>
    <w:rsid w:val="00DE0F3E"/>
    <w:rsid w:val="00DE0F7A"/>
    <w:rsid w:val="00DE1038"/>
    <w:rsid w:val="00DE10C6"/>
    <w:rsid w:val="00DE1255"/>
    <w:rsid w:val="00DE128F"/>
    <w:rsid w:val="00DE1727"/>
    <w:rsid w:val="00DE17D1"/>
    <w:rsid w:val="00DE17DB"/>
    <w:rsid w:val="00DE181E"/>
    <w:rsid w:val="00DE182D"/>
    <w:rsid w:val="00DE19E7"/>
    <w:rsid w:val="00DE241D"/>
    <w:rsid w:val="00DE282B"/>
    <w:rsid w:val="00DE2862"/>
    <w:rsid w:val="00DE288E"/>
    <w:rsid w:val="00DE2C6F"/>
    <w:rsid w:val="00DE2C76"/>
    <w:rsid w:val="00DE2E72"/>
    <w:rsid w:val="00DE3451"/>
    <w:rsid w:val="00DE355C"/>
    <w:rsid w:val="00DE364F"/>
    <w:rsid w:val="00DE3893"/>
    <w:rsid w:val="00DE3A58"/>
    <w:rsid w:val="00DE3AC4"/>
    <w:rsid w:val="00DE3AD2"/>
    <w:rsid w:val="00DE3C06"/>
    <w:rsid w:val="00DE3D92"/>
    <w:rsid w:val="00DE3E37"/>
    <w:rsid w:val="00DE4174"/>
    <w:rsid w:val="00DE42B9"/>
    <w:rsid w:val="00DE4774"/>
    <w:rsid w:val="00DE4A8B"/>
    <w:rsid w:val="00DE4BE1"/>
    <w:rsid w:val="00DE511D"/>
    <w:rsid w:val="00DE526E"/>
    <w:rsid w:val="00DE5293"/>
    <w:rsid w:val="00DE54CB"/>
    <w:rsid w:val="00DE5568"/>
    <w:rsid w:val="00DE5754"/>
    <w:rsid w:val="00DE5F96"/>
    <w:rsid w:val="00DE5FF7"/>
    <w:rsid w:val="00DE6833"/>
    <w:rsid w:val="00DE6B47"/>
    <w:rsid w:val="00DE6C19"/>
    <w:rsid w:val="00DE6C5D"/>
    <w:rsid w:val="00DE6E35"/>
    <w:rsid w:val="00DE6E8E"/>
    <w:rsid w:val="00DE6EC3"/>
    <w:rsid w:val="00DE73FE"/>
    <w:rsid w:val="00DE7E49"/>
    <w:rsid w:val="00DE7FF4"/>
    <w:rsid w:val="00DF0137"/>
    <w:rsid w:val="00DF01AF"/>
    <w:rsid w:val="00DF0225"/>
    <w:rsid w:val="00DF0284"/>
    <w:rsid w:val="00DF02C2"/>
    <w:rsid w:val="00DF0946"/>
    <w:rsid w:val="00DF0976"/>
    <w:rsid w:val="00DF0C0C"/>
    <w:rsid w:val="00DF0E44"/>
    <w:rsid w:val="00DF1284"/>
    <w:rsid w:val="00DF1A04"/>
    <w:rsid w:val="00DF1E41"/>
    <w:rsid w:val="00DF1E86"/>
    <w:rsid w:val="00DF20BE"/>
    <w:rsid w:val="00DF23E3"/>
    <w:rsid w:val="00DF2731"/>
    <w:rsid w:val="00DF2ADD"/>
    <w:rsid w:val="00DF2EBB"/>
    <w:rsid w:val="00DF2FE5"/>
    <w:rsid w:val="00DF3083"/>
    <w:rsid w:val="00DF311F"/>
    <w:rsid w:val="00DF3397"/>
    <w:rsid w:val="00DF35F6"/>
    <w:rsid w:val="00DF37F4"/>
    <w:rsid w:val="00DF3BDA"/>
    <w:rsid w:val="00DF3D24"/>
    <w:rsid w:val="00DF3E9F"/>
    <w:rsid w:val="00DF3F09"/>
    <w:rsid w:val="00DF4003"/>
    <w:rsid w:val="00DF4260"/>
    <w:rsid w:val="00DF4305"/>
    <w:rsid w:val="00DF4757"/>
    <w:rsid w:val="00DF47D2"/>
    <w:rsid w:val="00DF4CBF"/>
    <w:rsid w:val="00DF54A4"/>
    <w:rsid w:val="00DF54A9"/>
    <w:rsid w:val="00DF5704"/>
    <w:rsid w:val="00DF5771"/>
    <w:rsid w:val="00DF58B5"/>
    <w:rsid w:val="00DF5991"/>
    <w:rsid w:val="00DF5AAA"/>
    <w:rsid w:val="00DF5B1B"/>
    <w:rsid w:val="00DF5D68"/>
    <w:rsid w:val="00DF5E74"/>
    <w:rsid w:val="00DF6028"/>
    <w:rsid w:val="00DF6098"/>
    <w:rsid w:val="00DF675B"/>
    <w:rsid w:val="00DF6790"/>
    <w:rsid w:val="00DF6862"/>
    <w:rsid w:val="00DF6926"/>
    <w:rsid w:val="00DF69EE"/>
    <w:rsid w:val="00DF6A0C"/>
    <w:rsid w:val="00DF6C86"/>
    <w:rsid w:val="00DF6FF9"/>
    <w:rsid w:val="00DF71BE"/>
    <w:rsid w:val="00DF734F"/>
    <w:rsid w:val="00DF7454"/>
    <w:rsid w:val="00DF7636"/>
    <w:rsid w:val="00DF7825"/>
    <w:rsid w:val="00DF7B5D"/>
    <w:rsid w:val="00DF7B85"/>
    <w:rsid w:val="00DF7DB8"/>
    <w:rsid w:val="00DF7FD7"/>
    <w:rsid w:val="00E00112"/>
    <w:rsid w:val="00E00146"/>
    <w:rsid w:val="00E001C4"/>
    <w:rsid w:val="00E00354"/>
    <w:rsid w:val="00E0048B"/>
    <w:rsid w:val="00E00605"/>
    <w:rsid w:val="00E00920"/>
    <w:rsid w:val="00E00974"/>
    <w:rsid w:val="00E00AA7"/>
    <w:rsid w:val="00E00B21"/>
    <w:rsid w:val="00E010E6"/>
    <w:rsid w:val="00E0118A"/>
    <w:rsid w:val="00E01199"/>
    <w:rsid w:val="00E012DA"/>
    <w:rsid w:val="00E01460"/>
    <w:rsid w:val="00E016EB"/>
    <w:rsid w:val="00E019D9"/>
    <w:rsid w:val="00E01AC4"/>
    <w:rsid w:val="00E01D37"/>
    <w:rsid w:val="00E01F03"/>
    <w:rsid w:val="00E0213A"/>
    <w:rsid w:val="00E0225F"/>
    <w:rsid w:val="00E024E3"/>
    <w:rsid w:val="00E02574"/>
    <w:rsid w:val="00E02808"/>
    <w:rsid w:val="00E02ADB"/>
    <w:rsid w:val="00E02CB1"/>
    <w:rsid w:val="00E03084"/>
    <w:rsid w:val="00E03366"/>
    <w:rsid w:val="00E036E5"/>
    <w:rsid w:val="00E037B8"/>
    <w:rsid w:val="00E03A2A"/>
    <w:rsid w:val="00E03B79"/>
    <w:rsid w:val="00E04198"/>
    <w:rsid w:val="00E041F6"/>
    <w:rsid w:val="00E0472F"/>
    <w:rsid w:val="00E047B9"/>
    <w:rsid w:val="00E04828"/>
    <w:rsid w:val="00E0483B"/>
    <w:rsid w:val="00E04847"/>
    <w:rsid w:val="00E04872"/>
    <w:rsid w:val="00E04CA2"/>
    <w:rsid w:val="00E04D24"/>
    <w:rsid w:val="00E04F4A"/>
    <w:rsid w:val="00E056CD"/>
    <w:rsid w:val="00E057C7"/>
    <w:rsid w:val="00E05A6E"/>
    <w:rsid w:val="00E05AD9"/>
    <w:rsid w:val="00E05B71"/>
    <w:rsid w:val="00E05FD3"/>
    <w:rsid w:val="00E065D4"/>
    <w:rsid w:val="00E06690"/>
    <w:rsid w:val="00E06897"/>
    <w:rsid w:val="00E068DC"/>
    <w:rsid w:val="00E06982"/>
    <w:rsid w:val="00E06DDA"/>
    <w:rsid w:val="00E06FF8"/>
    <w:rsid w:val="00E070F4"/>
    <w:rsid w:val="00E076AB"/>
    <w:rsid w:val="00E07823"/>
    <w:rsid w:val="00E07987"/>
    <w:rsid w:val="00E07B78"/>
    <w:rsid w:val="00E07B81"/>
    <w:rsid w:val="00E07D26"/>
    <w:rsid w:val="00E07E3D"/>
    <w:rsid w:val="00E07EA4"/>
    <w:rsid w:val="00E1004C"/>
    <w:rsid w:val="00E10059"/>
    <w:rsid w:val="00E10237"/>
    <w:rsid w:val="00E10288"/>
    <w:rsid w:val="00E10465"/>
    <w:rsid w:val="00E10623"/>
    <w:rsid w:val="00E107A3"/>
    <w:rsid w:val="00E10A7E"/>
    <w:rsid w:val="00E10D07"/>
    <w:rsid w:val="00E10D90"/>
    <w:rsid w:val="00E10E2C"/>
    <w:rsid w:val="00E10E34"/>
    <w:rsid w:val="00E11493"/>
    <w:rsid w:val="00E114D4"/>
    <w:rsid w:val="00E11816"/>
    <w:rsid w:val="00E11B57"/>
    <w:rsid w:val="00E11E34"/>
    <w:rsid w:val="00E11EFF"/>
    <w:rsid w:val="00E11F9C"/>
    <w:rsid w:val="00E12025"/>
    <w:rsid w:val="00E12334"/>
    <w:rsid w:val="00E124EE"/>
    <w:rsid w:val="00E126D1"/>
    <w:rsid w:val="00E1280D"/>
    <w:rsid w:val="00E12CAA"/>
    <w:rsid w:val="00E12F27"/>
    <w:rsid w:val="00E12F40"/>
    <w:rsid w:val="00E1302A"/>
    <w:rsid w:val="00E1364D"/>
    <w:rsid w:val="00E1383C"/>
    <w:rsid w:val="00E13C48"/>
    <w:rsid w:val="00E13DAA"/>
    <w:rsid w:val="00E13DC9"/>
    <w:rsid w:val="00E13FC1"/>
    <w:rsid w:val="00E14302"/>
    <w:rsid w:val="00E1448E"/>
    <w:rsid w:val="00E14492"/>
    <w:rsid w:val="00E144B7"/>
    <w:rsid w:val="00E14626"/>
    <w:rsid w:val="00E14815"/>
    <w:rsid w:val="00E1497B"/>
    <w:rsid w:val="00E14A80"/>
    <w:rsid w:val="00E14B1C"/>
    <w:rsid w:val="00E14B90"/>
    <w:rsid w:val="00E14D10"/>
    <w:rsid w:val="00E14DEC"/>
    <w:rsid w:val="00E14F84"/>
    <w:rsid w:val="00E151FC"/>
    <w:rsid w:val="00E15582"/>
    <w:rsid w:val="00E15A73"/>
    <w:rsid w:val="00E15DC6"/>
    <w:rsid w:val="00E15E05"/>
    <w:rsid w:val="00E15F65"/>
    <w:rsid w:val="00E15FD4"/>
    <w:rsid w:val="00E160FD"/>
    <w:rsid w:val="00E16194"/>
    <w:rsid w:val="00E163F9"/>
    <w:rsid w:val="00E1647B"/>
    <w:rsid w:val="00E165DB"/>
    <w:rsid w:val="00E165F4"/>
    <w:rsid w:val="00E16B3C"/>
    <w:rsid w:val="00E16B9B"/>
    <w:rsid w:val="00E16BD6"/>
    <w:rsid w:val="00E16BEB"/>
    <w:rsid w:val="00E16E6B"/>
    <w:rsid w:val="00E17017"/>
    <w:rsid w:val="00E17098"/>
    <w:rsid w:val="00E17554"/>
    <w:rsid w:val="00E17569"/>
    <w:rsid w:val="00E17579"/>
    <w:rsid w:val="00E178C3"/>
    <w:rsid w:val="00E1795B"/>
    <w:rsid w:val="00E17B60"/>
    <w:rsid w:val="00E17F14"/>
    <w:rsid w:val="00E200C1"/>
    <w:rsid w:val="00E201FB"/>
    <w:rsid w:val="00E206AB"/>
    <w:rsid w:val="00E206F8"/>
    <w:rsid w:val="00E20920"/>
    <w:rsid w:val="00E20B7A"/>
    <w:rsid w:val="00E20E44"/>
    <w:rsid w:val="00E2122E"/>
    <w:rsid w:val="00E214B3"/>
    <w:rsid w:val="00E21570"/>
    <w:rsid w:val="00E216A1"/>
    <w:rsid w:val="00E21CA5"/>
    <w:rsid w:val="00E21D4E"/>
    <w:rsid w:val="00E2231E"/>
    <w:rsid w:val="00E2238B"/>
    <w:rsid w:val="00E224D3"/>
    <w:rsid w:val="00E22525"/>
    <w:rsid w:val="00E225E5"/>
    <w:rsid w:val="00E2273F"/>
    <w:rsid w:val="00E2296B"/>
    <w:rsid w:val="00E22B53"/>
    <w:rsid w:val="00E22B83"/>
    <w:rsid w:val="00E22BD5"/>
    <w:rsid w:val="00E22C0D"/>
    <w:rsid w:val="00E2301A"/>
    <w:rsid w:val="00E23041"/>
    <w:rsid w:val="00E23719"/>
    <w:rsid w:val="00E238A9"/>
    <w:rsid w:val="00E23FCF"/>
    <w:rsid w:val="00E24EA4"/>
    <w:rsid w:val="00E251B6"/>
    <w:rsid w:val="00E2522F"/>
    <w:rsid w:val="00E25302"/>
    <w:rsid w:val="00E25348"/>
    <w:rsid w:val="00E253C5"/>
    <w:rsid w:val="00E25472"/>
    <w:rsid w:val="00E25747"/>
    <w:rsid w:val="00E2577B"/>
    <w:rsid w:val="00E25A9E"/>
    <w:rsid w:val="00E25CC3"/>
    <w:rsid w:val="00E25CF1"/>
    <w:rsid w:val="00E25FAA"/>
    <w:rsid w:val="00E2647E"/>
    <w:rsid w:val="00E264C5"/>
    <w:rsid w:val="00E2666A"/>
    <w:rsid w:val="00E267AB"/>
    <w:rsid w:val="00E267EC"/>
    <w:rsid w:val="00E26AE4"/>
    <w:rsid w:val="00E26BD5"/>
    <w:rsid w:val="00E270EC"/>
    <w:rsid w:val="00E27129"/>
    <w:rsid w:val="00E271EF"/>
    <w:rsid w:val="00E2749F"/>
    <w:rsid w:val="00E2766E"/>
    <w:rsid w:val="00E2771D"/>
    <w:rsid w:val="00E279D6"/>
    <w:rsid w:val="00E279E4"/>
    <w:rsid w:val="00E27A0A"/>
    <w:rsid w:val="00E27FB8"/>
    <w:rsid w:val="00E3006B"/>
    <w:rsid w:val="00E3015F"/>
    <w:rsid w:val="00E303C3"/>
    <w:rsid w:val="00E303FC"/>
    <w:rsid w:val="00E30B05"/>
    <w:rsid w:val="00E30B92"/>
    <w:rsid w:val="00E30C33"/>
    <w:rsid w:val="00E30D15"/>
    <w:rsid w:val="00E30E64"/>
    <w:rsid w:val="00E30F83"/>
    <w:rsid w:val="00E31295"/>
    <w:rsid w:val="00E3148D"/>
    <w:rsid w:val="00E31613"/>
    <w:rsid w:val="00E3162A"/>
    <w:rsid w:val="00E31A7E"/>
    <w:rsid w:val="00E31AB6"/>
    <w:rsid w:val="00E31CFF"/>
    <w:rsid w:val="00E31EDB"/>
    <w:rsid w:val="00E32092"/>
    <w:rsid w:val="00E32133"/>
    <w:rsid w:val="00E32424"/>
    <w:rsid w:val="00E32633"/>
    <w:rsid w:val="00E32902"/>
    <w:rsid w:val="00E32BC8"/>
    <w:rsid w:val="00E32CAC"/>
    <w:rsid w:val="00E33183"/>
    <w:rsid w:val="00E33291"/>
    <w:rsid w:val="00E33320"/>
    <w:rsid w:val="00E33631"/>
    <w:rsid w:val="00E33C21"/>
    <w:rsid w:val="00E33DDB"/>
    <w:rsid w:val="00E33E2B"/>
    <w:rsid w:val="00E34021"/>
    <w:rsid w:val="00E3408F"/>
    <w:rsid w:val="00E34124"/>
    <w:rsid w:val="00E342B4"/>
    <w:rsid w:val="00E3433E"/>
    <w:rsid w:val="00E3445C"/>
    <w:rsid w:val="00E34563"/>
    <w:rsid w:val="00E3462B"/>
    <w:rsid w:val="00E34875"/>
    <w:rsid w:val="00E348F8"/>
    <w:rsid w:val="00E34D6F"/>
    <w:rsid w:val="00E34D80"/>
    <w:rsid w:val="00E34E74"/>
    <w:rsid w:val="00E350C8"/>
    <w:rsid w:val="00E3512E"/>
    <w:rsid w:val="00E3516B"/>
    <w:rsid w:val="00E351AA"/>
    <w:rsid w:val="00E351CD"/>
    <w:rsid w:val="00E3528D"/>
    <w:rsid w:val="00E35571"/>
    <w:rsid w:val="00E35615"/>
    <w:rsid w:val="00E35A67"/>
    <w:rsid w:val="00E35ACC"/>
    <w:rsid w:val="00E35EF3"/>
    <w:rsid w:val="00E36397"/>
    <w:rsid w:val="00E3668A"/>
    <w:rsid w:val="00E36819"/>
    <w:rsid w:val="00E36C02"/>
    <w:rsid w:val="00E36FC6"/>
    <w:rsid w:val="00E37380"/>
    <w:rsid w:val="00E373E4"/>
    <w:rsid w:val="00E37545"/>
    <w:rsid w:val="00E3765A"/>
    <w:rsid w:val="00E377DC"/>
    <w:rsid w:val="00E379C0"/>
    <w:rsid w:val="00E37A62"/>
    <w:rsid w:val="00E37A8B"/>
    <w:rsid w:val="00E37BAE"/>
    <w:rsid w:val="00E37BBB"/>
    <w:rsid w:val="00E37E00"/>
    <w:rsid w:val="00E40342"/>
    <w:rsid w:val="00E4035A"/>
    <w:rsid w:val="00E409E0"/>
    <w:rsid w:val="00E40CC6"/>
    <w:rsid w:val="00E40E60"/>
    <w:rsid w:val="00E40ED0"/>
    <w:rsid w:val="00E40F36"/>
    <w:rsid w:val="00E40F77"/>
    <w:rsid w:val="00E412A7"/>
    <w:rsid w:val="00E412AE"/>
    <w:rsid w:val="00E413EB"/>
    <w:rsid w:val="00E41514"/>
    <w:rsid w:val="00E41620"/>
    <w:rsid w:val="00E41859"/>
    <w:rsid w:val="00E4185C"/>
    <w:rsid w:val="00E418A1"/>
    <w:rsid w:val="00E418CF"/>
    <w:rsid w:val="00E41985"/>
    <w:rsid w:val="00E41E5D"/>
    <w:rsid w:val="00E41EE5"/>
    <w:rsid w:val="00E41FD8"/>
    <w:rsid w:val="00E42132"/>
    <w:rsid w:val="00E423C0"/>
    <w:rsid w:val="00E424D3"/>
    <w:rsid w:val="00E425B2"/>
    <w:rsid w:val="00E4287A"/>
    <w:rsid w:val="00E428C2"/>
    <w:rsid w:val="00E42A50"/>
    <w:rsid w:val="00E43074"/>
    <w:rsid w:val="00E43172"/>
    <w:rsid w:val="00E433E9"/>
    <w:rsid w:val="00E43429"/>
    <w:rsid w:val="00E435DF"/>
    <w:rsid w:val="00E43649"/>
    <w:rsid w:val="00E436D3"/>
    <w:rsid w:val="00E43705"/>
    <w:rsid w:val="00E43863"/>
    <w:rsid w:val="00E438DD"/>
    <w:rsid w:val="00E43A51"/>
    <w:rsid w:val="00E43AC9"/>
    <w:rsid w:val="00E43E12"/>
    <w:rsid w:val="00E43F76"/>
    <w:rsid w:val="00E43FFA"/>
    <w:rsid w:val="00E441DA"/>
    <w:rsid w:val="00E44537"/>
    <w:rsid w:val="00E446C2"/>
    <w:rsid w:val="00E44926"/>
    <w:rsid w:val="00E44972"/>
    <w:rsid w:val="00E44DA4"/>
    <w:rsid w:val="00E44DF2"/>
    <w:rsid w:val="00E44E66"/>
    <w:rsid w:val="00E450D2"/>
    <w:rsid w:val="00E450F2"/>
    <w:rsid w:val="00E4547C"/>
    <w:rsid w:val="00E45491"/>
    <w:rsid w:val="00E457D6"/>
    <w:rsid w:val="00E45937"/>
    <w:rsid w:val="00E45973"/>
    <w:rsid w:val="00E45A78"/>
    <w:rsid w:val="00E45B4E"/>
    <w:rsid w:val="00E45C2A"/>
    <w:rsid w:val="00E45FDA"/>
    <w:rsid w:val="00E46312"/>
    <w:rsid w:val="00E46845"/>
    <w:rsid w:val="00E469A5"/>
    <w:rsid w:val="00E46BF4"/>
    <w:rsid w:val="00E46D67"/>
    <w:rsid w:val="00E471D0"/>
    <w:rsid w:val="00E47435"/>
    <w:rsid w:val="00E47A41"/>
    <w:rsid w:val="00E47AC7"/>
    <w:rsid w:val="00E47D89"/>
    <w:rsid w:val="00E47D9B"/>
    <w:rsid w:val="00E47DED"/>
    <w:rsid w:val="00E47E53"/>
    <w:rsid w:val="00E500A1"/>
    <w:rsid w:val="00E50180"/>
    <w:rsid w:val="00E501A1"/>
    <w:rsid w:val="00E501C0"/>
    <w:rsid w:val="00E50289"/>
    <w:rsid w:val="00E50650"/>
    <w:rsid w:val="00E506B6"/>
    <w:rsid w:val="00E5087E"/>
    <w:rsid w:val="00E51148"/>
    <w:rsid w:val="00E51223"/>
    <w:rsid w:val="00E514BB"/>
    <w:rsid w:val="00E51830"/>
    <w:rsid w:val="00E519F3"/>
    <w:rsid w:val="00E51D70"/>
    <w:rsid w:val="00E51F97"/>
    <w:rsid w:val="00E5213F"/>
    <w:rsid w:val="00E521AA"/>
    <w:rsid w:val="00E529CD"/>
    <w:rsid w:val="00E52A05"/>
    <w:rsid w:val="00E52A09"/>
    <w:rsid w:val="00E52AE4"/>
    <w:rsid w:val="00E52AF7"/>
    <w:rsid w:val="00E52B87"/>
    <w:rsid w:val="00E52BF3"/>
    <w:rsid w:val="00E52C56"/>
    <w:rsid w:val="00E52ED5"/>
    <w:rsid w:val="00E52FD0"/>
    <w:rsid w:val="00E530F7"/>
    <w:rsid w:val="00E53205"/>
    <w:rsid w:val="00E53223"/>
    <w:rsid w:val="00E53261"/>
    <w:rsid w:val="00E5328D"/>
    <w:rsid w:val="00E5375F"/>
    <w:rsid w:val="00E53797"/>
    <w:rsid w:val="00E53892"/>
    <w:rsid w:val="00E539CC"/>
    <w:rsid w:val="00E539D1"/>
    <w:rsid w:val="00E53B4D"/>
    <w:rsid w:val="00E53BCC"/>
    <w:rsid w:val="00E53D03"/>
    <w:rsid w:val="00E53D7B"/>
    <w:rsid w:val="00E53E70"/>
    <w:rsid w:val="00E53E7B"/>
    <w:rsid w:val="00E54167"/>
    <w:rsid w:val="00E54184"/>
    <w:rsid w:val="00E541A2"/>
    <w:rsid w:val="00E545D4"/>
    <w:rsid w:val="00E54D90"/>
    <w:rsid w:val="00E5506A"/>
    <w:rsid w:val="00E551A3"/>
    <w:rsid w:val="00E55519"/>
    <w:rsid w:val="00E555FD"/>
    <w:rsid w:val="00E55606"/>
    <w:rsid w:val="00E5579D"/>
    <w:rsid w:val="00E557D1"/>
    <w:rsid w:val="00E557F2"/>
    <w:rsid w:val="00E558FF"/>
    <w:rsid w:val="00E55CD5"/>
    <w:rsid w:val="00E55D70"/>
    <w:rsid w:val="00E560B4"/>
    <w:rsid w:val="00E560EA"/>
    <w:rsid w:val="00E5615B"/>
    <w:rsid w:val="00E56298"/>
    <w:rsid w:val="00E562B0"/>
    <w:rsid w:val="00E565D4"/>
    <w:rsid w:val="00E56753"/>
    <w:rsid w:val="00E56CB2"/>
    <w:rsid w:val="00E56DB2"/>
    <w:rsid w:val="00E57289"/>
    <w:rsid w:val="00E57409"/>
    <w:rsid w:val="00E574CA"/>
    <w:rsid w:val="00E57857"/>
    <w:rsid w:val="00E57889"/>
    <w:rsid w:val="00E578A4"/>
    <w:rsid w:val="00E57A43"/>
    <w:rsid w:val="00E57B79"/>
    <w:rsid w:val="00E57BDE"/>
    <w:rsid w:val="00E57C7A"/>
    <w:rsid w:val="00E57E44"/>
    <w:rsid w:val="00E6016F"/>
    <w:rsid w:val="00E601B4"/>
    <w:rsid w:val="00E60A6A"/>
    <w:rsid w:val="00E61200"/>
    <w:rsid w:val="00E6127A"/>
    <w:rsid w:val="00E6135F"/>
    <w:rsid w:val="00E61433"/>
    <w:rsid w:val="00E61A21"/>
    <w:rsid w:val="00E61B4B"/>
    <w:rsid w:val="00E61C25"/>
    <w:rsid w:val="00E61E2E"/>
    <w:rsid w:val="00E61F3B"/>
    <w:rsid w:val="00E62094"/>
    <w:rsid w:val="00E620F2"/>
    <w:rsid w:val="00E62202"/>
    <w:rsid w:val="00E62447"/>
    <w:rsid w:val="00E6252A"/>
    <w:rsid w:val="00E626CB"/>
    <w:rsid w:val="00E629B4"/>
    <w:rsid w:val="00E62AB3"/>
    <w:rsid w:val="00E62DAC"/>
    <w:rsid w:val="00E630BF"/>
    <w:rsid w:val="00E6319A"/>
    <w:rsid w:val="00E632FB"/>
    <w:rsid w:val="00E6331E"/>
    <w:rsid w:val="00E634D7"/>
    <w:rsid w:val="00E634F4"/>
    <w:rsid w:val="00E636F7"/>
    <w:rsid w:val="00E63774"/>
    <w:rsid w:val="00E63809"/>
    <w:rsid w:val="00E63C3A"/>
    <w:rsid w:val="00E63C40"/>
    <w:rsid w:val="00E64001"/>
    <w:rsid w:val="00E64789"/>
    <w:rsid w:val="00E647A3"/>
    <w:rsid w:val="00E64875"/>
    <w:rsid w:val="00E648C1"/>
    <w:rsid w:val="00E64915"/>
    <w:rsid w:val="00E64A23"/>
    <w:rsid w:val="00E64AA9"/>
    <w:rsid w:val="00E64F18"/>
    <w:rsid w:val="00E64FDA"/>
    <w:rsid w:val="00E650C6"/>
    <w:rsid w:val="00E650D5"/>
    <w:rsid w:val="00E651AA"/>
    <w:rsid w:val="00E651E2"/>
    <w:rsid w:val="00E6526C"/>
    <w:rsid w:val="00E65835"/>
    <w:rsid w:val="00E6589B"/>
    <w:rsid w:val="00E659C0"/>
    <w:rsid w:val="00E65A9D"/>
    <w:rsid w:val="00E65B65"/>
    <w:rsid w:val="00E65B9F"/>
    <w:rsid w:val="00E65C4F"/>
    <w:rsid w:val="00E65C83"/>
    <w:rsid w:val="00E65CDD"/>
    <w:rsid w:val="00E65D2F"/>
    <w:rsid w:val="00E65DB0"/>
    <w:rsid w:val="00E660FC"/>
    <w:rsid w:val="00E6610E"/>
    <w:rsid w:val="00E66201"/>
    <w:rsid w:val="00E6620C"/>
    <w:rsid w:val="00E663C0"/>
    <w:rsid w:val="00E66769"/>
    <w:rsid w:val="00E6695A"/>
    <w:rsid w:val="00E66A62"/>
    <w:rsid w:val="00E66F38"/>
    <w:rsid w:val="00E66F95"/>
    <w:rsid w:val="00E6702E"/>
    <w:rsid w:val="00E671A6"/>
    <w:rsid w:val="00E671F1"/>
    <w:rsid w:val="00E67259"/>
    <w:rsid w:val="00E67302"/>
    <w:rsid w:val="00E67403"/>
    <w:rsid w:val="00E674D8"/>
    <w:rsid w:val="00E67973"/>
    <w:rsid w:val="00E67B33"/>
    <w:rsid w:val="00E70026"/>
    <w:rsid w:val="00E70079"/>
    <w:rsid w:val="00E70124"/>
    <w:rsid w:val="00E7069F"/>
    <w:rsid w:val="00E70712"/>
    <w:rsid w:val="00E708BB"/>
    <w:rsid w:val="00E708E0"/>
    <w:rsid w:val="00E70B45"/>
    <w:rsid w:val="00E70C64"/>
    <w:rsid w:val="00E70D0F"/>
    <w:rsid w:val="00E70D11"/>
    <w:rsid w:val="00E70D57"/>
    <w:rsid w:val="00E70D96"/>
    <w:rsid w:val="00E70DE1"/>
    <w:rsid w:val="00E713F8"/>
    <w:rsid w:val="00E714B5"/>
    <w:rsid w:val="00E715ED"/>
    <w:rsid w:val="00E71AA2"/>
    <w:rsid w:val="00E71B9B"/>
    <w:rsid w:val="00E71C36"/>
    <w:rsid w:val="00E71D35"/>
    <w:rsid w:val="00E71D9D"/>
    <w:rsid w:val="00E722AE"/>
    <w:rsid w:val="00E72300"/>
    <w:rsid w:val="00E723CD"/>
    <w:rsid w:val="00E7244B"/>
    <w:rsid w:val="00E724C6"/>
    <w:rsid w:val="00E725A3"/>
    <w:rsid w:val="00E726F7"/>
    <w:rsid w:val="00E72767"/>
    <w:rsid w:val="00E727B2"/>
    <w:rsid w:val="00E72C1B"/>
    <w:rsid w:val="00E72C77"/>
    <w:rsid w:val="00E733D1"/>
    <w:rsid w:val="00E73558"/>
    <w:rsid w:val="00E7375D"/>
    <w:rsid w:val="00E73907"/>
    <w:rsid w:val="00E73A68"/>
    <w:rsid w:val="00E73B81"/>
    <w:rsid w:val="00E73F94"/>
    <w:rsid w:val="00E74037"/>
    <w:rsid w:val="00E74152"/>
    <w:rsid w:val="00E74514"/>
    <w:rsid w:val="00E7474D"/>
    <w:rsid w:val="00E74DDB"/>
    <w:rsid w:val="00E74F5B"/>
    <w:rsid w:val="00E75068"/>
    <w:rsid w:val="00E751D6"/>
    <w:rsid w:val="00E7520C"/>
    <w:rsid w:val="00E75273"/>
    <w:rsid w:val="00E7577D"/>
    <w:rsid w:val="00E75807"/>
    <w:rsid w:val="00E75836"/>
    <w:rsid w:val="00E759CD"/>
    <w:rsid w:val="00E75B0E"/>
    <w:rsid w:val="00E75BD1"/>
    <w:rsid w:val="00E75DCA"/>
    <w:rsid w:val="00E75DFE"/>
    <w:rsid w:val="00E76284"/>
    <w:rsid w:val="00E7646F"/>
    <w:rsid w:val="00E76730"/>
    <w:rsid w:val="00E76815"/>
    <w:rsid w:val="00E7687A"/>
    <w:rsid w:val="00E768F9"/>
    <w:rsid w:val="00E76D1A"/>
    <w:rsid w:val="00E76FB4"/>
    <w:rsid w:val="00E77396"/>
    <w:rsid w:val="00E777B7"/>
    <w:rsid w:val="00E77A90"/>
    <w:rsid w:val="00E77B49"/>
    <w:rsid w:val="00E77D85"/>
    <w:rsid w:val="00E77F64"/>
    <w:rsid w:val="00E80059"/>
    <w:rsid w:val="00E800B0"/>
    <w:rsid w:val="00E800B1"/>
    <w:rsid w:val="00E80329"/>
    <w:rsid w:val="00E80401"/>
    <w:rsid w:val="00E804EA"/>
    <w:rsid w:val="00E80565"/>
    <w:rsid w:val="00E8091E"/>
    <w:rsid w:val="00E809DE"/>
    <w:rsid w:val="00E80C23"/>
    <w:rsid w:val="00E80E33"/>
    <w:rsid w:val="00E80E87"/>
    <w:rsid w:val="00E81027"/>
    <w:rsid w:val="00E81457"/>
    <w:rsid w:val="00E8146C"/>
    <w:rsid w:val="00E81907"/>
    <w:rsid w:val="00E81B93"/>
    <w:rsid w:val="00E81D4F"/>
    <w:rsid w:val="00E81D72"/>
    <w:rsid w:val="00E82221"/>
    <w:rsid w:val="00E8233C"/>
    <w:rsid w:val="00E82640"/>
    <w:rsid w:val="00E8266B"/>
    <w:rsid w:val="00E8298E"/>
    <w:rsid w:val="00E829E6"/>
    <w:rsid w:val="00E82A39"/>
    <w:rsid w:val="00E83014"/>
    <w:rsid w:val="00E83386"/>
    <w:rsid w:val="00E8339A"/>
    <w:rsid w:val="00E83558"/>
    <w:rsid w:val="00E835A3"/>
    <w:rsid w:val="00E8376A"/>
    <w:rsid w:val="00E839D3"/>
    <w:rsid w:val="00E83E98"/>
    <w:rsid w:val="00E83E99"/>
    <w:rsid w:val="00E83F41"/>
    <w:rsid w:val="00E844CB"/>
    <w:rsid w:val="00E84669"/>
    <w:rsid w:val="00E8469D"/>
    <w:rsid w:val="00E846D5"/>
    <w:rsid w:val="00E8471D"/>
    <w:rsid w:val="00E84769"/>
    <w:rsid w:val="00E84A6C"/>
    <w:rsid w:val="00E84AB5"/>
    <w:rsid w:val="00E84AD1"/>
    <w:rsid w:val="00E84C7A"/>
    <w:rsid w:val="00E84D0B"/>
    <w:rsid w:val="00E84E4C"/>
    <w:rsid w:val="00E84FFB"/>
    <w:rsid w:val="00E8537A"/>
    <w:rsid w:val="00E85578"/>
    <w:rsid w:val="00E85C07"/>
    <w:rsid w:val="00E85C21"/>
    <w:rsid w:val="00E86240"/>
    <w:rsid w:val="00E8625E"/>
    <w:rsid w:val="00E86295"/>
    <w:rsid w:val="00E86419"/>
    <w:rsid w:val="00E868FF"/>
    <w:rsid w:val="00E86959"/>
    <w:rsid w:val="00E86BB8"/>
    <w:rsid w:val="00E86C77"/>
    <w:rsid w:val="00E86E97"/>
    <w:rsid w:val="00E86FD7"/>
    <w:rsid w:val="00E8727E"/>
    <w:rsid w:val="00E87363"/>
    <w:rsid w:val="00E87479"/>
    <w:rsid w:val="00E874D7"/>
    <w:rsid w:val="00E87566"/>
    <w:rsid w:val="00E8767A"/>
    <w:rsid w:val="00E877FC"/>
    <w:rsid w:val="00E87882"/>
    <w:rsid w:val="00E87938"/>
    <w:rsid w:val="00E87FC7"/>
    <w:rsid w:val="00E9000D"/>
    <w:rsid w:val="00E905B4"/>
    <w:rsid w:val="00E906E7"/>
    <w:rsid w:val="00E90721"/>
    <w:rsid w:val="00E9082B"/>
    <w:rsid w:val="00E90AE6"/>
    <w:rsid w:val="00E90C1D"/>
    <w:rsid w:val="00E90D38"/>
    <w:rsid w:val="00E91084"/>
    <w:rsid w:val="00E910F4"/>
    <w:rsid w:val="00E9116B"/>
    <w:rsid w:val="00E914B7"/>
    <w:rsid w:val="00E916E8"/>
    <w:rsid w:val="00E917CB"/>
    <w:rsid w:val="00E919A6"/>
    <w:rsid w:val="00E91BBF"/>
    <w:rsid w:val="00E91D3D"/>
    <w:rsid w:val="00E91FE6"/>
    <w:rsid w:val="00E920D0"/>
    <w:rsid w:val="00E9221C"/>
    <w:rsid w:val="00E9226C"/>
    <w:rsid w:val="00E92704"/>
    <w:rsid w:val="00E9299A"/>
    <w:rsid w:val="00E92A6F"/>
    <w:rsid w:val="00E92D62"/>
    <w:rsid w:val="00E930CC"/>
    <w:rsid w:val="00E9318A"/>
    <w:rsid w:val="00E93503"/>
    <w:rsid w:val="00E93772"/>
    <w:rsid w:val="00E939DD"/>
    <w:rsid w:val="00E93AD0"/>
    <w:rsid w:val="00E93B4E"/>
    <w:rsid w:val="00E93D32"/>
    <w:rsid w:val="00E94002"/>
    <w:rsid w:val="00E94004"/>
    <w:rsid w:val="00E940E6"/>
    <w:rsid w:val="00E94125"/>
    <w:rsid w:val="00E943E9"/>
    <w:rsid w:val="00E9459C"/>
    <w:rsid w:val="00E948FB"/>
    <w:rsid w:val="00E94BB5"/>
    <w:rsid w:val="00E94CE4"/>
    <w:rsid w:val="00E94F1B"/>
    <w:rsid w:val="00E9500B"/>
    <w:rsid w:val="00E95292"/>
    <w:rsid w:val="00E9536C"/>
    <w:rsid w:val="00E95403"/>
    <w:rsid w:val="00E9576A"/>
    <w:rsid w:val="00E957AD"/>
    <w:rsid w:val="00E9596B"/>
    <w:rsid w:val="00E95C20"/>
    <w:rsid w:val="00E95E4D"/>
    <w:rsid w:val="00E95EEE"/>
    <w:rsid w:val="00E95EFE"/>
    <w:rsid w:val="00E96308"/>
    <w:rsid w:val="00E965B2"/>
    <w:rsid w:val="00E96742"/>
    <w:rsid w:val="00E968DD"/>
    <w:rsid w:val="00E969BD"/>
    <w:rsid w:val="00E96A42"/>
    <w:rsid w:val="00E96D27"/>
    <w:rsid w:val="00E97238"/>
    <w:rsid w:val="00E975EA"/>
    <w:rsid w:val="00E9766A"/>
    <w:rsid w:val="00E9769E"/>
    <w:rsid w:val="00E97925"/>
    <w:rsid w:val="00E97A8A"/>
    <w:rsid w:val="00E97B8F"/>
    <w:rsid w:val="00E97CA0"/>
    <w:rsid w:val="00E97D6D"/>
    <w:rsid w:val="00E97E72"/>
    <w:rsid w:val="00EA00D4"/>
    <w:rsid w:val="00EA0325"/>
    <w:rsid w:val="00EA0384"/>
    <w:rsid w:val="00EA03C4"/>
    <w:rsid w:val="00EA04F1"/>
    <w:rsid w:val="00EA0AA4"/>
    <w:rsid w:val="00EA0B39"/>
    <w:rsid w:val="00EA0C00"/>
    <w:rsid w:val="00EA0C3F"/>
    <w:rsid w:val="00EA0C91"/>
    <w:rsid w:val="00EA0CF3"/>
    <w:rsid w:val="00EA0DEC"/>
    <w:rsid w:val="00EA0F96"/>
    <w:rsid w:val="00EA113F"/>
    <w:rsid w:val="00EA1207"/>
    <w:rsid w:val="00EA1457"/>
    <w:rsid w:val="00EA145C"/>
    <w:rsid w:val="00EA14F2"/>
    <w:rsid w:val="00EA15A0"/>
    <w:rsid w:val="00EA1C40"/>
    <w:rsid w:val="00EA1C93"/>
    <w:rsid w:val="00EA1CDC"/>
    <w:rsid w:val="00EA1EDD"/>
    <w:rsid w:val="00EA2419"/>
    <w:rsid w:val="00EA2609"/>
    <w:rsid w:val="00EA29B4"/>
    <w:rsid w:val="00EA29BB"/>
    <w:rsid w:val="00EA2A18"/>
    <w:rsid w:val="00EA2CA7"/>
    <w:rsid w:val="00EA2D09"/>
    <w:rsid w:val="00EA2E43"/>
    <w:rsid w:val="00EA2EC1"/>
    <w:rsid w:val="00EA2FB4"/>
    <w:rsid w:val="00EA373E"/>
    <w:rsid w:val="00EA3766"/>
    <w:rsid w:val="00EA38EC"/>
    <w:rsid w:val="00EA3951"/>
    <w:rsid w:val="00EA3D5C"/>
    <w:rsid w:val="00EA3E5C"/>
    <w:rsid w:val="00EA4272"/>
    <w:rsid w:val="00EA436B"/>
    <w:rsid w:val="00EA43B8"/>
    <w:rsid w:val="00EA45C4"/>
    <w:rsid w:val="00EA45D0"/>
    <w:rsid w:val="00EA47F4"/>
    <w:rsid w:val="00EA4993"/>
    <w:rsid w:val="00EA4A94"/>
    <w:rsid w:val="00EA4B1E"/>
    <w:rsid w:val="00EA4CB8"/>
    <w:rsid w:val="00EA4E20"/>
    <w:rsid w:val="00EA4E78"/>
    <w:rsid w:val="00EA4EF6"/>
    <w:rsid w:val="00EA4FF0"/>
    <w:rsid w:val="00EA5162"/>
    <w:rsid w:val="00EA51A4"/>
    <w:rsid w:val="00EA51F3"/>
    <w:rsid w:val="00EA54B7"/>
    <w:rsid w:val="00EA5506"/>
    <w:rsid w:val="00EA5648"/>
    <w:rsid w:val="00EA5B22"/>
    <w:rsid w:val="00EA5B31"/>
    <w:rsid w:val="00EA5C59"/>
    <w:rsid w:val="00EA602C"/>
    <w:rsid w:val="00EA66CD"/>
    <w:rsid w:val="00EA67DD"/>
    <w:rsid w:val="00EA69AC"/>
    <w:rsid w:val="00EA6BF5"/>
    <w:rsid w:val="00EA6C94"/>
    <w:rsid w:val="00EA6E37"/>
    <w:rsid w:val="00EA6ECF"/>
    <w:rsid w:val="00EA6ED4"/>
    <w:rsid w:val="00EA7934"/>
    <w:rsid w:val="00EA7AB5"/>
    <w:rsid w:val="00EA7BD2"/>
    <w:rsid w:val="00EA7C8F"/>
    <w:rsid w:val="00EA7E97"/>
    <w:rsid w:val="00EB0057"/>
    <w:rsid w:val="00EB02CE"/>
    <w:rsid w:val="00EB02EE"/>
    <w:rsid w:val="00EB0644"/>
    <w:rsid w:val="00EB0A6B"/>
    <w:rsid w:val="00EB0B93"/>
    <w:rsid w:val="00EB0C35"/>
    <w:rsid w:val="00EB11AE"/>
    <w:rsid w:val="00EB14DC"/>
    <w:rsid w:val="00EB18C5"/>
    <w:rsid w:val="00EB1AB3"/>
    <w:rsid w:val="00EB2102"/>
    <w:rsid w:val="00EB23B7"/>
    <w:rsid w:val="00EB257B"/>
    <w:rsid w:val="00EB296D"/>
    <w:rsid w:val="00EB2986"/>
    <w:rsid w:val="00EB2A07"/>
    <w:rsid w:val="00EB2BEA"/>
    <w:rsid w:val="00EB31BF"/>
    <w:rsid w:val="00EB32AF"/>
    <w:rsid w:val="00EB3392"/>
    <w:rsid w:val="00EB3545"/>
    <w:rsid w:val="00EB3654"/>
    <w:rsid w:val="00EB37E0"/>
    <w:rsid w:val="00EB382F"/>
    <w:rsid w:val="00EB3A46"/>
    <w:rsid w:val="00EB3C45"/>
    <w:rsid w:val="00EB3D0C"/>
    <w:rsid w:val="00EB411C"/>
    <w:rsid w:val="00EB4144"/>
    <w:rsid w:val="00EB41A0"/>
    <w:rsid w:val="00EB43E4"/>
    <w:rsid w:val="00EB4420"/>
    <w:rsid w:val="00EB462B"/>
    <w:rsid w:val="00EB4A53"/>
    <w:rsid w:val="00EB4CFF"/>
    <w:rsid w:val="00EB5131"/>
    <w:rsid w:val="00EB53D4"/>
    <w:rsid w:val="00EB547E"/>
    <w:rsid w:val="00EB55A9"/>
    <w:rsid w:val="00EB55F6"/>
    <w:rsid w:val="00EB58D7"/>
    <w:rsid w:val="00EB5938"/>
    <w:rsid w:val="00EB5972"/>
    <w:rsid w:val="00EB5A7B"/>
    <w:rsid w:val="00EB5B24"/>
    <w:rsid w:val="00EB5DA0"/>
    <w:rsid w:val="00EB5EB0"/>
    <w:rsid w:val="00EB5F52"/>
    <w:rsid w:val="00EB5FED"/>
    <w:rsid w:val="00EB61B5"/>
    <w:rsid w:val="00EB61F8"/>
    <w:rsid w:val="00EB647F"/>
    <w:rsid w:val="00EB6490"/>
    <w:rsid w:val="00EB6664"/>
    <w:rsid w:val="00EB670F"/>
    <w:rsid w:val="00EB67F5"/>
    <w:rsid w:val="00EB695A"/>
    <w:rsid w:val="00EB69CA"/>
    <w:rsid w:val="00EB6A2C"/>
    <w:rsid w:val="00EB6C80"/>
    <w:rsid w:val="00EB6D01"/>
    <w:rsid w:val="00EB7228"/>
    <w:rsid w:val="00EB7296"/>
    <w:rsid w:val="00EB7756"/>
    <w:rsid w:val="00EB778F"/>
    <w:rsid w:val="00EB7847"/>
    <w:rsid w:val="00EB78F5"/>
    <w:rsid w:val="00EC037B"/>
    <w:rsid w:val="00EC0515"/>
    <w:rsid w:val="00EC0585"/>
    <w:rsid w:val="00EC075E"/>
    <w:rsid w:val="00EC082A"/>
    <w:rsid w:val="00EC0B30"/>
    <w:rsid w:val="00EC0BDE"/>
    <w:rsid w:val="00EC0C13"/>
    <w:rsid w:val="00EC0FB7"/>
    <w:rsid w:val="00EC103C"/>
    <w:rsid w:val="00EC123B"/>
    <w:rsid w:val="00EC16D1"/>
    <w:rsid w:val="00EC16D4"/>
    <w:rsid w:val="00EC1931"/>
    <w:rsid w:val="00EC1C76"/>
    <w:rsid w:val="00EC1F05"/>
    <w:rsid w:val="00EC21F1"/>
    <w:rsid w:val="00EC2216"/>
    <w:rsid w:val="00EC2A28"/>
    <w:rsid w:val="00EC2AA0"/>
    <w:rsid w:val="00EC2E51"/>
    <w:rsid w:val="00EC2F7F"/>
    <w:rsid w:val="00EC348B"/>
    <w:rsid w:val="00EC3510"/>
    <w:rsid w:val="00EC3588"/>
    <w:rsid w:val="00EC3677"/>
    <w:rsid w:val="00EC3846"/>
    <w:rsid w:val="00EC3866"/>
    <w:rsid w:val="00EC388F"/>
    <w:rsid w:val="00EC3937"/>
    <w:rsid w:val="00EC3C5B"/>
    <w:rsid w:val="00EC4105"/>
    <w:rsid w:val="00EC4231"/>
    <w:rsid w:val="00EC4283"/>
    <w:rsid w:val="00EC42EA"/>
    <w:rsid w:val="00EC4491"/>
    <w:rsid w:val="00EC45A4"/>
    <w:rsid w:val="00EC462B"/>
    <w:rsid w:val="00EC464C"/>
    <w:rsid w:val="00EC4920"/>
    <w:rsid w:val="00EC4954"/>
    <w:rsid w:val="00EC4990"/>
    <w:rsid w:val="00EC4F76"/>
    <w:rsid w:val="00EC5337"/>
    <w:rsid w:val="00EC54DF"/>
    <w:rsid w:val="00EC55DF"/>
    <w:rsid w:val="00EC5B67"/>
    <w:rsid w:val="00EC653F"/>
    <w:rsid w:val="00EC68E4"/>
    <w:rsid w:val="00EC70CA"/>
    <w:rsid w:val="00EC70D2"/>
    <w:rsid w:val="00EC740C"/>
    <w:rsid w:val="00EC744C"/>
    <w:rsid w:val="00EC75AA"/>
    <w:rsid w:val="00EC76B3"/>
    <w:rsid w:val="00EC77B9"/>
    <w:rsid w:val="00EC786F"/>
    <w:rsid w:val="00EC78A3"/>
    <w:rsid w:val="00EC78F9"/>
    <w:rsid w:val="00EC7DA2"/>
    <w:rsid w:val="00ED0089"/>
    <w:rsid w:val="00ED0189"/>
    <w:rsid w:val="00ED0331"/>
    <w:rsid w:val="00ED0611"/>
    <w:rsid w:val="00ED07A5"/>
    <w:rsid w:val="00ED08CB"/>
    <w:rsid w:val="00ED0ACF"/>
    <w:rsid w:val="00ED0B0F"/>
    <w:rsid w:val="00ED0CCF"/>
    <w:rsid w:val="00ED0D57"/>
    <w:rsid w:val="00ED0F3F"/>
    <w:rsid w:val="00ED0FEC"/>
    <w:rsid w:val="00ED1293"/>
    <w:rsid w:val="00ED1388"/>
    <w:rsid w:val="00ED1494"/>
    <w:rsid w:val="00ED159D"/>
    <w:rsid w:val="00ED15A9"/>
    <w:rsid w:val="00ED1746"/>
    <w:rsid w:val="00ED18EF"/>
    <w:rsid w:val="00ED1D1B"/>
    <w:rsid w:val="00ED1D51"/>
    <w:rsid w:val="00ED215B"/>
    <w:rsid w:val="00ED21CC"/>
    <w:rsid w:val="00ED2302"/>
    <w:rsid w:val="00ED235C"/>
    <w:rsid w:val="00ED249C"/>
    <w:rsid w:val="00ED2884"/>
    <w:rsid w:val="00ED28D2"/>
    <w:rsid w:val="00ED29D2"/>
    <w:rsid w:val="00ED2A74"/>
    <w:rsid w:val="00ED2E05"/>
    <w:rsid w:val="00ED2E3F"/>
    <w:rsid w:val="00ED302D"/>
    <w:rsid w:val="00ED307E"/>
    <w:rsid w:val="00ED3128"/>
    <w:rsid w:val="00ED327D"/>
    <w:rsid w:val="00ED33C1"/>
    <w:rsid w:val="00ED341E"/>
    <w:rsid w:val="00ED3420"/>
    <w:rsid w:val="00ED3579"/>
    <w:rsid w:val="00ED36B9"/>
    <w:rsid w:val="00ED3BC6"/>
    <w:rsid w:val="00ED3CB2"/>
    <w:rsid w:val="00ED3DD8"/>
    <w:rsid w:val="00ED3F06"/>
    <w:rsid w:val="00ED3F35"/>
    <w:rsid w:val="00ED3FC6"/>
    <w:rsid w:val="00ED41C7"/>
    <w:rsid w:val="00ED4693"/>
    <w:rsid w:val="00ED4A1F"/>
    <w:rsid w:val="00ED4C4A"/>
    <w:rsid w:val="00ED4DAC"/>
    <w:rsid w:val="00ED4DB5"/>
    <w:rsid w:val="00ED4F0D"/>
    <w:rsid w:val="00ED503B"/>
    <w:rsid w:val="00ED52A4"/>
    <w:rsid w:val="00ED538D"/>
    <w:rsid w:val="00ED59DB"/>
    <w:rsid w:val="00ED5B25"/>
    <w:rsid w:val="00ED5D62"/>
    <w:rsid w:val="00ED5D69"/>
    <w:rsid w:val="00ED5FC5"/>
    <w:rsid w:val="00ED6005"/>
    <w:rsid w:val="00ED6078"/>
    <w:rsid w:val="00ED60A4"/>
    <w:rsid w:val="00ED60E0"/>
    <w:rsid w:val="00ED6737"/>
    <w:rsid w:val="00ED6F98"/>
    <w:rsid w:val="00ED7508"/>
    <w:rsid w:val="00ED7876"/>
    <w:rsid w:val="00ED7A24"/>
    <w:rsid w:val="00ED7AF3"/>
    <w:rsid w:val="00EE0074"/>
    <w:rsid w:val="00EE00B7"/>
    <w:rsid w:val="00EE0499"/>
    <w:rsid w:val="00EE0649"/>
    <w:rsid w:val="00EE095D"/>
    <w:rsid w:val="00EE0A14"/>
    <w:rsid w:val="00EE0A1A"/>
    <w:rsid w:val="00EE0BC7"/>
    <w:rsid w:val="00EE0D38"/>
    <w:rsid w:val="00EE0DEE"/>
    <w:rsid w:val="00EE12FD"/>
    <w:rsid w:val="00EE1372"/>
    <w:rsid w:val="00EE168C"/>
    <w:rsid w:val="00EE1801"/>
    <w:rsid w:val="00EE1978"/>
    <w:rsid w:val="00EE1CD4"/>
    <w:rsid w:val="00EE1D2E"/>
    <w:rsid w:val="00EE1DA5"/>
    <w:rsid w:val="00EE1F03"/>
    <w:rsid w:val="00EE2093"/>
    <w:rsid w:val="00EE21A7"/>
    <w:rsid w:val="00EE23C6"/>
    <w:rsid w:val="00EE2558"/>
    <w:rsid w:val="00EE28BA"/>
    <w:rsid w:val="00EE28C3"/>
    <w:rsid w:val="00EE2AF5"/>
    <w:rsid w:val="00EE2B11"/>
    <w:rsid w:val="00EE2BCC"/>
    <w:rsid w:val="00EE2D47"/>
    <w:rsid w:val="00EE2E03"/>
    <w:rsid w:val="00EE2EC1"/>
    <w:rsid w:val="00EE340E"/>
    <w:rsid w:val="00EE387C"/>
    <w:rsid w:val="00EE39C8"/>
    <w:rsid w:val="00EE3A1B"/>
    <w:rsid w:val="00EE3C3C"/>
    <w:rsid w:val="00EE3C4A"/>
    <w:rsid w:val="00EE3C7E"/>
    <w:rsid w:val="00EE3F44"/>
    <w:rsid w:val="00EE40F6"/>
    <w:rsid w:val="00EE43A0"/>
    <w:rsid w:val="00EE4425"/>
    <w:rsid w:val="00EE442E"/>
    <w:rsid w:val="00EE445B"/>
    <w:rsid w:val="00EE4A0F"/>
    <w:rsid w:val="00EE4D8A"/>
    <w:rsid w:val="00EE4DEB"/>
    <w:rsid w:val="00EE4E7D"/>
    <w:rsid w:val="00EE4F25"/>
    <w:rsid w:val="00EE4FBD"/>
    <w:rsid w:val="00EE5145"/>
    <w:rsid w:val="00EE5167"/>
    <w:rsid w:val="00EE5375"/>
    <w:rsid w:val="00EE597A"/>
    <w:rsid w:val="00EE5AD1"/>
    <w:rsid w:val="00EE6034"/>
    <w:rsid w:val="00EE606A"/>
    <w:rsid w:val="00EE6184"/>
    <w:rsid w:val="00EE61C9"/>
    <w:rsid w:val="00EE64E1"/>
    <w:rsid w:val="00EE6671"/>
    <w:rsid w:val="00EE6726"/>
    <w:rsid w:val="00EE6B1D"/>
    <w:rsid w:val="00EE6B2A"/>
    <w:rsid w:val="00EE6DDA"/>
    <w:rsid w:val="00EE6DEF"/>
    <w:rsid w:val="00EE6E97"/>
    <w:rsid w:val="00EE6F56"/>
    <w:rsid w:val="00EE72A5"/>
    <w:rsid w:val="00EE7551"/>
    <w:rsid w:val="00EE78C4"/>
    <w:rsid w:val="00EE78F0"/>
    <w:rsid w:val="00EE7C16"/>
    <w:rsid w:val="00EE7C76"/>
    <w:rsid w:val="00EE7FCC"/>
    <w:rsid w:val="00EF0082"/>
    <w:rsid w:val="00EF0093"/>
    <w:rsid w:val="00EF031F"/>
    <w:rsid w:val="00EF0345"/>
    <w:rsid w:val="00EF06A8"/>
    <w:rsid w:val="00EF078B"/>
    <w:rsid w:val="00EF0830"/>
    <w:rsid w:val="00EF0ADE"/>
    <w:rsid w:val="00EF0BBA"/>
    <w:rsid w:val="00EF0D91"/>
    <w:rsid w:val="00EF1065"/>
    <w:rsid w:val="00EF16FB"/>
    <w:rsid w:val="00EF1801"/>
    <w:rsid w:val="00EF19DC"/>
    <w:rsid w:val="00EF1BFF"/>
    <w:rsid w:val="00EF1CC2"/>
    <w:rsid w:val="00EF1E53"/>
    <w:rsid w:val="00EF2057"/>
    <w:rsid w:val="00EF2059"/>
    <w:rsid w:val="00EF22BA"/>
    <w:rsid w:val="00EF2797"/>
    <w:rsid w:val="00EF28FA"/>
    <w:rsid w:val="00EF2AFD"/>
    <w:rsid w:val="00EF2C20"/>
    <w:rsid w:val="00EF2CF7"/>
    <w:rsid w:val="00EF2DD6"/>
    <w:rsid w:val="00EF2E29"/>
    <w:rsid w:val="00EF2E81"/>
    <w:rsid w:val="00EF2F93"/>
    <w:rsid w:val="00EF3133"/>
    <w:rsid w:val="00EF3224"/>
    <w:rsid w:val="00EF34B4"/>
    <w:rsid w:val="00EF35D3"/>
    <w:rsid w:val="00EF36F0"/>
    <w:rsid w:val="00EF3979"/>
    <w:rsid w:val="00EF39B1"/>
    <w:rsid w:val="00EF3E5D"/>
    <w:rsid w:val="00EF4167"/>
    <w:rsid w:val="00EF4262"/>
    <w:rsid w:val="00EF43AA"/>
    <w:rsid w:val="00EF447F"/>
    <w:rsid w:val="00EF4777"/>
    <w:rsid w:val="00EF480B"/>
    <w:rsid w:val="00EF4A31"/>
    <w:rsid w:val="00EF4D0F"/>
    <w:rsid w:val="00EF4E23"/>
    <w:rsid w:val="00EF5228"/>
    <w:rsid w:val="00EF5724"/>
    <w:rsid w:val="00EF577B"/>
    <w:rsid w:val="00EF5AA1"/>
    <w:rsid w:val="00EF5BBF"/>
    <w:rsid w:val="00EF5CA3"/>
    <w:rsid w:val="00EF636B"/>
    <w:rsid w:val="00EF6542"/>
    <w:rsid w:val="00EF663D"/>
    <w:rsid w:val="00EF67D9"/>
    <w:rsid w:val="00EF69DC"/>
    <w:rsid w:val="00EF6ACE"/>
    <w:rsid w:val="00EF6AD4"/>
    <w:rsid w:val="00EF6CE7"/>
    <w:rsid w:val="00EF6E5B"/>
    <w:rsid w:val="00EF6E89"/>
    <w:rsid w:val="00EF6F84"/>
    <w:rsid w:val="00EF72EB"/>
    <w:rsid w:val="00EF73A4"/>
    <w:rsid w:val="00EF75D8"/>
    <w:rsid w:val="00EF77F2"/>
    <w:rsid w:val="00EF78C0"/>
    <w:rsid w:val="00EF7968"/>
    <w:rsid w:val="00EF79F6"/>
    <w:rsid w:val="00EF7ACB"/>
    <w:rsid w:val="00EF7AE1"/>
    <w:rsid w:val="00EF7E12"/>
    <w:rsid w:val="00F00020"/>
    <w:rsid w:val="00F00047"/>
    <w:rsid w:val="00F001A0"/>
    <w:rsid w:val="00F004DF"/>
    <w:rsid w:val="00F0091C"/>
    <w:rsid w:val="00F0097F"/>
    <w:rsid w:val="00F00D81"/>
    <w:rsid w:val="00F00DFC"/>
    <w:rsid w:val="00F00FA0"/>
    <w:rsid w:val="00F00FB4"/>
    <w:rsid w:val="00F01058"/>
    <w:rsid w:val="00F013EC"/>
    <w:rsid w:val="00F01491"/>
    <w:rsid w:val="00F0160E"/>
    <w:rsid w:val="00F01783"/>
    <w:rsid w:val="00F01843"/>
    <w:rsid w:val="00F0199A"/>
    <w:rsid w:val="00F01BBA"/>
    <w:rsid w:val="00F01F25"/>
    <w:rsid w:val="00F0201C"/>
    <w:rsid w:val="00F021D1"/>
    <w:rsid w:val="00F02312"/>
    <w:rsid w:val="00F02527"/>
    <w:rsid w:val="00F027CA"/>
    <w:rsid w:val="00F0299A"/>
    <w:rsid w:val="00F02B41"/>
    <w:rsid w:val="00F02D47"/>
    <w:rsid w:val="00F03216"/>
    <w:rsid w:val="00F0337D"/>
    <w:rsid w:val="00F03B26"/>
    <w:rsid w:val="00F03BD2"/>
    <w:rsid w:val="00F03C83"/>
    <w:rsid w:val="00F03DC8"/>
    <w:rsid w:val="00F03F58"/>
    <w:rsid w:val="00F03F74"/>
    <w:rsid w:val="00F03FA5"/>
    <w:rsid w:val="00F04029"/>
    <w:rsid w:val="00F041D8"/>
    <w:rsid w:val="00F047AA"/>
    <w:rsid w:val="00F04B46"/>
    <w:rsid w:val="00F04BD5"/>
    <w:rsid w:val="00F04C09"/>
    <w:rsid w:val="00F04F44"/>
    <w:rsid w:val="00F05167"/>
    <w:rsid w:val="00F05579"/>
    <w:rsid w:val="00F058C1"/>
    <w:rsid w:val="00F058E9"/>
    <w:rsid w:val="00F05A60"/>
    <w:rsid w:val="00F05AF5"/>
    <w:rsid w:val="00F05BD9"/>
    <w:rsid w:val="00F061C3"/>
    <w:rsid w:val="00F062A1"/>
    <w:rsid w:val="00F062BF"/>
    <w:rsid w:val="00F063C7"/>
    <w:rsid w:val="00F06BEC"/>
    <w:rsid w:val="00F072C8"/>
    <w:rsid w:val="00F074AB"/>
    <w:rsid w:val="00F075E7"/>
    <w:rsid w:val="00F077CF"/>
    <w:rsid w:val="00F07BD8"/>
    <w:rsid w:val="00F07D0B"/>
    <w:rsid w:val="00F10004"/>
    <w:rsid w:val="00F10029"/>
    <w:rsid w:val="00F101DA"/>
    <w:rsid w:val="00F102B2"/>
    <w:rsid w:val="00F103EA"/>
    <w:rsid w:val="00F1053B"/>
    <w:rsid w:val="00F106F3"/>
    <w:rsid w:val="00F10860"/>
    <w:rsid w:val="00F10947"/>
    <w:rsid w:val="00F10B0D"/>
    <w:rsid w:val="00F10BC1"/>
    <w:rsid w:val="00F11462"/>
    <w:rsid w:val="00F11473"/>
    <w:rsid w:val="00F11585"/>
    <w:rsid w:val="00F11828"/>
    <w:rsid w:val="00F119F3"/>
    <w:rsid w:val="00F11C45"/>
    <w:rsid w:val="00F11CA9"/>
    <w:rsid w:val="00F11E07"/>
    <w:rsid w:val="00F12044"/>
    <w:rsid w:val="00F12634"/>
    <w:rsid w:val="00F127AC"/>
    <w:rsid w:val="00F128B2"/>
    <w:rsid w:val="00F12ADA"/>
    <w:rsid w:val="00F12B90"/>
    <w:rsid w:val="00F12E62"/>
    <w:rsid w:val="00F13080"/>
    <w:rsid w:val="00F130FC"/>
    <w:rsid w:val="00F13192"/>
    <w:rsid w:val="00F13443"/>
    <w:rsid w:val="00F136CC"/>
    <w:rsid w:val="00F1370D"/>
    <w:rsid w:val="00F13B7B"/>
    <w:rsid w:val="00F13FD5"/>
    <w:rsid w:val="00F142F7"/>
    <w:rsid w:val="00F14418"/>
    <w:rsid w:val="00F1448A"/>
    <w:rsid w:val="00F148C6"/>
    <w:rsid w:val="00F14CCA"/>
    <w:rsid w:val="00F153C8"/>
    <w:rsid w:val="00F1546C"/>
    <w:rsid w:val="00F154F8"/>
    <w:rsid w:val="00F15517"/>
    <w:rsid w:val="00F15718"/>
    <w:rsid w:val="00F157DD"/>
    <w:rsid w:val="00F158D6"/>
    <w:rsid w:val="00F15B8A"/>
    <w:rsid w:val="00F15D07"/>
    <w:rsid w:val="00F15FD6"/>
    <w:rsid w:val="00F16027"/>
    <w:rsid w:val="00F16113"/>
    <w:rsid w:val="00F16182"/>
    <w:rsid w:val="00F163B8"/>
    <w:rsid w:val="00F16674"/>
    <w:rsid w:val="00F16CCD"/>
    <w:rsid w:val="00F16E9A"/>
    <w:rsid w:val="00F170CA"/>
    <w:rsid w:val="00F171B0"/>
    <w:rsid w:val="00F174FD"/>
    <w:rsid w:val="00F1755C"/>
    <w:rsid w:val="00F1760B"/>
    <w:rsid w:val="00F17728"/>
    <w:rsid w:val="00F1784E"/>
    <w:rsid w:val="00F17AF5"/>
    <w:rsid w:val="00F17C49"/>
    <w:rsid w:val="00F17E1F"/>
    <w:rsid w:val="00F20038"/>
    <w:rsid w:val="00F2026F"/>
    <w:rsid w:val="00F20522"/>
    <w:rsid w:val="00F20535"/>
    <w:rsid w:val="00F206C1"/>
    <w:rsid w:val="00F20783"/>
    <w:rsid w:val="00F20C65"/>
    <w:rsid w:val="00F20D5E"/>
    <w:rsid w:val="00F210A6"/>
    <w:rsid w:val="00F210E0"/>
    <w:rsid w:val="00F21307"/>
    <w:rsid w:val="00F219AE"/>
    <w:rsid w:val="00F21A52"/>
    <w:rsid w:val="00F21B5D"/>
    <w:rsid w:val="00F21D34"/>
    <w:rsid w:val="00F21DA1"/>
    <w:rsid w:val="00F22135"/>
    <w:rsid w:val="00F2254C"/>
    <w:rsid w:val="00F2267C"/>
    <w:rsid w:val="00F226BF"/>
    <w:rsid w:val="00F2271D"/>
    <w:rsid w:val="00F22835"/>
    <w:rsid w:val="00F2292B"/>
    <w:rsid w:val="00F2298C"/>
    <w:rsid w:val="00F22DE3"/>
    <w:rsid w:val="00F22ED2"/>
    <w:rsid w:val="00F22FAC"/>
    <w:rsid w:val="00F231A5"/>
    <w:rsid w:val="00F231C7"/>
    <w:rsid w:val="00F23360"/>
    <w:rsid w:val="00F23406"/>
    <w:rsid w:val="00F23411"/>
    <w:rsid w:val="00F23600"/>
    <w:rsid w:val="00F2377D"/>
    <w:rsid w:val="00F2379B"/>
    <w:rsid w:val="00F238BF"/>
    <w:rsid w:val="00F23D1C"/>
    <w:rsid w:val="00F23D41"/>
    <w:rsid w:val="00F23F74"/>
    <w:rsid w:val="00F240B0"/>
    <w:rsid w:val="00F240F3"/>
    <w:rsid w:val="00F24343"/>
    <w:rsid w:val="00F24424"/>
    <w:rsid w:val="00F2444F"/>
    <w:rsid w:val="00F24665"/>
    <w:rsid w:val="00F24A51"/>
    <w:rsid w:val="00F24BCF"/>
    <w:rsid w:val="00F24D8A"/>
    <w:rsid w:val="00F24E87"/>
    <w:rsid w:val="00F2562C"/>
    <w:rsid w:val="00F25713"/>
    <w:rsid w:val="00F25768"/>
    <w:rsid w:val="00F258A8"/>
    <w:rsid w:val="00F259A1"/>
    <w:rsid w:val="00F25BE5"/>
    <w:rsid w:val="00F25E9D"/>
    <w:rsid w:val="00F260AE"/>
    <w:rsid w:val="00F260F3"/>
    <w:rsid w:val="00F264FB"/>
    <w:rsid w:val="00F26678"/>
    <w:rsid w:val="00F268A7"/>
    <w:rsid w:val="00F268E9"/>
    <w:rsid w:val="00F26A33"/>
    <w:rsid w:val="00F26B8B"/>
    <w:rsid w:val="00F26C3A"/>
    <w:rsid w:val="00F26C55"/>
    <w:rsid w:val="00F26D5E"/>
    <w:rsid w:val="00F272F6"/>
    <w:rsid w:val="00F2731F"/>
    <w:rsid w:val="00F2768D"/>
    <w:rsid w:val="00F27865"/>
    <w:rsid w:val="00F27C8E"/>
    <w:rsid w:val="00F301B4"/>
    <w:rsid w:val="00F303F4"/>
    <w:rsid w:val="00F3053E"/>
    <w:rsid w:val="00F305BB"/>
    <w:rsid w:val="00F305BE"/>
    <w:rsid w:val="00F308D2"/>
    <w:rsid w:val="00F308F9"/>
    <w:rsid w:val="00F3098D"/>
    <w:rsid w:val="00F30A26"/>
    <w:rsid w:val="00F31277"/>
    <w:rsid w:val="00F312B3"/>
    <w:rsid w:val="00F3134E"/>
    <w:rsid w:val="00F314DF"/>
    <w:rsid w:val="00F31552"/>
    <w:rsid w:val="00F316A4"/>
    <w:rsid w:val="00F31939"/>
    <w:rsid w:val="00F31A4D"/>
    <w:rsid w:val="00F31A7B"/>
    <w:rsid w:val="00F31F4D"/>
    <w:rsid w:val="00F32199"/>
    <w:rsid w:val="00F32590"/>
    <w:rsid w:val="00F32626"/>
    <w:rsid w:val="00F32A70"/>
    <w:rsid w:val="00F32C3B"/>
    <w:rsid w:val="00F32E0D"/>
    <w:rsid w:val="00F32E62"/>
    <w:rsid w:val="00F32E87"/>
    <w:rsid w:val="00F33066"/>
    <w:rsid w:val="00F332C4"/>
    <w:rsid w:val="00F33395"/>
    <w:rsid w:val="00F3348E"/>
    <w:rsid w:val="00F33580"/>
    <w:rsid w:val="00F335A0"/>
    <w:rsid w:val="00F33A43"/>
    <w:rsid w:val="00F33A75"/>
    <w:rsid w:val="00F33F33"/>
    <w:rsid w:val="00F3417F"/>
    <w:rsid w:val="00F342CD"/>
    <w:rsid w:val="00F343D8"/>
    <w:rsid w:val="00F34504"/>
    <w:rsid w:val="00F348BF"/>
    <w:rsid w:val="00F34B1B"/>
    <w:rsid w:val="00F34B57"/>
    <w:rsid w:val="00F34F1C"/>
    <w:rsid w:val="00F34F75"/>
    <w:rsid w:val="00F351E8"/>
    <w:rsid w:val="00F354DE"/>
    <w:rsid w:val="00F355F3"/>
    <w:rsid w:val="00F3573B"/>
    <w:rsid w:val="00F357A9"/>
    <w:rsid w:val="00F358A7"/>
    <w:rsid w:val="00F358F5"/>
    <w:rsid w:val="00F35AB5"/>
    <w:rsid w:val="00F35ECF"/>
    <w:rsid w:val="00F36144"/>
    <w:rsid w:val="00F36ABE"/>
    <w:rsid w:val="00F36DD2"/>
    <w:rsid w:val="00F37198"/>
    <w:rsid w:val="00F37361"/>
    <w:rsid w:val="00F3745C"/>
    <w:rsid w:val="00F3748E"/>
    <w:rsid w:val="00F37D6C"/>
    <w:rsid w:val="00F37DEF"/>
    <w:rsid w:val="00F37FA9"/>
    <w:rsid w:val="00F40294"/>
    <w:rsid w:val="00F40619"/>
    <w:rsid w:val="00F4067B"/>
    <w:rsid w:val="00F407ED"/>
    <w:rsid w:val="00F40843"/>
    <w:rsid w:val="00F40887"/>
    <w:rsid w:val="00F40DA5"/>
    <w:rsid w:val="00F40E33"/>
    <w:rsid w:val="00F40F0A"/>
    <w:rsid w:val="00F4113C"/>
    <w:rsid w:val="00F41323"/>
    <w:rsid w:val="00F41372"/>
    <w:rsid w:val="00F4150A"/>
    <w:rsid w:val="00F415B3"/>
    <w:rsid w:val="00F41814"/>
    <w:rsid w:val="00F4185C"/>
    <w:rsid w:val="00F41913"/>
    <w:rsid w:val="00F41941"/>
    <w:rsid w:val="00F41F4C"/>
    <w:rsid w:val="00F41F77"/>
    <w:rsid w:val="00F421C7"/>
    <w:rsid w:val="00F42226"/>
    <w:rsid w:val="00F423F6"/>
    <w:rsid w:val="00F4279C"/>
    <w:rsid w:val="00F428E7"/>
    <w:rsid w:val="00F42AFD"/>
    <w:rsid w:val="00F42D0C"/>
    <w:rsid w:val="00F43283"/>
    <w:rsid w:val="00F43368"/>
    <w:rsid w:val="00F4346F"/>
    <w:rsid w:val="00F43550"/>
    <w:rsid w:val="00F43803"/>
    <w:rsid w:val="00F4392A"/>
    <w:rsid w:val="00F439F3"/>
    <w:rsid w:val="00F43B86"/>
    <w:rsid w:val="00F43C8A"/>
    <w:rsid w:val="00F43E33"/>
    <w:rsid w:val="00F43FFA"/>
    <w:rsid w:val="00F440B2"/>
    <w:rsid w:val="00F4439B"/>
    <w:rsid w:val="00F443F2"/>
    <w:rsid w:val="00F44435"/>
    <w:rsid w:val="00F44834"/>
    <w:rsid w:val="00F44A68"/>
    <w:rsid w:val="00F44CC0"/>
    <w:rsid w:val="00F44E76"/>
    <w:rsid w:val="00F44FDF"/>
    <w:rsid w:val="00F45053"/>
    <w:rsid w:val="00F4516D"/>
    <w:rsid w:val="00F45678"/>
    <w:rsid w:val="00F45862"/>
    <w:rsid w:val="00F45937"/>
    <w:rsid w:val="00F45ABE"/>
    <w:rsid w:val="00F45D9E"/>
    <w:rsid w:val="00F460D5"/>
    <w:rsid w:val="00F46315"/>
    <w:rsid w:val="00F46676"/>
    <w:rsid w:val="00F4668B"/>
    <w:rsid w:val="00F466FD"/>
    <w:rsid w:val="00F46813"/>
    <w:rsid w:val="00F46969"/>
    <w:rsid w:val="00F46B6B"/>
    <w:rsid w:val="00F46D57"/>
    <w:rsid w:val="00F46F87"/>
    <w:rsid w:val="00F47004"/>
    <w:rsid w:val="00F4701D"/>
    <w:rsid w:val="00F47062"/>
    <w:rsid w:val="00F47249"/>
    <w:rsid w:val="00F474DE"/>
    <w:rsid w:val="00F47721"/>
    <w:rsid w:val="00F478FC"/>
    <w:rsid w:val="00F47AE3"/>
    <w:rsid w:val="00F47B87"/>
    <w:rsid w:val="00F47E32"/>
    <w:rsid w:val="00F500AE"/>
    <w:rsid w:val="00F501B1"/>
    <w:rsid w:val="00F50212"/>
    <w:rsid w:val="00F503B5"/>
    <w:rsid w:val="00F507E9"/>
    <w:rsid w:val="00F508B8"/>
    <w:rsid w:val="00F50BED"/>
    <w:rsid w:val="00F50CA8"/>
    <w:rsid w:val="00F50CF2"/>
    <w:rsid w:val="00F50D02"/>
    <w:rsid w:val="00F5112A"/>
    <w:rsid w:val="00F51211"/>
    <w:rsid w:val="00F5139E"/>
    <w:rsid w:val="00F514F5"/>
    <w:rsid w:val="00F51514"/>
    <w:rsid w:val="00F515E9"/>
    <w:rsid w:val="00F5185A"/>
    <w:rsid w:val="00F51DB4"/>
    <w:rsid w:val="00F51EBA"/>
    <w:rsid w:val="00F51F83"/>
    <w:rsid w:val="00F5218D"/>
    <w:rsid w:val="00F521F3"/>
    <w:rsid w:val="00F523A1"/>
    <w:rsid w:val="00F52705"/>
    <w:rsid w:val="00F529CD"/>
    <w:rsid w:val="00F529EA"/>
    <w:rsid w:val="00F52C13"/>
    <w:rsid w:val="00F52C8B"/>
    <w:rsid w:val="00F52CB5"/>
    <w:rsid w:val="00F52E4A"/>
    <w:rsid w:val="00F52EA1"/>
    <w:rsid w:val="00F52F80"/>
    <w:rsid w:val="00F52FB4"/>
    <w:rsid w:val="00F533D9"/>
    <w:rsid w:val="00F53643"/>
    <w:rsid w:val="00F53679"/>
    <w:rsid w:val="00F53A72"/>
    <w:rsid w:val="00F53D9D"/>
    <w:rsid w:val="00F53E86"/>
    <w:rsid w:val="00F53EF6"/>
    <w:rsid w:val="00F5402E"/>
    <w:rsid w:val="00F544DF"/>
    <w:rsid w:val="00F546DD"/>
    <w:rsid w:val="00F546E2"/>
    <w:rsid w:val="00F54777"/>
    <w:rsid w:val="00F54E61"/>
    <w:rsid w:val="00F54E8B"/>
    <w:rsid w:val="00F54ED2"/>
    <w:rsid w:val="00F54F02"/>
    <w:rsid w:val="00F55218"/>
    <w:rsid w:val="00F5536B"/>
    <w:rsid w:val="00F554CA"/>
    <w:rsid w:val="00F5551B"/>
    <w:rsid w:val="00F5557D"/>
    <w:rsid w:val="00F557EA"/>
    <w:rsid w:val="00F5586D"/>
    <w:rsid w:val="00F55AA0"/>
    <w:rsid w:val="00F55C56"/>
    <w:rsid w:val="00F55CC4"/>
    <w:rsid w:val="00F55CE8"/>
    <w:rsid w:val="00F55D6A"/>
    <w:rsid w:val="00F55D72"/>
    <w:rsid w:val="00F55E1E"/>
    <w:rsid w:val="00F56197"/>
    <w:rsid w:val="00F562D0"/>
    <w:rsid w:val="00F565D4"/>
    <w:rsid w:val="00F56757"/>
    <w:rsid w:val="00F56B5D"/>
    <w:rsid w:val="00F56C99"/>
    <w:rsid w:val="00F576E2"/>
    <w:rsid w:val="00F5774B"/>
    <w:rsid w:val="00F577DD"/>
    <w:rsid w:val="00F57B35"/>
    <w:rsid w:val="00F57E97"/>
    <w:rsid w:val="00F60039"/>
    <w:rsid w:val="00F6014C"/>
    <w:rsid w:val="00F603E8"/>
    <w:rsid w:val="00F60605"/>
    <w:rsid w:val="00F6063E"/>
    <w:rsid w:val="00F60694"/>
    <w:rsid w:val="00F60709"/>
    <w:rsid w:val="00F6074B"/>
    <w:rsid w:val="00F6081B"/>
    <w:rsid w:val="00F60854"/>
    <w:rsid w:val="00F60C8C"/>
    <w:rsid w:val="00F60CB7"/>
    <w:rsid w:val="00F60DFF"/>
    <w:rsid w:val="00F6116F"/>
    <w:rsid w:val="00F618A5"/>
    <w:rsid w:val="00F61F00"/>
    <w:rsid w:val="00F61F55"/>
    <w:rsid w:val="00F61FC6"/>
    <w:rsid w:val="00F620BC"/>
    <w:rsid w:val="00F6237B"/>
    <w:rsid w:val="00F62446"/>
    <w:rsid w:val="00F628F6"/>
    <w:rsid w:val="00F62BC3"/>
    <w:rsid w:val="00F62EA4"/>
    <w:rsid w:val="00F62EA6"/>
    <w:rsid w:val="00F62FCB"/>
    <w:rsid w:val="00F6359E"/>
    <w:rsid w:val="00F63641"/>
    <w:rsid w:val="00F63845"/>
    <w:rsid w:val="00F63853"/>
    <w:rsid w:val="00F63AC0"/>
    <w:rsid w:val="00F63F77"/>
    <w:rsid w:val="00F6442A"/>
    <w:rsid w:val="00F6449A"/>
    <w:rsid w:val="00F644F3"/>
    <w:rsid w:val="00F6464F"/>
    <w:rsid w:val="00F64C5F"/>
    <w:rsid w:val="00F64D0D"/>
    <w:rsid w:val="00F64E7A"/>
    <w:rsid w:val="00F652B6"/>
    <w:rsid w:val="00F65319"/>
    <w:rsid w:val="00F653B9"/>
    <w:rsid w:val="00F6543F"/>
    <w:rsid w:val="00F655FE"/>
    <w:rsid w:val="00F65796"/>
    <w:rsid w:val="00F658A5"/>
    <w:rsid w:val="00F658EE"/>
    <w:rsid w:val="00F65E2D"/>
    <w:rsid w:val="00F6610F"/>
    <w:rsid w:val="00F661C7"/>
    <w:rsid w:val="00F66681"/>
    <w:rsid w:val="00F66849"/>
    <w:rsid w:val="00F6686B"/>
    <w:rsid w:val="00F66B92"/>
    <w:rsid w:val="00F66CA0"/>
    <w:rsid w:val="00F66CC9"/>
    <w:rsid w:val="00F66CF0"/>
    <w:rsid w:val="00F66D6C"/>
    <w:rsid w:val="00F66E04"/>
    <w:rsid w:val="00F670FE"/>
    <w:rsid w:val="00F67390"/>
    <w:rsid w:val="00F67418"/>
    <w:rsid w:val="00F67608"/>
    <w:rsid w:val="00F6765C"/>
    <w:rsid w:val="00F67B07"/>
    <w:rsid w:val="00F67D7F"/>
    <w:rsid w:val="00F7001B"/>
    <w:rsid w:val="00F7009D"/>
    <w:rsid w:val="00F7064B"/>
    <w:rsid w:val="00F70651"/>
    <w:rsid w:val="00F70759"/>
    <w:rsid w:val="00F707E4"/>
    <w:rsid w:val="00F7091F"/>
    <w:rsid w:val="00F709F8"/>
    <w:rsid w:val="00F70B8C"/>
    <w:rsid w:val="00F70F4F"/>
    <w:rsid w:val="00F7132B"/>
    <w:rsid w:val="00F716D5"/>
    <w:rsid w:val="00F71909"/>
    <w:rsid w:val="00F71A1C"/>
    <w:rsid w:val="00F71A20"/>
    <w:rsid w:val="00F71A22"/>
    <w:rsid w:val="00F71AAF"/>
    <w:rsid w:val="00F71BFD"/>
    <w:rsid w:val="00F71FA0"/>
    <w:rsid w:val="00F7227A"/>
    <w:rsid w:val="00F7241C"/>
    <w:rsid w:val="00F72750"/>
    <w:rsid w:val="00F72DB2"/>
    <w:rsid w:val="00F72E68"/>
    <w:rsid w:val="00F73021"/>
    <w:rsid w:val="00F730F7"/>
    <w:rsid w:val="00F73128"/>
    <w:rsid w:val="00F73549"/>
    <w:rsid w:val="00F7361E"/>
    <w:rsid w:val="00F73BCE"/>
    <w:rsid w:val="00F73C22"/>
    <w:rsid w:val="00F73D26"/>
    <w:rsid w:val="00F73ED8"/>
    <w:rsid w:val="00F74051"/>
    <w:rsid w:val="00F7420A"/>
    <w:rsid w:val="00F743FB"/>
    <w:rsid w:val="00F7457A"/>
    <w:rsid w:val="00F745F5"/>
    <w:rsid w:val="00F7476A"/>
    <w:rsid w:val="00F747C1"/>
    <w:rsid w:val="00F748CF"/>
    <w:rsid w:val="00F748FC"/>
    <w:rsid w:val="00F749CB"/>
    <w:rsid w:val="00F74C75"/>
    <w:rsid w:val="00F74D4A"/>
    <w:rsid w:val="00F74ECC"/>
    <w:rsid w:val="00F74F83"/>
    <w:rsid w:val="00F75031"/>
    <w:rsid w:val="00F75279"/>
    <w:rsid w:val="00F753C2"/>
    <w:rsid w:val="00F7544D"/>
    <w:rsid w:val="00F7556C"/>
    <w:rsid w:val="00F75928"/>
    <w:rsid w:val="00F75BBF"/>
    <w:rsid w:val="00F760E4"/>
    <w:rsid w:val="00F76206"/>
    <w:rsid w:val="00F76609"/>
    <w:rsid w:val="00F766AD"/>
    <w:rsid w:val="00F76BF9"/>
    <w:rsid w:val="00F76D61"/>
    <w:rsid w:val="00F76E22"/>
    <w:rsid w:val="00F76F65"/>
    <w:rsid w:val="00F76F8F"/>
    <w:rsid w:val="00F77436"/>
    <w:rsid w:val="00F77738"/>
    <w:rsid w:val="00F77B8D"/>
    <w:rsid w:val="00F77CBE"/>
    <w:rsid w:val="00F77D1A"/>
    <w:rsid w:val="00F77D60"/>
    <w:rsid w:val="00F77DCE"/>
    <w:rsid w:val="00F80044"/>
    <w:rsid w:val="00F802B0"/>
    <w:rsid w:val="00F80ADC"/>
    <w:rsid w:val="00F80D82"/>
    <w:rsid w:val="00F80EB1"/>
    <w:rsid w:val="00F80FBD"/>
    <w:rsid w:val="00F80FE0"/>
    <w:rsid w:val="00F81102"/>
    <w:rsid w:val="00F813BB"/>
    <w:rsid w:val="00F816A5"/>
    <w:rsid w:val="00F81736"/>
    <w:rsid w:val="00F81931"/>
    <w:rsid w:val="00F81D65"/>
    <w:rsid w:val="00F81E1D"/>
    <w:rsid w:val="00F8227C"/>
    <w:rsid w:val="00F8234C"/>
    <w:rsid w:val="00F824C2"/>
    <w:rsid w:val="00F8260B"/>
    <w:rsid w:val="00F82A52"/>
    <w:rsid w:val="00F82AD7"/>
    <w:rsid w:val="00F82CCE"/>
    <w:rsid w:val="00F82D75"/>
    <w:rsid w:val="00F82D84"/>
    <w:rsid w:val="00F8301F"/>
    <w:rsid w:val="00F830BF"/>
    <w:rsid w:val="00F8312D"/>
    <w:rsid w:val="00F833BB"/>
    <w:rsid w:val="00F836F8"/>
    <w:rsid w:val="00F83A7E"/>
    <w:rsid w:val="00F83ADB"/>
    <w:rsid w:val="00F83B96"/>
    <w:rsid w:val="00F83BD9"/>
    <w:rsid w:val="00F83C87"/>
    <w:rsid w:val="00F83E74"/>
    <w:rsid w:val="00F83E99"/>
    <w:rsid w:val="00F841CC"/>
    <w:rsid w:val="00F8433C"/>
    <w:rsid w:val="00F84499"/>
    <w:rsid w:val="00F847DF"/>
    <w:rsid w:val="00F84A5A"/>
    <w:rsid w:val="00F84E80"/>
    <w:rsid w:val="00F85359"/>
    <w:rsid w:val="00F8552A"/>
    <w:rsid w:val="00F857D6"/>
    <w:rsid w:val="00F8589F"/>
    <w:rsid w:val="00F859B7"/>
    <w:rsid w:val="00F85CEA"/>
    <w:rsid w:val="00F85E94"/>
    <w:rsid w:val="00F85E9A"/>
    <w:rsid w:val="00F8600E"/>
    <w:rsid w:val="00F86756"/>
    <w:rsid w:val="00F86835"/>
    <w:rsid w:val="00F869AF"/>
    <w:rsid w:val="00F86DE3"/>
    <w:rsid w:val="00F87028"/>
    <w:rsid w:val="00F874D8"/>
    <w:rsid w:val="00F8767A"/>
    <w:rsid w:val="00F87743"/>
    <w:rsid w:val="00F87AEC"/>
    <w:rsid w:val="00F87B26"/>
    <w:rsid w:val="00F87C40"/>
    <w:rsid w:val="00F87D71"/>
    <w:rsid w:val="00F90119"/>
    <w:rsid w:val="00F90189"/>
    <w:rsid w:val="00F90590"/>
    <w:rsid w:val="00F9062E"/>
    <w:rsid w:val="00F90C23"/>
    <w:rsid w:val="00F90EE0"/>
    <w:rsid w:val="00F91093"/>
    <w:rsid w:val="00F9118C"/>
    <w:rsid w:val="00F911DA"/>
    <w:rsid w:val="00F913FD"/>
    <w:rsid w:val="00F91477"/>
    <w:rsid w:val="00F915DA"/>
    <w:rsid w:val="00F918AF"/>
    <w:rsid w:val="00F9196E"/>
    <w:rsid w:val="00F91BB5"/>
    <w:rsid w:val="00F91C1F"/>
    <w:rsid w:val="00F91D1B"/>
    <w:rsid w:val="00F91F76"/>
    <w:rsid w:val="00F9246E"/>
    <w:rsid w:val="00F926D0"/>
    <w:rsid w:val="00F9281E"/>
    <w:rsid w:val="00F928F3"/>
    <w:rsid w:val="00F92983"/>
    <w:rsid w:val="00F929E4"/>
    <w:rsid w:val="00F92A17"/>
    <w:rsid w:val="00F92A68"/>
    <w:rsid w:val="00F92BDD"/>
    <w:rsid w:val="00F92C1A"/>
    <w:rsid w:val="00F93754"/>
    <w:rsid w:val="00F93A78"/>
    <w:rsid w:val="00F93CD1"/>
    <w:rsid w:val="00F93D18"/>
    <w:rsid w:val="00F9418D"/>
    <w:rsid w:val="00F94488"/>
    <w:rsid w:val="00F9456C"/>
    <w:rsid w:val="00F94649"/>
    <w:rsid w:val="00F94A0C"/>
    <w:rsid w:val="00F94B9C"/>
    <w:rsid w:val="00F952FB"/>
    <w:rsid w:val="00F9546C"/>
    <w:rsid w:val="00F95C49"/>
    <w:rsid w:val="00F96216"/>
    <w:rsid w:val="00F963AD"/>
    <w:rsid w:val="00F964CD"/>
    <w:rsid w:val="00F9651C"/>
    <w:rsid w:val="00F96676"/>
    <w:rsid w:val="00F966EE"/>
    <w:rsid w:val="00F968FC"/>
    <w:rsid w:val="00F96BC9"/>
    <w:rsid w:val="00F96C90"/>
    <w:rsid w:val="00F96D59"/>
    <w:rsid w:val="00F97309"/>
    <w:rsid w:val="00F97A33"/>
    <w:rsid w:val="00F97A7F"/>
    <w:rsid w:val="00F97DCF"/>
    <w:rsid w:val="00FA013F"/>
    <w:rsid w:val="00FA0179"/>
    <w:rsid w:val="00FA0252"/>
    <w:rsid w:val="00FA0284"/>
    <w:rsid w:val="00FA033D"/>
    <w:rsid w:val="00FA041F"/>
    <w:rsid w:val="00FA05E6"/>
    <w:rsid w:val="00FA064E"/>
    <w:rsid w:val="00FA06DE"/>
    <w:rsid w:val="00FA06F3"/>
    <w:rsid w:val="00FA086E"/>
    <w:rsid w:val="00FA0976"/>
    <w:rsid w:val="00FA0994"/>
    <w:rsid w:val="00FA09DE"/>
    <w:rsid w:val="00FA0AD5"/>
    <w:rsid w:val="00FA0B38"/>
    <w:rsid w:val="00FA0C50"/>
    <w:rsid w:val="00FA0DA4"/>
    <w:rsid w:val="00FA10F0"/>
    <w:rsid w:val="00FA11A2"/>
    <w:rsid w:val="00FA1449"/>
    <w:rsid w:val="00FA1479"/>
    <w:rsid w:val="00FA14AF"/>
    <w:rsid w:val="00FA153C"/>
    <w:rsid w:val="00FA1860"/>
    <w:rsid w:val="00FA18CE"/>
    <w:rsid w:val="00FA1932"/>
    <w:rsid w:val="00FA1A99"/>
    <w:rsid w:val="00FA227F"/>
    <w:rsid w:val="00FA2388"/>
    <w:rsid w:val="00FA24B0"/>
    <w:rsid w:val="00FA2660"/>
    <w:rsid w:val="00FA27E6"/>
    <w:rsid w:val="00FA2974"/>
    <w:rsid w:val="00FA327D"/>
    <w:rsid w:val="00FA33F6"/>
    <w:rsid w:val="00FA34C9"/>
    <w:rsid w:val="00FA359D"/>
    <w:rsid w:val="00FA3717"/>
    <w:rsid w:val="00FA37B5"/>
    <w:rsid w:val="00FA3E86"/>
    <w:rsid w:val="00FA4528"/>
    <w:rsid w:val="00FA477C"/>
    <w:rsid w:val="00FA48D6"/>
    <w:rsid w:val="00FA4A11"/>
    <w:rsid w:val="00FA5648"/>
    <w:rsid w:val="00FA5681"/>
    <w:rsid w:val="00FA57DB"/>
    <w:rsid w:val="00FA5B07"/>
    <w:rsid w:val="00FA5C15"/>
    <w:rsid w:val="00FA5E78"/>
    <w:rsid w:val="00FA5F41"/>
    <w:rsid w:val="00FA6250"/>
    <w:rsid w:val="00FA6728"/>
    <w:rsid w:val="00FA67DA"/>
    <w:rsid w:val="00FA6BCA"/>
    <w:rsid w:val="00FA6C84"/>
    <w:rsid w:val="00FA7159"/>
    <w:rsid w:val="00FA7727"/>
    <w:rsid w:val="00FA7749"/>
    <w:rsid w:val="00FA786A"/>
    <w:rsid w:val="00FA78EC"/>
    <w:rsid w:val="00FA7A00"/>
    <w:rsid w:val="00FA7AE6"/>
    <w:rsid w:val="00FA7C04"/>
    <w:rsid w:val="00FA7C6A"/>
    <w:rsid w:val="00FA7FE5"/>
    <w:rsid w:val="00FB001C"/>
    <w:rsid w:val="00FB0438"/>
    <w:rsid w:val="00FB04A5"/>
    <w:rsid w:val="00FB0ACA"/>
    <w:rsid w:val="00FB0AEE"/>
    <w:rsid w:val="00FB0C04"/>
    <w:rsid w:val="00FB0C64"/>
    <w:rsid w:val="00FB0E30"/>
    <w:rsid w:val="00FB0EBE"/>
    <w:rsid w:val="00FB0F81"/>
    <w:rsid w:val="00FB102F"/>
    <w:rsid w:val="00FB10B7"/>
    <w:rsid w:val="00FB126D"/>
    <w:rsid w:val="00FB1356"/>
    <w:rsid w:val="00FB18F2"/>
    <w:rsid w:val="00FB1966"/>
    <w:rsid w:val="00FB1C42"/>
    <w:rsid w:val="00FB21CE"/>
    <w:rsid w:val="00FB231C"/>
    <w:rsid w:val="00FB2448"/>
    <w:rsid w:val="00FB2A41"/>
    <w:rsid w:val="00FB2BC4"/>
    <w:rsid w:val="00FB2D87"/>
    <w:rsid w:val="00FB2DFA"/>
    <w:rsid w:val="00FB2E47"/>
    <w:rsid w:val="00FB3556"/>
    <w:rsid w:val="00FB36A2"/>
    <w:rsid w:val="00FB394D"/>
    <w:rsid w:val="00FB39D1"/>
    <w:rsid w:val="00FB3CE5"/>
    <w:rsid w:val="00FB3E13"/>
    <w:rsid w:val="00FB3F1A"/>
    <w:rsid w:val="00FB3FC7"/>
    <w:rsid w:val="00FB3FDA"/>
    <w:rsid w:val="00FB4072"/>
    <w:rsid w:val="00FB42AC"/>
    <w:rsid w:val="00FB42C1"/>
    <w:rsid w:val="00FB449E"/>
    <w:rsid w:val="00FB4556"/>
    <w:rsid w:val="00FB4699"/>
    <w:rsid w:val="00FB4739"/>
    <w:rsid w:val="00FB4760"/>
    <w:rsid w:val="00FB4901"/>
    <w:rsid w:val="00FB4B86"/>
    <w:rsid w:val="00FB4FC0"/>
    <w:rsid w:val="00FB534F"/>
    <w:rsid w:val="00FB571D"/>
    <w:rsid w:val="00FB5BAF"/>
    <w:rsid w:val="00FB5C52"/>
    <w:rsid w:val="00FB5DAA"/>
    <w:rsid w:val="00FB5E03"/>
    <w:rsid w:val="00FB61B6"/>
    <w:rsid w:val="00FB61BB"/>
    <w:rsid w:val="00FB640E"/>
    <w:rsid w:val="00FB6662"/>
    <w:rsid w:val="00FB66C5"/>
    <w:rsid w:val="00FB684B"/>
    <w:rsid w:val="00FB6BD5"/>
    <w:rsid w:val="00FB6D17"/>
    <w:rsid w:val="00FB6E64"/>
    <w:rsid w:val="00FB6E9C"/>
    <w:rsid w:val="00FB6FE8"/>
    <w:rsid w:val="00FB7294"/>
    <w:rsid w:val="00FB77AD"/>
    <w:rsid w:val="00FB79E3"/>
    <w:rsid w:val="00FB79F0"/>
    <w:rsid w:val="00FB7D9A"/>
    <w:rsid w:val="00FB7DFC"/>
    <w:rsid w:val="00FB7E19"/>
    <w:rsid w:val="00FC0309"/>
    <w:rsid w:val="00FC035F"/>
    <w:rsid w:val="00FC063E"/>
    <w:rsid w:val="00FC0663"/>
    <w:rsid w:val="00FC08D3"/>
    <w:rsid w:val="00FC0A27"/>
    <w:rsid w:val="00FC10F6"/>
    <w:rsid w:val="00FC167D"/>
    <w:rsid w:val="00FC1E0B"/>
    <w:rsid w:val="00FC25B7"/>
    <w:rsid w:val="00FC25C5"/>
    <w:rsid w:val="00FC270D"/>
    <w:rsid w:val="00FC2818"/>
    <w:rsid w:val="00FC2B3E"/>
    <w:rsid w:val="00FC2B61"/>
    <w:rsid w:val="00FC2C48"/>
    <w:rsid w:val="00FC2CCD"/>
    <w:rsid w:val="00FC2EB3"/>
    <w:rsid w:val="00FC2EC1"/>
    <w:rsid w:val="00FC30A2"/>
    <w:rsid w:val="00FC322F"/>
    <w:rsid w:val="00FC373D"/>
    <w:rsid w:val="00FC3837"/>
    <w:rsid w:val="00FC39D3"/>
    <w:rsid w:val="00FC3AC5"/>
    <w:rsid w:val="00FC3C45"/>
    <w:rsid w:val="00FC3EAF"/>
    <w:rsid w:val="00FC4260"/>
    <w:rsid w:val="00FC427A"/>
    <w:rsid w:val="00FC4296"/>
    <w:rsid w:val="00FC4330"/>
    <w:rsid w:val="00FC46CB"/>
    <w:rsid w:val="00FC4F59"/>
    <w:rsid w:val="00FC508D"/>
    <w:rsid w:val="00FC518A"/>
    <w:rsid w:val="00FC539C"/>
    <w:rsid w:val="00FC54DA"/>
    <w:rsid w:val="00FC575A"/>
    <w:rsid w:val="00FC5990"/>
    <w:rsid w:val="00FC60D3"/>
    <w:rsid w:val="00FC619B"/>
    <w:rsid w:val="00FC61D0"/>
    <w:rsid w:val="00FC65F7"/>
    <w:rsid w:val="00FC668B"/>
    <w:rsid w:val="00FC679D"/>
    <w:rsid w:val="00FC679F"/>
    <w:rsid w:val="00FC6933"/>
    <w:rsid w:val="00FC6B74"/>
    <w:rsid w:val="00FC6F73"/>
    <w:rsid w:val="00FC722F"/>
    <w:rsid w:val="00FC7307"/>
    <w:rsid w:val="00FC7E25"/>
    <w:rsid w:val="00FC7E2B"/>
    <w:rsid w:val="00FC7F4F"/>
    <w:rsid w:val="00FD0973"/>
    <w:rsid w:val="00FD09D8"/>
    <w:rsid w:val="00FD0A4E"/>
    <w:rsid w:val="00FD0A96"/>
    <w:rsid w:val="00FD0D6F"/>
    <w:rsid w:val="00FD0F2C"/>
    <w:rsid w:val="00FD1168"/>
    <w:rsid w:val="00FD11BB"/>
    <w:rsid w:val="00FD12B5"/>
    <w:rsid w:val="00FD1436"/>
    <w:rsid w:val="00FD14A4"/>
    <w:rsid w:val="00FD1534"/>
    <w:rsid w:val="00FD1726"/>
    <w:rsid w:val="00FD18D2"/>
    <w:rsid w:val="00FD1A64"/>
    <w:rsid w:val="00FD1A84"/>
    <w:rsid w:val="00FD1D2D"/>
    <w:rsid w:val="00FD1EB5"/>
    <w:rsid w:val="00FD1F27"/>
    <w:rsid w:val="00FD205B"/>
    <w:rsid w:val="00FD2079"/>
    <w:rsid w:val="00FD22F6"/>
    <w:rsid w:val="00FD2B95"/>
    <w:rsid w:val="00FD2EEE"/>
    <w:rsid w:val="00FD310A"/>
    <w:rsid w:val="00FD33C8"/>
    <w:rsid w:val="00FD360D"/>
    <w:rsid w:val="00FD3617"/>
    <w:rsid w:val="00FD37A7"/>
    <w:rsid w:val="00FD394B"/>
    <w:rsid w:val="00FD42EB"/>
    <w:rsid w:val="00FD4540"/>
    <w:rsid w:val="00FD45E5"/>
    <w:rsid w:val="00FD473E"/>
    <w:rsid w:val="00FD4768"/>
    <w:rsid w:val="00FD4961"/>
    <w:rsid w:val="00FD499D"/>
    <w:rsid w:val="00FD4A83"/>
    <w:rsid w:val="00FD4C1A"/>
    <w:rsid w:val="00FD4C8B"/>
    <w:rsid w:val="00FD4D34"/>
    <w:rsid w:val="00FD4E10"/>
    <w:rsid w:val="00FD503C"/>
    <w:rsid w:val="00FD519C"/>
    <w:rsid w:val="00FD562B"/>
    <w:rsid w:val="00FD5BD6"/>
    <w:rsid w:val="00FD5D9A"/>
    <w:rsid w:val="00FD5F21"/>
    <w:rsid w:val="00FD5FCA"/>
    <w:rsid w:val="00FD6116"/>
    <w:rsid w:val="00FD62D8"/>
    <w:rsid w:val="00FD651B"/>
    <w:rsid w:val="00FD6597"/>
    <w:rsid w:val="00FD6618"/>
    <w:rsid w:val="00FD679B"/>
    <w:rsid w:val="00FD6963"/>
    <w:rsid w:val="00FD697E"/>
    <w:rsid w:val="00FD6F01"/>
    <w:rsid w:val="00FD6F9D"/>
    <w:rsid w:val="00FD7014"/>
    <w:rsid w:val="00FD7442"/>
    <w:rsid w:val="00FD7566"/>
    <w:rsid w:val="00FD7817"/>
    <w:rsid w:val="00FD7BA1"/>
    <w:rsid w:val="00FD7CEA"/>
    <w:rsid w:val="00FD7F3D"/>
    <w:rsid w:val="00FE02D3"/>
    <w:rsid w:val="00FE033C"/>
    <w:rsid w:val="00FE050A"/>
    <w:rsid w:val="00FE0542"/>
    <w:rsid w:val="00FE07D0"/>
    <w:rsid w:val="00FE0B90"/>
    <w:rsid w:val="00FE0D39"/>
    <w:rsid w:val="00FE0EC4"/>
    <w:rsid w:val="00FE0FAC"/>
    <w:rsid w:val="00FE1078"/>
    <w:rsid w:val="00FE10ED"/>
    <w:rsid w:val="00FE1121"/>
    <w:rsid w:val="00FE1689"/>
    <w:rsid w:val="00FE1938"/>
    <w:rsid w:val="00FE1A4C"/>
    <w:rsid w:val="00FE1B33"/>
    <w:rsid w:val="00FE1CA9"/>
    <w:rsid w:val="00FE2167"/>
    <w:rsid w:val="00FE242D"/>
    <w:rsid w:val="00FE27B2"/>
    <w:rsid w:val="00FE283A"/>
    <w:rsid w:val="00FE289E"/>
    <w:rsid w:val="00FE2BE7"/>
    <w:rsid w:val="00FE2BFF"/>
    <w:rsid w:val="00FE2CFB"/>
    <w:rsid w:val="00FE2D04"/>
    <w:rsid w:val="00FE2F1E"/>
    <w:rsid w:val="00FE2FE4"/>
    <w:rsid w:val="00FE3029"/>
    <w:rsid w:val="00FE327F"/>
    <w:rsid w:val="00FE3630"/>
    <w:rsid w:val="00FE3638"/>
    <w:rsid w:val="00FE3689"/>
    <w:rsid w:val="00FE38CE"/>
    <w:rsid w:val="00FE3C21"/>
    <w:rsid w:val="00FE3D05"/>
    <w:rsid w:val="00FE427A"/>
    <w:rsid w:val="00FE4E2B"/>
    <w:rsid w:val="00FE4FDA"/>
    <w:rsid w:val="00FE51B3"/>
    <w:rsid w:val="00FE524F"/>
    <w:rsid w:val="00FE53AC"/>
    <w:rsid w:val="00FE5861"/>
    <w:rsid w:val="00FE5A07"/>
    <w:rsid w:val="00FE609B"/>
    <w:rsid w:val="00FE66EC"/>
    <w:rsid w:val="00FE67BC"/>
    <w:rsid w:val="00FE6A9F"/>
    <w:rsid w:val="00FE6F32"/>
    <w:rsid w:val="00FE7029"/>
    <w:rsid w:val="00FE7123"/>
    <w:rsid w:val="00FE76C4"/>
    <w:rsid w:val="00FE76DD"/>
    <w:rsid w:val="00FE775F"/>
    <w:rsid w:val="00FE7AE3"/>
    <w:rsid w:val="00FE7C3A"/>
    <w:rsid w:val="00FE7C3F"/>
    <w:rsid w:val="00FE7D73"/>
    <w:rsid w:val="00FE7ECC"/>
    <w:rsid w:val="00FE7ED2"/>
    <w:rsid w:val="00FE7FBB"/>
    <w:rsid w:val="00FE7FD8"/>
    <w:rsid w:val="00FF0248"/>
    <w:rsid w:val="00FF03BE"/>
    <w:rsid w:val="00FF0563"/>
    <w:rsid w:val="00FF05B5"/>
    <w:rsid w:val="00FF05DD"/>
    <w:rsid w:val="00FF09A1"/>
    <w:rsid w:val="00FF0BCE"/>
    <w:rsid w:val="00FF0EA7"/>
    <w:rsid w:val="00FF117C"/>
    <w:rsid w:val="00FF120F"/>
    <w:rsid w:val="00FF13B7"/>
    <w:rsid w:val="00FF1569"/>
    <w:rsid w:val="00FF159B"/>
    <w:rsid w:val="00FF1684"/>
    <w:rsid w:val="00FF1763"/>
    <w:rsid w:val="00FF1A9B"/>
    <w:rsid w:val="00FF1D80"/>
    <w:rsid w:val="00FF2135"/>
    <w:rsid w:val="00FF219C"/>
    <w:rsid w:val="00FF21F5"/>
    <w:rsid w:val="00FF2629"/>
    <w:rsid w:val="00FF2710"/>
    <w:rsid w:val="00FF28E6"/>
    <w:rsid w:val="00FF2C16"/>
    <w:rsid w:val="00FF2C4E"/>
    <w:rsid w:val="00FF2CBC"/>
    <w:rsid w:val="00FF30DC"/>
    <w:rsid w:val="00FF31D2"/>
    <w:rsid w:val="00FF3254"/>
    <w:rsid w:val="00FF32D9"/>
    <w:rsid w:val="00FF3549"/>
    <w:rsid w:val="00FF36CC"/>
    <w:rsid w:val="00FF3D56"/>
    <w:rsid w:val="00FF3F96"/>
    <w:rsid w:val="00FF41FF"/>
    <w:rsid w:val="00FF45CA"/>
    <w:rsid w:val="00FF46FA"/>
    <w:rsid w:val="00FF47DC"/>
    <w:rsid w:val="00FF47F3"/>
    <w:rsid w:val="00FF4A3B"/>
    <w:rsid w:val="00FF4E1F"/>
    <w:rsid w:val="00FF5224"/>
    <w:rsid w:val="00FF53A6"/>
    <w:rsid w:val="00FF5585"/>
    <w:rsid w:val="00FF5645"/>
    <w:rsid w:val="00FF564B"/>
    <w:rsid w:val="00FF595E"/>
    <w:rsid w:val="00FF5A2E"/>
    <w:rsid w:val="00FF5B3C"/>
    <w:rsid w:val="00FF5E42"/>
    <w:rsid w:val="00FF5E88"/>
    <w:rsid w:val="00FF5F40"/>
    <w:rsid w:val="00FF613D"/>
    <w:rsid w:val="00FF681F"/>
    <w:rsid w:val="00FF6A2D"/>
    <w:rsid w:val="00FF6A82"/>
    <w:rsid w:val="00FF6B18"/>
    <w:rsid w:val="00FF6BEC"/>
    <w:rsid w:val="00FF6F5A"/>
    <w:rsid w:val="00FF6FF8"/>
    <w:rsid w:val="00FF71AD"/>
    <w:rsid w:val="00FF72A4"/>
    <w:rsid w:val="00FF7398"/>
    <w:rsid w:val="00FF7639"/>
    <w:rsid w:val="00FF7683"/>
    <w:rsid w:val="00FF77B7"/>
    <w:rsid w:val="00FF78C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5CA5D3"/>
  <w15:chartTrackingRefBased/>
  <w15:docId w15:val="{B38EA70E-17A8-4FED-80F5-304A70594F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Arial"/>
        <w:sz w:val="24"/>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1AE1"/>
    <w:pPr>
      <w:spacing w:before="240" w:line="360" w:lineRule="auto"/>
    </w:pPr>
  </w:style>
  <w:style w:type="paragraph" w:styleId="Heading1">
    <w:name w:val="heading 1"/>
    <w:basedOn w:val="Normal"/>
    <w:next w:val="Normal"/>
    <w:link w:val="Heading1Char"/>
    <w:uiPriority w:val="9"/>
    <w:qFormat/>
    <w:rsid w:val="00EC42EA"/>
    <w:pPr>
      <w:keepNext/>
      <w:keepLines/>
      <w:numPr>
        <w:numId w:val="1"/>
      </w:numPr>
      <w:spacing w:after="240"/>
      <w:jc w:val="center"/>
      <w:outlineLvl w:val="0"/>
    </w:pPr>
    <w:rPr>
      <w:rFonts w:eastAsiaTheme="majorEastAsia"/>
      <w:b/>
      <w:sz w:val="32"/>
      <w:szCs w:val="32"/>
    </w:rPr>
  </w:style>
  <w:style w:type="paragraph" w:styleId="Heading2">
    <w:name w:val="heading 2"/>
    <w:basedOn w:val="Normal"/>
    <w:next w:val="Normal"/>
    <w:link w:val="Heading2Char"/>
    <w:uiPriority w:val="9"/>
    <w:unhideWhenUsed/>
    <w:qFormat/>
    <w:rsid w:val="005B4910"/>
    <w:pPr>
      <w:keepNext/>
      <w:keepLines/>
      <w:numPr>
        <w:ilvl w:val="1"/>
        <w:numId w:val="1"/>
      </w:numPr>
      <w:spacing w:before="360" w:after="120"/>
      <w:outlineLvl w:val="1"/>
    </w:pPr>
    <w:rPr>
      <w:rFonts w:eastAsiaTheme="majorEastAsia"/>
      <w:b/>
      <w:szCs w:val="24"/>
    </w:rPr>
  </w:style>
  <w:style w:type="paragraph" w:styleId="Heading3">
    <w:name w:val="heading 3"/>
    <w:basedOn w:val="Normal"/>
    <w:next w:val="Normal"/>
    <w:link w:val="Heading3Char"/>
    <w:uiPriority w:val="9"/>
    <w:unhideWhenUsed/>
    <w:qFormat/>
    <w:rsid w:val="005B4910"/>
    <w:pPr>
      <w:keepNext/>
      <w:keepLines/>
      <w:numPr>
        <w:ilvl w:val="2"/>
        <w:numId w:val="1"/>
      </w:numPr>
      <w:spacing w:before="360" w:after="120"/>
      <w:ind w:left="720"/>
      <w:outlineLvl w:val="2"/>
    </w:pPr>
    <w:rPr>
      <w:rFonts w:eastAsiaTheme="majorEastAsia"/>
      <w:b/>
      <w:szCs w:val="24"/>
    </w:rPr>
  </w:style>
  <w:style w:type="paragraph" w:styleId="Heading4">
    <w:name w:val="heading 4"/>
    <w:basedOn w:val="Normal"/>
    <w:next w:val="Normal"/>
    <w:link w:val="Heading4Char"/>
    <w:uiPriority w:val="9"/>
    <w:unhideWhenUsed/>
    <w:qFormat/>
    <w:rsid w:val="005B4910"/>
    <w:pPr>
      <w:keepNext/>
      <w:keepLines/>
      <w:numPr>
        <w:ilvl w:val="3"/>
        <w:numId w:val="1"/>
      </w:numPr>
      <w:spacing w:after="120"/>
      <w:outlineLvl w:val="3"/>
    </w:pPr>
    <w:rPr>
      <w:rFonts w:eastAsiaTheme="majorEastAsia"/>
      <w:b/>
      <w:iCs/>
      <w:szCs w:val="24"/>
    </w:rPr>
  </w:style>
  <w:style w:type="paragraph" w:styleId="Heading5">
    <w:name w:val="heading 5"/>
    <w:basedOn w:val="Normal"/>
    <w:next w:val="Normal"/>
    <w:link w:val="Heading5Char"/>
    <w:uiPriority w:val="9"/>
    <w:unhideWhenUsed/>
    <w:qFormat/>
    <w:rsid w:val="005B4910"/>
    <w:pPr>
      <w:keepNext/>
      <w:keepLines/>
      <w:numPr>
        <w:ilvl w:val="4"/>
        <w:numId w:val="1"/>
      </w:numPr>
      <w:spacing w:after="120"/>
      <w:outlineLvl w:val="4"/>
    </w:pPr>
    <w:rPr>
      <w:rFonts w:eastAsiaTheme="majorEastAsia"/>
      <w:b/>
      <w:color w:val="000000" w:themeColor="text1"/>
    </w:rPr>
  </w:style>
  <w:style w:type="paragraph" w:styleId="Heading6">
    <w:name w:val="heading 6"/>
    <w:basedOn w:val="Normal"/>
    <w:next w:val="Normal"/>
    <w:link w:val="Heading6Char"/>
    <w:uiPriority w:val="9"/>
    <w:semiHidden/>
    <w:unhideWhenUsed/>
    <w:qFormat/>
    <w:rsid w:val="005B4910"/>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B4910"/>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B4910"/>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B4910"/>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56838"/>
    <w:rPr>
      <w:rFonts w:eastAsiaTheme="majorEastAsia"/>
      <w:b/>
      <w:sz w:val="32"/>
      <w:szCs w:val="32"/>
    </w:rPr>
  </w:style>
  <w:style w:type="character" w:customStyle="1" w:styleId="Heading2Char">
    <w:name w:val="Heading 2 Char"/>
    <w:basedOn w:val="DefaultParagraphFont"/>
    <w:link w:val="Heading2"/>
    <w:uiPriority w:val="9"/>
    <w:rsid w:val="00D05664"/>
    <w:rPr>
      <w:rFonts w:eastAsiaTheme="majorEastAsia"/>
      <w:b/>
      <w:szCs w:val="24"/>
    </w:rPr>
  </w:style>
  <w:style w:type="character" w:customStyle="1" w:styleId="Heading3Char">
    <w:name w:val="Heading 3 Char"/>
    <w:basedOn w:val="DefaultParagraphFont"/>
    <w:link w:val="Heading3"/>
    <w:uiPriority w:val="9"/>
    <w:rsid w:val="00C523D7"/>
    <w:rPr>
      <w:rFonts w:eastAsiaTheme="majorEastAsia"/>
      <w:b/>
      <w:szCs w:val="24"/>
    </w:rPr>
  </w:style>
  <w:style w:type="character" w:customStyle="1" w:styleId="Heading4Char">
    <w:name w:val="Heading 4 Char"/>
    <w:basedOn w:val="DefaultParagraphFont"/>
    <w:link w:val="Heading4"/>
    <w:uiPriority w:val="9"/>
    <w:rsid w:val="00B70744"/>
    <w:rPr>
      <w:rFonts w:eastAsiaTheme="majorEastAsia"/>
      <w:b/>
      <w:iCs/>
      <w:szCs w:val="24"/>
    </w:rPr>
  </w:style>
  <w:style w:type="character" w:customStyle="1" w:styleId="Heading5Char">
    <w:name w:val="Heading 5 Char"/>
    <w:basedOn w:val="DefaultParagraphFont"/>
    <w:link w:val="Heading5"/>
    <w:uiPriority w:val="9"/>
    <w:rsid w:val="00894F66"/>
    <w:rPr>
      <w:rFonts w:eastAsiaTheme="majorEastAsia"/>
      <w:b/>
      <w:color w:val="000000" w:themeColor="text1"/>
    </w:rPr>
  </w:style>
  <w:style w:type="character" w:customStyle="1" w:styleId="Heading6Char">
    <w:name w:val="Heading 6 Char"/>
    <w:basedOn w:val="DefaultParagraphFont"/>
    <w:link w:val="Heading6"/>
    <w:uiPriority w:val="9"/>
    <w:semiHidden/>
    <w:rsid w:val="00C27C96"/>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C27C96"/>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C27C9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27C96"/>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3E2308"/>
    <w:pPr>
      <w:spacing w:before="0" w:after="0" w:line="276" w:lineRule="auto"/>
    </w:pPr>
  </w:style>
  <w:style w:type="paragraph" w:styleId="Title">
    <w:name w:val="Title"/>
    <w:basedOn w:val="Normal"/>
    <w:next w:val="Normal"/>
    <w:link w:val="TitleChar"/>
    <w:uiPriority w:val="10"/>
    <w:qFormat/>
    <w:rsid w:val="00EC42EA"/>
    <w:pPr>
      <w:contextualSpacing/>
      <w:jc w:val="center"/>
    </w:pPr>
    <w:rPr>
      <w:b/>
      <w:spacing w:val="-10"/>
      <w:kern w:val="28"/>
      <w:sz w:val="32"/>
      <w:szCs w:val="56"/>
    </w:rPr>
  </w:style>
  <w:style w:type="character" w:customStyle="1" w:styleId="TitleChar">
    <w:name w:val="Title Char"/>
    <w:basedOn w:val="DefaultParagraphFont"/>
    <w:link w:val="Title"/>
    <w:uiPriority w:val="10"/>
    <w:rsid w:val="00FA48D6"/>
    <w:rPr>
      <w:rFonts w:cs="Arial"/>
      <w:b/>
      <w:spacing w:val="-10"/>
      <w:kern w:val="28"/>
      <w:sz w:val="32"/>
      <w:szCs w:val="56"/>
    </w:rPr>
  </w:style>
  <w:style w:type="paragraph" w:styleId="TOC1">
    <w:name w:val="toc 1"/>
    <w:basedOn w:val="Normal"/>
    <w:next w:val="Normal"/>
    <w:autoRedefine/>
    <w:uiPriority w:val="39"/>
    <w:unhideWhenUsed/>
    <w:rsid w:val="001F369C"/>
    <w:pPr>
      <w:tabs>
        <w:tab w:val="left" w:pos="480"/>
        <w:tab w:val="right" w:leader="dot" w:pos="8754"/>
      </w:tabs>
      <w:spacing w:before="120" w:after="120" w:line="240" w:lineRule="auto"/>
      <w:outlineLvl w:val="0"/>
    </w:pPr>
    <w:rPr>
      <w:b/>
      <w:noProof/>
    </w:rPr>
  </w:style>
  <w:style w:type="paragraph" w:styleId="TOC2">
    <w:name w:val="toc 2"/>
    <w:basedOn w:val="Normal"/>
    <w:next w:val="Normal"/>
    <w:autoRedefine/>
    <w:uiPriority w:val="39"/>
    <w:unhideWhenUsed/>
    <w:rsid w:val="001F369C"/>
    <w:pPr>
      <w:tabs>
        <w:tab w:val="right" w:leader="dot" w:pos="8754"/>
      </w:tabs>
      <w:spacing w:before="60" w:after="60" w:line="240" w:lineRule="auto"/>
      <w:ind w:left="238"/>
      <w:outlineLvl w:val="1"/>
    </w:pPr>
    <w:rPr>
      <w:noProof/>
    </w:rPr>
  </w:style>
  <w:style w:type="paragraph" w:styleId="TOC3">
    <w:name w:val="toc 3"/>
    <w:basedOn w:val="Normal"/>
    <w:next w:val="Normal"/>
    <w:autoRedefine/>
    <w:uiPriority w:val="39"/>
    <w:unhideWhenUsed/>
    <w:rsid w:val="001F369C"/>
    <w:pPr>
      <w:tabs>
        <w:tab w:val="right" w:leader="dot" w:pos="8754"/>
      </w:tabs>
      <w:spacing w:before="60" w:after="60" w:line="240" w:lineRule="auto"/>
      <w:ind w:left="482"/>
      <w:outlineLvl w:val="2"/>
    </w:pPr>
  </w:style>
  <w:style w:type="paragraph" w:styleId="TOC4">
    <w:name w:val="toc 4"/>
    <w:basedOn w:val="Normal"/>
    <w:next w:val="Normal"/>
    <w:autoRedefine/>
    <w:uiPriority w:val="39"/>
    <w:unhideWhenUsed/>
    <w:rsid w:val="001F369C"/>
    <w:pPr>
      <w:tabs>
        <w:tab w:val="left" w:pos="1540"/>
        <w:tab w:val="right" w:leader="dot" w:pos="8754"/>
      </w:tabs>
      <w:spacing w:before="120" w:after="60" w:line="240" w:lineRule="auto"/>
      <w:ind w:left="720"/>
      <w:outlineLvl w:val="3"/>
    </w:pPr>
  </w:style>
  <w:style w:type="character" w:styleId="Hyperlink">
    <w:name w:val="Hyperlink"/>
    <w:basedOn w:val="DefaultParagraphFont"/>
    <w:uiPriority w:val="99"/>
    <w:unhideWhenUsed/>
    <w:rsid w:val="00C27C96"/>
    <w:rPr>
      <w:color w:val="0563C1" w:themeColor="hyperlink"/>
      <w:u w:val="single"/>
    </w:rPr>
  </w:style>
  <w:style w:type="table" w:styleId="TableGrid">
    <w:name w:val="Table Grid"/>
    <w:basedOn w:val="TableNormal"/>
    <w:uiPriority w:val="39"/>
    <w:rsid w:val="008D2C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Spacing"/>
    <w:autoRedefine/>
    <w:uiPriority w:val="35"/>
    <w:unhideWhenUsed/>
    <w:qFormat/>
    <w:rsid w:val="004A7DA1"/>
    <w:pPr>
      <w:spacing w:before="120" w:after="40" w:line="240" w:lineRule="auto"/>
    </w:pPr>
    <w:rPr>
      <w:b/>
      <w:iCs/>
      <w:sz w:val="22"/>
      <w:szCs w:val="20"/>
    </w:rPr>
  </w:style>
  <w:style w:type="paragraph" w:styleId="NoSpacing">
    <w:name w:val="No Spacing"/>
    <w:aliases w:val="Figure legend"/>
    <w:basedOn w:val="ListParagraph"/>
    <w:link w:val="NoSpacingChar"/>
    <w:uiPriority w:val="1"/>
    <w:qFormat/>
    <w:rsid w:val="00846677"/>
    <w:pPr>
      <w:spacing w:after="120" w:line="240" w:lineRule="auto"/>
    </w:pPr>
    <w:rPr>
      <w:sz w:val="20"/>
    </w:rPr>
  </w:style>
  <w:style w:type="table" w:customStyle="1" w:styleId="TableGrid2">
    <w:name w:val="Table Grid2"/>
    <w:basedOn w:val="TableNormal"/>
    <w:next w:val="TableGrid"/>
    <w:uiPriority w:val="39"/>
    <w:rsid w:val="000E3F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CD0E28"/>
    <w:pPr>
      <w:spacing w:before="120" w:after="120" w:line="240" w:lineRule="auto"/>
    </w:pPr>
  </w:style>
  <w:style w:type="table" w:customStyle="1" w:styleId="TableGrid1">
    <w:name w:val="Table Grid1"/>
    <w:basedOn w:val="TableNormal"/>
    <w:next w:val="TableGrid"/>
    <w:uiPriority w:val="39"/>
    <w:rsid w:val="00EA29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unhideWhenUsed/>
    <w:rsid w:val="001F369C"/>
    <w:pPr>
      <w:tabs>
        <w:tab w:val="right" w:leader="dot" w:pos="8754"/>
      </w:tabs>
      <w:spacing w:after="100" w:line="240" w:lineRule="auto"/>
      <w:ind w:left="958"/>
      <w:outlineLvl w:val="4"/>
    </w:pPr>
  </w:style>
  <w:style w:type="character" w:customStyle="1" w:styleId="UnresolvedMention1">
    <w:name w:val="Unresolved Mention1"/>
    <w:basedOn w:val="DefaultParagraphFont"/>
    <w:uiPriority w:val="99"/>
    <w:semiHidden/>
    <w:unhideWhenUsed/>
    <w:rsid w:val="0089640A"/>
    <w:rPr>
      <w:color w:val="808080"/>
      <w:shd w:val="clear" w:color="auto" w:fill="E6E6E6"/>
    </w:rPr>
  </w:style>
  <w:style w:type="character" w:styleId="CommentReference">
    <w:name w:val="annotation reference"/>
    <w:basedOn w:val="DefaultParagraphFont"/>
    <w:uiPriority w:val="99"/>
    <w:semiHidden/>
    <w:unhideWhenUsed/>
    <w:rsid w:val="000B24F4"/>
    <w:rPr>
      <w:sz w:val="16"/>
      <w:szCs w:val="16"/>
    </w:rPr>
  </w:style>
  <w:style w:type="paragraph" w:styleId="CommentText">
    <w:name w:val="annotation text"/>
    <w:basedOn w:val="Normal"/>
    <w:link w:val="CommentTextChar"/>
    <w:uiPriority w:val="99"/>
    <w:semiHidden/>
    <w:unhideWhenUsed/>
    <w:rsid w:val="000B24F4"/>
    <w:pPr>
      <w:spacing w:line="240" w:lineRule="auto"/>
    </w:pPr>
    <w:rPr>
      <w:sz w:val="20"/>
      <w:szCs w:val="20"/>
    </w:rPr>
  </w:style>
  <w:style w:type="character" w:customStyle="1" w:styleId="CommentTextChar">
    <w:name w:val="Comment Text Char"/>
    <w:basedOn w:val="DefaultParagraphFont"/>
    <w:link w:val="CommentText"/>
    <w:uiPriority w:val="99"/>
    <w:semiHidden/>
    <w:rsid w:val="000B24F4"/>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0B24F4"/>
    <w:rPr>
      <w:b/>
      <w:bCs/>
    </w:rPr>
  </w:style>
  <w:style w:type="character" w:customStyle="1" w:styleId="CommentSubjectChar">
    <w:name w:val="Comment Subject Char"/>
    <w:basedOn w:val="CommentTextChar"/>
    <w:link w:val="CommentSubject"/>
    <w:uiPriority w:val="99"/>
    <w:semiHidden/>
    <w:rsid w:val="000B24F4"/>
    <w:rPr>
      <w:rFonts w:ascii="Arial" w:hAnsi="Arial" w:cs="Arial"/>
      <w:b/>
      <w:bCs/>
      <w:sz w:val="20"/>
      <w:szCs w:val="20"/>
    </w:rPr>
  </w:style>
  <w:style w:type="paragraph" w:styleId="BalloonText">
    <w:name w:val="Balloon Text"/>
    <w:basedOn w:val="Normal"/>
    <w:link w:val="BalloonTextChar"/>
    <w:uiPriority w:val="99"/>
    <w:semiHidden/>
    <w:unhideWhenUsed/>
    <w:rsid w:val="000B24F4"/>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B24F4"/>
    <w:rPr>
      <w:rFonts w:ascii="Segoe UI" w:hAnsi="Segoe UI" w:cs="Segoe UI"/>
      <w:sz w:val="18"/>
      <w:szCs w:val="18"/>
    </w:rPr>
  </w:style>
  <w:style w:type="table" w:customStyle="1" w:styleId="TableGrid3">
    <w:name w:val="Table Grid3"/>
    <w:basedOn w:val="TableNormal"/>
    <w:next w:val="TableGrid"/>
    <w:uiPriority w:val="39"/>
    <w:rsid w:val="003847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2613B4"/>
    <w:rPr>
      <w:color w:val="808080"/>
      <w:shd w:val="clear" w:color="auto" w:fill="E6E6E6"/>
    </w:rPr>
  </w:style>
  <w:style w:type="paragraph" w:styleId="Header">
    <w:name w:val="header"/>
    <w:basedOn w:val="Normal"/>
    <w:link w:val="HeaderChar"/>
    <w:uiPriority w:val="99"/>
    <w:unhideWhenUsed/>
    <w:rsid w:val="005C29B4"/>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5C29B4"/>
    <w:rPr>
      <w:rFonts w:ascii="Arial" w:hAnsi="Arial" w:cs="Arial"/>
      <w:sz w:val="24"/>
    </w:rPr>
  </w:style>
  <w:style w:type="paragraph" w:styleId="Footer">
    <w:name w:val="footer"/>
    <w:basedOn w:val="Normal"/>
    <w:link w:val="FooterChar"/>
    <w:uiPriority w:val="99"/>
    <w:unhideWhenUsed/>
    <w:rsid w:val="005C29B4"/>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5C29B4"/>
    <w:rPr>
      <w:rFonts w:ascii="Arial" w:hAnsi="Arial" w:cs="Arial"/>
      <w:sz w:val="24"/>
    </w:rPr>
  </w:style>
  <w:style w:type="paragraph" w:styleId="EndnoteText">
    <w:name w:val="endnote text"/>
    <w:basedOn w:val="Normal"/>
    <w:link w:val="EndnoteTextChar"/>
    <w:uiPriority w:val="99"/>
    <w:semiHidden/>
    <w:unhideWhenUsed/>
    <w:rsid w:val="00021389"/>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021389"/>
    <w:rPr>
      <w:rFonts w:ascii="Arial" w:hAnsi="Arial" w:cs="Arial"/>
      <w:sz w:val="20"/>
      <w:szCs w:val="20"/>
    </w:rPr>
  </w:style>
  <w:style w:type="character" w:styleId="EndnoteReference">
    <w:name w:val="endnote reference"/>
    <w:basedOn w:val="DefaultParagraphFont"/>
    <w:uiPriority w:val="99"/>
    <w:semiHidden/>
    <w:unhideWhenUsed/>
    <w:rsid w:val="00021389"/>
    <w:rPr>
      <w:vertAlign w:val="superscript"/>
    </w:rPr>
  </w:style>
  <w:style w:type="table" w:customStyle="1" w:styleId="TableGrid4">
    <w:name w:val="Table Grid4"/>
    <w:basedOn w:val="TableNormal"/>
    <w:next w:val="TableGrid"/>
    <w:uiPriority w:val="39"/>
    <w:rsid w:val="004514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5C01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6">
    <w:name w:val="toc 6"/>
    <w:basedOn w:val="Normal"/>
    <w:next w:val="Normal"/>
    <w:autoRedefine/>
    <w:uiPriority w:val="39"/>
    <w:unhideWhenUsed/>
    <w:rsid w:val="00D674DF"/>
    <w:pPr>
      <w:spacing w:before="0" w:after="100" w:line="259" w:lineRule="auto"/>
      <w:ind w:left="1100"/>
    </w:pPr>
    <w:rPr>
      <w:rFonts w:eastAsiaTheme="minorEastAsia" w:cstheme="minorBidi"/>
      <w:sz w:val="22"/>
      <w:lang w:eastAsia="en-GB"/>
    </w:rPr>
  </w:style>
  <w:style w:type="paragraph" w:styleId="TOC7">
    <w:name w:val="toc 7"/>
    <w:basedOn w:val="Normal"/>
    <w:next w:val="Normal"/>
    <w:autoRedefine/>
    <w:uiPriority w:val="39"/>
    <w:unhideWhenUsed/>
    <w:rsid w:val="00D674DF"/>
    <w:pPr>
      <w:spacing w:before="0" w:after="100" w:line="259" w:lineRule="auto"/>
      <w:ind w:left="1320"/>
    </w:pPr>
    <w:rPr>
      <w:rFonts w:eastAsiaTheme="minorEastAsia" w:cstheme="minorBidi"/>
      <w:sz w:val="22"/>
      <w:lang w:eastAsia="en-GB"/>
    </w:rPr>
  </w:style>
  <w:style w:type="paragraph" w:styleId="TOC8">
    <w:name w:val="toc 8"/>
    <w:basedOn w:val="Normal"/>
    <w:next w:val="Normal"/>
    <w:autoRedefine/>
    <w:uiPriority w:val="39"/>
    <w:unhideWhenUsed/>
    <w:rsid w:val="00D674DF"/>
    <w:pPr>
      <w:spacing w:before="0" w:after="100" w:line="259" w:lineRule="auto"/>
      <w:ind w:left="1540"/>
    </w:pPr>
    <w:rPr>
      <w:rFonts w:eastAsiaTheme="minorEastAsia" w:cstheme="minorBidi"/>
      <w:sz w:val="22"/>
      <w:lang w:eastAsia="en-GB"/>
    </w:rPr>
  </w:style>
  <w:style w:type="paragraph" w:styleId="TOC9">
    <w:name w:val="toc 9"/>
    <w:basedOn w:val="Normal"/>
    <w:next w:val="Normal"/>
    <w:autoRedefine/>
    <w:uiPriority w:val="39"/>
    <w:unhideWhenUsed/>
    <w:rsid w:val="00D674DF"/>
    <w:pPr>
      <w:spacing w:before="0" w:after="100" w:line="259" w:lineRule="auto"/>
      <w:ind w:left="1760"/>
    </w:pPr>
    <w:rPr>
      <w:rFonts w:eastAsiaTheme="minorEastAsia" w:cstheme="minorBidi"/>
      <w:sz w:val="22"/>
      <w:lang w:eastAsia="en-GB"/>
    </w:rPr>
  </w:style>
  <w:style w:type="character" w:customStyle="1" w:styleId="UnresolvedMention3">
    <w:name w:val="Unresolved Mention3"/>
    <w:basedOn w:val="DefaultParagraphFont"/>
    <w:uiPriority w:val="99"/>
    <w:semiHidden/>
    <w:unhideWhenUsed/>
    <w:rsid w:val="00D674DF"/>
    <w:rPr>
      <w:color w:val="808080"/>
      <w:shd w:val="clear" w:color="auto" w:fill="E6E6E6"/>
    </w:rPr>
  </w:style>
  <w:style w:type="character" w:customStyle="1" w:styleId="UnresolvedMention4">
    <w:name w:val="Unresolved Mention4"/>
    <w:basedOn w:val="DefaultParagraphFont"/>
    <w:uiPriority w:val="99"/>
    <w:semiHidden/>
    <w:unhideWhenUsed/>
    <w:rsid w:val="00906D65"/>
    <w:rPr>
      <w:color w:val="808080"/>
      <w:shd w:val="clear" w:color="auto" w:fill="E6E6E6"/>
    </w:rPr>
  </w:style>
  <w:style w:type="character" w:styleId="FollowedHyperlink">
    <w:name w:val="FollowedHyperlink"/>
    <w:basedOn w:val="DefaultParagraphFont"/>
    <w:uiPriority w:val="99"/>
    <w:semiHidden/>
    <w:unhideWhenUsed/>
    <w:rsid w:val="00E33320"/>
    <w:rPr>
      <w:color w:val="954F72"/>
      <w:u w:val="single"/>
    </w:rPr>
  </w:style>
  <w:style w:type="paragraph" w:customStyle="1" w:styleId="msonormal0">
    <w:name w:val="msonormal"/>
    <w:basedOn w:val="Normal"/>
    <w:rsid w:val="00E33320"/>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65">
    <w:name w:val="xl65"/>
    <w:basedOn w:val="Normal"/>
    <w:rsid w:val="00E33320"/>
    <w:pPr>
      <w:pBdr>
        <w:top w:val="single" w:sz="12" w:space="0" w:color="auto"/>
        <w:bottom w:val="single" w:sz="12" w:space="0" w:color="auto"/>
      </w:pBdr>
      <w:spacing w:before="100" w:beforeAutospacing="1" w:after="100" w:afterAutospacing="1" w:line="240" w:lineRule="auto"/>
      <w:jc w:val="center"/>
      <w:textAlignment w:val="center"/>
    </w:pPr>
    <w:rPr>
      <w:rFonts w:eastAsia="Times New Roman"/>
      <w:b/>
      <w:bCs/>
      <w:sz w:val="17"/>
      <w:szCs w:val="17"/>
      <w:lang w:eastAsia="en-GB"/>
    </w:rPr>
  </w:style>
  <w:style w:type="paragraph" w:customStyle="1" w:styleId="xl66">
    <w:name w:val="xl66"/>
    <w:basedOn w:val="Normal"/>
    <w:rsid w:val="00E33320"/>
    <w:pPr>
      <w:spacing w:before="100" w:beforeAutospacing="1" w:after="100" w:afterAutospacing="1" w:line="240" w:lineRule="auto"/>
    </w:pPr>
    <w:rPr>
      <w:rFonts w:eastAsia="Times New Roman"/>
      <w:sz w:val="17"/>
      <w:szCs w:val="17"/>
      <w:lang w:eastAsia="en-GB"/>
    </w:rPr>
  </w:style>
  <w:style w:type="paragraph" w:customStyle="1" w:styleId="xl67">
    <w:name w:val="xl67"/>
    <w:basedOn w:val="Normal"/>
    <w:rsid w:val="00E33320"/>
    <w:pPr>
      <w:spacing w:before="100" w:beforeAutospacing="1" w:after="100" w:afterAutospacing="1" w:line="240" w:lineRule="auto"/>
      <w:textAlignment w:val="center"/>
    </w:pPr>
    <w:rPr>
      <w:rFonts w:eastAsia="Times New Roman"/>
      <w:sz w:val="17"/>
      <w:szCs w:val="17"/>
      <w:lang w:eastAsia="en-GB"/>
    </w:rPr>
  </w:style>
  <w:style w:type="paragraph" w:customStyle="1" w:styleId="xl68">
    <w:name w:val="xl68"/>
    <w:basedOn w:val="Normal"/>
    <w:rsid w:val="00E33320"/>
    <w:pPr>
      <w:spacing w:before="100" w:beforeAutospacing="1" w:after="100" w:afterAutospacing="1" w:line="240" w:lineRule="auto"/>
      <w:jc w:val="center"/>
      <w:textAlignment w:val="center"/>
    </w:pPr>
    <w:rPr>
      <w:rFonts w:eastAsia="Times New Roman"/>
      <w:sz w:val="17"/>
      <w:szCs w:val="17"/>
      <w:lang w:eastAsia="en-GB"/>
    </w:rPr>
  </w:style>
  <w:style w:type="paragraph" w:customStyle="1" w:styleId="xl69">
    <w:name w:val="xl69"/>
    <w:basedOn w:val="Normal"/>
    <w:rsid w:val="00E33320"/>
    <w:pPr>
      <w:spacing w:before="100" w:beforeAutospacing="1" w:after="100" w:afterAutospacing="1" w:line="240" w:lineRule="auto"/>
      <w:jc w:val="center"/>
      <w:textAlignment w:val="center"/>
    </w:pPr>
    <w:rPr>
      <w:rFonts w:eastAsia="Times New Roman"/>
      <w:sz w:val="17"/>
      <w:szCs w:val="17"/>
      <w:lang w:eastAsia="en-GB"/>
    </w:rPr>
  </w:style>
  <w:style w:type="paragraph" w:customStyle="1" w:styleId="xl70">
    <w:name w:val="xl70"/>
    <w:basedOn w:val="Normal"/>
    <w:rsid w:val="00E33320"/>
    <w:pPr>
      <w:pBdr>
        <w:bottom w:val="single" w:sz="12" w:space="0" w:color="auto"/>
      </w:pBdr>
      <w:spacing w:before="100" w:beforeAutospacing="1" w:after="100" w:afterAutospacing="1" w:line="240" w:lineRule="auto"/>
      <w:textAlignment w:val="center"/>
    </w:pPr>
    <w:rPr>
      <w:rFonts w:eastAsia="Times New Roman"/>
      <w:sz w:val="17"/>
      <w:szCs w:val="17"/>
      <w:lang w:eastAsia="en-GB"/>
    </w:rPr>
  </w:style>
  <w:style w:type="paragraph" w:customStyle="1" w:styleId="xl71">
    <w:name w:val="xl71"/>
    <w:basedOn w:val="Normal"/>
    <w:rsid w:val="00E33320"/>
    <w:pPr>
      <w:pBdr>
        <w:bottom w:val="single" w:sz="12" w:space="0" w:color="auto"/>
      </w:pBdr>
      <w:spacing w:before="100" w:beforeAutospacing="1" w:after="100" w:afterAutospacing="1" w:line="240" w:lineRule="auto"/>
      <w:jc w:val="center"/>
      <w:textAlignment w:val="center"/>
    </w:pPr>
    <w:rPr>
      <w:rFonts w:eastAsia="Times New Roman"/>
      <w:sz w:val="17"/>
      <w:szCs w:val="17"/>
      <w:lang w:eastAsia="en-GB"/>
    </w:rPr>
  </w:style>
  <w:style w:type="paragraph" w:customStyle="1" w:styleId="xl72">
    <w:name w:val="xl72"/>
    <w:basedOn w:val="Normal"/>
    <w:rsid w:val="00E33320"/>
    <w:pPr>
      <w:spacing w:before="100" w:beforeAutospacing="1" w:after="100" w:afterAutospacing="1" w:line="240" w:lineRule="auto"/>
      <w:jc w:val="center"/>
    </w:pPr>
    <w:rPr>
      <w:rFonts w:eastAsia="Times New Roman"/>
      <w:sz w:val="17"/>
      <w:szCs w:val="17"/>
      <w:lang w:eastAsia="en-GB"/>
    </w:rPr>
  </w:style>
  <w:style w:type="paragraph" w:customStyle="1" w:styleId="xl73">
    <w:name w:val="xl73"/>
    <w:basedOn w:val="Normal"/>
    <w:rsid w:val="00E33320"/>
    <w:pPr>
      <w:pBdr>
        <w:bottom w:val="single" w:sz="12" w:space="0" w:color="auto"/>
      </w:pBdr>
      <w:spacing w:before="100" w:beforeAutospacing="1" w:after="100" w:afterAutospacing="1" w:line="240" w:lineRule="auto"/>
      <w:jc w:val="center"/>
      <w:textAlignment w:val="center"/>
    </w:pPr>
    <w:rPr>
      <w:rFonts w:eastAsia="Times New Roman"/>
      <w:sz w:val="17"/>
      <w:szCs w:val="17"/>
      <w:lang w:eastAsia="en-GB"/>
    </w:rPr>
  </w:style>
  <w:style w:type="numbering" w:customStyle="1" w:styleId="NoList1">
    <w:name w:val="No List1"/>
    <w:next w:val="NoList"/>
    <w:uiPriority w:val="99"/>
    <w:semiHidden/>
    <w:unhideWhenUsed/>
    <w:rsid w:val="00355182"/>
  </w:style>
  <w:style w:type="numbering" w:customStyle="1" w:styleId="NoList11">
    <w:name w:val="No List11"/>
    <w:next w:val="NoList"/>
    <w:uiPriority w:val="99"/>
    <w:semiHidden/>
    <w:unhideWhenUsed/>
    <w:rsid w:val="00355182"/>
  </w:style>
  <w:style w:type="character" w:customStyle="1" w:styleId="UnresolvedMention5">
    <w:name w:val="Unresolved Mention5"/>
    <w:basedOn w:val="DefaultParagraphFont"/>
    <w:uiPriority w:val="99"/>
    <w:semiHidden/>
    <w:unhideWhenUsed/>
    <w:rsid w:val="001C0D9C"/>
    <w:rPr>
      <w:color w:val="808080"/>
      <w:shd w:val="clear" w:color="auto" w:fill="E6E6E6"/>
    </w:rPr>
  </w:style>
  <w:style w:type="character" w:customStyle="1" w:styleId="UnresolvedMention6">
    <w:name w:val="Unresolved Mention6"/>
    <w:basedOn w:val="DefaultParagraphFont"/>
    <w:uiPriority w:val="99"/>
    <w:semiHidden/>
    <w:unhideWhenUsed/>
    <w:rsid w:val="003D4702"/>
    <w:rPr>
      <w:color w:val="808080"/>
      <w:shd w:val="clear" w:color="auto" w:fill="E6E6E6"/>
    </w:rPr>
  </w:style>
  <w:style w:type="character" w:customStyle="1" w:styleId="UnresolvedMention7">
    <w:name w:val="Unresolved Mention7"/>
    <w:basedOn w:val="DefaultParagraphFont"/>
    <w:uiPriority w:val="99"/>
    <w:semiHidden/>
    <w:unhideWhenUsed/>
    <w:rsid w:val="00A374A0"/>
    <w:rPr>
      <w:color w:val="808080"/>
      <w:shd w:val="clear" w:color="auto" w:fill="E6E6E6"/>
    </w:rPr>
  </w:style>
  <w:style w:type="character" w:customStyle="1" w:styleId="UnresolvedMention8">
    <w:name w:val="Unresolved Mention8"/>
    <w:basedOn w:val="DefaultParagraphFont"/>
    <w:uiPriority w:val="99"/>
    <w:semiHidden/>
    <w:unhideWhenUsed/>
    <w:rsid w:val="005C1F1D"/>
    <w:rPr>
      <w:color w:val="808080"/>
      <w:shd w:val="clear" w:color="auto" w:fill="E6E6E6"/>
    </w:rPr>
  </w:style>
  <w:style w:type="character" w:styleId="BookTitle">
    <w:name w:val="Book Title"/>
    <w:basedOn w:val="DefaultParagraphFont"/>
    <w:uiPriority w:val="33"/>
    <w:qFormat/>
    <w:rsid w:val="00481C5A"/>
    <w:rPr>
      <w:b/>
      <w:bCs/>
      <w:i/>
      <w:iCs/>
      <w:spacing w:val="5"/>
    </w:rPr>
  </w:style>
  <w:style w:type="character" w:customStyle="1" w:styleId="UnresolvedMention9">
    <w:name w:val="Unresolved Mention9"/>
    <w:basedOn w:val="DefaultParagraphFont"/>
    <w:uiPriority w:val="99"/>
    <w:semiHidden/>
    <w:unhideWhenUsed/>
    <w:rsid w:val="00A14C41"/>
    <w:rPr>
      <w:color w:val="808080"/>
      <w:shd w:val="clear" w:color="auto" w:fill="E6E6E6"/>
    </w:rPr>
  </w:style>
  <w:style w:type="character" w:customStyle="1" w:styleId="UnresolvedMention10">
    <w:name w:val="Unresolved Mention10"/>
    <w:basedOn w:val="DefaultParagraphFont"/>
    <w:uiPriority w:val="99"/>
    <w:semiHidden/>
    <w:unhideWhenUsed/>
    <w:rsid w:val="0010793B"/>
    <w:rPr>
      <w:color w:val="808080"/>
      <w:shd w:val="clear" w:color="auto" w:fill="E6E6E6"/>
    </w:rPr>
  </w:style>
  <w:style w:type="character" w:customStyle="1" w:styleId="UnresolvedMention11">
    <w:name w:val="Unresolved Mention11"/>
    <w:basedOn w:val="DefaultParagraphFont"/>
    <w:uiPriority w:val="99"/>
    <w:semiHidden/>
    <w:unhideWhenUsed/>
    <w:rsid w:val="0043156E"/>
    <w:rPr>
      <w:color w:val="808080"/>
      <w:shd w:val="clear" w:color="auto" w:fill="E6E6E6"/>
    </w:rPr>
  </w:style>
  <w:style w:type="character" w:customStyle="1" w:styleId="UnresolvedMention12">
    <w:name w:val="Unresolved Mention12"/>
    <w:basedOn w:val="DefaultParagraphFont"/>
    <w:uiPriority w:val="99"/>
    <w:semiHidden/>
    <w:unhideWhenUsed/>
    <w:rsid w:val="00AA1FD8"/>
    <w:rPr>
      <w:color w:val="605E5C"/>
      <w:shd w:val="clear" w:color="auto" w:fill="E1DFDD"/>
    </w:rPr>
  </w:style>
  <w:style w:type="character" w:styleId="Strong">
    <w:name w:val="Strong"/>
    <w:basedOn w:val="DefaultParagraphFont"/>
    <w:uiPriority w:val="22"/>
    <w:qFormat/>
    <w:rsid w:val="002F2127"/>
    <w:rPr>
      <w:b/>
      <w:bCs/>
    </w:rPr>
  </w:style>
  <w:style w:type="paragraph" w:customStyle="1" w:styleId="ChaptertitleThesis">
    <w:name w:val="Chapter title (Thesis)"/>
    <w:qFormat/>
    <w:rsid w:val="00FA48D6"/>
    <w:pPr>
      <w:spacing w:after="360" w:line="480" w:lineRule="auto"/>
      <w:jc w:val="center"/>
    </w:pPr>
    <w:rPr>
      <w:rFonts w:ascii="Calibri" w:hAnsi="Calibri" w:cs="Calibri"/>
      <w:b/>
      <w:bCs/>
      <w:spacing w:val="-10"/>
      <w:kern w:val="28"/>
      <w:sz w:val="32"/>
      <w:szCs w:val="32"/>
    </w:rPr>
  </w:style>
  <w:style w:type="character" w:styleId="PageNumber">
    <w:name w:val="page number"/>
    <w:basedOn w:val="DefaultParagraphFont"/>
    <w:uiPriority w:val="99"/>
    <w:semiHidden/>
    <w:unhideWhenUsed/>
    <w:rsid w:val="00B54873"/>
  </w:style>
  <w:style w:type="character" w:styleId="UnresolvedMention">
    <w:name w:val="Unresolved Mention"/>
    <w:basedOn w:val="DefaultParagraphFont"/>
    <w:uiPriority w:val="99"/>
    <w:semiHidden/>
    <w:unhideWhenUsed/>
    <w:rsid w:val="005B5D43"/>
    <w:rPr>
      <w:color w:val="605E5C"/>
      <w:shd w:val="clear" w:color="auto" w:fill="E1DFDD"/>
    </w:rPr>
  </w:style>
  <w:style w:type="paragraph" w:customStyle="1" w:styleId="Tabletextnormal">
    <w:name w:val="Table text normal"/>
    <w:basedOn w:val="Normal"/>
    <w:qFormat/>
    <w:rsid w:val="004A1EE8"/>
    <w:pPr>
      <w:spacing w:before="60" w:after="60" w:line="240" w:lineRule="auto"/>
    </w:pPr>
    <w:rPr>
      <w:sz w:val="22"/>
    </w:rPr>
  </w:style>
  <w:style w:type="paragraph" w:customStyle="1" w:styleId="BodyThesis">
    <w:name w:val="Body (Thesis)"/>
    <w:basedOn w:val="Normal"/>
    <w:qFormat/>
    <w:rsid w:val="00F8234C"/>
    <w:pPr>
      <w:spacing w:before="0" w:after="240"/>
    </w:pPr>
    <w:rPr>
      <w:rFonts w:ascii="Calibri" w:hAnsi="Calibri" w:cstheme="minorHAnsi"/>
      <w:szCs w:val="24"/>
    </w:rPr>
  </w:style>
  <w:style w:type="table" w:styleId="GridTable1Light">
    <w:name w:val="Grid Table 1 Light"/>
    <w:aliases w:val="Thesis Tables"/>
    <w:basedOn w:val="TableNormal"/>
    <w:uiPriority w:val="46"/>
    <w:rsid w:val="00956062"/>
    <w:pPr>
      <w:spacing w:after="0" w:line="240" w:lineRule="auto"/>
    </w:pPr>
    <w:rPr>
      <w:rFonts w:ascii="Calibri" w:hAnsi="Calibri" w:cs="Calibri (Body)"/>
      <w:szCs w:val="24"/>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val="0"/>
        <w:bCs/>
      </w:rPr>
    </w:tblStylePr>
    <w:tblStylePr w:type="lastCol">
      <w:rPr>
        <w:b/>
        <w:bCs/>
      </w:rPr>
    </w:tblStylePr>
  </w:style>
  <w:style w:type="table" w:styleId="GridTable1Light-Accent1">
    <w:name w:val="Grid Table 1 Light Accent 1"/>
    <w:basedOn w:val="TableNormal"/>
    <w:uiPriority w:val="46"/>
    <w:rsid w:val="00956062"/>
    <w:pPr>
      <w:spacing w:after="0" w:line="240" w:lineRule="auto"/>
    </w:pPr>
    <w:rPr>
      <w:szCs w:val="24"/>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NormalWeb">
    <w:name w:val="Normal (Web)"/>
    <w:basedOn w:val="Normal"/>
    <w:uiPriority w:val="99"/>
    <w:unhideWhenUsed/>
    <w:rsid w:val="00BC3BD0"/>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References">
    <w:name w:val="References"/>
    <w:basedOn w:val="Normal"/>
    <w:qFormat/>
    <w:rsid w:val="00767225"/>
    <w:pPr>
      <w:widowControl w:val="0"/>
      <w:autoSpaceDE w:val="0"/>
      <w:autoSpaceDN w:val="0"/>
      <w:adjustRightInd w:val="0"/>
      <w:spacing w:before="0" w:after="360" w:line="240" w:lineRule="auto"/>
      <w:ind w:left="640" w:hanging="640"/>
    </w:pPr>
    <w:rPr>
      <w:rFonts w:ascii="Calibri" w:hAnsi="Calibri"/>
      <w:noProof/>
    </w:rPr>
  </w:style>
  <w:style w:type="character" w:customStyle="1" w:styleId="apple-converted-space">
    <w:name w:val="apple-converted-space"/>
    <w:basedOn w:val="DefaultParagraphFont"/>
    <w:rsid w:val="007D2ECB"/>
  </w:style>
  <w:style w:type="table" w:styleId="PlainTable3">
    <w:name w:val="Plain Table 3"/>
    <w:basedOn w:val="TableNormal"/>
    <w:uiPriority w:val="43"/>
    <w:rsid w:val="0054527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hgkelc">
    <w:name w:val="hgkelc"/>
    <w:basedOn w:val="DefaultParagraphFont"/>
    <w:rsid w:val="009A1BDD"/>
  </w:style>
  <w:style w:type="paragraph" w:styleId="FootnoteText">
    <w:name w:val="footnote text"/>
    <w:basedOn w:val="Normal"/>
    <w:link w:val="FootnoteTextChar"/>
    <w:uiPriority w:val="99"/>
    <w:unhideWhenUsed/>
    <w:rsid w:val="004F3299"/>
    <w:pPr>
      <w:spacing w:before="0" w:after="0" w:line="240" w:lineRule="auto"/>
    </w:pPr>
    <w:rPr>
      <w:sz w:val="20"/>
      <w:szCs w:val="20"/>
    </w:rPr>
  </w:style>
  <w:style w:type="character" w:customStyle="1" w:styleId="FootnoteTextChar">
    <w:name w:val="Footnote Text Char"/>
    <w:basedOn w:val="DefaultParagraphFont"/>
    <w:link w:val="FootnoteText"/>
    <w:uiPriority w:val="99"/>
    <w:rsid w:val="004F3299"/>
    <w:rPr>
      <w:sz w:val="20"/>
      <w:szCs w:val="20"/>
    </w:rPr>
  </w:style>
  <w:style w:type="character" w:styleId="FootnoteReference">
    <w:name w:val="footnote reference"/>
    <w:basedOn w:val="DefaultParagraphFont"/>
    <w:uiPriority w:val="99"/>
    <w:semiHidden/>
    <w:unhideWhenUsed/>
    <w:rsid w:val="004F3299"/>
    <w:rPr>
      <w:vertAlign w:val="superscript"/>
    </w:rPr>
  </w:style>
  <w:style w:type="table" w:customStyle="1" w:styleId="MResSCsTable">
    <w:name w:val="MRes SCs Table"/>
    <w:basedOn w:val="TableNormal"/>
    <w:uiPriority w:val="50"/>
    <w:rsid w:val="009C76BA"/>
    <w:pPr>
      <w:spacing w:after="0" w:line="240" w:lineRule="auto"/>
      <w:jc w:val="center"/>
    </w:pPr>
    <w:rPr>
      <w:rFonts w:cstheme="minorBidi"/>
      <w:sz w:val="20"/>
      <w:szCs w:val="24"/>
      <w:lang w:val="en-US"/>
    </w:rPr>
    <w:tblPr>
      <w:tblStyleRowBandSize w:val="1"/>
      <w:tblStyleColBandSize w:val="1"/>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rPr>
      <w:jc w:val="center"/>
    </w:trPr>
    <w:tcPr>
      <w:shd w:val="clear" w:color="auto" w:fill="D9E2F3" w:themeFill="accent1" w:themeFillTint="33"/>
      <w:vAlign w:val="center"/>
    </w:tcPr>
    <w:tblStylePr w:type="firstRow">
      <w:rPr>
        <w:b/>
        <w:bCs/>
        <w:color w:val="FFFFFF" w:themeColor="background1"/>
      </w:rPr>
      <w:tblPr/>
      <w:tcPr>
        <w:shd w:val="clear" w:color="auto" w:fill="2F5496" w:themeFill="accent1" w:themeFillShade="BF"/>
      </w:tcPr>
    </w:tblStylePr>
    <w:tblStylePr w:type="lastRow">
      <w:rPr>
        <w:b/>
        <w:bCs/>
        <w:color w:val="FFFFFF" w:themeColor="background1"/>
      </w:rPr>
      <w:tblPr/>
      <w:tcPr>
        <w:shd w:val="clear" w:color="auto" w:fill="2F5496" w:themeFill="accent1" w:themeFillShade="BF"/>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styleId="PlaceholderText">
    <w:name w:val="Placeholder Text"/>
    <w:basedOn w:val="DefaultParagraphFont"/>
    <w:uiPriority w:val="99"/>
    <w:semiHidden/>
    <w:rsid w:val="003250EB"/>
    <w:rPr>
      <w:color w:val="808080"/>
    </w:rPr>
  </w:style>
  <w:style w:type="character" w:customStyle="1" w:styleId="NoSpacingChar">
    <w:name w:val="No Spacing Char"/>
    <w:aliases w:val="Figure legend Char"/>
    <w:basedOn w:val="DefaultParagraphFont"/>
    <w:link w:val="NoSpacing"/>
    <w:uiPriority w:val="1"/>
    <w:rsid w:val="00846677"/>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92997">
      <w:bodyDiv w:val="1"/>
      <w:marLeft w:val="0"/>
      <w:marRight w:val="0"/>
      <w:marTop w:val="0"/>
      <w:marBottom w:val="0"/>
      <w:divBdr>
        <w:top w:val="none" w:sz="0" w:space="0" w:color="auto"/>
        <w:left w:val="none" w:sz="0" w:space="0" w:color="auto"/>
        <w:bottom w:val="none" w:sz="0" w:space="0" w:color="auto"/>
        <w:right w:val="none" w:sz="0" w:space="0" w:color="auto"/>
      </w:divBdr>
      <w:divsChild>
        <w:div w:id="555513978">
          <w:marLeft w:val="0"/>
          <w:marRight w:val="0"/>
          <w:marTop w:val="0"/>
          <w:marBottom w:val="0"/>
          <w:divBdr>
            <w:top w:val="none" w:sz="0" w:space="0" w:color="auto"/>
            <w:left w:val="none" w:sz="0" w:space="0" w:color="auto"/>
            <w:bottom w:val="none" w:sz="0" w:space="0" w:color="auto"/>
            <w:right w:val="none" w:sz="0" w:space="0" w:color="auto"/>
          </w:divBdr>
          <w:divsChild>
            <w:div w:id="218714856">
              <w:marLeft w:val="0"/>
              <w:marRight w:val="0"/>
              <w:marTop w:val="0"/>
              <w:marBottom w:val="0"/>
              <w:divBdr>
                <w:top w:val="none" w:sz="0" w:space="0" w:color="auto"/>
                <w:left w:val="none" w:sz="0" w:space="0" w:color="auto"/>
                <w:bottom w:val="none" w:sz="0" w:space="0" w:color="auto"/>
                <w:right w:val="none" w:sz="0" w:space="0" w:color="auto"/>
              </w:divBdr>
              <w:divsChild>
                <w:div w:id="1046295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67683">
      <w:bodyDiv w:val="1"/>
      <w:marLeft w:val="0"/>
      <w:marRight w:val="0"/>
      <w:marTop w:val="0"/>
      <w:marBottom w:val="0"/>
      <w:divBdr>
        <w:top w:val="none" w:sz="0" w:space="0" w:color="auto"/>
        <w:left w:val="none" w:sz="0" w:space="0" w:color="auto"/>
        <w:bottom w:val="none" w:sz="0" w:space="0" w:color="auto"/>
        <w:right w:val="none" w:sz="0" w:space="0" w:color="auto"/>
      </w:divBdr>
    </w:div>
    <w:div w:id="50545891">
      <w:bodyDiv w:val="1"/>
      <w:marLeft w:val="0"/>
      <w:marRight w:val="0"/>
      <w:marTop w:val="0"/>
      <w:marBottom w:val="0"/>
      <w:divBdr>
        <w:top w:val="none" w:sz="0" w:space="0" w:color="auto"/>
        <w:left w:val="none" w:sz="0" w:space="0" w:color="auto"/>
        <w:bottom w:val="none" w:sz="0" w:space="0" w:color="auto"/>
        <w:right w:val="none" w:sz="0" w:space="0" w:color="auto"/>
      </w:divBdr>
      <w:divsChild>
        <w:div w:id="1750230563">
          <w:marLeft w:val="0"/>
          <w:marRight w:val="0"/>
          <w:marTop w:val="0"/>
          <w:marBottom w:val="0"/>
          <w:divBdr>
            <w:top w:val="none" w:sz="0" w:space="0" w:color="auto"/>
            <w:left w:val="none" w:sz="0" w:space="0" w:color="auto"/>
            <w:bottom w:val="none" w:sz="0" w:space="0" w:color="auto"/>
            <w:right w:val="none" w:sz="0" w:space="0" w:color="auto"/>
          </w:divBdr>
          <w:divsChild>
            <w:div w:id="1357578963">
              <w:marLeft w:val="0"/>
              <w:marRight w:val="0"/>
              <w:marTop w:val="0"/>
              <w:marBottom w:val="0"/>
              <w:divBdr>
                <w:top w:val="none" w:sz="0" w:space="0" w:color="auto"/>
                <w:left w:val="none" w:sz="0" w:space="0" w:color="auto"/>
                <w:bottom w:val="none" w:sz="0" w:space="0" w:color="auto"/>
                <w:right w:val="none" w:sz="0" w:space="0" w:color="auto"/>
              </w:divBdr>
              <w:divsChild>
                <w:div w:id="520319029">
                  <w:marLeft w:val="0"/>
                  <w:marRight w:val="0"/>
                  <w:marTop w:val="0"/>
                  <w:marBottom w:val="0"/>
                  <w:divBdr>
                    <w:top w:val="none" w:sz="0" w:space="0" w:color="auto"/>
                    <w:left w:val="none" w:sz="0" w:space="0" w:color="auto"/>
                    <w:bottom w:val="none" w:sz="0" w:space="0" w:color="auto"/>
                    <w:right w:val="none" w:sz="0" w:space="0" w:color="auto"/>
                  </w:divBdr>
                  <w:divsChild>
                    <w:div w:id="31676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332753">
      <w:bodyDiv w:val="1"/>
      <w:marLeft w:val="0"/>
      <w:marRight w:val="0"/>
      <w:marTop w:val="0"/>
      <w:marBottom w:val="0"/>
      <w:divBdr>
        <w:top w:val="none" w:sz="0" w:space="0" w:color="auto"/>
        <w:left w:val="none" w:sz="0" w:space="0" w:color="auto"/>
        <w:bottom w:val="none" w:sz="0" w:space="0" w:color="auto"/>
        <w:right w:val="none" w:sz="0" w:space="0" w:color="auto"/>
      </w:divBdr>
    </w:div>
    <w:div w:id="61756615">
      <w:bodyDiv w:val="1"/>
      <w:marLeft w:val="0"/>
      <w:marRight w:val="0"/>
      <w:marTop w:val="0"/>
      <w:marBottom w:val="0"/>
      <w:divBdr>
        <w:top w:val="none" w:sz="0" w:space="0" w:color="auto"/>
        <w:left w:val="none" w:sz="0" w:space="0" w:color="auto"/>
        <w:bottom w:val="none" w:sz="0" w:space="0" w:color="auto"/>
        <w:right w:val="none" w:sz="0" w:space="0" w:color="auto"/>
      </w:divBdr>
    </w:div>
    <w:div w:id="64763220">
      <w:bodyDiv w:val="1"/>
      <w:marLeft w:val="0"/>
      <w:marRight w:val="0"/>
      <w:marTop w:val="0"/>
      <w:marBottom w:val="0"/>
      <w:divBdr>
        <w:top w:val="none" w:sz="0" w:space="0" w:color="auto"/>
        <w:left w:val="none" w:sz="0" w:space="0" w:color="auto"/>
        <w:bottom w:val="none" w:sz="0" w:space="0" w:color="auto"/>
        <w:right w:val="none" w:sz="0" w:space="0" w:color="auto"/>
      </w:divBdr>
      <w:divsChild>
        <w:div w:id="1345128078">
          <w:marLeft w:val="0"/>
          <w:marRight w:val="0"/>
          <w:marTop w:val="0"/>
          <w:marBottom w:val="0"/>
          <w:divBdr>
            <w:top w:val="none" w:sz="0" w:space="0" w:color="auto"/>
            <w:left w:val="none" w:sz="0" w:space="0" w:color="auto"/>
            <w:bottom w:val="none" w:sz="0" w:space="0" w:color="auto"/>
            <w:right w:val="none" w:sz="0" w:space="0" w:color="auto"/>
          </w:divBdr>
          <w:divsChild>
            <w:div w:id="830025496">
              <w:marLeft w:val="0"/>
              <w:marRight w:val="0"/>
              <w:marTop w:val="0"/>
              <w:marBottom w:val="0"/>
              <w:divBdr>
                <w:top w:val="none" w:sz="0" w:space="0" w:color="auto"/>
                <w:left w:val="none" w:sz="0" w:space="0" w:color="auto"/>
                <w:bottom w:val="none" w:sz="0" w:space="0" w:color="auto"/>
                <w:right w:val="none" w:sz="0" w:space="0" w:color="auto"/>
              </w:divBdr>
              <w:divsChild>
                <w:div w:id="2042626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89053">
      <w:bodyDiv w:val="1"/>
      <w:marLeft w:val="0"/>
      <w:marRight w:val="0"/>
      <w:marTop w:val="0"/>
      <w:marBottom w:val="0"/>
      <w:divBdr>
        <w:top w:val="none" w:sz="0" w:space="0" w:color="auto"/>
        <w:left w:val="none" w:sz="0" w:space="0" w:color="auto"/>
        <w:bottom w:val="none" w:sz="0" w:space="0" w:color="auto"/>
        <w:right w:val="none" w:sz="0" w:space="0" w:color="auto"/>
      </w:divBdr>
      <w:divsChild>
        <w:div w:id="1885284755">
          <w:marLeft w:val="0"/>
          <w:marRight w:val="0"/>
          <w:marTop w:val="0"/>
          <w:marBottom w:val="0"/>
          <w:divBdr>
            <w:top w:val="none" w:sz="0" w:space="0" w:color="auto"/>
            <w:left w:val="none" w:sz="0" w:space="0" w:color="auto"/>
            <w:bottom w:val="none" w:sz="0" w:space="0" w:color="auto"/>
            <w:right w:val="none" w:sz="0" w:space="0" w:color="auto"/>
          </w:divBdr>
          <w:divsChild>
            <w:div w:id="935819852">
              <w:marLeft w:val="0"/>
              <w:marRight w:val="0"/>
              <w:marTop w:val="0"/>
              <w:marBottom w:val="0"/>
              <w:divBdr>
                <w:top w:val="none" w:sz="0" w:space="0" w:color="auto"/>
                <w:left w:val="none" w:sz="0" w:space="0" w:color="auto"/>
                <w:bottom w:val="none" w:sz="0" w:space="0" w:color="auto"/>
                <w:right w:val="none" w:sz="0" w:space="0" w:color="auto"/>
              </w:divBdr>
              <w:divsChild>
                <w:div w:id="55686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03600">
      <w:bodyDiv w:val="1"/>
      <w:marLeft w:val="0"/>
      <w:marRight w:val="0"/>
      <w:marTop w:val="0"/>
      <w:marBottom w:val="0"/>
      <w:divBdr>
        <w:top w:val="none" w:sz="0" w:space="0" w:color="auto"/>
        <w:left w:val="none" w:sz="0" w:space="0" w:color="auto"/>
        <w:bottom w:val="none" w:sz="0" w:space="0" w:color="auto"/>
        <w:right w:val="none" w:sz="0" w:space="0" w:color="auto"/>
      </w:divBdr>
    </w:div>
    <w:div w:id="104159194">
      <w:bodyDiv w:val="1"/>
      <w:marLeft w:val="0"/>
      <w:marRight w:val="0"/>
      <w:marTop w:val="0"/>
      <w:marBottom w:val="0"/>
      <w:divBdr>
        <w:top w:val="none" w:sz="0" w:space="0" w:color="auto"/>
        <w:left w:val="none" w:sz="0" w:space="0" w:color="auto"/>
        <w:bottom w:val="none" w:sz="0" w:space="0" w:color="auto"/>
        <w:right w:val="none" w:sz="0" w:space="0" w:color="auto"/>
      </w:divBdr>
      <w:divsChild>
        <w:div w:id="1448550045">
          <w:marLeft w:val="0"/>
          <w:marRight w:val="0"/>
          <w:marTop w:val="0"/>
          <w:marBottom w:val="0"/>
          <w:divBdr>
            <w:top w:val="none" w:sz="0" w:space="0" w:color="auto"/>
            <w:left w:val="none" w:sz="0" w:space="0" w:color="auto"/>
            <w:bottom w:val="none" w:sz="0" w:space="0" w:color="auto"/>
            <w:right w:val="none" w:sz="0" w:space="0" w:color="auto"/>
          </w:divBdr>
          <w:divsChild>
            <w:div w:id="1195575492">
              <w:marLeft w:val="0"/>
              <w:marRight w:val="0"/>
              <w:marTop w:val="0"/>
              <w:marBottom w:val="0"/>
              <w:divBdr>
                <w:top w:val="none" w:sz="0" w:space="0" w:color="auto"/>
                <w:left w:val="none" w:sz="0" w:space="0" w:color="auto"/>
                <w:bottom w:val="none" w:sz="0" w:space="0" w:color="auto"/>
                <w:right w:val="none" w:sz="0" w:space="0" w:color="auto"/>
              </w:divBdr>
              <w:divsChild>
                <w:div w:id="8966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81270">
      <w:bodyDiv w:val="1"/>
      <w:marLeft w:val="0"/>
      <w:marRight w:val="0"/>
      <w:marTop w:val="0"/>
      <w:marBottom w:val="0"/>
      <w:divBdr>
        <w:top w:val="none" w:sz="0" w:space="0" w:color="auto"/>
        <w:left w:val="none" w:sz="0" w:space="0" w:color="auto"/>
        <w:bottom w:val="none" w:sz="0" w:space="0" w:color="auto"/>
        <w:right w:val="none" w:sz="0" w:space="0" w:color="auto"/>
      </w:divBdr>
      <w:divsChild>
        <w:div w:id="1500928577">
          <w:marLeft w:val="0"/>
          <w:marRight w:val="0"/>
          <w:marTop w:val="0"/>
          <w:marBottom w:val="0"/>
          <w:divBdr>
            <w:top w:val="none" w:sz="0" w:space="0" w:color="auto"/>
            <w:left w:val="none" w:sz="0" w:space="0" w:color="auto"/>
            <w:bottom w:val="none" w:sz="0" w:space="0" w:color="auto"/>
            <w:right w:val="none" w:sz="0" w:space="0" w:color="auto"/>
          </w:divBdr>
          <w:divsChild>
            <w:div w:id="2105493738">
              <w:marLeft w:val="0"/>
              <w:marRight w:val="0"/>
              <w:marTop w:val="0"/>
              <w:marBottom w:val="0"/>
              <w:divBdr>
                <w:top w:val="none" w:sz="0" w:space="0" w:color="auto"/>
                <w:left w:val="none" w:sz="0" w:space="0" w:color="auto"/>
                <w:bottom w:val="none" w:sz="0" w:space="0" w:color="auto"/>
                <w:right w:val="none" w:sz="0" w:space="0" w:color="auto"/>
              </w:divBdr>
              <w:divsChild>
                <w:div w:id="992950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70074">
      <w:bodyDiv w:val="1"/>
      <w:marLeft w:val="0"/>
      <w:marRight w:val="0"/>
      <w:marTop w:val="0"/>
      <w:marBottom w:val="0"/>
      <w:divBdr>
        <w:top w:val="none" w:sz="0" w:space="0" w:color="auto"/>
        <w:left w:val="none" w:sz="0" w:space="0" w:color="auto"/>
        <w:bottom w:val="none" w:sz="0" w:space="0" w:color="auto"/>
        <w:right w:val="none" w:sz="0" w:space="0" w:color="auto"/>
      </w:divBdr>
    </w:div>
    <w:div w:id="119805197">
      <w:bodyDiv w:val="1"/>
      <w:marLeft w:val="0"/>
      <w:marRight w:val="0"/>
      <w:marTop w:val="0"/>
      <w:marBottom w:val="0"/>
      <w:divBdr>
        <w:top w:val="none" w:sz="0" w:space="0" w:color="auto"/>
        <w:left w:val="none" w:sz="0" w:space="0" w:color="auto"/>
        <w:bottom w:val="none" w:sz="0" w:space="0" w:color="auto"/>
        <w:right w:val="none" w:sz="0" w:space="0" w:color="auto"/>
      </w:divBdr>
      <w:divsChild>
        <w:div w:id="1371566105">
          <w:marLeft w:val="0"/>
          <w:marRight w:val="0"/>
          <w:marTop w:val="0"/>
          <w:marBottom w:val="0"/>
          <w:divBdr>
            <w:top w:val="none" w:sz="0" w:space="0" w:color="auto"/>
            <w:left w:val="none" w:sz="0" w:space="0" w:color="auto"/>
            <w:bottom w:val="none" w:sz="0" w:space="0" w:color="auto"/>
            <w:right w:val="none" w:sz="0" w:space="0" w:color="auto"/>
          </w:divBdr>
          <w:divsChild>
            <w:div w:id="1752458943">
              <w:marLeft w:val="0"/>
              <w:marRight w:val="0"/>
              <w:marTop w:val="0"/>
              <w:marBottom w:val="0"/>
              <w:divBdr>
                <w:top w:val="none" w:sz="0" w:space="0" w:color="auto"/>
                <w:left w:val="none" w:sz="0" w:space="0" w:color="auto"/>
                <w:bottom w:val="none" w:sz="0" w:space="0" w:color="auto"/>
                <w:right w:val="none" w:sz="0" w:space="0" w:color="auto"/>
              </w:divBdr>
              <w:divsChild>
                <w:div w:id="2029090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86896">
      <w:bodyDiv w:val="1"/>
      <w:marLeft w:val="0"/>
      <w:marRight w:val="0"/>
      <w:marTop w:val="0"/>
      <w:marBottom w:val="0"/>
      <w:divBdr>
        <w:top w:val="none" w:sz="0" w:space="0" w:color="auto"/>
        <w:left w:val="none" w:sz="0" w:space="0" w:color="auto"/>
        <w:bottom w:val="none" w:sz="0" w:space="0" w:color="auto"/>
        <w:right w:val="none" w:sz="0" w:space="0" w:color="auto"/>
      </w:divBdr>
      <w:divsChild>
        <w:div w:id="374736006">
          <w:marLeft w:val="0"/>
          <w:marRight w:val="0"/>
          <w:marTop w:val="0"/>
          <w:marBottom w:val="0"/>
          <w:divBdr>
            <w:top w:val="none" w:sz="0" w:space="0" w:color="auto"/>
            <w:left w:val="none" w:sz="0" w:space="0" w:color="auto"/>
            <w:bottom w:val="none" w:sz="0" w:space="0" w:color="auto"/>
            <w:right w:val="none" w:sz="0" w:space="0" w:color="auto"/>
          </w:divBdr>
          <w:divsChild>
            <w:div w:id="290017917">
              <w:marLeft w:val="0"/>
              <w:marRight w:val="0"/>
              <w:marTop w:val="0"/>
              <w:marBottom w:val="0"/>
              <w:divBdr>
                <w:top w:val="none" w:sz="0" w:space="0" w:color="auto"/>
                <w:left w:val="none" w:sz="0" w:space="0" w:color="auto"/>
                <w:bottom w:val="none" w:sz="0" w:space="0" w:color="auto"/>
                <w:right w:val="none" w:sz="0" w:space="0" w:color="auto"/>
              </w:divBdr>
              <w:divsChild>
                <w:div w:id="873662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89095">
      <w:bodyDiv w:val="1"/>
      <w:marLeft w:val="0"/>
      <w:marRight w:val="0"/>
      <w:marTop w:val="0"/>
      <w:marBottom w:val="0"/>
      <w:divBdr>
        <w:top w:val="none" w:sz="0" w:space="0" w:color="auto"/>
        <w:left w:val="none" w:sz="0" w:space="0" w:color="auto"/>
        <w:bottom w:val="none" w:sz="0" w:space="0" w:color="auto"/>
        <w:right w:val="none" w:sz="0" w:space="0" w:color="auto"/>
      </w:divBdr>
      <w:divsChild>
        <w:div w:id="1219707405">
          <w:marLeft w:val="0"/>
          <w:marRight w:val="0"/>
          <w:marTop w:val="0"/>
          <w:marBottom w:val="0"/>
          <w:divBdr>
            <w:top w:val="none" w:sz="0" w:space="0" w:color="auto"/>
            <w:left w:val="none" w:sz="0" w:space="0" w:color="auto"/>
            <w:bottom w:val="none" w:sz="0" w:space="0" w:color="auto"/>
            <w:right w:val="none" w:sz="0" w:space="0" w:color="auto"/>
          </w:divBdr>
          <w:divsChild>
            <w:div w:id="399982335">
              <w:marLeft w:val="0"/>
              <w:marRight w:val="0"/>
              <w:marTop w:val="0"/>
              <w:marBottom w:val="0"/>
              <w:divBdr>
                <w:top w:val="none" w:sz="0" w:space="0" w:color="auto"/>
                <w:left w:val="none" w:sz="0" w:space="0" w:color="auto"/>
                <w:bottom w:val="none" w:sz="0" w:space="0" w:color="auto"/>
                <w:right w:val="none" w:sz="0" w:space="0" w:color="auto"/>
              </w:divBdr>
              <w:divsChild>
                <w:div w:id="212029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85802">
      <w:bodyDiv w:val="1"/>
      <w:marLeft w:val="0"/>
      <w:marRight w:val="0"/>
      <w:marTop w:val="0"/>
      <w:marBottom w:val="0"/>
      <w:divBdr>
        <w:top w:val="none" w:sz="0" w:space="0" w:color="auto"/>
        <w:left w:val="none" w:sz="0" w:space="0" w:color="auto"/>
        <w:bottom w:val="none" w:sz="0" w:space="0" w:color="auto"/>
        <w:right w:val="none" w:sz="0" w:space="0" w:color="auto"/>
      </w:divBdr>
    </w:div>
    <w:div w:id="161823027">
      <w:bodyDiv w:val="1"/>
      <w:marLeft w:val="0"/>
      <w:marRight w:val="0"/>
      <w:marTop w:val="0"/>
      <w:marBottom w:val="0"/>
      <w:divBdr>
        <w:top w:val="none" w:sz="0" w:space="0" w:color="auto"/>
        <w:left w:val="none" w:sz="0" w:space="0" w:color="auto"/>
        <w:bottom w:val="none" w:sz="0" w:space="0" w:color="auto"/>
        <w:right w:val="none" w:sz="0" w:space="0" w:color="auto"/>
      </w:divBdr>
    </w:div>
    <w:div w:id="164169607">
      <w:bodyDiv w:val="1"/>
      <w:marLeft w:val="0"/>
      <w:marRight w:val="0"/>
      <w:marTop w:val="0"/>
      <w:marBottom w:val="0"/>
      <w:divBdr>
        <w:top w:val="none" w:sz="0" w:space="0" w:color="auto"/>
        <w:left w:val="none" w:sz="0" w:space="0" w:color="auto"/>
        <w:bottom w:val="none" w:sz="0" w:space="0" w:color="auto"/>
        <w:right w:val="none" w:sz="0" w:space="0" w:color="auto"/>
      </w:divBdr>
    </w:div>
    <w:div w:id="171339786">
      <w:bodyDiv w:val="1"/>
      <w:marLeft w:val="0"/>
      <w:marRight w:val="0"/>
      <w:marTop w:val="0"/>
      <w:marBottom w:val="0"/>
      <w:divBdr>
        <w:top w:val="none" w:sz="0" w:space="0" w:color="auto"/>
        <w:left w:val="none" w:sz="0" w:space="0" w:color="auto"/>
        <w:bottom w:val="none" w:sz="0" w:space="0" w:color="auto"/>
        <w:right w:val="none" w:sz="0" w:space="0" w:color="auto"/>
      </w:divBdr>
      <w:divsChild>
        <w:div w:id="1918897804">
          <w:marLeft w:val="0"/>
          <w:marRight w:val="0"/>
          <w:marTop w:val="0"/>
          <w:marBottom w:val="0"/>
          <w:divBdr>
            <w:top w:val="none" w:sz="0" w:space="0" w:color="auto"/>
            <w:left w:val="none" w:sz="0" w:space="0" w:color="auto"/>
            <w:bottom w:val="none" w:sz="0" w:space="0" w:color="auto"/>
            <w:right w:val="none" w:sz="0" w:space="0" w:color="auto"/>
          </w:divBdr>
          <w:divsChild>
            <w:div w:id="792334770">
              <w:marLeft w:val="0"/>
              <w:marRight w:val="0"/>
              <w:marTop w:val="0"/>
              <w:marBottom w:val="0"/>
              <w:divBdr>
                <w:top w:val="none" w:sz="0" w:space="0" w:color="auto"/>
                <w:left w:val="none" w:sz="0" w:space="0" w:color="auto"/>
                <w:bottom w:val="none" w:sz="0" w:space="0" w:color="auto"/>
                <w:right w:val="none" w:sz="0" w:space="0" w:color="auto"/>
              </w:divBdr>
              <w:divsChild>
                <w:div w:id="42770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21275">
      <w:bodyDiv w:val="1"/>
      <w:marLeft w:val="0"/>
      <w:marRight w:val="0"/>
      <w:marTop w:val="0"/>
      <w:marBottom w:val="0"/>
      <w:divBdr>
        <w:top w:val="none" w:sz="0" w:space="0" w:color="auto"/>
        <w:left w:val="none" w:sz="0" w:space="0" w:color="auto"/>
        <w:bottom w:val="none" w:sz="0" w:space="0" w:color="auto"/>
        <w:right w:val="none" w:sz="0" w:space="0" w:color="auto"/>
      </w:divBdr>
      <w:divsChild>
        <w:div w:id="1701399020">
          <w:marLeft w:val="0"/>
          <w:marRight w:val="0"/>
          <w:marTop w:val="0"/>
          <w:marBottom w:val="0"/>
          <w:divBdr>
            <w:top w:val="none" w:sz="0" w:space="0" w:color="auto"/>
            <w:left w:val="none" w:sz="0" w:space="0" w:color="auto"/>
            <w:bottom w:val="none" w:sz="0" w:space="0" w:color="auto"/>
            <w:right w:val="none" w:sz="0" w:space="0" w:color="auto"/>
          </w:divBdr>
          <w:divsChild>
            <w:div w:id="676423179">
              <w:marLeft w:val="0"/>
              <w:marRight w:val="0"/>
              <w:marTop w:val="0"/>
              <w:marBottom w:val="0"/>
              <w:divBdr>
                <w:top w:val="none" w:sz="0" w:space="0" w:color="auto"/>
                <w:left w:val="none" w:sz="0" w:space="0" w:color="auto"/>
                <w:bottom w:val="none" w:sz="0" w:space="0" w:color="auto"/>
                <w:right w:val="none" w:sz="0" w:space="0" w:color="auto"/>
              </w:divBdr>
              <w:divsChild>
                <w:div w:id="119400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99839">
      <w:bodyDiv w:val="1"/>
      <w:marLeft w:val="0"/>
      <w:marRight w:val="0"/>
      <w:marTop w:val="0"/>
      <w:marBottom w:val="0"/>
      <w:divBdr>
        <w:top w:val="none" w:sz="0" w:space="0" w:color="auto"/>
        <w:left w:val="none" w:sz="0" w:space="0" w:color="auto"/>
        <w:bottom w:val="none" w:sz="0" w:space="0" w:color="auto"/>
        <w:right w:val="none" w:sz="0" w:space="0" w:color="auto"/>
      </w:divBdr>
      <w:divsChild>
        <w:div w:id="586772978">
          <w:marLeft w:val="0"/>
          <w:marRight w:val="0"/>
          <w:marTop w:val="0"/>
          <w:marBottom w:val="0"/>
          <w:divBdr>
            <w:top w:val="none" w:sz="0" w:space="0" w:color="auto"/>
            <w:left w:val="none" w:sz="0" w:space="0" w:color="auto"/>
            <w:bottom w:val="none" w:sz="0" w:space="0" w:color="auto"/>
            <w:right w:val="none" w:sz="0" w:space="0" w:color="auto"/>
          </w:divBdr>
          <w:divsChild>
            <w:div w:id="659121500">
              <w:marLeft w:val="0"/>
              <w:marRight w:val="0"/>
              <w:marTop w:val="0"/>
              <w:marBottom w:val="0"/>
              <w:divBdr>
                <w:top w:val="none" w:sz="0" w:space="0" w:color="auto"/>
                <w:left w:val="none" w:sz="0" w:space="0" w:color="auto"/>
                <w:bottom w:val="none" w:sz="0" w:space="0" w:color="auto"/>
                <w:right w:val="none" w:sz="0" w:space="0" w:color="auto"/>
              </w:divBdr>
              <w:divsChild>
                <w:div w:id="783499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515625">
      <w:bodyDiv w:val="1"/>
      <w:marLeft w:val="0"/>
      <w:marRight w:val="0"/>
      <w:marTop w:val="0"/>
      <w:marBottom w:val="0"/>
      <w:divBdr>
        <w:top w:val="none" w:sz="0" w:space="0" w:color="auto"/>
        <w:left w:val="none" w:sz="0" w:space="0" w:color="auto"/>
        <w:bottom w:val="none" w:sz="0" w:space="0" w:color="auto"/>
        <w:right w:val="none" w:sz="0" w:space="0" w:color="auto"/>
      </w:divBdr>
    </w:div>
    <w:div w:id="252083551">
      <w:bodyDiv w:val="1"/>
      <w:marLeft w:val="0"/>
      <w:marRight w:val="0"/>
      <w:marTop w:val="0"/>
      <w:marBottom w:val="0"/>
      <w:divBdr>
        <w:top w:val="none" w:sz="0" w:space="0" w:color="auto"/>
        <w:left w:val="none" w:sz="0" w:space="0" w:color="auto"/>
        <w:bottom w:val="none" w:sz="0" w:space="0" w:color="auto"/>
        <w:right w:val="none" w:sz="0" w:space="0" w:color="auto"/>
      </w:divBdr>
      <w:divsChild>
        <w:div w:id="1390810634">
          <w:marLeft w:val="0"/>
          <w:marRight w:val="0"/>
          <w:marTop w:val="0"/>
          <w:marBottom w:val="0"/>
          <w:divBdr>
            <w:top w:val="none" w:sz="0" w:space="0" w:color="auto"/>
            <w:left w:val="none" w:sz="0" w:space="0" w:color="auto"/>
            <w:bottom w:val="none" w:sz="0" w:space="0" w:color="auto"/>
            <w:right w:val="none" w:sz="0" w:space="0" w:color="auto"/>
          </w:divBdr>
        </w:div>
      </w:divsChild>
    </w:div>
    <w:div w:id="264312499">
      <w:bodyDiv w:val="1"/>
      <w:marLeft w:val="0"/>
      <w:marRight w:val="0"/>
      <w:marTop w:val="0"/>
      <w:marBottom w:val="0"/>
      <w:divBdr>
        <w:top w:val="none" w:sz="0" w:space="0" w:color="auto"/>
        <w:left w:val="none" w:sz="0" w:space="0" w:color="auto"/>
        <w:bottom w:val="none" w:sz="0" w:space="0" w:color="auto"/>
        <w:right w:val="none" w:sz="0" w:space="0" w:color="auto"/>
      </w:divBdr>
    </w:div>
    <w:div w:id="266281460">
      <w:bodyDiv w:val="1"/>
      <w:marLeft w:val="0"/>
      <w:marRight w:val="0"/>
      <w:marTop w:val="0"/>
      <w:marBottom w:val="0"/>
      <w:divBdr>
        <w:top w:val="none" w:sz="0" w:space="0" w:color="auto"/>
        <w:left w:val="none" w:sz="0" w:space="0" w:color="auto"/>
        <w:bottom w:val="none" w:sz="0" w:space="0" w:color="auto"/>
        <w:right w:val="none" w:sz="0" w:space="0" w:color="auto"/>
      </w:divBdr>
      <w:divsChild>
        <w:div w:id="1910379658">
          <w:marLeft w:val="0"/>
          <w:marRight w:val="0"/>
          <w:marTop w:val="0"/>
          <w:marBottom w:val="0"/>
          <w:divBdr>
            <w:top w:val="none" w:sz="0" w:space="0" w:color="auto"/>
            <w:left w:val="none" w:sz="0" w:space="0" w:color="auto"/>
            <w:bottom w:val="none" w:sz="0" w:space="0" w:color="auto"/>
            <w:right w:val="none" w:sz="0" w:space="0" w:color="auto"/>
          </w:divBdr>
          <w:divsChild>
            <w:div w:id="757599329">
              <w:marLeft w:val="0"/>
              <w:marRight w:val="0"/>
              <w:marTop w:val="0"/>
              <w:marBottom w:val="0"/>
              <w:divBdr>
                <w:top w:val="none" w:sz="0" w:space="0" w:color="auto"/>
                <w:left w:val="none" w:sz="0" w:space="0" w:color="auto"/>
                <w:bottom w:val="none" w:sz="0" w:space="0" w:color="auto"/>
                <w:right w:val="none" w:sz="0" w:space="0" w:color="auto"/>
              </w:divBdr>
              <w:divsChild>
                <w:div w:id="60380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327764">
      <w:bodyDiv w:val="1"/>
      <w:marLeft w:val="0"/>
      <w:marRight w:val="0"/>
      <w:marTop w:val="0"/>
      <w:marBottom w:val="0"/>
      <w:divBdr>
        <w:top w:val="none" w:sz="0" w:space="0" w:color="auto"/>
        <w:left w:val="none" w:sz="0" w:space="0" w:color="auto"/>
        <w:bottom w:val="none" w:sz="0" w:space="0" w:color="auto"/>
        <w:right w:val="none" w:sz="0" w:space="0" w:color="auto"/>
      </w:divBdr>
      <w:divsChild>
        <w:div w:id="128785030">
          <w:marLeft w:val="0"/>
          <w:marRight w:val="0"/>
          <w:marTop w:val="0"/>
          <w:marBottom w:val="0"/>
          <w:divBdr>
            <w:top w:val="none" w:sz="0" w:space="0" w:color="auto"/>
            <w:left w:val="none" w:sz="0" w:space="0" w:color="auto"/>
            <w:bottom w:val="none" w:sz="0" w:space="0" w:color="auto"/>
            <w:right w:val="none" w:sz="0" w:space="0" w:color="auto"/>
          </w:divBdr>
          <w:divsChild>
            <w:div w:id="1023165004">
              <w:marLeft w:val="0"/>
              <w:marRight w:val="0"/>
              <w:marTop w:val="0"/>
              <w:marBottom w:val="0"/>
              <w:divBdr>
                <w:top w:val="none" w:sz="0" w:space="0" w:color="auto"/>
                <w:left w:val="none" w:sz="0" w:space="0" w:color="auto"/>
                <w:bottom w:val="none" w:sz="0" w:space="0" w:color="auto"/>
                <w:right w:val="none" w:sz="0" w:space="0" w:color="auto"/>
              </w:divBdr>
              <w:divsChild>
                <w:div w:id="1272323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035232">
      <w:bodyDiv w:val="1"/>
      <w:marLeft w:val="0"/>
      <w:marRight w:val="0"/>
      <w:marTop w:val="0"/>
      <w:marBottom w:val="0"/>
      <w:divBdr>
        <w:top w:val="none" w:sz="0" w:space="0" w:color="auto"/>
        <w:left w:val="none" w:sz="0" w:space="0" w:color="auto"/>
        <w:bottom w:val="none" w:sz="0" w:space="0" w:color="auto"/>
        <w:right w:val="none" w:sz="0" w:space="0" w:color="auto"/>
      </w:divBdr>
    </w:div>
    <w:div w:id="312292807">
      <w:bodyDiv w:val="1"/>
      <w:marLeft w:val="0"/>
      <w:marRight w:val="0"/>
      <w:marTop w:val="0"/>
      <w:marBottom w:val="0"/>
      <w:divBdr>
        <w:top w:val="none" w:sz="0" w:space="0" w:color="auto"/>
        <w:left w:val="none" w:sz="0" w:space="0" w:color="auto"/>
        <w:bottom w:val="none" w:sz="0" w:space="0" w:color="auto"/>
        <w:right w:val="none" w:sz="0" w:space="0" w:color="auto"/>
      </w:divBdr>
      <w:divsChild>
        <w:div w:id="1475414360">
          <w:marLeft w:val="0"/>
          <w:marRight w:val="0"/>
          <w:marTop w:val="0"/>
          <w:marBottom w:val="0"/>
          <w:divBdr>
            <w:top w:val="none" w:sz="0" w:space="0" w:color="auto"/>
            <w:left w:val="none" w:sz="0" w:space="0" w:color="auto"/>
            <w:bottom w:val="none" w:sz="0" w:space="0" w:color="auto"/>
            <w:right w:val="none" w:sz="0" w:space="0" w:color="auto"/>
          </w:divBdr>
          <w:divsChild>
            <w:div w:id="1140883230">
              <w:marLeft w:val="0"/>
              <w:marRight w:val="0"/>
              <w:marTop w:val="0"/>
              <w:marBottom w:val="0"/>
              <w:divBdr>
                <w:top w:val="none" w:sz="0" w:space="0" w:color="auto"/>
                <w:left w:val="none" w:sz="0" w:space="0" w:color="auto"/>
                <w:bottom w:val="none" w:sz="0" w:space="0" w:color="auto"/>
                <w:right w:val="none" w:sz="0" w:space="0" w:color="auto"/>
              </w:divBdr>
              <w:divsChild>
                <w:div w:id="959993133">
                  <w:marLeft w:val="0"/>
                  <w:marRight w:val="0"/>
                  <w:marTop w:val="0"/>
                  <w:marBottom w:val="0"/>
                  <w:divBdr>
                    <w:top w:val="none" w:sz="0" w:space="0" w:color="auto"/>
                    <w:left w:val="none" w:sz="0" w:space="0" w:color="auto"/>
                    <w:bottom w:val="none" w:sz="0" w:space="0" w:color="auto"/>
                    <w:right w:val="none" w:sz="0" w:space="0" w:color="auto"/>
                  </w:divBdr>
                  <w:divsChild>
                    <w:div w:id="2122139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453588">
      <w:bodyDiv w:val="1"/>
      <w:marLeft w:val="0"/>
      <w:marRight w:val="0"/>
      <w:marTop w:val="0"/>
      <w:marBottom w:val="0"/>
      <w:divBdr>
        <w:top w:val="none" w:sz="0" w:space="0" w:color="auto"/>
        <w:left w:val="none" w:sz="0" w:space="0" w:color="auto"/>
        <w:bottom w:val="none" w:sz="0" w:space="0" w:color="auto"/>
        <w:right w:val="none" w:sz="0" w:space="0" w:color="auto"/>
      </w:divBdr>
      <w:divsChild>
        <w:div w:id="22750585">
          <w:marLeft w:val="0"/>
          <w:marRight w:val="0"/>
          <w:marTop w:val="0"/>
          <w:marBottom w:val="0"/>
          <w:divBdr>
            <w:top w:val="none" w:sz="0" w:space="0" w:color="auto"/>
            <w:left w:val="none" w:sz="0" w:space="0" w:color="auto"/>
            <w:bottom w:val="none" w:sz="0" w:space="0" w:color="auto"/>
            <w:right w:val="none" w:sz="0" w:space="0" w:color="auto"/>
          </w:divBdr>
          <w:divsChild>
            <w:div w:id="1184707277">
              <w:marLeft w:val="0"/>
              <w:marRight w:val="0"/>
              <w:marTop w:val="0"/>
              <w:marBottom w:val="0"/>
              <w:divBdr>
                <w:top w:val="none" w:sz="0" w:space="0" w:color="auto"/>
                <w:left w:val="none" w:sz="0" w:space="0" w:color="auto"/>
                <w:bottom w:val="none" w:sz="0" w:space="0" w:color="auto"/>
                <w:right w:val="none" w:sz="0" w:space="0" w:color="auto"/>
              </w:divBdr>
              <w:divsChild>
                <w:div w:id="163663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311390">
      <w:bodyDiv w:val="1"/>
      <w:marLeft w:val="0"/>
      <w:marRight w:val="0"/>
      <w:marTop w:val="0"/>
      <w:marBottom w:val="0"/>
      <w:divBdr>
        <w:top w:val="none" w:sz="0" w:space="0" w:color="auto"/>
        <w:left w:val="none" w:sz="0" w:space="0" w:color="auto"/>
        <w:bottom w:val="none" w:sz="0" w:space="0" w:color="auto"/>
        <w:right w:val="none" w:sz="0" w:space="0" w:color="auto"/>
      </w:divBdr>
      <w:divsChild>
        <w:div w:id="661661446">
          <w:marLeft w:val="0"/>
          <w:marRight w:val="0"/>
          <w:marTop w:val="0"/>
          <w:marBottom w:val="160"/>
          <w:divBdr>
            <w:top w:val="none" w:sz="0" w:space="0" w:color="auto"/>
            <w:left w:val="none" w:sz="0" w:space="0" w:color="auto"/>
            <w:bottom w:val="none" w:sz="0" w:space="0" w:color="auto"/>
            <w:right w:val="none" w:sz="0" w:space="0" w:color="auto"/>
          </w:divBdr>
        </w:div>
        <w:div w:id="536550806">
          <w:marLeft w:val="0"/>
          <w:marRight w:val="0"/>
          <w:marTop w:val="0"/>
          <w:marBottom w:val="160"/>
          <w:divBdr>
            <w:top w:val="none" w:sz="0" w:space="0" w:color="auto"/>
            <w:left w:val="none" w:sz="0" w:space="0" w:color="auto"/>
            <w:bottom w:val="none" w:sz="0" w:space="0" w:color="auto"/>
            <w:right w:val="none" w:sz="0" w:space="0" w:color="auto"/>
          </w:divBdr>
        </w:div>
        <w:div w:id="1507406809">
          <w:marLeft w:val="0"/>
          <w:marRight w:val="0"/>
          <w:marTop w:val="0"/>
          <w:marBottom w:val="160"/>
          <w:divBdr>
            <w:top w:val="none" w:sz="0" w:space="0" w:color="auto"/>
            <w:left w:val="none" w:sz="0" w:space="0" w:color="auto"/>
            <w:bottom w:val="none" w:sz="0" w:space="0" w:color="auto"/>
            <w:right w:val="none" w:sz="0" w:space="0" w:color="auto"/>
          </w:divBdr>
        </w:div>
        <w:div w:id="619191382">
          <w:marLeft w:val="0"/>
          <w:marRight w:val="0"/>
          <w:marTop w:val="0"/>
          <w:marBottom w:val="160"/>
          <w:divBdr>
            <w:top w:val="none" w:sz="0" w:space="0" w:color="auto"/>
            <w:left w:val="none" w:sz="0" w:space="0" w:color="auto"/>
            <w:bottom w:val="none" w:sz="0" w:space="0" w:color="auto"/>
            <w:right w:val="none" w:sz="0" w:space="0" w:color="auto"/>
          </w:divBdr>
        </w:div>
        <w:div w:id="1274052273">
          <w:marLeft w:val="0"/>
          <w:marRight w:val="0"/>
          <w:marTop w:val="0"/>
          <w:marBottom w:val="160"/>
          <w:divBdr>
            <w:top w:val="none" w:sz="0" w:space="0" w:color="auto"/>
            <w:left w:val="none" w:sz="0" w:space="0" w:color="auto"/>
            <w:bottom w:val="none" w:sz="0" w:space="0" w:color="auto"/>
            <w:right w:val="none" w:sz="0" w:space="0" w:color="auto"/>
          </w:divBdr>
        </w:div>
        <w:div w:id="1398750369">
          <w:marLeft w:val="0"/>
          <w:marRight w:val="0"/>
          <w:marTop w:val="0"/>
          <w:marBottom w:val="160"/>
          <w:divBdr>
            <w:top w:val="none" w:sz="0" w:space="0" w:color="auto"/>
            <w:left w:val="none" w:sz="0" w:space="0" w:color="auto"/>
            <w:bottom w:val="none" w:sz="0" w:space="0" w:color="auto"/>
            <w:right w:val="none" w:sz="0" w:space="0" w:color="auto"/>
          </w:divBdr>
        </w:div>
      </w:divsChild>
    </w:div>
    <w:div w:id="353773572">
      <w:bodyDiv w:val="1"/>
      <w:marLeft w:val="0"/>
      <w:marRight w:val="0"/>
      <w:marTop w:val="0"/>
      <w:marBottom w:val="0"/>
      <w:divBdr>
        <w:top w:val="none" w:sz="0" w:space="0" w:color="auto"/>
        <w:left w:val="none" w:sz="0" w:space="0" w:color="auto"/>
        <w:bottom w:val="none" w:sz="0" w:space="0" w:color="auto"/>
        <w:right w:val="none" w:sz="0" w:space="0" w:color="auto"/>
      </w:divBdr>
    </w:div>
    <w:div w:id="358169102">
      <w:bodyDiv w:val="1"/>
      <w:marLeft w:val="0"/>
      <w:marRight w:val="0"/>
      <w:marTop w:val="0"/>
      <w:marBottom w:val="0"/>
      <w:divBdr>
        <w:top w:val="none" w:sz="0" w:space="0" w:color="auto"/>
        <w:left w:val="none" w:sz="0" w:space="0" w:color="auto"/>
        <w:bottom w:val="none" w:sz="0" w:space="0" w:color="auto"/>
        <w:right w:val="none" w:sz="0" w:space="0" w:color="auto"/>
      </w:divBdr>
      <w:divsChild>
        <w:div w:id="186481276">
          <w:marLeft w:val="0"/>
          <w:marRight w:val="0"/>
          <w:marTop w:val="0"/>
          <w:marBottom w:val="0"/>
          <w:divBdr>
            <w:top w:val="none" w:sz="0" w:space="0" w:color="auto"/>
            <w:left w:val="none" w:sz="0" w:space="0" w:color="auto"/>
            <w:bottom w:val="none" w:sz="0" w:space="0" w:color="auto"/>
            <w:right w:val="none" w:sz="0" w:space="0" w:color="auto"/>
          </w:divBdr>
          <w:divsChild>
            <w:div w:id="711150654">
              <w:marLeft w:val="0"/>
              <w:marRight w:val="0"/>
              <w:marTop w:val="0"/>
              <w:marBottom w:val="0"/>
              <w:divBdr>
                <w:top w:val="none" w:sz="0" w:space="0" w:color="auto"/>
                <w:left w:val="none" w:sz="0" w:space="0" w:color="auto"/>
                <w:bottom w:val="none" w:sz="0" w:space="0" w:color="auto"/>
                <w:right w:val="none" w:sz="0" w:space="0" w:color="auto"/>
              </w:divBdr>
              <w:divsChild>
                <w:div w:id="15803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359673">
      <w:bodyDiv w:val="1"/>
      <w:marLeft w:val="0"/>
      <w:marRight w:val="0"/>
      <w:marTop w:val="0"/>
      <w:marBottom w:val="0"/>
      <w:divBdr>
        <w:top w:val="none" w:sz="0" w:space="0" w:color="auto"/>
        <w:left w:val="none" w:sz="0" w:space="0" w:color="auto"/>
        <w:bottom w:val="none" w:sz="0" w:space="0" w:color="auto"/>
        <w:right w:val="none" w:sz="0" w:space="0" w:color="auto"/>
      </w:divBdr>
    </w:div>
    <w:div w:id="360013863">
      <w:bodyDiv w:val="1"/>
      <w:marLeft w:val="0"/>
      <w:marRight w:val="0"/>
      <w:marTop w:val="0"/>
      <w:marBottom w:val="0"/>
      <w:divBdr>
        <w:top w:val="none" w:sz="0" w:space="0" w:color="auto"/>
        <w:left w:val="none" w:sz="0" w:space="0" w:color="auto"/>
        <w:bottom w:val="none" w:sz="0" w:space="0" w:color="auto"/>
        <w:right w:val="none" w:sz="0" w:space="0" w:color="auto"/>
      </w:divBdr>
      <w:divsChild>
        <w:div w:id="289215143">
          <w:marLeft w:val="0"/>
          <w:marRight w:val="0"/>
          <w:marTop w:val="0"/>
          <w:marBottom w:val="0"/>
          <w:divBdr>
            <w:top w:val="none" w:sz="0" w:space="0" w:color="auto"/>
            <w:left w:val="none" w:sz="0" w:space="0" w:color="auto"/>
            <w:bottom w:val="none" w:sz="0" w:space="0" w:color="auto"/>
            <w:right w:val="none" w:sz="0" w:space="0" w:color="auto"/>
          </w:divBdr>
          <w:divsChild>
            <w:div w:id="946930575">
              <w:marLeft w:val="0"/>
              <w:marRight w:val="0"/>
              <w:marTop w:val="0"/>
              <w:marBottom w:val="0"/>
              <w:divBdr>
                <w:top w:val="none" w:sz="0" w:space="0" w:color="auto"/>
                <w:left w:val="none" w:sz="0" w:space="0" w:color="auto"/>
                <w:bottom w:val="none" w:sz="0" w:space="0" w:color="auto"/>
                <w:right w:val="none" w:sz="0" w:space="0" w:color="auto"/>
              </w:divBdr>
              <w:divsChild>
                <w:div w:id="1916015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220246">
      <w:bodyDiv w:val="1"/>
      <w:marLeft w:val="0"/>
      <w:marRight w:val="0"/>
      <w:marTop w:val="0"/>
      <w:marBottom w:val="0"/>
      <w:divBdr>
        <w:top w:val="none" w:sz="0" w:space="0" w:color="auto"/>
        <w:left w:val="none" w:sz="0" w:space="0" w:color="auto"/>
        <w:bottom w:val="none" w:sz="0" w:space="0" w:color="auto"/>
        <w:right w:val="none" w:sz="0" w:space="0" w:color="auto"/>
      </w:divBdr>
      <w:divsChild>
        <w:div w:id="862791386">
          <w:marLeft w:val="0"/>
          <w:marRight w:val="0"/>
          <w:marTop w:val="0"/>
          <w:marBottom w:val="0"/>
          <w:divBdr>
            <w:top w:val="none" w:sz="0" w:space="0" w:color="auto"/>
            <w:left w:val="none" w:sz="0" w:space="0" w:color="auto"/>
            <w:bottom w:val="none" w:sz="0" w:space="0" w:color="auto"/>
            <w:right w:val="none" w:sz="0" w:space="0" w:color="auto"/>
          </w:divBdr>
          <w:divsChild>
            <w:div w:id="1868327378">
              <w:marLeft w:val="0"/>
              <w:marRight w:val="0"/>
              <w:marTop w:val="0"/>
              <w:marBottom w:val="0"/>
              <w:divBdr>
                <w:top w:val="none" w:sz="0" w:space="0" w:color="auto"/>
                <w:left w:val="none" w:sz="0" w:space="0" w:color="auto"/>
                <w:bottom w:val="none" w:sz="0" w:space="0" w:color="auto"/>
                <w:right w:val="none" w:sz="0" w:space="0" w:color="auto"/>
              </w:divBdr>
              <w:divsChild>
                <w:div w:id="594283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740820">
      <w:bodyDiv w:val="1"/>
      <w:marLeft w:val="0"/>
      <w:marRight w:val="0"/>
      <w:marTop w:val="0"/>
      <w:marBottom w:val="0"/>
      <w:divBdr>
        <w:top w:val="none" w:sz="0" w:space="0" w:color="auto"/>
        <w:left w:val="none" w:sz="0" w:space="0" w:color="auto"/>
        <w:bottom w:val="none" w:sz="0" w:space="0" w:color="auto"/>
        <w:right w:val="none" w:sz="0" w:space="0" w:color="auto"/>
      </w:divBdr>
      <w:divsChild>
        <w:div w:id="2103917569">
          <w:marLeft w:val="0"/>
          <w:marRight w:val="0"/>
          <w:marTop w:val="0"/>
          <w:marBottom w:val="0"/>
          <w:divBdr>
            <w:top w:val="none" w:sz="0" w:space="0" w:color="auto"/>
            <w:left w:val="none" w:sz="0" w:space="0" w:color="auto"/>
            <w:bottom w:val="none" w:sz="0" w:space="0" w:color="auto"/>
            <w:right w:val="none" w:sz="0" w:space="0" w:color="auto"/>
          </w:divBdr>
          <w:divsChild>
            <w:div w:id="589193823">
              <w:marLeft w:val="0"/>
              <w:marRight w:val="0"/>
              <w:marTop w:val="0"/>
              <w:marBottom w:val="0"/>
              <w:divBdr>
                <w:top w:val="none" w:sz="0" w:space="0" w:color="auto"/>
                <w:left w:val="none" w:sz="0" w:space="0" w:color="auto"/>
                <w:bottom w:val="none" w:sz="0" w:space="0" w:color="auto"/>
                <w:right w:val="none" w:sz="0" w:space="0" w:color="auto"/>
              </w:divBdr>
              <w:divsChild>
                <w:div w:id="177933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786612">
      <w:bodyDiv w:val="1"/>
      <w:marLeft w:val="0"/>
      <w:marRight w:val="0"/>
      <w:marTop w:val="0"/>
      <w:marBottom w:val="0"/>
      <w:divBdr>
        <w:top w:val="none" w:sz="0" w:space="0" w:color="auto"/>
        <w:left w:val="none" w:sz="0" w:space="0" w:color="auto"/>
        <w:bottom w:val="none" w:sz="0" w:space="0" w:color="auto"/>
        <w:right w:val="none" w:sz="0" w:space="0" w:color="auto"/>
      </w:divBdr>
    </w:div>
    <w:div w:id="383262261">
      <w:bodyDiv w:val="1"/>
      <w:marLeft w:val="0"/>
      <w:marRight w:val="0"/>
      <w:marTop w:val="0"/>
      <w:marBottom w:val="0"/>
      <w:divBdr>
        <w:top w:val="none" w:sz="0" w:space="0" w:color="auto"/>
        <w:left w:val="none" w:sz="0" w:space="0" w:color="auto"/>
        <w:bottom w:val="none" w:sz="0" w:space="0" w:color="auto"/>
        <w:right w:val="none" w:sz="0" w:space="0" w:color="auto"/>
      </w:divBdr>
      <w:divsChild>
        <w:div w:id="1976330038">
          <w:marLeft w:val="0"/>
          <w:marRight w:val="0"/>
          <w:marTop w:val="0"/>
          <w:marBottom w:val="0"/>
          <w:divBdr>
            <w:top w:val="none" w:sz="0" w:space="0" w:color="auto"/>
            <w:left w:val="none" w:sz="0" w:space="0" w:color="auto"/>
            <w:bottom w:val="none" w:sz="0" w:space="0" w:color="auto"/>
            <w:right w:val="none" w:sz="0" w:space="0" w:color="auto"/>
          </w:divBdr>
          <w:divsChild>
            <w:div w:id="990866953">
              <w:marLeft w:val="0"/>
              <w:marRight w:val="0"/>
              <w:marTop w:val="0"/>
              <w:marBottom w:val="0"/>
              <w:divBdr>
                <w:top w:val="none" w:sz="0" w:space="0" w:color="auto"/>
                <w:left w:val="none" w:sz="0" w:space="0" w:color="auto"/>
                <w:bottom w:val="none" w:sz="0" w:space="0" w:color="auto"/>
                <w:right w:val="none" w:sz="0" w:space="0" w:color="auto"/>
              </w:divBdr>
              <w:divsChild>
                <w:div w:id="362173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871586">
      <w:bodyDiv w:val="1"/>
      <w:marLeft w:val="0"/>
      <w:marRight w:val="0"/>
      <w:marTop w:val="0"/>
      <w:marBottom w:val="0"/>
      <w:divBdr>
        <w:top w:val="none" w:sz="0" w:space="0" w:color="auto"/>
        <w:left w:val="none" w:sz="0" w:space="0" w:color="auto"/>
        <w:bottom w:val="none" w:sz="0" w:space="0" w:color="auto"/>
        <w:right w:val="none" w:sz="0" w:space="0" w:color="auto"/>
      </w:divBdr>
      <w:divsChild>
        <w:div w:id="1711606752">
          <w:marLeft w:val="0"/>
          <w:marRight w:val="0"/>
          <w:marTop w:val="0"/>
          <w:marBottom w:val="0"/>
          <w:divBdr>
            <w:top w:val="none" w:sz="0" w:space="0" w:color="auto"/>
            <w:left w:val="none" w:sz="0" w:space="0" w:color="auto"/>
            <w:bottom w:val="none" w:sz="0" w:space="0" w:color="auto"/>
            <w:right w:val="none" w:sz="0" w:space="0" w:color="auto"/>
          </w:divBdr>
          <w:divsChild>
            <w:div w:id="1284075504">
              <w:marLeft w:val="0"/>
              <w:marRight w:val="0"/>
              <w:marTop w:val="0"/>
              <w:marBottom w:val="0"/>
              <w:divBdr>
                <w:top w:val="none" w:sz="0" w:space="0" w:color="auto"/>
                <w:left w:val="none" w:sz="0" w:space="0" w:color="auto"/>
                <w:bottom w:val="none" w:sz="0" w:space="0" w:color="auto"/>
                <w:right w:val="none" w:sz="0" w:space="0" w:color="auto"/>
              </w:divBdr>
              <w:divsChild>
                <w:div w:id="63479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654112">
      <w:bodyDiv w:val="1"/>
      <w:marLeft w:val="0"/>
      <w:marRight w:val="0"/>
      <w:marTop w:val="0"/>
      <w:marBottom w:val="0"/>
      <w:divBdr>
        <w:top w:val="none" w:sz="0" w:space="0" w:color="auto"/>
        <w:left w:val="none" w:sz="0" w:space="0" w:color="auto"/>
        <w:bottom w:val="none" w:sz="0" w:space="0" w:color="auto"/>
        <w:right w:val="none" w:sz="0" w:space="0" w:color="auto"/>
      </w:divBdr>
      <w:divsChild>
        <w:div w:id="1252425387">
          <w:marLeft w:val="0"/>
          <w:marRight w:val="0"/>
          <w:marTop w:val="0"/>
          <w:marBottom w:val="0"/>
          <w:divBdr>
            <w:top w:val="none" w:sz="0" w:space="0" w:color="auto"/>
            <w:left w:val="none" w:sz="0" w:space="0" w:color="auto"/>
            <w:bottom w:val="none" w:sz="0" w:space="0" w:color="auto"/>
            <w:right w:val="none" w:sz="0" w:space="0" w:color="auto"/>
          </w:divBdr>
          <w:divsChild>
            <w:div w:id="98182335">
              <w:marLeft w:val="0"/>
              <w:marRight w:val="0"/>
              <w:marTop w:val="0"/>
              <w:marBottom w:val="0"/>
              <w:divBdr>
                <w:top w:val="none" w:sz="0" w:space="0" w:color="auto"/>
                <w:left w:val="none" w:sz="0" w:space="0" w:color="auto"/>
                <w:bottom w:val="none" w:sz="0" w:space="0" w:color="auto"/>
                <w:right w:val="none" w:sz="0" w:space="0" w:color="auto"/>
              </w:divBdr>
              <w:divsChild>
                <w:div w:id="1944457527">
                  <w:marLeft w:val="0"/>
                  <w:marRight w:val="0"/>
                  <w:marTop w:val="0"/>
                  <w:marBottom w:val="0"/>
                  <w:divBdr>
                    <w:top w:val="none" w:sz="0" w:space="0" w:color="auto"/>
                    <w:left w:val="none" w:sz="0" w:space="0" w:color="auto"/>
                    <w:bottom w:val="none" w:sz="0" w:space="0" w:color="auto"/>
                    <w:right w:val="none" w:sz="0" w:space="0" w:color="auto"/>
                  </w:divBdr>
                  <w:divsChild>
                    <w:div w:id="54101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222234">
      <w:bodyDiv w:val="1"/>
      <w:marLeft w:val="0"/>
      <w:marRight w:val="0"/>
      <w:marTop w:val="0"/>
      <w:marBottom w:val="0"/>
      <w:divBdr>
        <w:top w:val="none" w:sz="0" w:space="0" w:color="auto"/>
        <w:left w:val="none" w:sz="0" w:space="0" w:color="auto"/>
        <w:bottom w:val="none" w:sz="0" w:space="0" w:color="auto"/>
        <w:right w:val="none" w:sz="0" w:space="0" w:color="auto"/>
      </w:divBdr>
      <w:divsChild>
        <w:div w:id="1855337299">
          <w:marLeft w:val="0"/>
          <w:marRight w:val="0"/>
          <w:marTop w:val="0"/>
          <w:marBottom w:val="0"/>
          <w:divBdr>
            <w:top w:val="none" w:sz="0" w:space="0" w:color="auto"/>
            <w:left w:val="none" w:sz="0" w:space="0" w:color="auto"/>
            <w:bottom w:val="none" w:sz="0" w:space="0" w:color="auto"/>
            <w:right w:val="none" w:sz="0" w:space="0" w:color="auto"/>
          </w:divBdr>
          <w:divsChild>
            <w:div w:id="1799689173">
              <w:marLeft w:val="0"/>
              <w:marRight w:val="0"/>
              <w:marTop w:val="0"/>
              <w:marBottom w:val="0"/>
              <w:divBdr>
                <w:top w:val="none" w:sz="0" w:space="0" w:color="auto"/>
                <w:left w:val="none" w:sz="0" w:space="0" w:color="auto"/>
                <w:bottom w:val="none" w:sz="0" w:space="0" w:color="auto"/>
                <w:right w:val="none" w:sz="0" w:space="0" w:color="auto"/>
              </w:divBdr>
              <w:divsChild>
                <w:div w:id="169649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412590">
      <w:bodyDiv w:val="1"/>
      <w:marLeft w:val="0"/>
      <w:marRight w:val="0"/>
      <w:marTop w:val="0"/>
      <w:marBottom w:val="0"/>
      <w:divBdr>
        <w:top w:val="none" w:sz="0" w:space="0" w:color="auto"/>
        <w:left w:val="none" w:sz="0" w:space="0" w:color="auto"/>
        <w:bottom w:val="none" w:sz="0" w:space="0" w:color="auto"/>
        <w:right w:val="none" w:sz="0" w:space="0" w:color="auto"/>
      </w:divBdr>
      <w:divsChild>
        <w:div w:id="737477706">
          <w:marLeft w:val="0"/>
          <w:marRight w:val="0"/>
          <w:marTop w:val="0"/>
          <w:marBottom w:val="0"/>
          <w:divBdr>
            <w:top w:val="none" w:sz="0" w:space="0" w:color="auto"/>
            <w:left w:val="none" w:sz="0" w:space="0" w:color="auto"/>
            <w:bottom w:val="none" w:sz="0" w:space="0" w:color="auto"/>
            <w:right w:val="none" w:sz="0" w:space="0" w:color="auto"/>
          </w:divBdr>
          <w:divsChild>
            <w:div w:id="86313515">
              <w:marLeft w:val="0"/>
              <w:marRight w:val="0"/>
              <w:marTop w:val="0"/>
              <w:marBottom w:val="0"/>
              <w:divBdr>
                <w:top w:val="none" w:sz="0" w:space="0" w:color="auto"/>
                <w:left w:val="none" w:sz="0" w:space="0" w:color="auto"/>
                <w:bottom w:val="none" w:sz="0" w:space="0" w:color="auto"/>
                <w:right w:val="none" w:sz="0" w:space="0" w:color="auto"/>
              </w:divBdr>
              <w:divsChild>
                <w:div w:id="274796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505290">
      <w:bodyDiv w:val="1"/>
      <w:marLeft w:val="0"/>
      <w:marRight w:val="0"/>
      <w:marTop w:val="0"/>
      <w:marBottom w:val="0"/>
      <w:divBdr>
        <w:top w:val="none" w:sz="0" w:space="0" w:color="auto"/>
        <w:left w:val="none" w:sz="0" w:space="0" w:color="auto"/>
        <w:bottom w:val="none" w:sz="0" w:space="0" w:color="auto"/>
        <w:right w:val="none" w:sz="0" w:space="0" w:color="auto"/>
      </w:divBdr>
      <w:divsChild>
        <w:div w:id="1069692592">
          <w:marLeft w:val="0"/>
          <w:marRight w:val="0"/>
          <w:marTop w:val="0"/>
          <w:marBottom w:val="0"/>
          <w:divBdr>
            <w:top w:val="none" w:sz="0" w:space="0" w:color="auto"/>
            <w:left w:val="none" w:sz="0" w:space="0" w:color="auto"/>
            <w:bottom w:val="none" w:sz="0" w:space="0" w:color="auto"/>
            <w:right w:val="none" w:sz="0" w:space="0" w:color="auto"/>
          </w:divBdr>
          <w:divsChild>
            <w:div w:id="1047073248">
              <w:marLeft w:val="0"/>
              <w:marRight w:val="0"/>
              <w:marTop w:val="0"/>
              <w:marBottom w:val="0"/>
              <w:divBdr>
                <w:top w:val="none" w:sz="0" w:space="0" w:color="auto"/>
                <w:left w:val="none" w:sz="0" w:space="0" w:color="auto"/>
                <w:bottom w:val="none" w:sz="0" w:space="0" w:color="auto"/>
                <w:right w:val="none" w:sz="0" w:space="0" w:color="auto"/>
              </w:divBdr>
              <w:divsChild>
                <w:div w:id="718211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5492378">
      <w:bodyDiv w:val="1"/>
      <w:marLeft w:val="0"/>
      <w:marRight w:val="0"/>
      <w:marTop w:val="0"/>
      <w:marBottom w:val="0"/>
      <w:divBdr>
        <w:top w:val="none" w:sz="0" w:space="0" w:color="auto"/>
        <w:left w:val="none" w:sz="0" w:space="0" w:color="auto"/>
        <w:bottom w:val="none" w:sz="0" w:space="0" w:color="auto"/>
        <w:right w:val="none" w:sz="0" w:space="0" w:color="auto"/>
      </w:divBdr>
    </w:div>
    <w:div w:id="466747681">
      <w:bodyDiv w:val="1"/>
      <w:marLeft w:val="0"/>
      <w:marRight w:val="0"/>
      <w:marTop w:val="0"/>
      <w:marBottom w:val="0"/>
      <w:divBdr>
        <w:top w:val="none" w:sz="0" w:space="0" w:color="auto"/>
        <w:left w:val="none" w:sz="0" w:space="0" w:color="auto"/>
        <w:bottom w:val="none" w:sz="0" w:space="0" w:color="auto"/>
        <w:right w:val="none" w:sz="0" w:space="0" w:color="auto"/>
      </w:divBdr>
      <w:divsChild>
        <w:div w:id="229507847">
          <w:marLeft w:val="0"/>
          <w:marRight w:val="0"/>
          <w:marTop w:val="0"/>
          <w:marBottom w:val="0"/>
          <w:divBdr>
            <w:top w:val="none" w:sz="0" w:space="0" w:color="auto"/>
            <w:left w:val="none" w:sz="0" w:space="0" w:color="auto"/>
            <w:bottom w:val="none" w:sz="0" w:space="0" w:color="auto"/>
            <w:right w:val="none" w:sz="0" w:space="0" w:color="auto"/>
          </w:divBdr>
          <w:divsChild>
            <w:div w:id="599947209">
              <w:marLeft w:val="0"/>
              <w:marRight w:val="0"/>
              <w:marTop w:val="0"/>
              <w:marBottom w:val="0"/>
              <w:divBdr>
                <w:top w:val="none" w:sz="0" w:space="0" w:color="auto"/>
                <w:left w:val="none" w:sz="0" w:space="0" w:color="auto"/>
                <w:bottom w:val="none" w:sz="0" w:space="0" w:color="auto"/>
                <w:right w:val="none" w:sz="0" w:space="0" w:color="auto"/>
              </w:divBdr>
              <w:divsChild>
                <w:div w:id="1793087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1021278">
      <w:bodyDiv w:val="1"/>
      <w:marLeft w:val="0"/>
      <w:marRight w:val="0"/>
      <w:marTop w:val="0"/>
      <w:marBottom w:val="0"/>
      <w:divBdr>
        <w:top w:val="none" w:sz="0" w:space="0" w:color="auto"/>
        <w:left w:val="none" w:sz="0" w:space="0" w:color="auto"/>
        <w:bottom w:val="none" w:sz="0" w:space="0" w:color="auto"/>
        <w:right w:val="none" w:sz="0" w:space="0" w:color="auto"/>
      </w:divBdr>
    </w:div>
    <w:div w:id="477844807">
      <w:bodyDiv w:val="1"/>
      <w:marLeft w:val="0"/>
      <w:marRight w:val="0"/>
      <w:marTop w:val="0"/>
      <w:marBottom w:val="0"/>
      <w:divBdr>
        <w:top w:val="none" w:sz="0" w:space="0" w:color="auto"/>
        <w:left w:val="none" w:sz="0" w:space="0" w:color="auto"/>
        <w:bottom w:val="none" w:sz="0" w:space="0" w:color="auto"/>
        <w:right w:val="none" w:sz="0" w:space="0" w:color="auto"/>
      </w:divBdr>
      <w:divsChild>
        <w:div w:id="1492982480">
          <w:marLeft w:val="0"/>
          <w:marRight w:val="0"/>
          <w:marTop w:val="0"/>
          <w:marBottom w:val="0"/>
          <w:divBdr>
            <w:top w:val="none" w:sz="0" w:space="0" w:color="auto"/>
            <w:left w:val="none" w:sz="0" w:space="0" w:color="auto"/>
            <w:bottom w:val="none" w:sz="0" w:space="0" w:color="auto"/>
            <w:right w:val="none" w:sz="0" w:space="0" w:color="auto"/>
          </w:divBdr>
          <w:divsChild>
            <w:div w:id="1384674791">
              <w:marLeft w:val="0"/>
              <w:marRight w:val="0"/>
              <w:marTop w:val="0"/>
              <w:marBottom w:val="0"/>
              <w:divBdr>
                <w:top w:val="none" w:sz="0" w:space="0" w:color="auto"/>
                <w:left w:val="none" w:sz="0" w:space="0" w:color="auto"/>
                <w:bottom w:val="none" w:sz="0" w:space="0" w:color="auto"/>
                <w:right w:val="none" w:sz="0" w:space="0" w:color="auto"/>
              </w:divBdr>
              <w:divsChild>
                <w:div w:id="896087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814712">
      <w:bodyDiv w:val="1"/>
      <w:marLeft w:val="0"/>
      <w:marRight w:val="0"/>
      <w:marTop w:val="0"/>
      <w:marBottom w:val="0"/>
      <w:divBdr>
        <w:top w:val="none" w:sz="0" w:space="0" w:color="auto"/>
        <w:left w:val="none" w:sz="0" w:space="0" w:color="auto"/>
        <w:bottom w:val="none" w:sz="0" w:space="0" w:color="auto"/>
        <w:right w:val="none" w:sz="0" w:space="0" w:color="auto"/>
      </w:divBdr>
    </w:div>
    <w:div w:id="484128237">
      <w:bodyDiv w:val="1"/>
      <w:marLeft w:val="0"/>
      <w:marRight w:val="0"/>
      <w:marTop w:val="0"/>
      <w:marBottom w:val="0"/>
      <w:divBdr>
        <w:top w:val="none" w:sz="0" w:space="0" w:color="auto"/>
        <w:left w:val="none" w:sz="0" w:space="0" w:color="auto"/>
        <w:bottom w:val="none" w:sz="0" w:space="0" w:color="auto"/>
        <w:right w:val="none" w:sz="0" w:space="0" w:color="auto"/>
      </w:divBdr>
    </w:div>
    <w:div w:id="533078109">
      <w:bodyDiv w:val="1"/>
      <w:marLeft w:val="0"/>
      <w:marRight w:val="0"/>
      <w:marTop w:val="0"/>
      <w:marBottom w:val="0"/>
      <w:divBdr>
        <w:top w:val="none" w:sz="0" w:space="0" w:color="auto"/>
        <w:left w:val="none" w:sz="0" w:space="0" w:color="auto"/>
        <w:bottom w:val="none" w:sz="0" w:space="0" w:color="auto"/>
        <w:right w:val="none" w:sz="0" w:space="0" w:color="auto"/>
      </w:divBdr>
      <w:divsChild>
        <w:div w:id="1015813663">
          <w:marLeft w:val="0"/>
          <w:marRight w:val="0"/>
          <w:marTop w:val="0"/>
          <w:marBottom w:val="0"/>
          <w:divBdr>
            <w:top w:val="none" w:sz="0" w:space="0" w:color="auto"/>
            <w:left w:val="none" w:sz="0" w:space="0" w:color="auto"/>
            <w:bottom w:val="none" w:sz="0" w:space="0" w:color="auto"/>
            <w:right w:val="none" w:sz="0" w:space="0" w:color="auto"/>
          </w:divBdr>
          <w:divsChild>
            <w:div w:id="966156800">
              <w:marLeft w:val="0"/>
              <w:marRight w:val="0"/>
              <w:marTop w:val="0"/>
              <w:marBottom w:val="0"/>
              <w:divBdr>
                <w:top w:val="none" w:sz="0" w:space="0" w:color="auto"/>
                <w:left w:val="none" w:sz="0" w:space="0" w:color="auto"/>
                <w:bottom w:val="none" w:sz="0" w:space="0" w:color="auto"/>
                <w:right w:val="none" w:sz="0" w:space="0" w:color="auto"/>
              </w:divBdr>
              <w:divsChild>
                <w:div w:id="18362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582679">
      <w:bodyDiv w:val="1"/>
      <w:marLeft w:val="0"/>
      <w:marRight w:val="0"/>
      <w:marTop w:val="0"/>
      <w:marBottom w:val="0"/>
      <w:divBdr>
        <w:top w:val="none" w:sz="0" w:space="0" w:color="auto"/>
        <w:left w:val="none" w:sz="0" w:space="0" w:color="auto"/>
        <w:bottom w:val="none" w:sz="0" w:space="0" w:color="auto"/>
        <w:right w:val="none" w:sz="0" w:space="0" w:color="auto"/>
      </w:divBdr>
      <w:divsChild>
        <w:div w:id="941687208">
          <w:marLeft w:val="0"/>
          <w:marRight w:val="0"/>
          <w:marTop w:val="0"/>
          <w:marBottom w:val="0"/>
          <w:divBdr>
            <w:top w:val="none" w:sz="0" w:space="0" w:color="auto"/>
            <w:left w:val="none" w:sz="0" w:space="0" w:color="auto"/>
            <w:bottom w:val="none" w:sz="0" w:space="0" w:color="auto"/>
            <w:right w:val="none" w:sz="0" w:space="0" w:color="auto"/>
          </w:divBdr>
          <w:divsChild>
            <w:div w:id="1138914717">
              <w:marLeft w:val="0"/>
              <w:marRight w:val="0"/>
              <w:marTop w:val="0"/>
              <w:marBottom w:val="0"/>
              <w:divBdr>
                <w:top w:val="none" w:sz="0" w:space="0" w:color="auto"/>
                <w:left w:val="none" w:sz="0" w:space="0" w:color="auto"/>
                <w:bottom w:val="none" w:sz="0" w:space="0" w:color="auto"/>
                <w:right w:val="none" w:sz="0" w:space="0" w:color="auto"/>
              </w:divBdr>
              <w:divsChild>
                <w:div w:id="53689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614519">
      <w:bodyDiv w:val="1"/>
      <w:marLeft w:val="0"/>
      <w:marRight w:val="0"/>
      <w:marTop w:val="0"/>
      <w:marBottom w:val="0"/>
      <w:divBdr>
        <w:top w:val="none" w:sz="0" w:space="0" w:color="auto"/>
        <w:left w:val="none" w:sz="0" w:space="0" w:color="auto"/>
        <w:bottom w:val="none" w:sz="0" w:space="0" w:color="auto"/>
        <w:right w:val="none" w:sz="0" w:space="0" w:color="auto"/>
      </w:divBdr>
      <w:divsChild>
        <w:div w:id="1029380993">
          <w:marLeft w:val="0"/>
          <w:marRight w:val="0"/>
          <w:marTop w:val="0"/>
          <w:marBottom w:val="0"/>
          <w:divBdr>
            <w:top w:val="none" w:sz="0" w:space="0" w:color="auto"/>
            <w:left w:val="none" w:sz="0" w:space="0" w:color="auto"/>
            <w:bottom w:val="none" w:sz="0" w:space="0" w:color="auto"/>
            <w:right w:val="none" w:sz="0" w:space="0" w:color="auto"/>
          </w:divBdr>
          <w:divsChild>
            <w:div w:id="240141989">
              <w:marLeft w:val="0"/>
              <w:marRight w:val="0"/>
              <w:marTop w:val="0"/>
              <w:marBottom w:val="0"/>
              <w:divBdr>
                <w:top w:val="none" w:sz="0" w:space="0" w:color="auto"/>
                <w:left w:val="none" w:sz="0" w:space="0" w:color="auto"/>
                <w:bottom w:val="none" w:sz="0" w:space="0" w:color="auto"/>
                <w:right w:val="none" w:sz="0" w:space="0" w:color="auto"/>
              </w:divBdr>
              <w:divsChild>
                <w:div w:id="828718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8537570">
      <w:bodyDiv w:val="1"/>
      <w:marLeft w:val="0"/>
      <w:marRight w:val="0"/>
      <w:marTop w:val="0"/>
      <w:marBottom w:val="0"/>
      <w:divBdr>
        <w:top w:val="none" w:sz="0" w:space="0" w:color="auto"/>
        <w:left w:val="none" w:sz="0" w:space="0" w:color="auto"/>
        <w:bottom w:val="none" w:sz="0" w:space="0" w:color="auto"/>
        <w:right w:val="none" w:sz="0" w:space="0" w:color="auto"/>
      </w:divBdr>
      <w:divsChild>
        <w:div w:id="1832478691">
          <w:marLeft w:val="0"/>
          <w:marRight w:val="0"/>
          <w:marTop w:val="0"/>
          <w:marBottom w:val="0"/>
          <w:divBdr>
            <w:top w:val="none" w:sz="0" w:space="0" w:color="auto"/>
            <w:left w:val="none" w:sz="0" w:space="0" w:color="auto"/>
            <w:bottom w:val="none" w:sz="0" w:space="0" w:color="auto"/>
            <w:right w:val="none" w:sz="0" w:space="0" w:color="auto"/>
          </w:divBdr>
          <w:divsChild>
            <w:div w:id="504437991">
              <w:marLeft w:val="0"/>
              <w:marRight w:val="0"/>
              <w:marTop w:val="0"/>
              <w:marBottom w:val="0"/>
              <w:divBdr>
                <w:top w:val="none" w:sz="0" w:space="0" w:color="auto"/>
                <w:left w:val="none" w:sz="0" w:space="0" w:color="auto"/>
                <w:bottom w:val="none" w:sz="0" w:space="0" w:color="auto"/>
                <w:right w:val="none" w:sz="0" w:space="0" w:color="auto"/>
              </w:divBdr>
              <w:divsChild>
                <w:div w:id="1504776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8656195">
      <w:bodyDiv w:val="1"/>
      <w:marLeft w:val="0"/>
      <w:marRight w:val="0"/>
      <w:marTop w:val="0"/>
      <w:marBottom w:val="0"/>
      <w:divBdr>
        <w:top w:val="none" w:sz="0" w:space="0" w:color="auto"/>
        <w:left w:val="none" w:sz="0" w:space="0" w:color="auto"/>
        <w:bottom w:val="none" w:sz="0" w:space="0" w:color="auto"/>
        <w:right w:val="none" w:sz="0" w:space="0" w:color="auto"/>
      </w:divBdr>
      <w:divsChild>
        <w:div w:id="1029718825">
          <w:marLeft w:val="0"/>
          <w:marRight w:val="0"/>
          <w:marTop w:val="0"/>
          <w:marBottom w:val="0"/>
          <w:divBdr>
            <w:top w:val="none" w:sz="0" w:space="0" w:color="auto"/>
            <w:left w:val="none" w:sz="0" w:space="0" w:color="auto"/>
            <w:bottom w:val="none" w:sz="0" w:space="0" w:color="auto"/>
            <w:right w:val="none" w:sz="0" w:space="0" w:color="auto"/>
          </w:divBdr>
          <w:divsChild>
            <w:div w:id="1532835709">
              <w:marLeft w:val="0"/>
              <w:marRight w:val="0"/>
              <w:marTop w:val="0"/>
              <w:marBottom w:val="0"/>
              <w:divBdr>
                <w:top w:val="none" w:sz="0" w:space="0" w:color="auto"/>
                <w:left w:val="none" w:sz="0" w:space="0" w:color="auto"/>
                <w:bottom w:val="none" w:sz="0" w:space="0" w:color="auto"/>
                <w:right w:val="none" w:sz="0" w:space="0" w:color="auto"/>
              </w:divBdr>
              <w:divsChild>
                <w:div w:id="416286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168965">
      <w:bodyDiv w:val="1"/>
      <w:marLeft w:val="0"/>
      <w:marRight w:val="0"/>
      <w:marTop w:val="0"/>
      <w:marBottom w:val="0"/>
      <w:divBdr>
        <w:top w:val="none" w:sz="0" w:space="0" w:color="auto"/>
        <w:left w:val="none" w:sz="0" w:space="0" w:color="auto"/>
        <w:bottom w:val="none" w:sz="0" w:space="0" w:color="auto"/>
        <w:right w:val="none" w:sz="0" w:space="0" w:color="auto"/>
      </w:divBdr>
    </w:div>
    <w:div w:id="624192724">
      <w:bodyDiv w:val="1"/>
      <w:marLeft w:val="0"/>
      <w:marRight w:val="0"/>
      <w:marTop w:val="0"/>
      <w:marBottom w:val="0"/>
      <w:divBdr>
        <w:top w:val="none" w:sz="0" w:space="0" w:color="auto"/>
        <w:left w:val="none" w:sz="0" w:space="0" w:color="auto"/>
        <w:bottom w:val="none" w:sz="0" w:space="0" w:color="auto"/>
        <w:right w:val="none" w:sz="0" w:space="0" w:color="auto"/>
      </w:divBdr>
      <w:divsChild>
        <w:div w:id="1809584867">
          <w:marLeft w:val="0"/>
          <w:marRight w:val="0"/>
          <w:marTop w:val="0"/>
          <w:marBottom w:val="0"/>
          <w:divBdr>
            <w:top w:val="none" w:sz="0" w:space="0" w:color="auto"/>
            <w:left w:val="none" w:sz="0" w:space="0" w:color="auto"/>
            <w:bottom w:val="none" w:sz="0" w:space="0" w:color="auto"/>
            <w:right w:val="none" w:sz="0" w:space="0" w:color="auto"/>
          </w:divBdr>
          <w:divsChild>
            <w:div w:id="806241948">
              <w:marLeft w:val="0"/>
              <w:marRight w:val="0"/>
              <w:marTop w:val="0"/>
              <w:marBottom w:val="0"/>
              <w:divBdr>
                <w:top w:val="none" w:sz="0" w:space="0" w:color="auto"/>
                <w:left w:val="none" w:sz="0" w:space="0" w:color="auto"/>
                <w:bottom w:val="none" w:sz="0" w:space="0" w:color="auto"/>
                <w:right w:val="none" w:sz="0" w:space="0" w:color="auto"/>
              </w:divBdr>
              <w:divsChild>
                <w:div w:id="1103184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510338">
      <w:bodyDiv w:val="1"/>
      <w:marLeft w:val="0"/>
      <w:marRight w:val="0"/>
      <w:marTop w:val="0"/>
      <w:marBottom w:val="0"/>
      <w:divBdr>
        <w:top w:val="none" w:sz="0" w:space="0" w:color="auto"/>
        <w:left w:val="none" w:sz="0" w:space="0" w:color="auto"/>
        <w:bottom w:val="none" w:sz="0" w:space="0" w:color="auto"/>
        <w:right w:val="none" w:sz="0" w:space="0" w:color="auto"/>
      </w:divBdr>
      <w:divsChild>
        <w:div w:id="741609074">
          <w:marLeft w:val="0"/>
          <w:marRight w:val="0"/>
          <w:marTop w:val="0"/>
          <w:marBottom w:val="0"/>
          <w:divBdr>
            <w:top w:val="none" w:sz="0" w:space="0" w:color="auto"/>
            <w:left w:val="none" w:sz="0" w:space="0" w:color="auto"/>
            <w:bottom w:val="none" w:sz="0" w:space="0" w:color="auto"/>
            <w:right w:val="none" w:sz="0" w:space="0" w:color="auto"/>
          </w:divBdr>
          <w:divsChild>
            <w:div w:id="1032920981">
              <w:marLeft w:val="0"/>
              <w:marRight w:val="0"/>
              <w:marTop w:val="0"/>
              <w:marBottom w:val="0"/>
              <w:divBdr>
                <w:top w:val="none" w:sz="0" w:space="0" w:color="auto"/>
                <w:left w:val="none" w:sz="0" w:space="0" w:color="auto"/>
                <w:bottom w:val="none" w:sz="0" w:space="0" w:color="auto"/>
                <w:right w:val="none" w:sz="0" w:space="0" w:color="auto"/>
              </w:divBdr>
              <w:divsChild>
                <w:div w:id="528180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4600841">
      <w:bodyDiv w:val="1"/>
      <w:marLeft w:val="0"/>
      <w:marRight w:val="0"/>
      <w:marTop w:val="0"/>
      <w:marBottom w:val="0"/>
      <w:divBdr>
        <w:top w:val="none" w:sz="0" w:space="0" w:color="auto"/>
        <w:left w:val="none" w:sz="0" w:space="0" w:color="auto"/>
        <w:bottom w:val="none" w:sz="0" w:space="0" w:color="auto"/>
        <w:right w:val="none" w:sz="0" w:space="0" w:color="auto"/>
      </w:divBdr>
      <w:divsChild>
        <w:div w:id="1811701754">
          <w:marLeft w:val="0"/>
          <w:marRight w:val="0"/>
          <w:marTop w:val="0"/>
          <w:marBottom w:val="0"/>
          <w:divBdr>
            <w:top w:val="none" w:sz="0" w:space="0" w:color="auto"/>
            <w:left w:val="none" w:sz="0" w:space="0" w:color="auto"/>
            <w:bottom w:val="none" w:sz="0" w:space="0" w:color="auto"/>
            <w:right w:val="none" w:sz="0" w:space="0" w:color="auto"/>
          </w:divBdr>
          <w:divsChild>
            <w:div w:id="1191451382">
              <w:marLeft w:val="0"/>
              <w:marRight w:val="0"/>
              <w:marTop w:val="0"/>
              <w:marBottom w:val="0"/>
              <w:divBdr>
                <w:top w:val="none" w:sz="0" w:space="0" w:color="auto"/>
                <w:left w:val="none" w:sz="0" w:space="0" w:color="auto"/>
                <w:bottom w:val="none" w:sz="0" w:space="0" w:color="auto"/>
                <w:right w:val="none" w:sz="0" w:space="0" w:color="auto"/>
              </w:divBdr>
              <w:divsChild>
                <w:div w:id="103920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457026">
      <w:bodyDiv w:val="1"/>
      <w:marLeft w:val="0"/>
      <w:marRight w:val="0"/>
      <w:marTop w:val="0"/>
      <w:marBottom w:val="0"/>
      <w:divBdr>
        <w:top w:val="none" w:sz="0" w:space="0" w:color="auto"/>
        <w:left w:val="none" w:sz="0" w:space="0" w:color="auto"/>
        <w:bottom w:val="none" w:sz="0" w:space="0" w:color="auto"/>
        <w:right w:val="none" w:sz="0" w:space="0" w:color="auto"/>
      </w:divBdr>
      <w:divsChild>
        <w:div w:id="122164553">
          <w:marLeft w:val="0"/>
          <w:marRight w:val="0"/>
          <w:marTop w:val="0"/>
          <w:marBottom w:val="0"/>
          <w:divBdr>
            <w:top w:val="none" w:sz="0" w:space="0" w:color="auto"/>
            <w:left w:val="none" w:sz="0" w:space="0" w:color="auto"/>
            <w:bottom w:val="none" w:sz="0" w:space="0" w:color="auto"/>
            <w:right w:val="none" w:sz="0" w:space="0" w:color="auto"/>
          </w:divBdr>
          <w:divsChild>
            <w:div w:id="202524750">
              <w:marLeft w:val="0"/>
              <w:marRight w:val="0"/>
              <w:marTop w:val="0"/>
              <w:marBottom w:val="0"/>
              <w:divBdr>
                <w:top w:val="none" w:sz="0" w:space="0" w:color="auto"/>
                <w:left w:val="none" w:sz="0" w:space="0" w:color="auto"/>
                <w:bottom w:val="none" w:sz="0" w:space="0" w:color="auto"/>
                <w:right w:val="none" w:sz="0" w:space="0" w:color="auto"/>
              </w:divBdr>
              <w:divsChild>
                <w:div w:id="816188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127395">
      <w:bodyDiv w:val="1"/>
      <w:marLeft w:val="0"/>
      <w:marRight w:val="0"/>
      <w:marTop w:val="0"/>
      <w:marBottom w:val="0"/>
      <w:divBdr>
        <w:top w:val="none" w:sz="0" w:space="0" w:color="auto"/>
        <w:left w:val="none" w:sz="0" w:space="0" w:color="auto"/>
        <w:bottom w:val="none" w:sz="0" w:space="0" w:color="auto"/>
        <w:right w:val="none" w:sz="0" w:space="0" w:color="auto"/>
      </w:divBdr>
      <w:divsChild>
        <w:div w:id="1203447565">
          <w:marLeft w:val="0"/>
          <w:marRight w:val="0"/>
          <w:marTop w:val="0"/>
          <w:marBottom w:val="0"/>
          <w:divBdr>
            <w:top w:val="none" w:sz="0" w:space="0" w:color="auto"/>
            <w:left w:val="none" w:sz="0" w:space="0" w:color="auto"/>
            <w:bottom w:val="none" w:sz="0" w:space="0" w:color="auto"/>
            <w:right w:val="none" w:sz="0" w:space="0" w:color="auto"/>
          </w:divBdr>
          <w:divsChild>
            <w:div w:id="1720981324">
              <w:marLeft w:val="0"/>
              <w:marRight w:val="0"/>
              <w:marTop w:val="0"/>
              <w:marBottom w:val="0"/>
              <w:divBdr>
                <w:top w:val="none" w:sz="0" w:space="0" w:color="auto"/>
                <w:left w:val="none" w:sz="0" w:space="0" w:color="auto"/>
                <w:bottom w:val="none" w:sz="0" w:space="0" w:color="auto"/>
                <w:right w:val="none" w:sz="0" w:space="0" w:color="auto"/>
              </w:divBdr>
              <w:divsChild>
                <w:div w:id="929965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667925">
      <w:bodyDiv w:val="1"/>
      <w:marLeft w:val="0"/>
      <w:marRight w:val="0"/>
      <w:marTop w:val="0"/>
      <w:marBottom w:val="0"/>
      <w:divBdr>
        <w:top w:val="none" w:sz="0" w:space="0" w:color="auto"/>
        <w:left w:val="none" w:sz="0" w:space="0" w:color="auto"/>
        <w:bottom w:val="none" w:sz="0" w:space="0" w:color="auto"/>
        <w:right w:val="none" w:sz="0" w:space="0" w:color="auto"/>
      </w:divBdr>
      <w:divsChild>
        <w:div w:id="1637223276">
          <w:marLeft w:val="0"/>
          <w:marRight w:val="0"/>
          <w:marTop w:val="0"/>
          <w:marBottom w:val="0"/>
          <w:divBdr>
            <w:top w:val="none" w:sz="0" w:space="0" w:color="auto"/>
            <w:left w:val="none" w:sz="0" w:space="0" w:color="auto"/>
            <w:bottom w:val="none" w:sz="0" w:space="0" w:color="auto"/>
            <w:right w:val="none" w:sz="0" w:space="0" w:color="auto"/>
          </w:divBdr>
          <w:divsChild>
            <w:div w:id="1643731256">
              <w:marLeft w:val="0"/>
              <w:marRight w:val="0"/>
              <w:marTop w:val="0"/>
              <w:marBottom w:val="0"/>
              <w:divBdr>
                <w:top w:val="none" w:sz="0" w:space="0" w:color="auto"/>
                <w:left w:val="none" w:sz="0" w:space="0" w:color="auto"/>
                <w:bottom w:val="none" w:sz="0" w:space="0" w:color="auto"/>
                <w:right w:val="none" w:sz="0" w:space="0" w:color="auto"/>
              </w:divBdr>
              <w:divsChild>
                <w:div w:id="196195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051788">
      <w:bodyDiv w:val="1"/>
      <w:marLeft w:val="0"/>
      <w:marRight w:val="0"/>
      <w:marTop w:val="0"/>
      <w:marBottom w:val="0"/>
      <w:divBdr>
        <w:top w:val="none" w:sz="0" w:space="0" w:color="auto"/>
        <w:left w:val="none" w:sz="0" w:space="0" w:color="auto"/>
        <w:bottom w:val="none" w:sz="0" w:space="0" w:color="auto"/>
        <w:right w:val="none" w:sz="0" w:space="0" w:color="auto"/>
      </w:divBdr>
      <w:divsChild>
        <w:div w:id="1055161218">
          <w:marLeft w:val="0"/>
          <w:marRight w:val="0"/>
          <w:marTop w:val="0"/>
          <w:marBottom w:val="0"/>
          <w:divBdr>
            <w:top w:val="none" w:sz="0" w:space="0" w:color="auto"/>
            <w:left w:val="none" w:sz="0" w:space="0" w:color="auto"/>
            <w:bottom w:val="none" w:sz="0" w:space="0" w:color="auto"/>
            <w:right w:val="none" w:sz="0" w:space="0" w:color="auto"/>
          </w:divBdr>
          <w:divsChild>
            <w:div w:id="918447039">
              <w:marLeft w:val="0"/>
              <w:marRight w:val="0"/>
              <w:marTop w:val="0"/>
              <w:marBottom w:val="0"/>
              <w:divBdr>
                <w:top w:val="none" w:sz="0" w:space="0" w:color="auto"/>
                <w:left w:val="none" w:sz="0" w:space="0" w:color="auto"/>
                <w:bottom w:val="none" w:sz="0" w:space="0" w:color="auto"/>
                <w:right w:val="none" w:sz="0" w:space="0" w:color="auto"/>
              </w:divBdr>
              <w:divsChild>
                <w:div w:id="1043362438">
                  <w:marLeft w:val="0"/>
                  <w:marRight w:val="0"/>
                  <w:marTop w:val="0"/>
                  <w:marBottom w:val="0"/>
                  <w:divBdr>
                    <w:top w:val="none" w:sz="0" w:space="0" w:color="auto"/>
                    <w:left w:val="none" w:sz="0" w:space="0" w:color="auto"/>
                    <w:bottom w:val="none" w:sz="0" w:space="0" w:color="auto"/>
                    <w:right w:val="none" w:sz="0" w:space="0" w:color="auto"/>
                  </w:divBdr>
                </w:div>
              </w:divsChild>
            </w:div>
            <w:div w:id="835611941">
              <w:marLeft w:val="0"/>
              <w:marRight w:val="0"/>
              <w:marTop w:val="0"/>
              <w:marBottom w:val="0"/>
              <w:divBdr>
                <w:top w:val="none" w:sz="0" w:space="0" w:color="auto"/>
                <w:left w:val="none" w:sz="0" w:space="0" w:color="auto"/>
                <w:bottom w:val="none" w:sz="0" w:space="0" w:color="auto"/>
                <w:right w:val="none" w:sz="0" w:space="0" w:color="auto"/>
              </w:divBdr>
              <w:divsChild>
                <w:div w:id="1094009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910670">
          <w:marLeft w:val="0"/>
          <w:marRight w:val="0"/>
          <w:marTop w:val="0"/>
          <w:marBottom w:val="0"/>
          <w:divBdr>
            <w:top w:val="none" w:sz="0" w:space="0" w:color="auto"/>
            <w:left w:val="none" w:sz="0" w:space="0" w:color="auto"/>
            <w:bottom w:val="none" w:sz="0" w:space="0" w:color="auto"/>
            <w:right w:val="none" w:sz="0" w:space="0" w:color="auto"/>
          </w:divBdr>
          <w:divsChild>
            <w:div w:id="1478255148">
              <w:marLeft w:val="0"/>
              <w:marRight w:val="0"/>
              <w:marTop w:val="0"/>
              <w:marBottom w:val="0"/>
              <w:divBdr>
                <w:top w:val="none" w:sz="0" w:space="0" w:color="auto"/>
                <w:left w:val="none" w:sz="0" w:space="0" w:color="auto"/>
                <w:bottom w:val="none" w:sz="0" w:space="0" w:color="auto"/>
                <w:right w:val="none" w:sz="0" w:space="0" w:color="auto"/>
              </w:divBdr>
              <w:divsChild>
                <w:div w:id="1740637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016148">
      <w:bodyDiv w:val="1"/>
      <w:marLeft w:val="0"/>
      <w:marRight w:val="0"/>
      <w:marTop w:val="0"/>
      <w:marBottom w:val="0"/>
      <w:divBdr>
        <w:top w:val="none" w:sz="0" w:space="0" w:color="auto"/>
        <w:left w:val="none" w:sz="0" w:space="0" w:color="auto"/>
        <w:bottom w:val="none" w:sz="0" w:space="0" w:color="auto"/>
        <w:right w:val="none" w:sz="0" w:space="0" w:color="auto"/>
      </w:divBdr>
      <w:divsChild>
        <w:div w:id="2068918863">
          <w:marLeft w:val="0"/>
          <w:marRight w:val="0"/>
          <w:marTop w:val="0"/>
          <w:marBottom w:val="0"/>
          <w:divBdr>
            <w:top w:val="none" w:sz="0" w:space="0" w:color="auto"/>
            <w:left w:val="none" w:sz="0" w:space="0" w:color="auto"/>
            <w:bottom w:val="none" w:sz="0" w:space="0" w:color="auto"/>
            <w:right w:val="none" w:sz="0" w:space="0" w:color="auto"/>
          </w:divBdr>
          <w:divsChild>
            <w:div w:id="274295318">
              <w:marLeft w:val="0"/>
              <w:marRight w:val="0"/>
              <w:marTop w:val="0"/>
              <w:marBottom w:val="0"/>
              <w:divBdr>
                <w:top w:val="none" w:sz="0" w:space="0" w:color="auto"/>
                <w:left w:val="none" w:sz="0" w:space="0" w:color="auto"/>
                <w:bottom w:val="none" w:sz="0" w:space="0" w:color="auto"/>
                <w:right w:val="none" w:sz="0" w:space="0" w:color="auto"/>
              </w:divBdr>
              <w:divsChild>
                <w:div w:id="14085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158662">
      <w:bodyDiv w:val="1"/>
      <w:marLeft w:val="0"/>
      <w:marRight w:val="0"/>
      <w:marTop w:val="0"/>
      <w:marBottom w:val="0"/>
      <w:divBdr>
        <w:top w:val="none" w:sz="0" w:space="0" w:color="auto"/>
        <w:left w:val="none" w:sz="0" w:space="0" w:color="auto"/>
        <w:bottom w:val="none" w:sz="0" w:space="0" w:color="auto"/>
        <w:right w:val="none" w:sz="0" w:space="0" w:color="auto"/>
      </w:divBdr>
      <w:divsChild>
        <w:div w:id="1780299154">
          <w:marLeft w:val="0"/>
          <w:marRight w:val="0"/>
          <w:marTop w:val="0"/>
          <w:marBottom w:val="0"/>
          <w:divBdr>
            <w:top w:val="none" w:sz="0" w:space="0" w:color="auto"/>
            <w:left w:val="none" w:sz="0" w:space="0" w:color="auto"/>
            <w:bottom w:val="none" w:sz="0" w:space="0" w:color="auto"/>
            <w:right w:val="none" w:sz="0" w:space="0" w:color="auto"/>
          </w:divBdr>
          <w:divsChild>
            <w:div w:id="843478230">
              <w:marLeft w:val="0"/>
              <w:marRight w:val="0"/>
              <w:marTop w:val="0"/>
              <w:marBottom w:val="0"/>
              <w:divBdr>
                <w:top w:val="none" w:sz="0" w:space="0" w:color="auto"/>
                <w:left w:val="none" w:sz="0" w:space="0" w:color="auto"/>
                <w:bottom w:val="none" w:sz="0" w:space="0" w:color="auto"/>
                <w:right w:val="none" w:sz="0" w:space="0" w:color="auto"/>
              </w:divBdr>
              <w:divsChild>
                <w:div w:id="1813213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737657">
      <w:bodyDiv w:val="1"/>
      <w:marLeft w:val="0"/>
      <w:marRight w:val="0"/>
      <w:marTop w:val="0"/>
      <w:marBottom w:val="0"/>
      <w:divBdr>
        <w:top w:val="none" w:sz="0" w:space="0" w:color="auto"/>
        <w:left w:val="none" w:sz="0" w:space="0" w:color="auto"/>
        <w:bottom w:val="none" w:sz="0" w:space="0" w:color="auto"/>
        <w:right w:val="none" w:sz="0" w:space="0" w:color="auto"/>
      </w:divBdr>
      <w:divsChild>
        <w:div w:id="1857765665">
          <w:marLeft w:val="0"/>
          <w:marRight w:val="0"/>
          <w:marTop w:val="0"/>
          <w:marBottom w:val="0"/>
          <w:divBdr>
            <w:top w:val="none" w:sz="0" w:space="0" w:color="auto"/>
            <w:left w:val="none" w:sz="0" w:space="0" w:color="auto"/>
            <w:bottom w:val="none" w:sz="0" w:space="0" w:color="auto"/>
            <w:right w:val="none" w:sz="0" w:space="0" w:color="auto"/>
          </w:divBdr>
          <w:divsChild>
            <w:div w:id="358048294">
              <w:marLeft w:val="0"/>
              <w:marRight w:val="0"/>
              <w:marTop w:val="0"/>
              <w:marBottom w:val="0"/>
              <w:divBdr>
                <w:top w:val="none" w:sz="0" w:space="0" w:color="auto"/>
                <w:left w:val="none" w:sz="0" w:space="0" w:color="auto"/>
                <w:bottom w:val="none" w:sz="0" w:space="0" w:color="auto"/>
                <w:right w:val="none" w:sz="0" w:space="0" w:color="auto"/>
              </w:divBdr>
              <w:divsChild>
                <w:div w:id="138964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396168">
      <w:bodyDiv w:val="1"/>
      <w:marLeft w:val="0"/>
      <w:marRight w:val="0"/>
      <w:marTop w:val="0"/>
      <w:marBottom w:val="0"/>
      <w:divBdr>
        <w:top w:val="none" w:sz="0" w:space="0" w:color="auto"/>
        <w:left w:val="none" w:sz="0" w:space="0" w:color="auto"/>
        <w:bottom w:val="none" w:sz="0" w:space="0" w:color="auto"/>
        <w:right w:val="none" w:sz="0" w:space="0" w:color="auto"/>
      </w:divBdr>
    </w:div>
    <w:div w:id="725421269">
      <w:bodyDiv w:val="1"/>
      <w:marLeft w:val="0"/>
      <w:marRight w:val="0"/>
      <w:marTop w:val="0"/>
      <w:marBottom w:val="0"/>
      <w:divBdr>
        <w:top w:val="none" w:sz="0" w:space="0" w:color="auto"/>
        <w:left w:val="none" w:sz="0" w:space="0" w:color="auto"/>
        <w:bottom w:val="none" w:sz="0" w:space="0" w:color="auto"/>
        <w:right w:val="none" w:sz="0" w:space="0" w:color="auto"/>
      </w:divBdr>
      <w:divsChild>
        <w:div w:id="311373271">
          <w:marLeft w:val="0"/>
          <w:marRight w:val="0"/>
          <w:marTop w:val="0"/>
          <w:marBottom w:val="0"/>
          <w:divBdr>
            <w:top w:val="none" w:sz="0" w:space="0" w:color="auto"/>
            <w:left w:val="none" w:sz="0" w:space="0" w:color="auto"/>
            <w:bottom w:val="none" w:sz="0" w:space="0" w:color="auto"/>
            <w:right w:val="none" w:sz="0" w:space="0" w:color="auto"/>
          </w:divBdr>
          <w:divsChild>
            <w:div w:id="2023890793">
              <w:marLeft w:val="0"/>
              <w:marRight w:val="0"/>
              <w:marTop w:val="0"/>
              <w:marBottom w:val="0"/>
              <w:divBdr>
                <w:top w:val="none" w:sz="0" w:space="0" w:color="auto"/>
                <w:left w:val="none" w:sz="0" w:space="0" w:color="auto"/>
                <w:bottom w:val="none" w:sz="0" w:space="0" w:color="auto"/>
                <w:right w:val="none" w:sz="0" w:space="0" w:color="auto"/>
              </w:divBdr>
              <w:divsChild>
                <w:div w:id="75729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9495744">
      <w:bodyDiv w:val="1"/>
      <w:marLeft w:val="0"/>
      <w:marRight w:val="0"/>
      <w:marTop w:val="0"/>
      <w:marBottom w:val="0"/>
      <w:divBdr>
        <w:top w:val="none" w:sz="0" w:space="0" w:color="auto"/>
        <w:left w:val="none" w:sz="0" w:space="0" w:color="auto"/>
        <w:bottom w:val="none" w:sz="0" w:space="0" w:color="auto"/>
        <w:right w:val="none" w:sz="0" w:space="0" w:color="auto"/>
      </w:divBdr>
    </w:div>
    <w:div w:id="743724879">
      <w:bodyDiv w:val="1"/>
      <w:marLeft w:val="0"/>
      <w:marRight w:val="0"/>
      <w:marTop w:val="0"/>
      <w:marBottom w:val="0"/>
      <w:divBdr>
        <w:top w:val="none" w:sz="0" w:space="0" w:color="auto"/>
        <w:left w:val="none" w:sz="0" w:space="0" w:color="auto"/>
        <w:bottom w:val="none" w:sz="0" w:space="0" w:color="auto"/>
        <w:right w:val="none" w:sz="0" w:space="0" w:color="auto"/>
      </w:divBdr>
      <w:divsChild>
        <w:div w:id="1964724608">
          <w:marLeft w:val="0"/>
          <w:marRight w:val="0"/>
          <w:marTop w:val="0"/>
          <w:marBottom w:val="0"/>
          <w:divBdr>
            <w:top w:val="none" w:sz="0" w:space="0" w:color="auto"/>
            <w:left w:val="none" w:sz="0" w:space="0" w:color="auto"/>
            <w:bottom w:val="none" w:sz="0" w:space="0" w:color="auto"/>
            <w:right w:val="none" w:sz="0" w:space="0" w:color="auto"/>
          </w:divBdr>
          <w:divsChild>
            <w:div w:id="807279714">
              <w:marLeft w:val="0"/>
              <w:marRight w:val="0"/>
              <w:marTop w:val="0"/>
              <w:marBottom w:val="0"/>
              <w:divBdr>
                <w:top w:val="none" w:sz="0" w:space="0" w:color="auto"/>
                <w:left w:val="none" w:sz="0" w:space="0" w:color="auto"/>
                <w:bottom w:val="none" w:sz="0" w:space="0" w:color="auto"/>
                <w:right w:val="none" w:sz="0" w:space="0" w:color="auto"/>
              </w:divBdr>
              <w:divsChild>
                <w:div w:id="191026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607988">
      <w:bodyDiv w:val="1"/>
      <w:marLeft w:val="0"/>
      <w:marRight w:val="0"/>
      <w:marTop w:val="0"/>
      <w:marBottom w:val="0"/>
      <w:divBdr>
        <w:top w:val="none" w:sz="0" w:space="0" w:color="auto"/>
        <w:left w:val="none" w:sz="0" w:space="0" w:color="auto"/>
        <w:bottom w:val="none" w:sz="0" w:space="0" w:color="auto"/>
        <w:right w:val="none" w:sz="0" w:space="0" w:color="auto"/>
      </w:divBdr>
      <w:divsChild>
        <w:div w:id="1061631801">
          <w:marLeft w:val="0"/>
          <w:marRight w:val="0"/>
          <w:marTop w:val="0"/>
          <w:marBottom w:val="0"/>
          <w:divBdr>
            <w:top w:val="none" w:sz="0" w:space="0" w:color="auto"/>
            <w:left w:val="none" w:sz="0" w:space="0" w:color="auto"/>
            <w:bottom w:val="none" w:sz="0" w:space="0" w:color="auto"/>
            <w:right w:val="none" w:sz="0" w:space="0" w:color="auto"/>
          </w:divBdr>
          <w:divsChild>
            <w:div w:id="300160480">
              <w:marLeft w:val="0"/>
              <w:marRight w:val="0"/>
              <w:marTop w:val="0"/>
              <w:marBottom w:val="0"/>
              <w:divBdr>
                <w:top w:val="none" w:sz="0" w:space="0" w:color="auto"/>
                <w:left w:val="none" w:sz="0" w:space="0" w:color="auto"/>
                <w:bottom w:val="none" w:sz="0" w:space="0" w:color="auto"/>
                <w:right w:val="none" w:sz="0" w:space="0" w:color="auto"/>
              </w:divBdr>
              <w:divsChild>
                <w:div w:id="425923529">
                  <w:marLeft w:val="0"/>
                  <w:marRight w:val="0"/>
                  <w:marTop w:val="0"/>
                  <w:marBottom w:val="0"/>
                  <w:divBdr>
                    <w:top w:val="none" w:sz="0" w:space="0" w:color="auto"/>
                    <w:left w:val="none" w:sz="0" w:space="0" w:color="auto"/>
                    <w:bottom w:val="none" w:sz="0" w:space="0" w:color="auto"/>
                    <w:right w:val="none" w:sz="0" w:space="0" w:color="auto"/>
                  </w:divBdr>
                  <w:divsChild>
                    <w:div w:id="945775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6928059">
      <w:bodyDiv w:val="1"/>
      <w:marLeft w:val="0"/>
      <w:marRight w:val="0"/>
      <w:marTop w:val="0"/>
      <w:marBottom w:val="0"/>
      <w:divBdr>
        <w:top w:val="none" w:sz="0" w:space="0" w:color="auto"/>
        <w:left w:val="none" w:sz="0" w:space="0" w:color="auto"/>
        <w:bottom w:val="none" w:sz="0" w:space="0" w:color="auto"/>
        <w:right w:val="none" w:sz="0" w:space="0" w:color="auto"/>
      </w:divBdr>
      <w:divsChild>
        <w:div w:id="604651219">
          <w:marLeft w:val="0"/>
          <w:marRight w:val="0"/>
          <w:marTop w:val="0"/>
          <w:marBottom w:val="0"/>
          <w:divBdr>
            <w:top w:val="none" w:sz="0" w:space="0" w:color="auto"/>
            <w:left w:val="none" w:sz="0" w:space="0" w:color="auto"/>
            <w:bottom w:val="none" w:sz="0" w:space="0" w:color="auto"/>
            <w:right w:val="none" w:sz="0" w:space="0" w:color="auto"/>
          </w:divBdr>
          <w:divsChild>
            <w:div w:id="391928906">
              <w:marLeft w:val="0"/>
              <w:marRight w:val="0"/>
              <w:marTop w:val="0"/>
              <w:marBottom w:val="0"/>
              <w:divBdr>
                <w:top w:val="none" w:sz="0" w:space="0" w:color="auto"/>
                <w:left w:val="none" w:sz="0" w:space="0" w:color="auto"/>
                <w:bottom w:val="none" w:sz="0" w:space="0" w:color="auto"/>
                <w:right w:val="none" w:sz="0" w:space="0" w:color="auto"/>
              </w:divBdr>
              <w:divsChild>
                <w:div w:id="181095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944056">
      <w:bodyDiv w:val="1"/>
      <w:marLeft w:val="0"/>
      <w:marRight w:val="0"/>
      <w:marTop w:val="0"/>
      <w:marBottom w:val="0"/>
      <w:divBdr>
        <w:top w:val="none" w:sz="0" w:space="0" w:color="auto"/>
        <w:left w:val="none" w:sz="0" w:space="0" w:color="auto"/>
        <w:bottom w:val="none" w:sz="0" w:space="0" w:color="auto"/>
        <w:right w:val="none" w:sz="0" w:space="0" w:color="auto"/>
      </w:divBdr>
    </w:div>
    <w:div w:id="775366805">
      <w:bodyDiv w:val="1"/>
      <w:marLeft w:val="0"/>
      <w:marRight w:val="0"/>
      <w:marTop w:val="0"/>
      <w:marBottom w:val="0"/>
      <w:divBdr>
        <w:top w:val="none" w:sz="0" w:space="0" w:color="auto"/>
        <w:left w:val="none" w:sz="0" w:space="0" w:color="auto"/>
        <w:bottom w:val="none" w:sz="0" w:space="0" w:color="auto"/>
        <w:right w:val="none" w:sz="0" w:space="0" w:color="auto"/>
      </w:divBdr>
      <w:divsChild>
        <w:div w:id="1683626050">
          <w:marLeft w:val="0"/>
          <w:marRight w:val="0"/>
          <w:marTop w:val="0"/>
          <w:marBottom w:val="0"/>
          <w:divBdr>
            <w:top w:val="none" w:sz="0" w:space="0" w:color="auto"/>
            <w:left w:val="none" w:sz="0" w:space="0" w:color="auto"/>
            <w:bottom w:val="none" w:sz="0" w:space="0" w:color="auto"/>
            <w:right w:val="none" w:sz="0" w:space="0" w:color="auto"/>
          </w:divBdr>
          <w:divsChild>
            <w:div w:id="39475569">
              <w:marLeft w:val="0"/>
              <w:marRight w:val="0"/>
              <w:marTop w:val="0"/>
              <w:marBottom w:val="0"/>
              <w:divBdr>
                <w:top w:val="none" w:sz="0" w:space="0" w:color="auto"/>
                <w:left w:val="none" w:sz="0" w:space="0" w:color="auto"/>
                <w:bottom w:val="none" w:sz="0" w:space="0" w:color="auto"/>
                <w:right w:val="none" w:sz="0" w:space="0" w:color="auto"/>
              </w:divBdr>
              <w:divsChild>
                <w:div w:id="1802654716">
                  <w:marLeft w:val="0"/>
                  <w:marRight w:val="0"/>
                  <w:marTop w:val="0"/>
                  <w:marBottom w:val="0"/>
                  <w:divBdr>
                    <w:top w:val="none" w:sz="0" w:space="0" w:color="auto"/>
                    <w:left w:val="none" w:sz="0" w:space="0" w:color="auto"/>
                    <w:bottom w:val="none" w:sz="0" w:space="0" w:color="auto"/>
                    <w:right w:val="none" w:sz="0" w:space="0" w:color="auto"/>
                  </w:divBdr>
                </w:div>
              </w:divsChild>
            </w:div>
            <w:div w:id="1059476085">
              <w:marLeft w:val="0"/>
              <w:marRight w:val="0"/>
              <w:marTop w:val="0"/>
              <w:marBottom w:val="0"/>
              <w:divBdr>
                <w:top w:val="none" w:sz="0" w:space="0" w:color="auto"/>
                <w:left w:val="none" w:sz="0" w:space="0" w:color="auto"/>
                <w:bottom w:val="none" w:sz="0" w:space="0" w:color="auto"/>
                <w:right w:val="none" w:sz="0" w:space="0" w:color="auto"/>
              </w:divBdr>
              <w:divsChild>
                <w:div w:id="196152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198925">
          <w:marLeft w:val="0"/>
          <w:marRight w:val="0"/>
          <w:marTop w:val="0"/>
          <w:marBottom w:val="0"/>
          <w:divBdr>
            <w:top w:val="none" w:sz="0" w:space="0" w:color="auto"/>
            <w:left w:val="none" w:sz="0" w:space="0" w:color="auto"/>
            <w:bottom w:val="none" w:sz="0" w:space="0" w:color="auto"/>
            <w:right w:val="none" w:sz="0" w:space="0" w:color="auto"/>
          </w:divBdr>
          <w:divsChild>
            <w:div w:id="1776098072">
              <w:marLeft w:val="0"/>
              <w:marRight w:val="0"/>
              <w:marTop w:val="0"/>
              <w:marBottom w:val="0"/>
              <w:divBdr>
                <w:top w:val="none" w:sz="0" w:space="0" w:color="auto"/>
                <w:left w:val="none" w:sz="0" w:space="0" w:color="auto"/>
                <w:bottom w:val="none" w:sz="0" w:space="0" w:color="auto"/>
                <w:right w:val="none" w:sz="0" w:space="0" w:color="auto"/>
              </w:divBdr>
              <w:divsChild>
                <w:div w:id="717364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029179">
      <w:bodyDiv w:val="1"/>
      <w:marLeft w:val="0"/>
      <w:marRight w:val="0"/>
      <w:marTop w:val="0"/>
      <w:marBottom w:val="0"/>
      <w:divBdr>
        <w:top w:val="none" w:sz="0" w:space="0" w:color="auto"/>
        <w:left w:val="none" w:sz="0" w:space="0" w:color="auto"/>
        <w:bottom w:val="none" w:sz="0" w:space="0" w:color="auto"/>
        <w:right w:val="none" w:sz="0" w:space="0" w:color="auto"/>
      </w:divBdr>
      <w:divsChild>
        <w:div w:id="737436807">
          <w:marLeft w:val="0"/>
          <w:marRight w:val="0"/>
          <w:marTop w:val="0"/>
          <w:marBottom w:val="0"/>
          <w:divBdr>
            <w:top w:val="none" w:sz="0" w:space="0" w:color="auto"/>
            <w:left w:val="none" w:sz="0" w:space="0" w:color="auto"/>
            <w:bottom w:val="none" w:sz="0" w:space="0" w:color="auto"/>
            <w:right w:val="none" w:sz="0" w:space="0" w:color="auto"/>
          </w:divBdr>
          <w:divsChild>
            <w:div w:id="740912527">
              <w:marLeft w:val="0"/>
              <w:marRight w:val="0"/>
              <w:marTop w:val="0"/>
              <w:marBottom w:val="0"/>
              <w:divBdr>
                <w:top w:val="none" w:sz="0" w:space="0" w:color="auto"/>
                <w:left w:val="none" w:sz="0" w:space="0" w:color="auto"/>
                <w:bottom w:val="none" w:sz="0" w:space="0" w:color="auto"/>
                <w:right w:val="none" w:sz="0" w:space="0" w:color="auto"/>
              </w:divBdr>
              <w:divsChild>
                <w:div w:id="1336880633">
                  <w:marLeft w:val="0"/>
                  <w:marRight w:val="0"/>
                  <w:marTop w:val="0"/>
                  <w:marBottom w:val="0"/>
                  <w:divBdr>
                    <w:top w:val="none" w:sz="0" w:space="0" w:color="auto"/>
                    <w:left w:val="none" w:sz="0" w:space="0" w:color="auto"/>
                    <w:bottom w:val="none" w:sz="0" w:space="0" w:color="auto"/>
                    <w:right w:val="none" w:sz="0" w:space="0" w:color="auto"/>
                  </w:divBdr>
                  <w:divsChild>
                    <w:div w:id="102059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8842151">
      <w:bodyDiv w:val="1"/>
      <w:marLeft w:val="0"/>
      <w:marRight w:val="0"/>
      <w:marTop w:val="0"/>
      <w:marBottom w:val="0"/>
      <w:divBdr>
        <w:top w:val="none" w:sz="0" w:space="0" w:color="auto"/>
        <w:left w:val="none" w:sz="0" w:space="0" w:color="auto"/>
        <w:bottom w:val="none" w:sz="0" w:space="0" w:color="auto"/>
        <w:right w:val="none" w:sz="0" w:space="0" w:color="auto"/>
      </w:divBdr>
      <w:divsChild>
        <w:div w:id="1998604648">
          <w:marLeft w:val="0"/>
          <w:marRight w:val="0"/>
          <w:marTop w:val="0"/>
          <w:marBottom w:val="0"/>
          <w:divBdr>
            <w:top w:val="none" w:sz="0" w:space="0" w:color="auto"/>
            <w:left w:val="none" w:sz="0" w:space="0" w:color="auto"/>
            <w:bottom w:val="none" w:sz="0" w:space="0" w:color="auto"/>
            <w:right w:val="none" w:sz="0" w:space="0" w:color="auto"/>
          </w:divBdr>
          <w:divsChild>
            <w:div w:id="185021844">
              <w:marLeft w:val="0"/>
              <w:marRight w:val="0"/>
              <w:marTop w:val="0"/>
              <w:marBottom w:val="0"/>
              <w:divBdr>
                <w:top w:val="none" w:sz="0" w:space="0" w:color="auto"/>
                <w:left w:val="none" w:sz="0" w:space="0" w:color="auto"/>
                <w:bottom w:val="none" w:sz="0" w:space="0" w:color="auto"/>
                <w:right w:val="none" w:sz="0" w:space="0" w:color="auto"/>
              </w:divBdr>
              <w:divsChild>
                <w:div w:id="734594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773060">
      <w:bodyDiv w:val="1"/>
      <w:marLeft w:val="0"/>
      <w:marRight w:val="0"/>
      <w:marTop w:val="0"/>
      <w:marBottom w:val="0"/>
      <w:divBdr>
        <w:top w:val="none" w:sz="0" w:space="0" w:color="auto"/>
        <w:left w:val="none" w:sz="0" w:space="0" w:color="auto"/>
        <w:bottom w:val="none" w:sz="0" w:space="0" w:color="auto"/>
        <w:right w:val="none" w:sz="0" w:space="0" w:color="auto"/>
      </w:divBdr>
    </w:div>
    <w:div w:id="810638084">
      <w:bodyDiv w:val="1"/>
      <w:marLeft w:val="0"/>
      <w:marRight w:val="0"/>
      <w:marTop w:val="0"/>
      <w:marBottom w:val="0"/>
      <w:divBdr>
        <w:top w:val="none" w:sz="0" w:space="0" w:color="auto"/>
        <w:left w:val="none" w:sz="0" w:space="0" w:color="auto"/>
        <w:bottom w:val="none" w:sz="0" w:space="0" w:color="auto"/>
        <w:right w:val="none" w:sz="0" w:space="0" w:color="auto"/>
      </w:divBdr>
    </w:div>
    <w:div w:id="818696008">
      <w:bodyDiv w:val="1"/>
      <w:marLeft w:val="0"/>
      <w:marRight w:val="0"/>
      <w:marTop w:val="0"/>
      <w:marBottom w:val="0"/>
      <w:divBdr>
        <w:top w:val="none" w:sz="0" w:space="0" w:color="auto"/>
        <w:left w:val="none" w:sz="0" w:space="0" w:color="auto"/>
        <w:bottom w:val="none" w:sz="0" w:space="0" w:color="auto"/>
        <w:right w:val="none" w:sz="0" w:space="0" w:color="auto"/>
      </w:divBdr>
    </w:div>
    <w:div w:id="830371213">
      <w:bodyDiv w:val="1"/>
      <w:marLeft w:val="0"/>
      <w:marRight w:val="0"/>
      <w:marTop w:val="0"/>
      <w:marBottom w:val="0"/>
      <w:divBdr>
        <w:top w:val="none" w:sz="0" w:space="0" w:color="auto"/>
        <w:left w:val="none" w:sz="0" w:space="0" w:color="auto"/>
        <w:bottom w:val="none" w:sz="0" w:space="0" w:color="auto"/>
        <w:right w:val="none" w:sz="0" w:space="0" w:color="auto"/>
      </w:divBdr>
      <w:divsChild>
        <w:div w:id="16780927">
          <w:marLeft w:val="0"/>
          <w:marRight w:val="0"/>
          <w:marTop w:val="0"/>
          <w:marBottom w:val="0"/>
          <w:divBdr>
            <w:top w:val="none" w:sz="0" w:space="0" w:color="auto"/>
            <w:left w:val="none" w:sz="0" w:space="0" w:color="auto"/>
            <w:bottom w:val="none" w:sz="0" w:space="0" w:color="auto"/>
            <w:right w:val="none" w:sz="0" w:space="0" w:color="auto"/>
          </w:divBdr>
          <w:divsChild>
            <w:div w:id="1860074535">
              <w:marLeft w:val="0"/>
              <w:marRight w:val="0"/>
              <w:marTop w:val="0"/>
              <w:marBottom w:val="0"/>
              <w:divBdr>
                <w:top w:val="none" w:sz="0" w:space="0" w:color="auto"/>
                <w:left w:val="none" w:sz="0" w:space="0" w:color="auto"/>
                <w:bottom w:val="none" w:sz="0" w:space="0" w:color="auto"/>
                <w:right w:val="none" w:sz="0" w:space="0" w:color="auto"/>
              </w:divBdr>
              <w:divsChild>
                <w:div w:id="1203403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539118">
      <w:bodyDiv w:val="1"/>
      <w:marLeft w:val="0"/>
      <w:marRight w:val="0"/>
      <w:marTop w:val="0"/>
      <w:marBottom w:val="0"/>
      <w:divBdr>
        <w:top w:val="none" w:sz="0" w:space="0" w:color="auto"/>
        <w:left w:val="none" w:sz="0" w:space="0" w:color="auto"/>
        <w:bottom w:val="none" w:sz="0" w:space="0" w:color="auto"/>
        <w:right w:val="none" w:sz="0" w:space="0" w:color="auto"/>
      </w:divBdr>
      <w:divsChild>
        <w:div w:id="1505784644">
          <w:marLeft w:val="0"/>
          <w:marRight w:val="0"/>
          <w:marTop w:val="0"/>
          <w:marBottom w:val="0"/>
          <w:divBdr>
            <w:top w:val="none" w:sz="0" w:space="0" w:color="auto"/>
            <w:left w:val="none" w:sz="0" w:space="0" w:color="auto"/>
            <w:bottom w:val="none" w:sz="0" w:space="0" w:color="auto"/>
            <w:right w:val="none" w:sz="0" w:space="0" w:color="auto"/>
          </w:divBdr>
          <w:divsChild>
            <w:div w:id="547112330">
              <w:marLeft w:val="0"/>
              <w:marRight w:val="0"/>
              <w:marTop w:val="0"/>
              <w:marBottom w:val="0"/>
              <w:divBdr>
                <w:top w:val="none" w:sz="0" w:space="0" w:color="auto"/>
                <w:left w:val="none" w:sz="0" w:space="0" w:color="auto"/>
                <w:bottom w:val="none" w:sz="0" w:space="0" w:color="auto"/>
                <w:right w:val="none" w:sz="0" w:space="0" w:color="auto"/>
              </w:divBdr>
              <w:divsChild>
                <w:div w:id="333996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596969">
      <w:bodyDiv w:val="1"/>
      <w:marLeft w:val="0"/>
      <w:marRight w:val="0"/>
      <w:marTop w:val="0"/>
      <w:marBottom w:val="0"/>
      <w:divBdr>
        <w:top w:val="none" w:sz="0" w:space="0" w:color="auto"/>
        <w:left w:val="none" w:sz="0" w:space="0" w:color="auto"/>
        <w:bottom w:val="none" w:sz="0" w:space="0" w:color="auto"/>
        <w:right w:val="none" w:sz="0" w:space="0" w:color="auto"/>
      </w:divBdr>
      <w:divsChild>
        <w:div w:id="1967153974">
          <w:marLeft w:val="0"/>
          <w:marRight w:val="0"/>
          <w:marTop w:val="0"/>
          <w:marBottom w:val="0"/>
          <w:divBdr>
            <w:top w:val="none" w:sz="0" w:space="0" w:color="auto"/>
            <w:left w:val="none" w:sz="0" w:space="0" w:color="auto"/>
            <w:bottom w:val="none" w:sz="0" w:space="0" w:color="auto"/>
            <w:right w:val="none" w:sz="0" w:space="0" w:color="auto"/>
          </w:divBdr>
          <w:divsChild>
            <w:div w:id="1792625952">
              <w:marLeft w:val="0"/>
              <w:marRight w:val="0"/>
              <w:marTop w:val="0"/>
              <w:marBottom w:val="0"/>
              <w:divBdr>
                <w:top w:val="none" w:sz="0" w:space="0" w:color="auto"/>
                <w:left w:val="none" w:sz="0" w:space="0" w:color="auto"/>
                <w:bottom w:val="none" w:sz="0" w:space="0" w:color="auto"/>
                <w:right w:val="none" w:sz="0" w:space="0" w:color="auto"/>
              </w:divBdr>
              <w:divsChild>
                <w:div w:id="4148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527164">
      <w:bodyDiv w:val="1"/>
      <w:marLeft w:val="0"/>
      <w:marRight w:val="0"/>
      <w:marTop w:val="0"/>
      <w:marBottom w:val="0"/>
      <w:divBdr>
        <w:top w:val="none" w:sz="0" w:space="0" w:color="auto"/>
        <w:left w:val="none" w:sz="0" w:space="0" w:color="auto"/>
        <w:bottom w:val="none" w:sz="0" w:space="0" w:color="auto"/>
        <w:right w:val="none" w:sz="0" w:space="0" w:color="auto"/>
      </w:divBdr>
      <w:divsChild>
        <w:div w:id="230971329">
          <w:marLeft w:val="0"/>
          <w:marRight w:val="0"/>
          <w:marTop w:val="0"/>
          <w:marBottom w:val="0"/>
          <w:divBdr>
            <w:top w:val="none" w:sz="0" w:space="0" w:color="auto"/>
            <w:left w:val="none" w:sz="0" w:space="0" w:color="auto"/>
            <w:bottom w:val="none" w:sz="0" w:space="0" w:color="auto"/>
            <w:right w:val="none" w:sz="0" w:space="0" w:color="auto"/>
          </w:divBdr>
          <w:divsChild>
            <w:div w:id="1217088965">
              <w:marLeft w:val="0"/>
              <w:marRight w:val="0"/>
              <w:marTop w:val="0"/>
              <w:marBottom w:val="0"/>
              <w:divBdr>
                <w:top w:val="none" w:sz="0" w:space="0" w:color="auto"/>
                <w:left w:val="none" w:sz="0" w:space="0" w:color="auto"/>
                <w:bottom w:val="none" w:sz="0" w:space="0" w:color="auto"/>
                <w:right w:val="none" w:sz="0" w:space="0" w:color="auto"/>
              </w:divBdr>
              <w:divsChild>
                <w:div w:id="1353654873">
                  <w:marLeft w:val="0"/>
                  <w:marRight w:val="0"/>
                  <w:marTop w:val="0"/>
                  <w:marBottom w:val="0"/>
                  <w:divBdr>
                    <w:top w:val="none" w:sz="0" w:space="0" w:color="auto"/>
                    <w:left w:val="none" w:sz="0" w:space="0" w:color="auto"/>
                    <w:bottom w:val="none" w:sz="0" w:space="0" w:color="auto"/>
                    <w:right w:val="none" w:sz="0" w:space="0" w:color="auto"/>
                  </w:divBdr>
                </w:div>
              </w:divsChild>
            </w:div>
            <w:div w:id="1641882727">
              <w:marLeft w:val="0"/>
              <w:marRight w:val="0"/>
              <w:marTop w:val="0"/>
              <w:marBottom w:val="0"/>
              <w:divBdr>
                <w:top w:val="none" w:sz="0" w:space="0" w:color="auto"/>
                <w:left w:val="none" w:sz="0" w:space="0" w:color="auto"/>
                <w:bottom w:val="none" w:sz="0" w:space="0" w:color="auto"/>
                <w:right w:val="none" w:sz="0" w:space="0" w:color="auto"/>
              </w:divBdr>
              <w:divsChild>
                <w:div w:id="57261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95726">
          <w:marLeft w:val="0"/>
          <w:marRight w:val="0"/>
          <w:marTop w:val="0"/>
          <w:marBottom w:val="0"/>
          <w:divBdr>
            <w:top w:val="none" w:sz="0" w:space="0" w:color="auto"/>
            <w:left w:val="none" w:sz="0" w:space="0" w:color="auto"/>
            <w:bottom w:val="none" w:sz="0" w:space="0" w:color="auto"/>
            <w:right w:val="none" w:sz="0" w:space="0" w:color="auto"/>
          </w:divBdr>
          <w:divsChild>
            <w:div w:id="2093769335">
              <w:marLeft w:val="0"/>
              <w:marRight w:val="0"/>
              <w:marTop w:val="0"/>
              <w:marBottom w:val="0"/>
              <w:divBdr>
                <w:top w:val="none" w:sz="0" w:space="0" w:color="auto"/>
                <w:left w:val="none" w:sz="0" w:space="0" w:color="auto"/>
                <w:bottom w:val="none" w:sz="0" w:space="0" w:color="auto"/>
                <w:right w:val="none" w:sz="0" w:space="0" w:color="auto"/>
              </w:divBdr>
              <w:divsChild>
                <w:div w:id="702942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653322">
      <w:bodyDiv w:val="1"/>
      <w:marLeft w:val="0"/>
      <w:marRight w:val="0"/>
      <w:marTop w:val="0"/>
      <w:marBottom w:val="0"/>
      <w:divBdr>
        <w:top w:val="none" w:sz="0" w:space="0" w:color="auto"/>
        <w:left w:val="none" w:sz="0" w:space="0" w:color="auto"/>
        <w:bottom w:val="none" w:sz="0" w:space="0" w:color="auto"/>
        <w:right w:val="none" w:sz="0" w:space="0" w:color="auto"/>
      </w:divBdr>
      <w:divsChild>
        <w:div w:id="1496066269">
          <w:marLeft w:val="0"/>
          <w:marRight w:val="0"/>
          <w:marTop w:val="0"/>
          <w:marBottom w:val="0"/>
          <w:divBdr>
            <w:top w:val="none" w:sz="0" w:space="0" w:color="auto"/>
            <w:left w:val="none" w:sz="0" w:space="0" w:color="auto"/>
            <w:bottom w:val="none" w:sz="0" w:space="0" w:color="auto"/>
            <w:right w:val="none" w:sz="0" w:space="0" w:color="auto"/>
          </w:divBdr>
          <w:divsChild>
            <w:div w:id="691109769">
              <w:marLeft w:val="0"/>
              <w:marRight w:val="0"/>
              <w:marTop w:val="0"/>
              <w:marBottom w:val="0"/>
              <w:divBdr>
                <w:top w:val="none" w:sz="0" w:space="0" w:color="auto"/>
                <w:left w:val="none" w:sz="0" w:space="0" w:color="auto"/>
                <w:bottom w:val="none" w:sz="0" w:space="0" w:color="auto"/>
                <w:right w:val="none" w:sz="0" w:space="0" w:color="auto"/>
              </w:divBdr>
              <w:divsChild>
                <w:div w:id="1593081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091703">
      <w:bodyDiv w:val="1"/>
      <w:marLeft w:val="0"/>
      <w:marRight w:val="0"/>
      <w:marTop w:val="0"/>
      <w:marBottom w:val="0"/>
      <w:divBdr>
        <w:top w:val="none" w:sz="0" w:space="0" w:color="auto"/>
        <w:left w:val="none" w:sz="0" w:space="0" w:color="auto"/>
        <w:bottom w:val="none" w:sz="0" w:space="0" w:color="auto"/>
        <w:right w:val="none" w:sz="0" w:space="0" w:color="auto"/>
      </w:divBdr>
    </w:div>
    <w:div w:id="897742951">
      <w:bodyDiv w:val="1"/>
      <w:marLeft w:val="0"/>
      <w:marRight w:val="0"/>
      <w:marTop w:val="0"/>
      <w:marBottom w:val="0"/>
      <w:divBdr>
        <w:top w:val="none" w:sz="0" w:space="0" w:color="auto"/>
        <w:left w:val="none" w:sz="0" w:space="0" w:color="auto"/>
        <w:bottom w:val="none" w:sz="0" w:space="0" w:color="auto"/>
        <w:right w:val="none" w:sz="0" w:space="0" w:color="auto"/>
      </w:divBdr>
      <w:divsChild>
        <w:div w:id="1916889270">
          <w:marLeft w:val="0"/>
          <w:marRight w:val="0"/>
          <w:marTop w:val="0"/>
          <w:marBottom w:val="0"/>
          <w:divBdr>
            <w:top w:val="none" w:sz="0" w:space="0" w:color="auto"/>
            <w:left w:val="none" w:sz="0" w:space="0" w:color="auto"/>
            <w:bottom w:val="none" w:sz="0" w:space="0" w:color="auto"/>
            <w:right w:val="none" w:sz="0" w:space="0" w:color="auto"/>
          </w:divBdr>
          <w:divsChild>
            <w:div w:id="103968015">
              <w:marLeft w:val="0"/>
              <w:marRight w:val="0"/>
              <w:marTop w:val="0"/>
              <w:marBottom w:val="0"/>
              <w:divBdr>
                <w:top w:val="none" w:sz="0" w:space="0" w:color="auto"/>
                <w:left w:val="none" w:sz="0" w:space="0" w:color="auto"/>
                <w:bottom w:val="none" w:sz="0" w:space="0" w:color="auto"/>
                <w:right w:val="none" w:sz="0" w:space="0" w:color="auto"/>
              </w:divBdr>
              <w:divsChild>
                <w:div w:id="5242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202985">
      <w:bodyDiv w:val="1"/>
      <w:marLeft w:val="0"/>
      <w:marRight w:val="0"/>
      <w:marTop w:val="0"/>
      <w:marBottom w:val="0"/>
      <w:divBdr>
        <w:top w:val="none" w:sz="0" w:space="0" w:color="auto"/>
        <w:left w:val="none" w:sz="0" w:space="0" w:color="auto"/>
        <w:bottom w:val="none" w:sz="0" w:space="0" w:color="auto"/>
        <w:right w:val="none" w:sz="0" w:space="0" w:color="auto"/>
      </w:divBdr>
    </w:div>
    <w:div w:id="931936480">
      <w:bodyDiv w:val="1"/>
      <w:marLeft w:val="0"/>
      <w:marRight w:val="0"/>
      <w:marTop w:val="0"/>
      <w:marBottom w:val="0"/>
      <w:divBdr>
        <w:top w:val="none" w:sz="0" w:space="0" w:color="auto"/>
        <w:left w:val="none" w:sz="0" w:space="0" w:color="auto"/>
        <w:bottom w:val="none" w:sz="0" w:space="0" w:color="auto"/>
        <w:right w:val="none" w:sz="0" w:space="0" w:color="auto"/>
      </w:divBdr>
      <w:divsChild>
        <w:div w:id="507642251">
          <w:marLeft w:val="0"/>
          <w:marRight w:val="0"/>
          <w:marTop w:val="0"/>
          <w:marBottom w:val="0"/>
          <w:divBdr>
            <w:top w:val="none" w:sz="0" w:space="0" w:color="auto"/>
            <w:left w:val="none" w:sz="0" w:space="0" w:color="auto"/>
            <w:bottom w:val="none" w:sz="0" w:space="0" w:color="auto"/>
            <w:right w:val="none" w:sz="0" w:space="0" w:color="auto"/>
          </w:divBdr>
          <w:divsChild>
            <w:div w:id="699551660">
              <w:marLeft w:val="0"/>
              <w:marRight w:val="0"/>
              <w:marTop w:val="0"/>
              <w:marBottom w:val="0"/>
              <w:divBdr>
                <w:top w:val="none" w:sz="0" w:space="0" w:color="auto"/>
                <w:left w:val="none" w:sz="0" w:space="0" w:color="auto"/>
                <w:bottom w:val="none" w:sz="0" w:space="0" w:color="auto"/>
                <w:right w:val="none" w:sz="0" w:space="0" w:color="auto"/>
              </w:divBdr>
              <w:divsChild>
                <w:div w:id="144488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048508">
      <w:bodyDiv w:val="1"/>
      <w:marLeft w:val="0"/>
      <w:marRight w:val="0"/>
      <w:marTop w:val="0"/>
      <w:marBottom w:val="0"/>
      <w:divBdr>
        <w:top w:val="none" w:sz="0" w:space="0" w:color="auto"/>
        <w:left w:val="none" w:sz="0" w:space="0" w:color="auto"/>
        <w:bottom w:val="none" w:sz="0" w:space="0" w:color="auto"/>
        <w:right w:val="none" w:sz="0" w:space="0" w:color="auto"/>
      </w:divBdr>
      <w:divsChild>
        <w:div w:id="335613561">
          <w:marLeft w:val="0"/>
          <w:marRight w:val="0"/>
          <w:marTop w:val="0"/>
          <w:marBottom w:val="0"/>
          <w:divBdr>
            <w:top w:val="none" w:sz="0" w:space="0" w:color="auto"/>
            <w:left w:val="none" w:sz="0" w:space="0" w:color="auto"/>
            <w:bottom w:val="none" w:sz="0" w:space="0" w:color="auto"/>
            <w:right w:val="none" w:sz="0" w:space="0" w:color="auto"/>
          </w:divBdr>
          <w:divsChild>
            <w:div w:id="1889954964">
              <w:marLeft w:val="0"/>
              <w:marRight w:val="0"/>
              <w:marTop w:val="0"/>
              <w:marBottom w:val="0"/>
              <w:divBdr>
                <w:top w:val="none" w:sz="0" w:space="0" w:color="auto"/>
                <w:left w:val="none" w:sz="0" w:space="0" w:color="auto"/>
                <w:bottom w:val="none" w:sz="0" w:space="0" w:color="auto"/>
                <w:right w:val="none" w:sz="0" w:space="0" w:color="auto"/>
              </w:divBdr>
              <w:divsChild>
                <w:div w:id="1308318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380578">
      <w:bodyDiv w:val="1"/>
      <w:marLeft w:val="0"/>
      <w:marRight w:val="0"/>
      <w:marTop w:val="0"/>
      <w:marBottom w:val="0"/>
      <w:divBdr>
        <w:top w:val="none" w:sz="0" w:space="0" w:color="auto"/>
        <w:left w:val="none" w:sz="0" w:space="0" w:color="auto"/>
        <w:bottom w:val="none" w:sz="0" w:space="0" w:color="auto"/>
        <w:right w:val="none" w:sz="0" w:space="0" w:color="auto"/>
      </w:divBdr>
    </w:div>
    <w:div w:id="948004584">
      <w:bodyDiv w:val="1"/>
      <w:marLeft w:val="0"/>
      <w:marRight w:val="0"/>
      <w:marTop w:val="0"/>
      <w:marBottom w:val="0"/>
      <w:divBdr>
        <w:top w:val="none" w:sz="0" w:space="0" w:color="auto"/>
        <w:left w:val="none" w:sz="0" w:space="0" w:color="auto"/>
        <w:bottom w:val="none" w:sz="0" w:space="0" w:color="auto"/>
        <w:right w:val="none" w:sz="0" w:space="0" w:color="auto"/>
      </w:divBdr>
      <w:divsChild>
        <w:div w:id="949169777">
          <w:marLeft w:val="0"/>
          <w:marRight w:val="0"/>
          <w:marTop w:val="0"/>
          <w:marBottom w:val="0"/>
          <w:divBdr>
            <w:top w:val="none" w:sz="0" w:space="0" w:color="auto"/>
            <w:left w:val="none" w:sz="0" w:space="0" w:color="auto"/>
            <w:bottom w:val="none" w:sz="0" w:space="0" w:color="auto"/>
            <w:right w:val="none" w:sz="0" w:space="0" w:color="auto"/>
          </w:divBdr>
          <w:divsChild>
            <w:div w:id="1985163179">
              <w:marLeft w:val="0"/>
              <w:marRight w:val="0"/>
              <w:marTop w:val="0"/>
              <w:marBottom w:val="0"/>
              <w:divBdr>
                <w:top w:val="none" w:sz="0" w:space="0" w:color="auto"/>
                <w:left w:val="none" w:sz="0" w:space="0" w:color="auto"/>
                <w:bottom w:val="none" w:sz="0" w:space="0" w:color="auto"/>
                <w:right w:val="none" w:sz="0" w:space="0" w:color="auto"/>
              </w:divBdr>
              <w:divsChild>
                <w:div w:id="132693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574694">
      <w:bodyDiv w:val="1"/>
      <w:marLeft w:val="0"/>
      <w:marRight w:val="0"/>
      <w:marTop w:val="0"/>
      <w:marBottom w:val="0"/>
      <w:divBdr>
        <w:top w:val="none" w:sz="0" w:space="0" w:color="auto"/>
        <w:left w:val="none" w:sz="0" w:space="0" w:color="auto"/>
        <w:bottom w:val="none" w:sz="0" w:space="0" w:color="auto"/>
        <w:right w:val="none" w:sz="0" w:space="0" w:color="auto"/>
      </w:divBdr>
    </w:div>
    <w:div w:id="965508255">
      <w:bodyDiv w:val="1"/>
      <w:marLeft w:val="0"/>
      <w:marRight w:val="0"/>
      <w:marTop w:val="0"/>
      <w:marBottom w:val="0"/>
      <w:divBdr>
        <w:top w:val="none" w:sz="0" w:space="0" w:color="auto"/>
        <w:left w:val="none" w:sz="0" w:space="0" w:color="auto"/>
        <w:bottom w:val="none" w:sz="0" w:space="0" w:color="auto"/>
        <w:right w:val="none" w:sz="0" w:space="0" w:color="auto"/>
      </w:divBdr>
      <w:divsChild>
        <w:div w:id="2139839179">
          <w:marLeft w:val="0"/>
          <w:marRight w:val="0"/>
          <w:marTop w:val="0"/>
          <w:marBottom w:val="0"/>
          <w:divBdr>
            <w:top w:val="none" w:sz="0" w:space="0" w:color="auto"/>
            <w:left w:val="none" w:sz="0" w:space="0" w:color="auto"/>
            <w:bottom w:val="none" w:sz="0" w:space="0" w:color="auto"/>
            <w:right w:val="none" w:sz="0" w:space="0" w:color="auto"/>
          </w:divBdr>
          <w:divsChild>
            <w:div w:id="1274438166">
              <w:marLeft w:val="0"/>
              <w:marRight w:val="0"/>
              <w:marTop w:val="0"/>
              <w:marBottom w:val="0"/>
              <w:divBdr>
                <w:top w:val="none" w:sz="0" w:space="0" w:color="auto"/>
                <w:left w:val="none" w:sz="0" w:space="0" w:color="auto"/>
                <w:bottom w:val="none" w:sz="0" w:space="0" w:color="auto"/>
                <w:right w:val="none" w:sz="0" w:space="0" w:color="auto"/>
              </w:divBdr>
              <w:divsChild>
                <w:div w:id="80015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743292">
      <w:bodyDiv w:val="1"/>
      <w:marLeft w:val="0"/>
      <w:marRight w:val="0"/>
      <w:marTop w:val="0"/>
      <w:marBottom w:val="0"/>
      <w:divBdr>
        <w:top w:val="none" w:sz="0" w:space="0" w:color="auto"/>
        <w:left w:val="none" w:sz="0" w:space="0" w:color="auto"/>
        <w:bottom w:val="none" w:sz="0" w:space="0" w:color="auto"/>
        <w:right w:val="none" w:sz="0" w:space="0" w:color="auto"/>
      </w:divBdr>
    </w:div>
    <w:div w:id="973632374">
      <w:bodyDiv w:val="1"/>
      <w:marLeft w:val="0"/>
      <w:marRight w:val="0"/>
      <w:marTop w:val="0"/>
      <w:marBottom w:val="0"/>
      <w:divBdr>
        <w:top w:val="none" w:sz="0" w:space="0" w:color="auto"/>
        <w:left w:val="none" w:sz="0" w:space="0" w:color="auto"/>
        <w:bottom w:val="none" w:sz="0" w:space="0" w:color="auto"/>
        <w:right w:val="none" w:sz="0" w:space="0" w:color="auto"/>
      </w:divBdr>
      <w:divsChild>
        <w:div w:id="2076078012">
          <w:marLeft w:val="0"/>
          <w:marRight w:val="0"/>
          <w:marTop w:val="0"/>
          <w:marBottom w:val="0"/>
          <w:divBdr>
            <w:top w:val="none" w:sz="0" w:space="0" w:color="auto"/>
            <w:left w:val="none" w:sz="0" w:space="0" w:color="auto"/>
            <w:bottom w:val="none" w:sz="0" w:space="0" w:color="auto"/>
            <w:right w:val="none" w:sz="0" w:space="0" w:color="auto"/>
          </w:divBdr>
          <w:divsChild>
            <w:div w:id="1070470132">
              <w:marLeft w:val="0"/>
              <w:marRight w:val="0"/>
              <w:marTop w:val="0"/>
              <w:marBottom w:val="0"/>
              <w:divBdr>
                <w:top w:val="none" w:sz="0" w:space="0" w:color="auto"/>
                <w:left w:val="none" w:sz="0" w:space="0" w:color="auto"/>
                <w:bottom w:val="none" w:sz="0" w:space="0" w:color="auto"/>
                <w:right w:val="none" w:sz="0" w:space="0" w:color="auto"/>
              </w:divBdr>
              <w:divsChild>
                <w:div w:id="1001851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304923">
      <w:bodyDiv w:val="1"/>
      <w:marLeft w:val="0"/>
      <w:marRight w:val="0"/>
      <w:marTop w:val="0"/>
      <w:marBottom w:val="0"/>
      <w:divBdr>
        <w:top w:val="none" w:sz="0" w:space="0" w:color="auto"/>
        <w:left w:val="none" w:sz="0" w:space="0" w:color="auto"/>
        <w:bottom w:val="none" w:sz="0" w:space="0" w:color="auto"/>
        <w:right w:val="none" w:sz="0" w:space="0" w:color="auto"/>
      </w:divBdr>
      <w:divsChild>
        <w:div w:id="733238586">
          <w:marLeft w:val="0"/>
          <w:marRight w:val="0"/>
          <w:marTop w:val="0"/>
          <w:marBottom w:val="0"/>
          <w:divBdr>
            <w:top w:val="none" w:sz="0" w:space="0" w:color="auto"/>
            <w:left w:val="none" w:sz="0" w:space="0" w:color="auto"/>
            <w:bottom w:val="none" w:sz="0" w:space="0" w:color="auto"/>
            <w:right w:val="none" w:sz="0" w:space="0" w:color="auto"/>
          </w:divBdr>
          <w:divsChild>
            <w:div w:id="733744884">
              <w:marLeft w:val="0"/>
              <w:marRight w:val="0"/>
              <w:marTop w:val="0"/>
              <w:marBottom w:val="0"/>
              <w:divBdr>
                <w:top w:val="none" w:sz="0" w:space="0" w:color="auto"/>
                <w:left w:val="none" w:sz="0" w:space="0" w:color="auto"/>
                <w:bottom w:val="none" w:sz="0" w:space="0" w:color="auto"/>
                <w:right w:val="none" w:sz="0" w:space="0" w:color="auto"/>
              </w:divBdr>
              <w:divsChild>
                <w:div w:id="361790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341171">
      <w:bodyDiv w:val="1"/>
      <w:marLeft w:val="0"/>
      <w:marRight w:val="0"/>
      <w:marTop w:val="0"/>
      <w:marBottom w:val="0"/>
      <w:divBdr>
        <w:top w:val="none" w:sz="0" w:space="0" w:color="auto"/>
        <w:left w:val="none" w:sz="0" w:space="0" w:color="auto"/>
        <w:bottom w:val="none" w:sz="0" w:space="0" w:color="auto"/>
        <w:right w:val="none" w:sz="0" w:space="0" w:color="auto"/>
      </w:divBdr>
      <w:divsChild>
        <w:div w:id="2136218387">
          <w:marLeft w:val="0"/>
          <w:marRight w:val="0"/>
          <w:marTop w:val="0"/>
          <w:marBottom w:val="0"/>
          <w:divBdr>
            <w:top w:val="none" w:sz="0" w:space="0" w:color="auto"/>
            <w:left w:val="none" w:sz="0" w:space="0" w:color="auto"/>
            <w:bottom w:val="none" w:sz="0" w:space="0" w:color="auto"/>
            <w:right w:val="none" w:sz="0" w:space="0" w:color="auto"/>
          </w:divBdr>
          <w:divsChild>
            <w:div w:id="719596804">
              <w:marLeft w:val="0"/>
              <w:marRight w:val="0"/>
              <w:marTop w:val="0"/>
              <w:marBottom w:val="0"/>
              <w:divBdr>
                <w:top w:val="none" w:sz="0" w:space="0" w:color="auto"/>
                <w:left w:val="none" w:sz="0" w:space="0" w:color="auto"/>
                <w:bottom w:val="none" w:sz="0" w:space="0" w:color="auto"/>
                <w:right w:val="none" w:sz="0" w:space="0" w:color="auto"/>
              </w:divBdr>
              <w:divsChild>
                <w:div w:id="79495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245072">
      <w:bodyDiv w:val="1"/>
      <w:marLeft w:val="0"/>
      <w:marRight w:val="0"/>
      <w:marTop w:val="0"/>
      <w:marBottom w:val="0"/>
      <w:divBdr>
        <w:top w:val="none" w:sz="0" w:space="0" w:color="auto"/>
        <w:left w:val="none" w:sz="0" w:space="0" w:color="auto"/>
        <w:bottom w:val="none" w:sz="0" w:space="0" w:color="auto"/>
        <w:right w:val="none" w:sz="0" w:space="0" w:color="auto"/>
      </w:divBdr>
      <w:divsChild>
        <w:div w:id="779766717">
          <w:marLeft w:val="0"/>
          <w:marRight w:val="0"/>
          <w:marTop w:val="0"/>
          <w:marBottom w:val="0"/>
          <w:divBdr>
            <w:top w:val="none" w:sz="0" w:space="0" w:color="auto"/>
            <w:left w:val="none" w:sz="0" w:space="0" w:color="auto"/>
            <w:bottom w:val="none" w:sz="0" w:space="0" w:color="auto"/>
            <w:right w:val="none" w:sz="0" w:space="0" w:color="auto"/>
          </w:divBdr>
          <w:divsChild>
            <w:div w:id="1739086792">
              <w:marLeft w:val="0"/>
              <w:marRight w:val="0"/>
              <w:marTop w:val="0"/>
              <w:marBottom w:val="0"/>
              <w:divBdr>
                <w:top w:val="none" w:sz="0" w:space="0" w:color="auto"/>
                <w:left w:val="none" w:sz="0" w:space="0" w:color="auto"/>
                <w:bottom w:val="none" w:sz="0" w:space="0" w:color="auto"/>
                <w:right w:val="none" w:sz="0" w:space="0" w:color="auto"/>
              </w:divBdr>
              <w:divsChild>
                <w:div w:id="1352678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066001">
      <w:bodyDiv w:val="1"/>
      <w:marLeft w:val="0"/>
      <w:marRight w:val="0"/>
      <w:marTop w:val="0"/>
      <w:marBottom w:val="0"/>
      <w:divBdr>
        <w:top w:val="none" w:sz="0" w:space="0" w:color="auto"/>
        <w:left w:val="none" w:sz="0" w:space="0" w:color="auto"/>
        <w:bottom w:val="none" w:sz="0" w:space="0" w:color="auto"/>
        <w:right w:val="none" w:sz="0" w:space="0" w:color="auto"/>
      </w:divBdr>
      <w:divsChild>
        <w:div w:id="978925940">
          <w:marLeft w:val="0"/>
          <w:marRight w:val="0"/>
          <w:marTop w:val="0"/>
          <w:marBottom w:val="0"/>
          <w:divBdr>
            <w:top w:val="none" w:sz="0" w:space="0" w:color="auto"/>
            <w:left w:val="none" w:sz="0" w:space="0" w:color="auto"/>
            <w:bottom w:val="none" w:sz="0" w:space="0" w:color="auto"/>
            <w:right w:val="none" w:sz="0" w:space="0" w:color="auto"/>
          </w:divBdr>
          <w:divsChild>
            <w:div w:id="2037269293">
              <w:marLeft w:val="0"/>
              <w:marRight w:val="0"/>
              <w:marTop w:val="0"/>
              <w:marBottom w:val="0"/>
              <w:divBdr>
                <w:top w:val="none" w:sz="0" w:space="0" w:color="auto"/>
                <w:left w:val="none" w:sz="0" w:space="0" w:color="auto"/>
                <w:bottom w:val="none" w:sz="0" w:space="0" w:color="auto"/>
                <w:right w:val="none" w:sz="0" w:space="0" w:color="auto"/>
              </w:divBdr>
              <w:divsChild>
                <w:div w:id="62146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231559">
      <w:bodyDiv w:val="1"/>
      <w:marLeft w:val="0"/>
      <w:marRight w:val="0"/>
      <w:marTop w:val="0"/>
      <w:marBottom w:val="0"/>
      <w:divBdr>
        <w:top w:val="none" w:sz="0" w:space="0" w:color="auto"/>
        <w:left w:val="none" w:sz="0" w:space="0" w:color="auto"/>
        <w:bottom w:val="none" w:sz="0" w:space="0" w:color="auto"/>
        <w:right w:val="none" w:sz="0" w:space="0" w:color="auto"/>
      </w:divBdr>
      <w:divsChild>
        <w:div w:id="675426849">
          <w:marLeft w:val="0"/>
          <w:marRight w:val="0"/>
          <w:marTop w:val="0"/>
          <w:marBottom w:val="0"/>
          <w:divBdr>
            <w:top w:val="none" w:sz="0" w:space="0" w:color="auto"/>
            <w:left w:val="none" w:sz="0" w:space="0" w:color="auto"/>
            <w:bottom w:val="none" w:sz="0" w:space="0" w:color="auto"/>
            <w:right w:val="none" w:sz="0" w:space="0" w:color="auto"/>
          </w:divBdr>
          <w:divsChild>
            <w:div w:id="915045132">
              <w:marLeft w:val="0"/>
              <w:marRight w:val="0"/>
              <w:marTop w:val="0"/>
              <w:marBottom w:val="0"/>
              <w:divBdr>
                <w:top w:val="none" w:sz="0" w:space="0" w:color="auto"/>
                <w:left w:val="none" w:sz="0" w:space="0" w:color="auto"/>
                <w:bottom w:val="none" w:sz="0" w:space="0" w:color="auto"/>
                <w:right w:val="none" w:sz="0" w:space="0" w:color="auto"/>
              </w:divBdr>
              <w:divsChild>
                <w:div w:id="78187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0273885">
      <w:bodyDiv w:val="1"/>
      <w:marLeft w:val="0"/>
      <w:marRight w:val="0"/>
      <w:marTop w:val="0"/>
      <w:marBottom w:val="0"/>
      <w:divBdr>
        <w:top w:val="none" w:sz="0" w:space="0" w:color="auto"/>
        <w:left w:val="none" w:sz="0" w:space="0" w:color="auto"/>
        <w:bottom w:val="none" w:sz="0" w:space="0" w:color="auto"/>
        <w:right w:val="none" w:sz="0" w:space="0" w:color="auto"/>
      </w:divBdr>
      <w:divsChild>
        <w:div w:id="1018316299">
          <w:marLeft w:val="0"/>
          <w:marRight w:val="0"/>
          <w:marTop w:val="0"/>
          <w:marBottom w:val="0"/>
          <w:divBdr>
            <w:top w:val="none" w:sz="0" w:space="0" w:color="auto"/>
            <w:left w:val="none" w:sz="0" w:space="0" w:color="auto"/>
            <w:bottom w:val="none" w:sz="0" w:space="0" w:color="auto"/>
            <w:right w:val="none" w:sz="0" w:space="0" w:color="auto"/>
          </w:divBdr>
          <w:divsChild>
            <w:div w:id="322928190">
              <w:marLeft w:val="0"/>
              <w:marRight w:val="0"/>
              <w:marTop w:val="0"/>
              <w:marBottom w:val="0"/>
              <w:divBdr>
                <w:top w:val="none" w:sz="0" w:space="0" w:color="auto"/>
                <w:left w:val="none" w:sz="0" w:space="0" w:color="auto"/>
                <w:bottom w:val="none" w:sz="0" w:space="0" w:color="auto"/>
                <w:right w:val="none" w:sz="0" w:space="0" w:color="auto"/>
              </w:divBdr>
              <w:divsChild>
                <w:div w:id="223764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469783">
      <w:bodyDiv w:val="1"/>
      <w:marLeft w:val="0"/>
      <w:marRight w:val="0"/>
      <w:marTop w:val="0"/>
      <w:marBottom w:val="0"/>
      <w:divBdr>
        <w:top w:val="none" w:sz="0" w:space="0" w:color="auto"/>
        <w:left w:val="none" w:sz="0" w:space="0" w:color="auto"/>
        <w:bottom w:val="none" w:sz="0" w:space="0" w:color="auto"/>
        <w:right w:val="none" w:sz="0" w:space="0" w:color="auto"/>
      </w:divBdr>
      <w:divsChild>
        <w:div w:id="474492596">
          <w:marLeft w:val="0"/>
          <w:marRight w:val="0"/>
          <w:marTop w:val="0"/>
          <w:marBottom w:val="0"/>
          <w:divBdr>
            <w:top w:val="none" w:sz="0" w:space="0" w:color="auto"/>
            <w:left w:val="none" w:sz="0" w:space="0" w:color="auto"/>
            <w:bottom w:val="none" w:sz="0" w:space="0" w:color="auto"/>
            <w:right w:val="none" w:sz="0" w:space="0" w:color="auto"/>
          </w:divBdr>
          <w:divsChild>
            <w:div w:id="1136484323">
              <w:marLeft w:val="0"/>
              <w:marRight w:val="0"/>
              <w:marTop w:val="0"/>
              <w:marBottom w:val="0"/>
              <w:divBdr>
                <w:top w:val="none" w:sz="0" w:space="0" w:color="auto"/>
                <w:left w:val="none" w:sz="0" w:space="0" w:color="auto"/>
                <w:bottom w:val="none" w:sz="0" w:space="0" w:color="auto"/>
                <w:right w:val="none" w:sz="0" w:space="0" w:color="auto"/>
              </w:divBdr>
              <w:divsChild>
                <w:div w:id="1363091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315659">
      <w:bodyDiv w:val="1"/>
      <w:marLeft w:val="0"/>
      <w:marRight w:val="0"/>
      <w:marTop w:val="0"/>
      <w:marBottom w:val="0"/>
      <w:divBdr>
        <w:top w:val="none" w:sz="0" w:space="0" w:color="auto"/>
        <w:left w:val="none" w:sz="0" w:space="0" w:color="auto"/>
        <w:bottom w:val="none" w:sz="0" w:space="0" w:color="auto"/>
        <w:right w:val="none" w:sz="0" w:space="0" w:color="auto"/>
      </w:divBdr>
    </w:div>
    <w:div w:id="1125658537">
      <w:bodyDiv w:val="1"/>
      <w:marLeft w:val="0"/>
      <w:marRight w:val="0"/>
      <w:marTop w:val="0"/>
      <w:marBottom w:val="0"/>
      <w:divBdr>
        <w:top w:val="none" w:sz="0" w:space="0" w:color="auto"/>
        <w:left w:val="none" w:sz="0" w:space="0" w:color="auto"/>
        <w:bottom w:val="none" w:sz="0" w:space="0" w:color="auto"/>
        <w:right w:val="none" w:sz="0" w:space="0" w:color="auto"/>
      </w:divBdr>
      <w:divsChild>
        <w:div w:id="1191454321">
          <w:marLeft w:val="0"/>
          <w:marRight w:val="0"/>
          <w:marTop w:val="0"/>
          <w:marBottom w:val="0"/>
          <w:divBdr>
            <w:top w:val="none" w:sz="0" w:space="0" w:color="auto"/>
            <w:left w:val="none" w:sz="0" w:space="0" w:color="auto"/>
            <w:bottom w:val="none" w:sz="0" w:space="0" w:color="auto"/>
            <w:right w:val="none" w:sz="0" w:space="0" w:color="auto"/>
          </w:divBdr>
          <w:divsChild>
            <w:div w:id="2108765346">
              <w:marLeft w:val="0"/>
              <w:marRight w:val="0"/>
              <w:marTop w:val="0"/>
              <w:marBottom w:val="0"/>
              <w:divBdr>
                <w:top w:val="none" w:sz="0" w:space="0" w:color="auto"/>
                <w:left w:val="none" w:sz="0" w:space="0" w:color="auto"/>
                <w:bottom w:val="none" w:sz="0" w:space="0" w:color="auto"/>
                <w:right w:val="none" w:sz="0" w:space="0" w:color="auto"/>
              </w:divBdr>
              <w:divsChild>
                <w:div w:id="407382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115310">
      <w:bodyDiv w:val="1"/>
      <w:marLeft w:val="0"/>
      <w:marRight w:val="0"/>
      <w:marTop w:val="0"/>
      <w:marBottom w:val="0"/>
      <w:divBdr>
        <w:top w:val="none" w:sz="0" w:space="0" w:color="auto"/>
        <w:left w:val="none" w:sz="0" w:space="0" w:color="auto"/>
        <w:bottom w:val="none" w:sz="0" w:space="0" w:color="auto"/>
        <w:right w:val="none" w:sz="0" w:space="0" w:color="auto"/>
      </w:divBdr>
      <w:divsChild>
        <w:div w:id="14381189">
          <w:marLeft w:val="0"/>
          <w:marRight w:val="0"/>
          <w:marTop w:val="0"/>
          <w:marBottom w:val="0"/>
          <w:divBdr>
            <w:top w:val="none" w:sz="0" w:space="0" w:color="auto"/>
            <w:left w:val="none" w:sz="0" w:space="0" w:color="auto"/>
            <w:bottom w:val="none" w:sz="0" w:space="0" w:color="auto"/>
            <w:right w:val="none" w:sz="0" w:space="0" w:color="auto"/>
          </w:divBdr>
          <w:divsChild>
            <w:div w:id="1688948278">
              <w:marLeft w:val="0"/>
              <w:marRight w:val="0"/>
              <w:marTop w:val="0"/>
              <w:marBottom w:val="0"/>
              <w:divBdr>
                <w:top w:val="none" w:sz="0" w:space="0" w:color="auto"/>
                <w:left w:val="none" w:sz="0" w:space="0" w:color="auto"/>
                <w:bottom w:val="none" w:sz="0" w:space="0" w:color="auto"/>
                <w:right w:val="none" w:sz="0" w:space="0" w:color="auto"/>
              </w:divBdr>
              <w:divsChild>
                <w:div w:id="788085430">
                  <w:marLeft w:val="0"/>
                  <w:marRight w:val="0"/>
                  <w:marTop w:val="0"/>
                  <w:marBottom w:val="0"/>
                  <w:divBdr>
                    <w:top w:val="none" w:sz="0" w:space="0" w:color="auto"/>
                    <w:left w:val="none" w:sz="0" w:space="0" w:color="auto"/>
                    <w:bottom w:val="none" w:sz="0" w:space="0" w:color="auto"/>
                    <w:right w:val="none" w:sz="0" w:space="0" w:color="auto"/>
                  </w:divBdr>
                  <w:divsChild>
                    <w:div w:id="40488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4976248">
      <w:bodyDiv w:val="1"/>
      <w:marLeft w:val="0"/>
      <w:marRight w:val="0"/>
      <w:marTop w:val="0"/>
      <w:marBottom w:val="0"/>
      <w:divBdr>
        <w:top w:val="none" w:sz="0" w:space="0" w:color="auto"/>
        <w:left w:val="none" w:sz="0" w:space="0" w:color="auto"/>
        <w:bottom w:val="none" w:sz="0" w:space="0" w:color="auto"/>
        <w:right w:val="none" w:sz="0" w:space="0" w:color="auto"/>
      </w:divBdr>
      <w:divsChild>
        <w:div w:id="1450780356">
          <w:marLeft w:val="0"/>
          <w:marRight w:val="0"/>
          <w:marTop w:val="0"/>
          <w:marBottom w:val="0"/>
          <w:divBdr>
            <w:top w:val="none" w:sz="0" w:space="0" w:color="auto"/>
            <w:left w:val="none" w:sz="0" w:space="0" w:color="auto"/>
            <w:bottom w:val="none" w:sz="0" w:space="0" w:color="auto"/>
            <w:right w:val="none" w:sz="0" w:space="0" w:color="auto"/>
          </w:divBdr>
          <w:divsChild>
            <w:div w:id="805245235">
              <w:marLeft w:val="0"/>
              <w:marRight w:val="0"/>
              <w:marTop w:val="0"/>
              <w:marBottom w:val="0"/>
              <w:divBdr>
                <w:top w:val="none" w:sz="0" w:space="0" w:color="auto"/>
                <w:left w:val="none" w:sz="0" w:space="0" w:color="auto"/>
                <w:bottom w:val="none" w:sz="0" w:space="0" w:color="auto"/>
                <w:right w:val="none" w:sz="0" w:space="0" w:color="auto"/>
              </w:divBdr>
              <w:divsChild>
                <w:div w:id="662394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731366">
      <w:bodyDiv w:val="1"/>
      <w:marLeft w:val="0"/>
      <w:marRight w:val="0"/>
      <w:marTop w:val="0"/>
      <w:marBottom w:val="0"/>
      <w:divBdr>
        <w:top w:val="none" w:sz="0" w:space="0" w:color="auto"/>
        <w:left w:val="none" w:sz="0" w:space="0" w:color="auto"/>
        <w:bottom w:val="none" w:sz="0" w:space="0" w:color="auto"/>
        <w:right w:val="none" w:sz="0" w:space="0" w:color="auto"/>
      </w:divBdr>
    </w:div>
    <w:div w:id="1188366924">
      <w:bodyDiv w:val="1"/>
      <w:marLeft w:val="0"/>
      <w:marRight w:val="0"/>
      <w:marTop w:val="0"/>
      <w:marBottom w:val="0"/>
      <w:divBdr>
        <w:top w:val="none" w:sz="0" w:space="0" w:color="auto"/>
        <w:left w:val="none" w:sz="0" w:space="0" w:color="auto"/>
        <w:bottom w:val="none" w:sz="0" w:space="0" w:color="auto"/>
        <w:right w:val="none" w:sz="0" w:space="0" w:color="auto"/>
      </w:divBdr>
    </w:div>
    <w:div w:id="1188984074">
      <w:bodyDiv w:val="1"/>
      <w:marLeft w:val="0"/>
      <w:marRight w:val="0"/>
      <w:marTop w:val="0"/>
      <w:marBottom w:val="0"/>
      <w:divBdr>
        <w:top w:val="none" w:sz="0" w:space="0" w:color="auto"/>
        <w:left w:val="none" w:sz="0" w:space="0" w:color="auto"/>
        <w:bottom w:val="none" w:sz="0" w:space="0" w:color="auto"/>
        <w:right w:val="none" w:sz="0" w:space="0" w:color="auto"/>
      </w:divBdr>
      <w:divsChild>
        <w:div w:id="1390691044">
          <w:marLeft w:val="0"/>
          <w:marRight w:val="0"/>
          <w:marTop w:val="0"/>
          <w:marBottom w:val="0"/>
          <w:divBdr>
            <w:top w:val="none" w:sz="0" w:space="0" w:color="auto"/>
            <w:left w:val="none" w:sz="0" w:space="0" w:color="auto"/>
            <w:bottom w:val="none" w:sz="0" w:space="0" w:color="auto"/>
            <w:right w:val="none" w:sz="0" w:space="0" w:color="auto"/>
          </w:divBdr>
          <w:divsChild>
            <w:div w:id="1734624867">
              <w:marLeft w:val="0"/>
              <w:marRight w:val="0"/>
              <w:marTop w:val="0"/>
              <w:marBottom w:val="0"/>
              <w:divBdr>
                <w:top w:val="none" w:sz="0" w:space="0" w:color="auto"/>
                <w:left w:val="none" w:sz="0" w:space="0" w:color="auto"/>
                <w:bottom w:val="none" w:sz="0" w:space="0" w:color="auto"/>
                <w:right w:val="none" w:sz="0" w:space="0" w:color="auto"/>
              </w:divBdr>
              <w:divsChild>
                <w:div w:id="99164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2693591">
      <w:bodyDiv w:val="1"/>
      <w:marLeft w:val="0"/>
      <w:marRight w:val="0"/>
      <w:marTop w:val="0"/>
      <w:marBottom w:val="0"/>
      <w:divBdr>
        <w:top w:val="none" w:sz="0" w:space="0" w:color="auto"/>
        <w:left w:val="none" w:sz="0" w:space="0" w:color="auto"/>
        <w:bottom w:val="none" w:sz="0" w:space="0" w:color="auto"/>
        <w:right w:val="none" w:sz="0" w:space="0" w:color="auto"/>
      </w:divBdr>
    </w:div>
    <w:div w:id="1193105971">
      <w:bodyDiv w:val="1"/>
      <w:marLeft w:val="0"/>
      <w:marRight w:val="0"/>
      <w:marTop w:val="0"/>
      <w:marBottom w:val="0"/>
      <w:divBdr>
        <w:top w:val="none" w:sz="0" w:space="0" w:color="auto"/>
        <w:left w:val="none" w:sz="0" w:space="0" w:color="auto"/>
        <w:bottom w:val="none" w:sz="0" w:space="0" w:color="auto"/>
        <w:right w:val="none" w:sz="0" w:space="0" w:color="auto"/>
      </w:divBdr>
      <w:divsChild>
        <w:div w:id="479080436">
          <w:marLeft w:val="0"/>
          <w:marRight w:val="0"/>
          <w:marTop w:val="0"/>
          <w:marBottom w:val="0"/>
          <w:divBdr>
            <w:top w:val="none" w:sz="0" w:space="0" w:color="auto"/>
            <w:left w:val="none" w:sz="0" w:space="0" w:color="auto"/>
            <w:bottom w:val="none" w:sz="0" w:space="0" w:color="auto"/>
            <w:right w:val="none" w:sz="0" w:space="0" w:color="auto"/>
          </w:divBdr>
          <w:divsChild>
            <w:div w:id="1177841856">
              <w:marLeft w:val="0"/>
              <w:marRight w:val="0"/>
              <w:marTop w:val="0"/>
              <w:marBottom w:val="0"/>
              <w:divBdr>
                <w:top w:val="none" w:sz="0" w:space="0" w:color="auto"/>
                <w:left w:val="none" w:sz="0" w:space="0" w:color="auto"/>
                <w:bottom w:val="none" w:sz="0" w:space="0" w:color="auto"/>
                <w:right w:val="none" w:sz="0" w:space="0" w:color="auto"/>
              </w:divBdr>
              <w:divsChild>
                <w:div w:id="1095441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989234">
      <w:bodyDiv w:val="1"/>
      <w:marLeft w:val="0"/>
      <w:marRight w:val="0"/>
      <w:marTop w:val="0"/>
      <w:marBottom w:val="0"/>
      <w:divBdr>
        <w:top w:val="none" w:sz="0" w:space="0" w:color="auto"/>
        <w:left w:val="none" w:sz="0" w:space="0" w:color="auto"/>
        <w:bottom w:val="none" w:sz="0" w:space="0" w:color="auto"/>
        <w:right w:val="none" w:sz="0" w:space="0" w:color="auto"/>
      </w:divBdr>
      <w:divsChild>
        <w:div w:id="2106223732">
          <w:marLeft w:val="0"/>
          <w:marRight w:val="0"/>
          <w:marTop w:val="0"/>
          <w:marBottom w:val="0"/>
          <w:divBdr>
            <w:top w:val="none" w:sz="0" w:space="0" w:color="auto"/>
            <w:left w:val="none" w:sz="0" w:space="0" w:color="auto"/>
            <w:bottom w:val="none" w:sz="0" w:space="0" w:color="auto"/>
            <w:right w:val="none" w:sz="0" w:space="0" w:color="auto"/>
          </w:divBdr>
          <w:divsChild>
            <w:div w:id="144978907">
              <w:marLeft w:val="0"/>
              <w:marRight w:val="0"/>
              <w:marTop w:val="0"/>
              <w:marBottom w:val="0"/>
              <w:divBdr>
                <w:top w:val="none" w:sz="0" w:space="0" w:color="auto"/>
                <w:left w:val="none" w:sz="0" w:space="0" w:color="auto"/>
                <w:bottom w:val="none" w:sz="0" w:space="0" w:color="auto"/>
                <w:right w:val="none" w:sz="0" w:space="0" w:color="auto"/>
              </w:divBdr>
              <w:divsChild>
                <w:div w:id="22545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892065">
      <w:bodyDiv w:val="1"/>
      <w:marLeft w:val="0"/>
      <w:marRight w:val="0"/>
      <w:marTop w:val="0"/>
      <w:marBottom w:val="0"/>
      <w:divBdr>
        <w:top w:val="none" w:sz="0" w:space="0" w:color="auto"/>
        <w:left w:val="none" w:sz="0" w:space="0" w:color="auto"/>
        <w:bottom w:val="none" w:sz="0" w:space="0" w:color="auto"/>
        <w:right w:val="none" w:sz="0" w:space="0" w:color="auto"/>
      </w:divBdr>
      <w:divsChild>
        <w:div w:id="1330406512">
          <w:marLeft w:val="0"/>
          <w:marRight w:val="0"/>
          <w:marTop w:val="0"/>
          <w:marBottom w:val="0"/>
          <w:divBdr>
            <w:top w:val="none" w:sz="0" w:space="0" w:color="auto"/>
            <w:left w:val="none" w:sz="0" w:space="0" w:color="auto"/>
            <w:bottom w:val="none" w:sz="0" w:space="0" w:color="auto"/>
            <w:right w:val="none" w:sz="0" w:space="0" w:color="auto"/>
          </w:divBdr>
          <w:divsChild>
            <w:div w:id="417138694">
              <w:marLeft w:val="0"/>
              <w:marRight w:val="0"/>
              <w:marTop w:val="0"/>
              <w:marBottom w:val="0"/>
              <w:divBdr>
                <w:top w:val="none" w:sz="0" w:space="0" w:color="auto"/>
                <w:left w:val="none" w:sz="0" w:space="0" w:color="auto"/>
                <w:bottom w:val="none" w:sz="0" w:space="0" w:color="auto"/>
                <w:right w:val="none" w:sz="0" w:space="0" w:color="auto"/>
              </w:divBdr>
              <w:divsChild>
                <w:div w:id="187060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455061">
      <w:bodyDiv w:val="1"/>
      <w:marLeft w:val="0"/>
      <w:marRight w:val="0"/>
      <w:marTop w:val="0"/>
      <w:marBottom w:val="0"/>
      <w:divBdr>
        <w:top w:val="none" w:sz="0" w:space="0" w:color="auto"/>
        <w:left w:val="none" w:sz="0" w:space="0" w:color="auto"/>
        <w:bottom w:val="none" w:sz="0" w:space="0" w:color="auto"/>
        <w:right w:val="none" w:sz="0" w:space="0" w:color="auto"/>
      </w:divBdr>
      <w:divsChild>
        <w:div w:id="1324820502">
          <w:marLeft w:val="0"/>
          <w:marRight w:val="0"/>
          <w:marTop w:val="0"/>
          <w:marBottom w:val="0"/>
          <w:divBdr>
            <w:top w:val="none" w:sz="0" w:space="0" w:color="auto"/>
            <w:left w:val="none" w:sz="0" w:space="0" w:color="auto"/>
            <w:bottom w:val="none" w:sz="0" w:space="0" w:color="auto"/>
            <w:right w:val="none" w:sz="0" w:space="0" w:color="auto"/>
          </w:divBdr>
          <w:divsChild>
            <w:div w:id="544828375">
              <w:marLeft w:val="0"/>
              <w:marRight w:val="0"/>
              <w:marTop w:val="0"/>
              <w:marBottom w:val="0"/>
              <w:divBdr>
                <w:top w:val="none" w:sz="0" w:space="0" w:color="auto"/>
                <w:left w:val="none" w:sz="0" w:space="0" w:color="auto"/>
                <w:bottom w:val="none" w:sz="0" w:space="0" w:color="auto"/>
                <w:right w:val="none" w:sz="0" w:space="0" w:color="auto"/>
              </w:divBdr>
            </w:div>
          </w:divsChild>
        </w:div>
        <w:div w:id="578056092">
          <w:marLeft w:val="0"/>
          <w:marRight w:val="0"/>
          <w:marTop w:val="0"/>
          <w:marBottom w:val="0"/>
          <w:divBdr>
            <w:top w:val="none" w:sz="0" w:space="0" w:color="auto"/>
            <w:left w:val="none" w:sz="0" w:space="0" w:color="auto"/>
            <w:bottom w:val="none" w:sz="0" w:space="0" w:color="auto"/>
            <w:right w:val="none" w:sz="0" w:space="0" w:color="auto"/>
          </w:divBdr>
          <w:divsChild>
            <w:div w:id="1034692351">
              <w:marLeft w:val="0"/>
              <w:marRight w:val="0"/>
              <w:marTop w:val="0"/>
              <w:marBottom w:val="0"/>
              <w:divBdr>
                <w:top w:val="none" w:sz="0" w:space="0" w:color="auto"/>
                <w:left w:val="none" w:sz="0" w:space="0" w:color="auto"/>
                <w:bottom w:val="none" w:sz="0" w:space="0" w:color="auto"/>
                <w:right w:val="none" w:sz="0" w:space="0" w:color="auto"/>
              </w:divBdr>
              <w:divsChild>
                <w:div w:id="1759667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660219">
      <w:bodyDiv w:val="1"/>
      <w:marLeft w:val="0"/>
      <w:marRight w:val="0"/>
      <w:marTop w:val="0"/>
      <w:marBottom w:val="0"/>
      <w:divBdr>
        <w:top w:val="none" w:sz="0" w:space="0" w:color="auto"/>
        <w:left w:val="none" w:sz="0" w:space="0" w:color="auto"/>
        <w:bottom w:val="none" w:sz="0" w:space="0" w:color="auto"/>
        <w:right w:val="none" w:sz="0" w:space="0" w:color="auto"/>
      </w:divBdr>
    </w:div>
    <w:div w:id="1252737304">
      <w:bodyDiv w:val="1"/>
      <w:marLeft w:val="0"/>
      <w:marRight w:val="0"/>
      <w:marTop w:val="0"/>
      <w:marBottom w:val="0"/>
      <w:divBdr>
        <w:top w:val="none" w:sz="0" w:space="0" w:color="auto"/>
        <w:left w:val="none" w:sz="0" w:space="0" w:color="auto"/>
        <w:bottom w:val="none" w:sz="0" w:space="0" w:color="auto"/>
        <w:right w:val="none" w:sz="0" w:space="0" w:color="auto"/>
      </w:divBdr>
      <w:divsChild>
        <w:div w:id="563297706">
          <w:marLeft w:val="0"/>
          <w:marRight w:val="0"/>
          <w:marTop w:val="0"/>
          <w:marBottom w:val="0"/>
          <w:divBdr>
            <w:top w:val="none" w:sz="0" w:space="0" w:color="auto"/>
            <w:left w:val="none" w:sz="0" w:space="0" w:color="auto"/>
            <w:bottom w:val="none" w:sz="0" w:space="0" w:color="auto"/>
            <w:right w:val="none" w:sz="0" w:space="0" w:color="auto"/>
          </w:divBdr>
          <w:divsChild>
            <w:div w:id="279068404">
              <w:marLeft w:val="0"/>
              <w:marRight w:val="0"/>
              <w:marTop w:val="0"/>
              <w:marBottom w:val="0"/>
              <w:divBdr>
                <w:top w:val="none" w:sz="0" w:space="0" w:color="auto"/>
                <w:left w:val="none" w:sz="0" w:space="0" w:color="auto"/>
                <w:bottom w:val="none" w:sz="0" w:space="0" w:color="auto"/>
                <w:right w:val="none" w:sz="0" w:space="0" w:color="auto"/>
              </w:divBdr>
              <w:divsChild>
                <w:div w:id="846362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461622">
      <w:bodyDiv w:val="1"/>
      <w:marLeft w:val="0"/>
      <w:marRight w:val="0"/>
      <w:marTop w:val="0"/>
      <w:marBottom w:val="0"/>
      <w:divBdr>
        <w:top w:val="none" w:sz="0" w:space="0" w:color="auto"/>
        <w:left w:val="none" w:sz="0" w:space="0" w:color="auto"/>
        <w:bottom w:val="none" w:sz="0" w:space="0" w:color="auto"/>
        <w:right w:val="none" w:sz="0" w:space="0" w:color="auto"/>
      </w:divBdr>
      <w:divsChild>
        <w:div w:id="391655820">
          <w:marLeft w:val="0"/>
          <w:marRight w:val="0"/>
          <w:marTop w:val="0"/>
          <w:marBottom w:val="0"/>
          <w:divBdr>
            <w:top w:val="none" w:sz="0" w:space="0" w:color="auto"/>
            <w:left w:val="none" w:sz="0" w:space="0" w:color="auto"/>
            <w:bottom w:val="none" w:sz="0" w:space="0" w:color="auto"/>
            <w:right w:val="none" w:sz="0" w:space="0" w:color="auto"/>
          </w:divBdr>
          <w:divsChild>
            <w:div w:id="1329938547">
              <w:marLeft w:val="0"/>
              <w:marRight w:val="0"/>
              <w:marTop w:val="0"/>
              <w:marBottom w:val="0"/>
              <w:divBdr>
                <w:top w:val="none" w:sz="0" w:space="0" w:color="auto"/>
                <w:left w:val="none" w:sz="0" w:space="0" w:color="auto"/>
                <w:bottom w:val="none" w:sz="0" w:space="0" w:color="auto"/>
                <w:right w:val="none" w:sz="0" w:space="0" w:color="auto"/>
              </w:divBdr>
              <w:divsChild>
                <w:div w:id="660699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712199">
      <w:bodyDiv w:val="1"/>
      <w:marLeft w:val="0"/>
      <w:marRight w:val="0"/>
      <w:marTop w:val="0"/>
      <w:marBottom w:val="0"/>
      <w:divBdr>
        <w:top w:val="none" w:sz="0" w:space="0" w:color="auto"/>
        <w:left w:val="none" w:sz="0" w:space="0" w:color="auto"/>
        <w:bottom w:val="none" w:sz="0" w:space="0" w:color="auto"/>
        <w:right w:val="none" w:sz="0" w:space="0" w:color="auto"/>
      </w:divBdr>
      <w:divsChild>
        <w:div w:id="435172918">
          <w:marLeft w:val="0"/>
          <w:marRight w:val="0"/>
          <w:marTop w:val="0"/>
          <w:marBottom w:val="0"/>
          <w:divBdr>
            <w:top w:val="none" w:sz="0" w:space="0" w:color="auto"/>
            <w:left w:val="none" w:sz="0" w:space="0" w:color="auto"/>
            <w:bottom w:val="none" w:sz="0" w:space="0" w:color="auto"/>
            <w:right w:val="none" w:sz="0" w:space="0" w:color="auto"/>
          </w:divBdr>
          <w:divsChild>
            <w:div w:id="1982953491">
              <w:marLeft w:val="0"/>
              <w:marRight w:val="0"/>
              <w:marTop w:val="0"/>
              <w:marBottom w:val="0"/>
              <w:divBdr>
                <w:top w:val="none" w:sz="0" w:space="0" w:color="auto"/>
                <w:left w:val="none" w:sz="0" w:space="0" w:color="auto"/>
                <w:bottom w:val="none" w:sz="0" w:space="0" w:color="auto"/>
                <w:right w:val="none" w:sz="0" w:space="0" w:color="auto"/>
              </w:divBdr>
              <w:divsChild>
                <w:div w:id="64914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759182">
      <w:bodyDiv w:val="1"/>
      <w:marLeft w:val="0"/>
      <w:marRight w:val="0"/>
      <w:marTop w:val="0"/>
      <w:marBottom w:val="0"/>
      <w:divBdr>
        <w:top w:val="none" w:sz="0" w:space="0" w:color="auto"/>
        <w:left w:val="none" w:sz="0" w:space="0" w:color="auto"/>
        <w:bottom w:val="none" w:sz="0" w:space="0" w:color="auto"/>
        <w:right w:val="none" w:sz="0" w:space="0" w:color="auto"/>
      </w:divBdr>
    </w:div>
    <w:div w:id="1284311800">
      <w:bodyDiv w:val="1"/>
      <w:marLeft w:val="0"/>
      <w:marRight w:val="0"/>
      <w:marTop w:val="0"/>
      <w:marBottom w:val="0"/>
      <w:divBdr>
        <w:top w:val="none" w:sz="0" w:space="0" w:color="auto"/>
        <w:left w:val="none" w:sz="0" w:space="0" w:color="auto"/>
        <w:bottom w:val="none" w:sz="0" w:space="0" w:color="auto"/>
        <w:right w:val="none" w:sz="0" w:space="0" w:color="auto"/>
      </w:divBdr>
    </w:div>
    <w:div w:id="1294822401">
      <w:bodyDiv w:val="1"/>
      <w:marLeft w:val="0"/>
      <w:marRight w:val="0"/>
      <w:marTop w:val="0"/>
      <w:marBottom w:val="0"/>
      <w:divBdr>
        <w:top w:val="none" w:sz="0" w:space="0" w:color="auto"/>
        <w:left w:val="none" w:sz="0" w:space="0" w:color="auto"/>
        <w:bottom w:val="none" w:sz="0" w:space="0" w:color="auto"/>
        <w:right w:val="none" w:sz="0" w:space="0" w:color="auto"/>
      </w:divBdr>
      <w:divsChild>
        <w:div w:id="1889031660">
          <w:marLeft w:val="0"/>
          <w:marRight w:val="0"/>
          <w:marTop w:val="0"/>
          <w:marBottom w:val="0"/>
          <w:divBdr>
            <w:top w:val="none" w:sz="0" w:space="0" w:color="auto"/>
            <w:left w:val="none" w:sz="0" w:space="0" w:color="auto"/>
            <w:bottom w:val="none" w:sz="0" w:space="0" w:color="auto"/>
            <w:right w:val="none" w:sz="0" w:space="0" w:color="auto"/>
          </w:divBdr>
          <w:divsChild>
            <w:div w:id="968701682">
              <w:marLeft w:val="0"/>
              <w:marRight w:val="0"/>
              <w:marTop w:val="0"/>
              <w:marBottom w:val="0"/>
              <w:divBdr>
                <w:top w:val="none" w:sz="0" w:space="0" w:color="auto"/>
                <w:left w:val="none" w:sz="0" w:space="0" w:color="auto"/>
                <w:bottom w:val="none" w:sz="0" w:space="0" w:color="auto"/>
                <w:right w:val="none" w:sz="0" w:space="0" w:color="auto"/>
              </w:divBdr>
              <w:divsChild>
                <w:div w:id="748892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7762523">
      <w:bodyDiv w:val="1"/>
      <w:marLeft w:val="0"/>
      <w:marRight w:val="0"/>
      <w:marTop w:val="0"/>
      <w:marBottom w:val="0"/>
      <w:divBdr>
        <w:top w:val="none" w:sz="0" w:space="0" w:color="auto"/>
        <w:left w:val="none" w:sz="0" w:space="0" w:color="auto"/>
        <w:bottom w:val="none" w:sz="0" w:space="0" w:color="auto"/>
        <w:right w:val="none" w:sz="0" w:space="0" w:color="auto"/>
      </w:divBdr>
      <w:divsChild>
        <w:div w:id="1883788976">
          <w:marLeft w:val="0"/>
          <w:marRight w:val="0"/>
          <w:marTop w:val="0"/>
          <w:marBottom w:val="0"/>
          <w:divBdr>
            <w:top w:val="none" w:sz="0" w:space="0" w:color="auto"/>
            <w:left w:val="none" w:sz="0" w:space="0" w:color="auto"/>
            <w:bottom w:val="none" w:sz="0" w:space="0" w:color="auto"/>
            <w:right w:val="none" w:sz="0" w:space="0" w:color="auto"/>
          </w:divBdr>
          <w:divsChild>
            <w:div w:id="790169403">
              <w:marLeft w:val="0"/>
              <w:marRight w:val="0"/>
              <w:marTop w:val="0"/>
              <w:marBottom w:val="0"/>
              <w:divBdr>
                <w:top w:val="none" w:sz="0" w:space="0" w:color="auto"/>
                <w:left w:val="none" w:sz="0" w:space="0" w:color="auto"/>
                <w:bottom w:val="none" w:sz="0" w:space="0" w:color="auto"/>
                <w:right w:val="none" w:sz="0" w:space="0" w:color="auto"/>
              </w:divBdr>
              <w:divsChild>
                <w:div w:id="1314411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9845479">
      <w:bodyDiv w:val="1"/>
      <w:marLeft w:val="0"/>
      <w:marRight w:val="0"/>
      <w:marTop w:val="0"/>
      <w:marBottom w:val="0"/>
      <w:divBdr>
        <w:top w:val="none" w:sz="0" w:space="0" w:color="auto"/>
        <w:left w:val="none" w:sz="0" w:space="0" w:color="auto"/>
        <w:bottom w:val="none" w:sz="0" w:space="0" w:color="auto"/>
        <w:right w:val="none" w:sz="0" w:space="0" w:color="auto"/>
      </w:divBdr>
      <w:divsChild>
        <w:div w:id="483090467">
          <w:marLeft w:val="0"/>
          <w:marRight w:val="0"/>
          <w:marTop w:val="0"/>
          <w:marBottom w:val="0"/>
          <w:divBdr>
            <w:top w:val="none" w:sz="0" w:space="0" w:color="auto"/>
            <w:left w:val="none" w:sz="0" w:space="0" w:color="auto"/>
            <w:bottom w:val="none" w:sz="0" w:space="0" w:color="auto"/>
            <w:right w:val="none" w:sz="0" w:space="0" w:color="auto"/>
          </w:divBdr>
        </w:div>
        <w:div w:id="529804840">
          <w:marLeft w:val="0"/>
          <w:marRight w:val="0"/>
          <w:marTop w:val="0"/>
          <w:marBottom w:val="0"/>
          <w:divBdr>
            <w:top w:val="none" w:sz="0" w:space="0" w:color="auto"/>
            <w:left w:val="none" w:sz="0" w:space="0" w:color="auto"/>
            <w:bottom w:val="none" w:sz="0" w:space="0" w:color="auto"/>
            <w:right w:val="none" w:sz="0" w:space="0" w:color="auto"/>
          </w:divBdr>
          <w:divsChild>
            <w:div w:id="1086728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816113">
      <w:bodyDiv w:val="1"/>
      <w:marLeft w:val="0"/>
      <w:marRight w:val="0"/>
      <w:marTop w:val="0"/>
      <w:marBottom w:val="0"/>
      <w:divBdr>
        <w:top w:val="none" w:sz="0" w:space="0" w:color="auto"/>
        <w:left w:val="none" w:sz="0" w:space="0" w:color="auto"/>
        <w:bottom w:val="none" w:sz="0" w:space="0" w:color="auto"/>
        <w:right w:val="none" w:sz="0" w:space="0" w:color="auto"/>
      </w:divBdr>
    </w:div>
    <w:div w:id="1327123550">
      <w:bodyDiv w:val="1"/>
      <w:marLeft w:val="0"/>
      <w:marRight w:val="0"/>
      <w:marTop w:val="0"/>
      <w:marBottom w:val="0"/>
      <w:divBdr>
        <w:top w:val="none" w:sz="0" w:space="0" w:color="auto"/>
        <w:left w:val="none" w:sz="0" w:space="0" w:color="auto"/>
        <w:bottom w:val="none" w:sz="0" w:space="0" w:color="auto"/>
        <w:right w:val="none" w:sz="0" w:space="0" w:color="auto"/>
      </w:divBdr>
    </w:div>
    <w:div w:id="1337687977">
      <w:bodyDiv w:val="1"/>
      <w:marLeft w:val="0"/>
      <w:marRight w:val="0"/>
      <w:marTop w:val="0"/>
      <w:marBottom w:val="0"/>
      <w:divBdr>
        <w:top w:val="none" w:sz="0" w:space="0" w:color="auto"/>
        <w:left w:val="none" w:sz="0" w:space="0" w:color="auto"/>
        <w:bottom w:val="none" w:sz="0" w:space="0" w:color="auto"/>
        <w:right w:val="none" w:sz="0" w:space="0" w:color="auto"/>
      </w:divBdr>
      <w:divsChild>
        <w:div w:id="1275940528">
          <w:marLeft w:val="0"/>
          <w:marRight w:val="0"/>
          <w:marTop w:val="0"/>
          <w:marBottom w:val="0"/>
          <w:divBdr>
            <w:top w:val="none" w:sz="0" w:space="0" w:color="auto"/>
            <w:left w:val="none" w:sz="0" w:space="0" w:color="auto"/>
            <w:bottom w:val="none" w:sz="0" w:space="0" w:color="auto"/>
            <w:right w:val="none" w:sz="0" w:space="0" w:color="auto"/>
          </w:divBdr>
          <w:divsChild>
            <w:div w:id="1923945639">
              <w:marLeft w:val="0"/>
              <w:marRight w:val="0"/>
              <w:marTop w:val="0"/>
              <w:marBottom w:val="0"/>
              <w:divBdr>
                <w:top w:val="none" w:sz="0" w:space="0" w:color="auto"/>
                <w:left w:val="none" w:sz="0" w:space="0" w:color="auto"/>
                <w:bottom w:val="none" w:sz="0" w:space="0" w:color="auto"/>
                <w:right w:val="none" w:sz="0" w:space="0" w:color="auto"/>
              </w:divBdr>
              <w:divsChild>
                <w:div w:id="636107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188172">
      <w:bodyDiv w:val="1"/>
      <w:marLeft w:val="0"/>
      <w:marRight w:val="0"/>
      <w:marTop w:val="0"/>
      <w:marBottom w:val="0"/>
      <w:divBdr>
        <w:top w:val="none" w:sz="0" w:space="0" w:color="auto"/>
        <w:left w:val="none" w:sz="0" w:space="0" w:color="auto"/>
        <w:bottom w:val="none" w:sz="0" w:space="0" w:color="auto"/>
        <w:right w:val="none" w:sz="0" w:space="0" w:color="auto"/>
      </w:divBdr>
      <w:divsChild>
        <w:div w:id="2135900710">
          <w:marLeft w:val="0"/>
          <w:marRight w:val="0"/>
          <w:marTop w:val="0"/>
          <w:marBottom w:val="0"/>
          <w:divBdr>
            <w:top w:val="none" w:sz="0" w:space="0" w:color="auto"/>
            <w:left w:val="none" w:sz="0" w:space="0" w:color="auto"/>
            <w:bottom w:val="none" w:sz="0" w:space="0" w:color="auto"/>
            <w:right w:val="none" w:sz="0" w:space="0" w:color="auto"/>
          </w:divBdr>
          <w:divsChild>
            <w:div w:id="656881214">
              <w:marLeft w:val="0"/>
              <w:marRight w:val="0"/>
              <w:marTop w:val="0"/>
              <w:marBottom w:val="0"/>
              <w:divBdr>
                <w:top w:val="none" w:sz="0" w:space="0" w:color="auto"/>
                <w:left w:val="none" w:sz="0" w:space="0" w:color="auto"/>
                <w:bottom w:val="none" w:sz="0" w:space="0" w:color="auto"/>
                <w:right w:val="none" w:sz="0" w:space="0" w:color="auto"/>
              </w:divBdr>
              <w:divsChild>
                <w:div w:id="1065445094">
                  <w:marLeft w:val="0"/>
                  <w:marRight w:val="0"/>
                  <w:marTop w:val="0"/>
                  <w:marBottom w:val="0"/>
                  <w:divBdr>
                    <w:top w:val="none" w:sz="0" w:space="0" w:color="auto"/>
                    <w:left w:val="none" w:sz="0" w:space="0" w:color="auto"/>
                    <w:bottom w:val="none" w:sz="0" w:space="0" w:color="auto"/>
                    <w:right w:val="none" w:sz="0" w:space="0" w:color="auto"/>
                  </w:divBdr>
                  <w:divsChild>
                    <w:div w:id="1282807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5941191">
      <w:bodyDiv w:val="1"/>
      <w:marLeft w:val="0"/>
      <w:marRight w:val="0"/>
      <w:marTop w:val="0"/>
      <w:marBottom w:val="0"/>
      <w:divBdr>
        <w:top w:val="none" w:sz="0" w:space="0" w:color="auto"/>
        <w:left w:val="none" w:sz="0" w:space="0" w:color="auto"/>
        <w:bottom w:val="none" w:sz="0" w:space="0" w:color="auto"/>
        <w:right w:val="none" w:sz="0" w:space="0" w:color="auto"/>
      </w:divBdr>
      <w:divsChild>
        <w:div w:id="1130172613">
          <w:marLeft w:val="0"/>
          <w:marRight w:val="0"/>
          <w:marTop w:val="0"/>
          <w:marBottom w:val="0"/>
          <w:divBdr>
            <w:top w:val="none" w:sz="0" w:space="0" w:color="auto"/>
            <w:left w:val="none" w:sz="0" w:space="0" w:color="auto"/>
            <w:bottom w:val="none" w:sz="0" w:space="0" w:color="auto"/>
            <w:right w:val="none" w:sz="0" w:space="0" w:color="auto"/>
          </w:divBdr>
          <w:divsChild>
            <w:div w:id="1582830345">
              <w:marLeft w:val="0"/>
              <w:marRight w:val="0"/>
              <w:marTop w:val="0"/>
              <w:marBottom w:val="0"/>
              <w:divBdr>
                <w:top w:val="none" w:sz="0" w:space="0" w:color="auto"/>
                <w:left w:val="none" w:sz="0" w:space="0" w:color="auto"/>
                <w:bottom w:val="none" w:sz="0" w:space="0" w:color="auto"/>
                <w:right w:val="none" w:sz="0" w:space="0" w:color="auto"/>
              </w:divBdr>
              <w:divsChild>
                <w:div w:id="1751460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877381">
      <w:bodyDiv w:val="1"/>
      <w:marLeft w:val="0"/>
      <w:marRight w:val="0"/>
      <w:marTop w:val="0"/>
      <w:marBottom w:val="0"/>
      <w:divBdr>
        <w:top w:val="none" w:sz="0" w:space="0" w:color="auto"/>
        <w:left w:val="none" w:sz="0" w:space="0" w:color="auto"/>
        <w:bottom w:val="none" w:sz="0" w:space="0" w:color="auto"/>
        <w:right w:val="none" w:sz="0" w:space="0" w:color="auto"/>
      </w:divBdr>
      <w:divsChild>
        <w:div w:id="401759511">
          <w:marLeft w:val="0"/>
          <w:marRight w:val="0"/>
          <w:marTop w:val="0"/>
          <w:marBottom w:val="0"/>
          <w:divBdr>
            <w:top w:val="none" w:sz="0" w:space="0" w:color="auto"/>
            <w:left w:val="none" w:sz="0" w:space="0" w:color="auto"/>
            <w:bottom w:val="none" w:sz="0" w:space="0" w:color="auto"/>
            <w:right w:val="none" w:sz="0" w:space="0" w:color="auto"/>
          </w:divBdr>
          <w:divsChild>
            <w:div w:id="1531717986">
              <w:marLeft w:val="0"/>
              <w:marRight w:val="0"/>
              <w:marTop w:val="0"/>
              <w:marBottom w:val="0"/>
              <w:divBdr>
                <w:top w:val="none" w:sz="0" w:space="0" w:color="auto"/>
                <w:left w:val="none" w:sz="0" w:space="0" w:color="auto"/>
                <w:bottom w:val="none" w:sz="0" w:space="0" w:color="auto"/>
                <w:right w:val="none" w:sz="0" w:space="0" w:color="auto"/>
              </w:divBdr>
              <w:divsChild>
                <w:div w:id="68574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849617">
      <w:bodyDiv w:val="1"/>
      <w:marLeft w:val="0"/>
      <w:marRight w:val="0"/>
      <w:marTop w:val="0"/>
      <w:marBottom w:val="0"/>
      <w:divBdr>
        <w:top w:val="none" w:sz="0" w:space="0" w:color="auto"/>
        <w:left w:val="none" w:sz="0" w:space="0" w:color="auto"/>
        <w:bottom w:val="none" w:sz="0" w:space="0" w:color="auto"/>
        <w:right w:val="none" w:sz="0" w:space="0" w:color="auto"/>
      </w:divBdr>
    </w:div>
    <w:div w:id="1359964442">
      <w:bodyDiv w:val="1"/>
      <w:marLeft w:val="0"/>
      <w:marRight w:val="0"/>
      <w:marTop w:val="0"/>
      <w:marBottom w:val="0"/>
      <w:divBdr>
        <w:top w:val="none" w:sz="0" w:space="0" w:color="auto"/>
        <w:left w:val="none" w:sz="0" w:space="0" w:color="auto"/>
        <w:bottom w:val="none" w:sz="0" w:space="0" w:color="auto"/>
        <w:right w:val="none" w:sz="0" w:space="0" w:color="auto"/>
      </w:divBdr>
      <w:divsChild>
        <w:div w:id="1083333587">
          <w:marLeft w:val="0"/>
          <w:marRight w:val="0"/>
          <w:marTop w:val="0"/>
          <w:marBottom w:val="0"/>
          <w:divBdr>
            <w:top w:val="none" w:sz="0" w:space="0" w:color="auto"/>
            <w:left w:val="none" w:sz="0" w:space="0" w:color="auto"/>
            <w:bottom w:val="none" w:sz="0" w:space="0" w:color="auto"/>
            <w:right w:val="none" w:sz="0" w:space="0" w:color="auto"/>
          </w:divBdr>
          <w:divsChild>
            <w:div w:id="538469371">
              <w:marLeft w:val="0"/>
              <w:marRight w:val="0"/>
              <w:marTop w:val="0"/>
              <w:marBottom w:val="0"/>
              <w:divBdr>
                <w:top w:val="none" w:sz="0" w:space="0" w:color="auto"/>
                <w:left w:val="none" w:sz="0" w:space="0" w:color="auto"/>
                <w:bottom w:val="none" w:sz="0" w:space="0" w:color="auto"/>
                <w:right w:val="none" w:sz="0" w:space="0" w:color="auto"/>
              </w:divBdr>
              <w:divsChild>
                <w:div w:id="129100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173728">
      <w:bodyDiv w:val="1"/>
      <w:marLeft w:val="0"/>
      <w:marRight w:val="0"/>
      <w:marTop w:val="0"/>
      <w:marBottom w:val="0"/>
      <w:divBdr>
        <w:top w:val="none" w:sz="0" w:space="0" w:color="auto"/>
        <w:left w:val="none" w:sz="0" w:space="0" w:color="auto"/>
        <w:bottom w:val="none" w:sz="0" w:space="0" w:color="auto"/>
        <w:right w:val="none" w:sz="0" w:space="0" w:color="auto"/>
      </w:divBdr>
    </w:div>
    <w:div w:id="1414935514">
      <w:bodyDiv w:val="1"/>
      <w:marLeft w:val="0"/>
      <w:marRight w:val="0"/>
      <w:marTop w:val="0"/>
      <w:marBottom w:val="0"/>
      <w:divBdr>
        <w:top w:val="none" w:sz="0" w:space="0" w:color="auto"/>
        <w:left w:val="none" w:sz="0" w:space="0" w:color="auto"/>
        <w:bottom w:val="none" w:sz="0" w:space="0" w:color="auto"/>
        <w:right w:val="none" w:sz="0" w:space="0" w:color="auto"/>
      </w:divBdr>
    </w:div>
    <w:div w:id="1433815015">
      <w:bodyDiv w:val="1"/>
      <w:marLeft w:val="0"/>
      <w:marRight w:val="0"/>
      <w:marTop w:val="0"/>
      <w:marBottom w:val="0"/>
      <w:divBdr>
        <w:top w:val="none" w:sz="0" w:space="0" w:color="auto"/>
        <w:left w:val="none" w:sz="0" w:space="0" w:color="auto"/>
        <w:bottom w:val="none" w:sz="0" w:space="0" w:color="auto"/>
        <w:right w:val="none" w:sz="0" w:space="0" w:color="auto"/>
      </w:divBdr>
    </w:div>
    <w:div w:id="1450782180">
      <w:bodyDiv w:val="1"/>
      <w:marLeft w:val="0"/>
      <w:marRight w:val="0"/>
      <w:marTop w:val="0"/>
      <w:marBottom w:val="0"/>
      <w:divBdr>
        <w:top w:val="none" w:sz="0" w:space="0" w:color="auto"/>
        <w:left w:val="none" w:sz="0" w:space="0" w:color="auto"/>
        <w:bottom w:val="none" w:sz="0" w:space="0" w:color="auto"/>
        <w:right w:val="none" w:sz="0" w:space="0" w:color="auto"/>
      </w:divBdr>
      <w:divsChild>
        <w:div w:id="1008287300">
          <w:marLeft w:val="0"/>
          <w:marRight w:val="0"/>
          <w:marTop w:val="0"/>
          <w:marBottom w:val="0"/>
          <w:divBdr>
            <w:top w:val="none" w:sz="0" w:space="0" w:color="auto"/>
            <w:left w:val="none" w:sz="0" w:space="0" w:color="auto"/>
            <w:bottom w:val="none" w:sz="0" w:space="0" w:color="auto"/>
            <w:right w:val="none" w:sz="0" w:space="0" w:color="auto"/>
          </w:divBdr>
          <w:divsChild>
            <w:div w:id="1592667037">
              <w:marLeft w:val="0"/>
              <w:marRight w:val="0"/>
              <w:marTop w:val="0"/>
              <w:marBottom w:val="0"/>
              <w:divBdr>
                <w:top w:val="none" w:sz="0" w:space="0" w:color="auto"/>
                <w:left w:val="none" w:sz="0" w:space="0" w:color="auto"/>
                <w:bottom w:val="none" w:sz="0" w:space="0" w:color="auto"/>
                <w:right w:val="none" w:sz="0" w:space="0" w:color="auto"/>
              </w:divBdr>
              <w:divsChild>
                <w:div w:id="87465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409079">
      <w:bodyDiv w:val="1"/>
      <w:marLeft w:val="0"/>
      <w:marRight w:val="0"/>
      <w:marTop w:val="0"/>
      <w:marBottom w:val="0"/>
      <w:divBdr>
        <w:top w:val="none" w:sz="0" w:space="0" w:color="auto"/>
        <w:left w:val="none" w:sz="0" w:space="0" w:color="auto"/>
        <w:bottom w:val="none" w:sz="0" w:space="0" w:color="auto"/>
        <w:right w:val="none" w:sz="0" w:space="0" w:color="auto"/>
      </w:divBdr>
      <w:divsChild>
        <w:div w:id="599483798">
          <w:marLeft w:val="0"/>
          <w:marRight w:val="0"/>
          <w:marTop w:val="0"/>
          <w:marBottom w:val="0"/>
          <w:divBdr>
            <w:top w:val="none" w:sz="0" w:space="0" w:color="auto"/>
            <w:left w:val="none" w:sz="0" w:space="0" w:color="auto"/>
            <w:bottom w:val="none" w:sz="0" w:space="0" w:color="auto"/>
            <w:right w:val="none" w:sz="0" w:space="0" w:color="auto"/>
          </w:divBdr>
          <w:divsChild>
            <w:div w:id="866337420">
              <w:marLeft w:val="0"/>
              <w:marRight w:val="0"/>
              <w:marTop w:val="0"/>
              <w:marBottom w:val="0"/>
              <w:divBdr>
                <w:top w:val="none" w:sz="0" w:space="0" w:color="auto"/>
                <w:left w:val="none" w:sz="0" w:space="0" w:color="auto"/>
                <w:bottom w:val="none" w:sz="0" w:space="0" w:color="auto"/>
                <w:right w:val="none" w:sz="0" w:space="0" w:color="auto"/>
              </w:divBdr>
              <w:divsChild>
                <w:div w:id="13241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647220">
      <w:bodyDiv w:val="1"/>
      <w:marLeft w:val="0"/>
      <w:marRight w:val="0"/>
      <w:marTop w:val="0"/>
      <w:marBottom w:val="0"/>
      <w:divBdr>
        <w:top w:val="none" w:sz="0" w:space="0" w:color="auto"/>
        <w:left w:val="none" w:sz="0" w:space="0" w:color="auto"/>
        <w:bottom w:val="none" w:sz="0" w:space="0" w:color="auto"/>
        <w:right w:val="none" w:sz="0" w:space="0" w:color="auto"/>
      </w:divBdr>
      <w:divsChild>
        <w:div w:id="875968415">
          <w:marLeft w:val="0"/>
          <w:marRight w:val="0"/>
          <w:marTop w:val="0"/>
          <w:marBottom w:val="0"/>
          <w:divBdr>
            <w:top w:val="none" w:sz="0" w:space="0" w:color="auto"/>
            <w:left w:val="none" w:sz="0" w:space="0" w:color="auto"/>
            <w:bottom w:val="none" w:sz="0" w:space="0" w:color="auto"/>
            <w:right w:val="none" w:sz="0" w:space="0" w:color="auto"/>
          </w:divBdr>
          <w:divsChild>
            <w:div w:id="1391419837">
              <w:marLeft w:val="0"/>
              <w:marRight w:val="0"/>
              <w:marTop w:val="0"/>
              <w:marBottom w:val="0"/>
              <w:divBdr>
                <w:top w:val="none" w:sz="0" w:space="0" w:color="auto"/>
                <w:left w:val="none" w:sz="0" w:space="0" w:color="auto"/>
                <w:bottom w:val="none" w:sz="0" w:space="0" w:color="auto"/>
                <w:right w:val="none" w:sz="0" w:space="0" w:color="auto"/>
              </w:divBdr>
              <w:divsChild>
                <w:div w:id="797264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693444">
      <w:bodyDiv w:val="1"/>
      <w:marLeft w:val="0"/>
      <w:marRight w:val="0"/>
      <w:marTop w:val="0"/>
      <w:marBottom w:val="0"/>
      <w:divBdr>
        <w:top w:val="none" w:sz="0" w:space="0" w:color="auto"/>
        <w:left w:val="none" w:sz="0" w:space="0" w:color="auto"/>
        <w:bottom w:val="none" w:sz="0" w:space="0" w:color="auto"/>
        <w:right w:val="none" w:sz="0" w:space="0" w:color="auto"/>
      </w:divBdr>
    </w:div>
    <w:div w:id="1478182798">
      <w:bodyDiv w:val="1"/>
      <w:marLeft w:val="0"/>
      <w:marRight w:val="0"/>
      <w:marTop w:val="0"/>
      <w:marBottom w:val="0"/>
      <w:divBdr>
        <w:top w:val="none" w:sz="0" w:space="0" w:color="auto"/>
        <w:left w:val="none" w:sz="0" w:space="0" w:color="auto"/>
        <w:bottom w:val="none" w:sz="0" w:space="0" w:color="auto"/>
        <w:right w:val="none" w:sz="0" w:space="0" w:color="auto"/>
      </w:divBdr>
    </w:div>
    <w:div w:id="1486042395">
      <w:bodyDiv w:val="1"/>
      <w:marLeft w:val="0"/>
      <w:marRight w:val="0"/>
      <w:marTop w:val="0"/>
      <w:marBottom w:val="0"/>
      <w:divBdr>
        <w:top w:val="none" w:sz="0" w:space="0" w:color="auto"/>
        <w:left w:val="none" w:sz="0" w:space="0" w:color="auto"/>
        <w:bottom w:val="none" w:sz="0" w:space="0" w:color="auto"/>
        <w:right w:val="none" w:sz="0" w:space="0" w:color="auto"/>
      </w:divBdr>
      <w:divsChild>
        <w:div w:id="105660936">
          <w:marLeft w:val="0"/>
          <w:marRight w:val="0"/>
          <w:marTop w:val="0"/>
          <w:marBottom w:val="0"/>
          <w:divBdr>
            <w:top w:val="none" w:sz="0" w:space="0" w:color="auto"/>
            <w:left w:val="none" w:sz="0" w:space="0" w:color="auto"/>
            <w:bottom w:val="none" w:sz="0" w:space="0" w:color="auto"/>
            <w:right w:val="none" w:sz="0" w:space="0" w:color="auto"/>
          </w:divBdr>
          <w:divsChild>
            <w:div w:id="96877662">
              <w:marLeft w:val="0"/>
              <w:marRight w:val="0"/>
              <w:marTop w:val="0"/>
              <w:marBottom w:val="0"/>
              <w:divBdr>
                <w:top w:val="none" w:sz="0" w:space="0" w:color="auto"/>
                <w:left w:val="none" w:sz="0" w:space="0" w:color="auto"/>
                <w:bottom w:val="none" w:sz="0" w:space="0" w:color="auto"/>
                <w:right w:val="none" w:sz="0" w:space="0" w:color="auto"/>
              </w:divBdr>
              <w:divsChild>
                <w:div w:id="625508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740696">
      <w:bodyDiv w:val="1"/>
      <w:marLeft w:val="0"/>
      <w:marRight w:val="0"/>
      <w:marTop w:val="0"/>
      <w:marBottom w:val="0"/>
      <w:divBdr>
        <w:top w:val="none" w:sz="0" w:space="0" w:color="auto"/>
        <w:left w:val="none" w:sz="0" w:space="0" w:color="auto"/>
        <w:bottom w:val="none" w:sz="0" w:space="0" w:color="auto"/>
        <w:right w:val="none" w:sz="0" w:space="0" w:color="auto"/>
      </w:divBdr>
    </w:div>
    <w:div w:id="1509557960">
      <w:bodyDiv w:val="1"/>
      <w:marLeft w:val="0"/>
      <w:marRight w:val="0"/>
      <w:marTop w:val="0"/>
      <w:marBottom w:val="0"/>
      <w:divBdr>
        <w:top w:val="none" w:sz="0" w:space="0" w:color="auto"/>
        <w:left w:val="none" w:sz="0" w:space="0" w:color="auto"/>
        <w:bottom w:val="none" w:sz="0" w:space="0" w:color="auto"/>
        <w:right w:val="none" w:sz="0" w:space="0" w:color="auto"/>
      </w:divBdr>
      <w:divsChild>
        <w:div w:id="1119027799">
          <w:marLeft w:val="0"/>
          <w:marRight w:val="0"/>
          <w:marTop w:val="0"/>
          <w:marBottom w:val="0"/>
          <w:divBdr>
            <w:top w:val="none" w:sz="0" w:space="0" w:color="auto"/>
            <w:left w:val="none" w:sz="0" w:space="0" w:color="auto"/>
            <w:bottom w:val="none" w:sz="0" w:space="0" w:color="auto"/>
            <w:right w:val="none" w:sz="0" w:space="0" w:color="auto"/>
          </w:divBdr>
          <w:divsChild>
            <w:div w:id="738483168">
              <w:marLeft w:val="0"/>
              <w:marRight w:val="0"/>
              <w:marTop w:val="0"/>
              <w:marBottom w:val="0"/>
              <w:divBdr>
                <w:top w:val="none" w:sz="0" w:space="0" w:color="auto"/>
                <w:left w:val="none" w:sz="0" w:space="0" w:color="auto"/>
                <w:bottom w:val="none" w:sz="0" w:space="0" w:color="auto"/>
                <w:right w:val="none" w:sz="0" w:space="0" w:color="auto"/>
              </w:divBdr>
              <w:divsChild>
                <w:div w:id="954410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218578">
      <w:bodyDiv w:val="1"/>
      <w:marLeft w:val="0"/>
      <w:marRight w:val="0"/>
      <w:marTop w:val="0"/>
      <w:marBottom w:val="0"/>
      <w:divBdr>
        <w:top w:val="none" w:sz="0" w:space="0" w:color="auto"/>
        <w:left w:val="none" w:sz="0" w:space="0" w:color="auto"/>
        <w:bottom w:val="none" w:sz="0" w:space="0" w:color="auto"/>
        <w:right w:val="none" w:sz="0" w:space="0" w:color="auto"/>
      </w:divBdr>
      <w:divsChild>
        <w:div w:id="2143424295">
          <w:marLeft w:val="0"/>
          <w:marRight w:val="0"/>
          <w:marTop w:val="0"/>
          <w:marBottom w:val="0"/>
          <w:divBdr>
            <w:top w:val="none" w:sz="0" w:space="0" w:color="auto"/>
            <w:left w:val="none" w:sz="0" w:space="0" w:color="auto"/>
            <w:bottom w:val="none" w:sz="0" w:space="0" w:color="auto"/>
            <w:right w:val="none" w:sz="0" w:space="0" w:color="auto"/>
          </w:divBdr>
          <w:divsChild>
            <w:div w:id="1602104697">
              <w:marLeft w:val="0"/>
              <w:marRight w:val="0"/>
              <w:marTop w:val="0"/>
              <w:marBottom w:val="0"/>
              <w:divBdr>
                <w:top w:val="none" w:sz="0" w:space="0" w:color="auto"/>
                <w:left w:val="none" w:sz="0" w:space="0" w:color="auto"/>
                <w:bottom w:val="none" w:sz="0" w:space="0" w:color="auto"/>
                <w:right w:val="none" w:sz="0" w:space="0" w:color="auto"/>
              </w:divBdr>
              <w:divsChild>
                <w:div w:id="166608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224725">
      <w:bodyDiv w:val="1"/>
      <w:marLeft w:val="0"/>
      <w:marRight w:val="0"/>
      <w:marTop w:val="0"/>
      <w:marBottom w:val="0"/>
      <w:divBdr>
        <w:top w:val="none" w:sz="0" w:space="0" w:color="auto"/>
        <w:left w:val="none" w:sz="0" w:space="0" w:color="auto"/>
        <w:bottom w:val="none" w:sz="0" w:space="0" w:color="auto"/>
        <w:right w:val="none" w:sz="0" w:space="0" w:color="auto"/>
      </w:divBdr>
      <w:divsChild>
        <w:div w:id="1594624203">
          <w:marLeft w:val="0"/>
          <w:marRight w:val="0"/>
          <w:marTop w:val="0"/>
          <w:marBottom w:val="0"/>
          <w:divBdr>
            <w:top w:val="none" w:sz="0" w:space="0" w:color="auto"/>
            <w:left w:val="none" w:sz="0" w:space="0" w:color="auto"/>
            <w:bottom w:val="none" w:sz="0" w:space="0" w:color="auto"/>
            <w:right w:val="none" w:sz="0" w:space="0" w:color="auto"/>
          </w:divBdr>
          <w:divsChild>
            <w:div w:id="2030066250">
              <w:marLeft w:val="0"/>
              <w:marRight w:val="0"/>
              <w:marTop w:val="0"/>
              <w:marBottom w:val="0"/>
              <w:divBdr>
                <w:top w:val="none" w:sz="0" w:space="0" w:color="auto"/>
                <w:left w:val="none" w:sz="0" w:space="0" w:color="auto"/>
                <w:bottom w:val="none" w:sz="0" w:space="0" w:color="auto"/>
                <w:right w:val="none" w:sz="0" w:space="0" w:color="auto"/>
              </w:divBdr>
              <w:divsChild>
                <w:div w:id="1384059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579123">
      <w:bodyDiv w:val="1"/>
      <w:marLeft w:val="0"/>
      <w:marRight w:val="0"/>
      <w:marTop w:val="0"/>
      <w:marBottom w:val="0"/>
      <w:divBdr>
        <w:top w:val="none" w:sz="0" w:space="0" w:color="auto"/>
        <w:left w:val="none" w:sz="0" w:space="0" w:color="auto"/>
        <w:bottom w:val="none" w:sz="0" w:space="0" w:color="auto"/>
        <w:right w:val="none" w:sz="0" w:space="0" w:color="auto"/>
      </w:divBdr>
      <w:divsChild>
        <w:div w:id="174879194">
          <w:marLeft w:val="0"/>
          <w:marRight w:val="0"/>
          <w:marTop w:val="0"/>
          <w:marBottom w:val="0"/>
          <w:divBdr>
            <w:top w:val="none" w:sz="0" w:space="0" w:color="auto"/>
            <w:left w:val="none" w:sz="0" w:space="0" w:color="auto"/>
            <w:bottom w:val="none" w:sz="0" w:space="0" w:color="auto"/>
            <w:right w:val="none" w:sz="0" w:space="0" w:color="auto"/>
          </w:divBdr>
          <w:divsChild>
            <w:div w:id="983584317">
              <w:marLeft w:val="0"/>
              <w:marRight w:val="0"/>
              <w:marTop w:val="0"/>
              <w:marBottom w:val="0"/>
              <w:divBdr>
                <w:top w:val="none" w:sz="0" w:space="0" w:color="auto"/>
                <w:left w:val="none" w:sz="0" w:space="0" w:color="auto"/>
                <w:bottom w:val="none" w:sz="0" w:space="0" w:color="auto"/>
                <w:right w:val="none" w:sz="0" w:space="0" w:color="auto"/>
              </w:divBdr>
              <w:divsChild>
                <w:div w:id="781611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6966632">
      <w:bodyDiv w:val="1"/>
      <w:marLeft w:val="0"/>
      <w:marRight w:val="0"/>
      <w:marTop w:val="0"/>
      <w:marBottom w:val="0"/>
      <w:divBdr>
        <w:top w:val="none" w:sz="0" w:space="0" w:color="auto"/>
        <w:left w:val="none" w:sz="0" w:space="0" w:color="auto"/>
        <w:bottom w:val="none" w:sz="0" w:space="0" w:color="auto"/>
        <w:right w:val="none" w:sz="0" w:space="0" w:color="auto"/>
      </w:divBdr>
      <w:divsChild>
        <w:div w:id="390275123">
          <w:marLeft w:val="0"/>
          <w:marRight w:val="0"/>
          <w:marTop w:val="0"/>
          <w:marBottom w:val="0"/>
          <w:divBdr>
            <w:top w:val="none" w:sz="0" w:space="0" w:color="auto"/>
            <w:left w:val="none" w:sz="0" w:space="0" w:color="auto"/>
            <w:bottom w:val="none" w:sz="0" w:space="0" w:color="auto"/>
            <w:right w:val="none" w:sz="0" w:space="0" w:color="auto"/>
          </w:divBdr>
          <w:divsChild>
            <w:div w:id="656416217">
              <w:marLeft w:val="0"/>
              <w:marRight w:val="0"/>
              <w:marTop w:val="0"/>
              <w:marBottom w:val="0"/>
              <w:divBdr>
                <w:top w:val="none" w:sz="0" w:space="0" w:color="auto"/>
                <w:left w:val="none" w:sz="0" w:space="0" w:color="auto"/>
                <w:bottom w:val="none" w:sz="0" w:space="0" w:color="auto"/>
                <w:right w:val="none" w:sz="0" w:space="0" w:color="auto"/>
              </w:divBdr>
              <w:divsChild>
                <w:div w:id="205954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162192">
      <w:bodyDiv w:val="1"/>
      <w:marLeft w:val="0"/>
      <w:marRight w:val="0"/>
      <w:marTop w:val="0"/>
      <w:marBottom w:val="0"/>
      <w:divBdr>
        <w:top w:val="none" w:sz="0" w:space="0" w:color="auto"/>
        <w:left w:val="none" w:sz="0" w:space="0" w:color="auto"/>
        <w:bottom w:val="none" w:sz="0" w:space="0" w:color="auto"/>
        <w:right w:val="none" w:sz="0" w:space="0" w:color="auto"/>
      </w:divBdr>
      <w:divsChild>
        <w:div w:id="1916238789">
          <w:marLeft w:val="0"/>
          <w:marRight w:val="0"/>
          <w:marTop w:val="0"/>
          <w:marBottom w:val="0"/>
          <w:divBdr>
            <w:top w:val="none" w:sz="0" w:space="0" w:color="auto"/>
            <w:left w:val="none" w:sz="0" w:space="0" w:color="auto"/>
            <w:bottom w:val="none" w:sz="0" w:space="0" w:color="auto"/>
            <w:right w:val="none" w:sz="0" w:space="0" w:color="auto"/>
          </w:divBdr>
          <w:divsChild>
            <w:div w:id="183324347">
              <w:marLeft w:val="0"/>
              <w:marRight w:val="0"/>
              <w:marTop w:val="0"/>
              <w:marBottom w:val="0"/>
              <w:divBdr>
                <w:top w:val="none" w:sz="0" w:space="0" w:color="auto"/>
                <w:left w:val="none" w:sz="0" w:space="0" w:color="auto"/>
                <w:bottom w:val="none" w:sz="0" w:space="0" w:color="auto"/>
                <w:right w:val="none" w:sz="0" w:space="0" w:color="auto"/>
              </w:divBdr>
              <w:divsChild>
                <w:div w:id="1481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570042">
      <w:bodyDiv w:val="1"/>
      <w:marLeft w:val="0"/>
      <w:marRight w:val="0"/>
      <w:marTop w:val="0"/>
      <w:marBottom w:val="0"/>
      <w:divBdr>
        <w:top w:val="none" w:sz="0" w:space="0" w:color="auto"/>
        <w:left w:val="none" w:sz="0" w:space="0" w:color="auto"/>
        <w:bottom w:val="none" w:sz="0" w:space="0" w:color="auto"/>
        <w:right w:val="none" w:sz="0" w:space="0" w:color="auto"/>
      </w:divBdr>
      <w:divsChild>
        <w:div w:id="1345404718">
          <w:marLeft w:val="0"/>
          <w:marRight w:val="0"/>
          <w:marTop w:val="0"/>
          <w:marBottom w:val="0"/>
          <w:divBdr>
            <w:top w:val="none" w:sz="0" w:space="0" w:color="auto"/>
            <w:left w:val="none" w:sz="0" w:space="0" w:color="auto"/>
            <w:bottom w:val="none" w:sz="0" w:space="0" w:color="auto"/>
            <w:right w:val="none" w:sz="0" w:space="0" w:color="auto"/>
          </w:divBdr>
          <w:divsChild>
            <w:div w:id="592517384">
              <w:marLeft w:val="0"/>
              <w:marRight w:val="0"/>
              <w:marTop w:val="0"/>
              <w:marBottom w:val="0"/>
              <w:divBdr>
                <w:top w:val="none" w:sz="0" w:space="0" w:color="auto"/>
                <w:left w:val="none" w:sz="0" w:space="0" w:color="auto"/>
                <w:bottom w:val="none" w:sz="0" w:space="0" w:color="auto"/>
                <w:right w:val="none" w:sz="0" w:space="0" w:color="auto"/>
              </w:divBdr>
              <w:divsChild>
                <w:div w:id="62759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534339">
      <w:bodyDiv w:val="1"/>
      <w:marLeft w:val="0"/>
      <w:marRight w:val="0"/>
      <w:marTop w:val="0"/>
      <w:marBottom w:val="0"/>
      <w:divBdr>
        <w:top w:val="none" w:sz="0" w:space="0" w:color="auto"/>
        <w:left w:val="none" w:sz="0" w:space="0" w:color="auto"/>
        <w:bottom w:val="none" w:sz="0" w:space="0" w:color="auto"/>
        <w:right w:val="none" w:sz="0" w:space="0" w:color="auto"/>
      </w:divBdr>
      <w:divsChild>
        <w:div w:id="1514951291">
          <w:marLeft w:val="0"/>
          <w:marRight w:val="0"/>
          <w:marTop w:val="0"/>
          <w:marBottom w:val="0"/>
          <w:divBdr>
            <w:top w:val="none" w:sz="0" w:space="0" w:color="auto"/>
            <w:left w:val="none" w:sz="0" w:space="0" w:color="auto"/>
            <w:bottom w:val="none" w:sz="0" w:space="0" w:color="auto"/>
            <w:right w:val="none" w:sz="0" w:space="0" w:color="auto"/>
          </w:divBdr>
          <w:divsChild>
            <w:div w:id="1847475864">
              <w:marLeft w:val="0"/>
              <w:marRight w:val="0"/>
              <w:marTop w:val="0"/>
              <w:marBottom w:val="0"/>
              <w:divBdr>
                <w:top w:val="none" w:sz="0" w:space="0" w:color="auto"/>
                <w:left w:val="none" w:sz="0" w:space="0" w:color="auto"/>
                <w:bottom w:val="none" w:sz="0" w:space="0" w:color="auto"/>
                <w:right w:val="none" w:sz="0" w:space="0" w:color="auto"/>
              </w:divBdr>
              <w:divsChild>
                <w:div w:id="23922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482376">
      <w:bodyDiv w:val="1"/>
      <w:marLeft w:val="0"/>
      <w:marRight w:val="0"/>
      <w:marTop w:val="0"/>
      <w:marBottom w:val="0"/>
      <w:divBdr>
        <w:top w:val="none" w:sz="0" w:space="0" w:color="auto"/>
        <w:left w:val="none" w:sz="0" w:space="0" w:color="auto"/>
        <w:bottom w:val="none" w:sz="0" w:space="0" w:color="auto"/>
        <w:right w:val="none" w:sz="0" w:space="0" w:color="auto"/>
      </w:divBdr>
      <w:divsChild>
        <w:div w:id="2032684613">
          <w:marLeft w:val="0"/>
          <w:marRight w:val="0"/>
          <w:marTop w:val="0"/>
          <w:marBottom w:val="0"/>
          <w:divBdr>
            <w:top w:val="none" w:sz="0" w:space="0" w:color="auto"/>
            <w:left w:val="none" w:sz="0" w:space="0" w:color="auto"/>
            <w:bottom w:val="none" w:sz="0" w:space="0" w:color="auto"/>
            <w:right w:val="none" w:sz="0" w:space="0" w:color="auto"/>
          </w:divBdr>
          <w:divsChild>
            <w:div w:id="412900905">
              <w:marLeft w:val="0"/>
              <w:marRight w:val="0"/>
              <w:marTop w:val="0"/>
              <w:marBottom w:val="0"/>
              <w:divBdr>
                <w:top w:val="none" w:sz="0" w:space="0" w:color="auto"/>
                <w:left w:val="none" w:sz="0" w:space="0" w:color="auto"/>
                <w:bottom w:val="none" w:sz="0" w:space="0" w:color="auto"/>
                <w:right w:val="none" w:sz="0" w:space="0" w:color="auto"/>
              </w:divBdr>
              <w:divsChild>
                <w:div w:id="1639921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311744">
      <w:bodyDiv w:val="1"/>
      <w:marLeft w:val="0"/>
      <w:marRight w:val="0"/>
      <w:marTop w:val="0"/>
      <w:marBottom w:val="0"/>
      <w:divBdr>
        <w:top w:val="none" w:sz="0" w:space="0" w:color="auto"/>
        <w:left w:val="none" w:sz="0" w:space="0" w:color="auto"/>
        <w:bottom w:val="none" w:sz="0" w:space="0" w:color="auto"/>
        <w:right w:val="none" w:sz="0" w:space="0" w:color="auto"/>
      </w:divBdr>
      <w:divsChild>
        <w:div w:id="130248831">
          <w:marLeft w:val="0"/>
          <w:marRight w:val="0"/>
          <w:marTop w:val="0"/>
          <w:marBottom w:val="0"/>
          <w:divBdr>
            <w:top w:val="none" w:sz="0" w:space="0" w:color="auto"/>
            <w:left w:val="none" w:sz="0" w:space="0" w:color="auto"/>
            <w:bottom w:val="none" w:sz="0" w:space="0" w:color="auto"/>
            <w:right w:val="none" w:sz="0" w:space="0" w:color="auto"/>
          </w:divBdr>
          <w:divsChild>
            <w:div w:id="1595016583">
              <w:marLeft w:val="0"/>
              <w:marRight w:val="0"/>
              <w:marTop w:val="0"/>
              <w:marBottom w:val="0"/>
              <w:divBdr>
                <w:top w:val="none" w:sz="0" w:space="0" w:color="auto"/>
                <w:left w:val="none" w:sz="0" w:space="0" w:color="auto"/>
                <w:bottom w:val="none" w:sz="0" w:space="0" w:color="auto"/>
                <w:right w:val="none" w:sz="0" w:space="0" w:color="auto"/>
              </w:divBdr>
              <w:divsChild>
                <w:div w:id="345254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207201">
      <w:bodyDiv w:val="1"/>
      <w:marLeft w:val="0"/>
      <w:marRight w:val="0"/>
      <w:marTop w:val="0"/>
      <w:marBottom w:val="0"/>
      <w:divBdr>
        <w:top w:val="none" w:sz="0" w:space="0" w:color="auto"/>
        <w:left w:val="none" w:sz="0" w:space="0" w:color="auto"/>
        <w:bottom w:val="none" w:sz="0" w:space="0" w:color="auto"/>
        <w:right w:val="none" w:sz="0" w:space="0" w:color="auto"/>
      </w:divBdr>
      <w:divsChild>
        <w:div w:id="2079935392">
          <w:marLeft w:val="0"/>
          <w:marRight w:val="0"/>
          <w:marTop w:val="0"/>
          <w:marBottom w:val="0"/>
          <w:divBdr>
            <w:top w:val="none" w:sz="0" w:space="0" w:color="auto"/>
            <w:left w:val="none" w:sz="0" w:space="0" w:color="auto"/>
            <w:bottom w:val="none" w:sz="0" w:space="0" w:color="auto"/>
            <w:right w:val="none" w:sz="0" w:space="0" w:color="auto"/>
          </w:divBdr>
          <w:divsChild>
            <w:div w:id="558129442">
              <w:marLeft w:val="0"/>
              <w:marRight w:val="0"/>
              <w:marTop w:val="0"/>
              <w:marBottom w:val="0"/>
              <w:divBdr>
                <w:top w:val="none" w:sz="0" w:space="0" w:color="auto"/>
                <w:left w:val="none" w:sz="0" w:space="0" w:color="auto"/>
                <w:bottom w:val="none" w:sz="0" w:space="0" w:color="auto"/>
                <w:right w:val="none" w:sz="0" w:space="0" w:color="auto"/>
              </w:divBdr>
              <w:divsChild>
                <w:div w:id="968970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760677">
      <w:bodyDiv w:val="1"/>
      <w:marLeft w:val="0"/>
      <w:marRight w:val="0"/>
      <w:marTop w:val="0"/>
      <w:marBottom w:val="0"/>
      <w:divBdr>
        <w:top w:val="none" w:sz="0" w:space="0" w:color="auto"/>
        <w:left w:val="none" w:sz="0" w:space="0" w:color="auto"/>
        <w:bottom w:val="none" w:sz="0" w:space="0" w:color="auto"/>
        <w:right w:val="none" w:sz="0" w:space="0" w:color="auto"/>
      </w:divBdr>
    </w:div>
    <w:div w:id="1616669010">
      <w:bodyDiv w:val="1"/>
      <w:marLeft w:val="0"/>
      <w:marRight w:val="0"/>
      <w:marTop w:val="0"/>
      <w:marBottom w:val="0"/>
      <w:divBdr>
        <w:top w:val="none" w:sz="0" w:space="0" w:color="auto"/>
        <w:left w:val="none" w:sz="0" w:space="0" w:color="auto"/>
        <w:bottom w:val="none" w:sz="0" w:space="0" w:color="auto"/>
        <w:right w:val="none" w:sz="0" w:space="0" w:color="auto"/>
      </w:divBdr>
      <w:divsChild>
        <w:div w:id="1504785407">
          <w:marLeft w:val="0"/>
          <w:marRight w:val="0"/>
          <w:marTop w:val="0"/>
          <w:marBottom w:val="0"/>
          <w:divBdr>
            <w:top w:val="none" w:sz="0" w:space="0" w:color="auto"/>
            <w:left w:val="none" w:sz="0" w:space="0" w:color="auto"/>
            <w:bottom w:val="none" w:sz="0" w:space="0" w:color="auto"/>
            <w:right w:val="none" w:sz="0" w:space="0" w:color="auto"/>
          </w:divBdr>
          <w:divsChild>
            <w:div w:id="2097238397">
              <w:marLeft w:val="0"/>
              <w:marRight w:val="0"/>
              <w:marTop w:val="0"/>
              <w:marBottom w:val="0"/>
              <w:divBdr>
                <w:top w:val="none" w:sz="0" w:space="0" w:color="auto"/>
                <w:left w:val="none" w:sz="0" w:space="0" w:color="auto"/>
                <w:bottom w:val="none" w:sz="0" w:space="0" w:color="auto"/>
                <w:right w:val="none" w:sz="0" w:space="0" w:color="auto"/>
              </w:divBdr>
              <w:divsChild>
                <w:div w:id="114932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7907694">
      <w:bodyDiv w:val="1"/>
      <w:marLeft w:val="0"/>
      <w:marRight w:val="0"/>
      <w:marTop w:val="0"/>
      <w:marBottom w:val="0"/>
      <w:divBdr>
        <w:top w:val="none" w:sz="0" w:space="0" w:color="auto"/>
        <w:left w:val="none" w:sz="0" w:space="0" w:color="auto"/>
        <w:bottom w:val="none" w:sz="0" w:space="0" w:color="auto"/>
        <w:right w:val="none" w:sz="0" w:space="0" w:color="auto"/>
      </w:divBdr>
      <w:divsChild>
        <w:div w:id="420835168">
          <w:marLeft w:val="0"/>
          <w:marRight w:val="0"/>
          <w:marTop w:val="0"/>
          <w:marBottom w:val="0"/>
          <w:divBdr>
            <w:top w:val="none" w:sz="0" w:space="0" w:color="auto"/>
            <w:left w:val="none" w:sz="0" w:space="0" w:color="auto"/>
            <w:bottom w:val="none" w:sz="0" w:space="0" w:color="auto"/>
            <w:right w:val="none" w:sz="0" w:space="0" w:color="auto"/>
          </w:divBdr>
          <w:divsChild>
            <w:div w:id="925531712">
              <w:marLeft w:val="0"/>
              <w:marRight w:val="0"/>
              <w:marTop w:val="0"/>
              <w:marBottom w:val="0"/>
              <w:divBdr>
                <w:top w:val="none" w:sz="0" w:space="0" w:color="auto"/>
                <w:left w:val="none" w:sz="0" w:space="0" w:color="auto"/>
                <w:bottom w:val="none" w:sz="0" w:space="0" w:color="auto"/>
                <w:right w:val="none" w:sz="0" w:space="0" w:color="auto"/>
              </w:divBdr>
              <w:divsChild>
                <w:div w:id="863633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415286">
      <w:bodyDiv w:val="1"/>
      <w:marLeft w:val="0"/>
      <w:marRight w:val="0"/>
      <w:marTop w:val="0"/>
      <w:marBottom w:val="0"/>
      <w:divBdr>
        <w:top w:val="none" w:sz="0" w:space="0" w:color="auto"/>
        <w:left w:val="none" w:sz="0" w:space="0" w:color="auto"/>
        <w:bottom w:val="none" w:sz="0" w:space="0" w:color="auto"/>
        <w:right w:val="none" w:sz="0" w:space="0" w:color="auto"/>
      </w:divBdr>
      <w:divsChild>
        <w:div w:id="1979920226">
          <w:marLeft w:val="0"/>
          <w:marRight w:val="0"/>
          <w:marTop w:val="0"/>
          <w:marBottom w:val="0"/>
          <w:divBdr>
            <w:top w:val="none" w:sz="0" w:space="0" w:color="auto"/>
            <w:left w:val="none" w:sz="0" w:space="0" w:color="auto"/>
            <w:bottom w:val="none" w:sz="0" w:space="0" w:color="auto"/>
            <w:right w:val="none" w:sz="0" w:space="0" w:color="auto"/>
          </w:divBdr>
          <w:divsChild>
            <w:div w:id="848442745">
              <w:marLeft w:val="0"/>
              <w:marRight w:val="0"/>
              <w:marTop w:val="0"/>
              <w:marBottom w:val="0"/>
              <w:divBdr>
                <w:top w:val="none" w:sz="0" w:space="0" w:color="auto"/>
                <w:left w:val="none" w:sz="0" w:space="0" w:color="auto"/>
                <w:bottom w:val="none" w:sz="0" w:space="0" w:color="auto"/>
                <w:right w:val="none" w:sz="0" w:space="0" w:color="auto"/>
              </w:divBdr>
              <w:divsChild>
                <w:div w:id="1679380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720201">
      <w:bodyDiv w:val="1"/>
      <w:marLeft w:val="0"/>
      <w:marRight w:val="0"/>
      <w:marTop w:val="0"/>
      <w:marBottom w:val="0"/>
      <w:divBdr>
        <w:top w:val="none" w:sz="0" w:space="0" w:color="auto"/>
        <w:left w:val="none" w:sz="0" w:space="0" w:color="auto"/>
        <w:bottom w:val="none" w:sz="0" w:space="0" w:color="auto"/>
        <w:right w:val="none" w:sz="0" w:space="0" w:color="auto"/>
      </w:divBdr>
      <w:divsChild>
        <w:div w:id="863203275">
          <w:marLeft w:val="0"/>
          <w:marRight w:val="0"/>
          <w:marTop w:val="0"/>
          <w:marBottom w:val="0"/>
          <w:divBdr>
            <w:top w:val="none" w:sz="0" w:space="0" w:color="auto"/>
            <w:left w:val="none" w:sz="0" w:space="0" w:color="auto"/>
            <w:bottom w:val="none" w:sz="0" w:space="0" w:color="auto"/>
            <w:right w:val="none" w:sz="0" w:space="0" w:color="auto"/>
          </w:divBdr>
          <w:divsChild>
            <w:div w:id="1390762225">
              <w:marLeft w:val="0"/>
              <w:marRight w:val="0"/>
              <w:marTop w:val="0"/>
              <w:marBottom w:val="0"/>
              <w:divBdr>
                <w:top w:val="none" w:sz="0" w:space="0" w:color="auto"/>
                <w:left w:val="none" w:sz="0" w:space="0" w:color="auto"/>
                <w:bottom w:val="none" w:sz="0" w:space="0" w:color="auto"/>
                <w:right w:val="none" w:sz="0" w:space="0" w:color="auto"/>
              </w:divBdr>
              <w:divsChild>
                <w:div w:id="98928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356768">
      <w:bodyDiv w:val="1"/>
      <w:marLeft w:val="0"/>
      <w:marRight w:val="0"/>
      <w:marTop w:val="0"/>
      <w:marBottom w:val="0"/>
      <w:divBdr>
        <w:top w:val="none" w:sz="0" w:space="0" w:color="auto"/>
        <w:left w:val="none" w:sz="0" w:space="0" w:color="auto"/>
        <w:bottom w:val="none" w:sz="0" w:space="0" w:color="auto"/>
        <w:right w:val="none" w:sz="0" w:space="0" w:color="auto"/>
      </w:divBdr>
    </w:div>
    <w:div w:id="1633365742">
      <w:bodyDiv w:val="1"/>
      <w:marLeft w:val="0"/>
      <w:marRight w:val="0"/>
      <w:marTop w:val="0"/>
      <w:marBottom w:val="0"/>
      <w:divBdr>
        <w:top w:val="none" w:sz="0" w:space="0" w:color="auto"/>
        <w:left w:val="none" w:sz="0" w:space="0" w:color="auto"/>
        <w:bottom w:val="none" w:sz="0" w:space="0" w:color="auto"/>
        <w:right w:val="none" w:sz="0" w:space="0" w:color="auto"/>
      </w:divBdr>
      <w:divsChild>
        <w:div w:id="432479230">
          <w:marLeft w:val="0"/>
          <w:marRight w:val="0"/>
          <w:marTop w:val="0"/>
          <w:marBottom w:val="0"/>
          <w:divBdr>
            <w:top w:val="none" w:sz="0" w:space="0" w:color="auto"/>
            <w:left w:val="none" w:sz="0" w:space="0" w:color="auto"/>
            <w:bottom w:val="none" w:sz="0" w:space="0" w:color="auto"/>
            <w:right w:val="none" w:sz="0" w:space="0" w:color="auto"/>
          </w:divBdr>
          <w:divsChild>
            <w:div w:id="967390766">
              <w:marLeft w:val="0"/>
              <w:marRight w:val="0"/>
              <w:marTop w:val="0"/>
              <w:marBottom w:val="0"/>
              <w:divBdr>
                <w:top w:val="none" w:sz="0" w:space="0" w:color="auto"/>
                <w:left w:val="none" w:sz="0" w:space="0" w:color="auto"/>
                <w:bottom w:val="none" w:sz="0" w:space="0" w:color="auto"/>
                <w:right w:val="none" w:sz="0" w:space="0" w:color="auto"/>
              </w:divBdr>
              <w:divsChild>
                <w:div w:id="108044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529865">
      <w:bodyDiv w:val="1"/>
      <w:marLeft w:val="0"/>
      <w:marRight w:val="0"/>
      <w:marTop w:val="0"/>
      <w:marBottom w:val="0"/>
      <w:divBdr>
        <w:top w:val="none" w:sz="0" w:space="0" w:color="auto"/>
        <w:left w:val="none" w:sz="0" w:space="0" w:color="auto"/>
        <w:bottom w:val="none" w:sz="0" w:space="0" w:color="auto"/>
        <w:right w:val="none" w:sz="0" w:space="0" w:color="auto"/>
      </w:divBdr>
      <w:divsChild>
        <w:div w:id="152600090">
          <w:marLeft w:val="0"/>
          <w:marRight w:val="0"/>
          <w:marTop w:val="0"/>
          <w:marBottom w:val="0"/>
          <w:divBdr>
            <w:top w:val="none" w:sz="0" w:space="0" w:color="auto"/>
            <w:left w:val="none" w:sz="0" w:space="0" w:color="auto"/>
            <w:bottom w:val="none" w:sz="0" w:space="0" w:color="auto"/>
            <w:right w:val="none" w:sz="0" w:space="0" w:color="auto"/>
          </w:divBdr>
          <w:divsChild>
            <w:div w:id="221335024">
              <w:marLeft w:val="0"/>
              <w:marRight w:val="0"/>
              <w:marTop w:val="0"/>
              <w:marBottom w:val="0"/>
              <w:divBdr>
                <w:top w:val="none" w:sz="0" w:space="0" w:color="auto"/>
                <w:left w:val="none" w:sz="0" w:space="0" w:color="auto"/>
                <w:bottom w:val="none" w:sz="0" w:space="0" w:color="auto"/>
                <w:right w:val="none" w:sz="0" w:space="0" w:color="auto"/>
              </w:divBdr>
              <w:divsChild>
                <w:div w:id="1821311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354055">
      <w:bodyDiv w:val="1"/>
      <w:marLeft w:val="0"/>
      <w:marRight w:val="0"/>
      <w:marTop w:val="0"/>
      <w:marBottom w:val="0"/>
      <w:divBdr>
        <w:top w:val="none" w:sz="0" w:space="0" w:color="auto"/>
        <w:left w:val="none" w:sz="0" w:space="0" w:color="auto"/>
        <w:bottom w:val="none" w:sz="0" w:space="0" w:color="auto"/>
        <w:right w:val="none" w:sz="0" w:space="0" w:color="auto"/>
      </w:divBdr>
      <w:divsChild>
        <w:div w:id="242834681">
          <w:marLeft w:val="0"/>
          <w:marRight w:val="0"/>
          <w:marTop w:val="0"/>
          <w:marBottom w:val="0"/>
          <w:divBdr>
            <w:top w:val="none" w:sz="0" w:space="0" w:color="auto"/>
            <w:left w:val="none" w:sz="0" w:space="0" w:color="auto"/>
            <w:bottom w:val="none" w:sz="0" w:space="0" w:color="auto"/>
            <w:right w:val="none" w:sz="0" w:space="0" w:color="auto"/>
          </w:divBdr>
          <w:divsChild>
            <w:div w:id="1706052757">
              <w:marLeft w:val="0"/>
              <w:marRight w:val="0"/>
              <w:marTop w:val="0"/>
              <w:marBottom w:val="0"/>
              <w:divBdr>
                <w:top w:val="none" w:sz="0" w:space="0" w:color="auto"/>
                <w:left w:val="none" w:sz="0" w:space="0" w:color="auto"/>
                <w:bottom w:val="none" w:sz="0" w:space="0" w:color="auto"/>
                <w:right w:val="none" w:sz="0" w:space="0" w:color="auto"/>
              </w:divBdr>
              <w:divsChild>
                <w:div w:id="138957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317668">
      <w:bodyDiv w:val="1"/>
      <w:marLeft w:val="0"/>
      <w:marRight w:val="0"/>
      <w:marTop w:val="0"/>
      <w:marBottom w:val="0"/>
      <w:divBdr>
        <w:top w:val="none" w:sz="0" w:space="0" w:color="auto"/>
        <w:left w:val="none" w:sz="0" w:space="0" w:color="auto"/>
        <w:bottom w:val="none" w:sz="0" w:space="0" w:color="auto"/>
        <w:right w:val="none" w:sz="0" w:space="0" w:color="auto"/>
      </w:divBdr>
      <w:divsChild>
        <w:div w:id="2125222370">
          <w:marLeft w:val="0"/>
          <w:marRight w:val="0"/>
          <w:marTop w:val="0"/>
          <w:marBottom w:val="0"/>
          <w:divBdr>
            <w:top w:val="none" w:sz="0" w:space="0" w:color="auto"/>
            <w:left w:val="none" w:sz="0" w:space="0" w:color="auto"/>
            <w:bottom w:val="none" w:sz="0" w:space="0" w:color="auto"/>
            <w:right w:val="none" w:sz="0" w:space="0" w:color="auto"/>
          </w:divBdr>
          <w:divsChild>
            <w:div w:id="1307198799">
              <w:marLeft w:val="0"/>
              <w:marRight w:val="0"/>
              <w:marTop w:val="0"/>
              <w:marBottom w:val="0"/>
              <w:divBdr>
                <w:top w:val="none" w:sz="0" w:space="0" w:color="auto"/>
                <w:left w:val="none" w:sz="0" w:space="0" w:color="auto"/>
                <w:bottom w:val="none" w:sz="0" w:space="0" w:color="auto"/>
                <w:right w:val="none" w:sz="0" w:space="0" w:color="auto"/>
              </w:divBdr>
              <w:divsChild>
                <w:div w:id="189897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776859">
      <w:bodyDiv w:val="1"/>
      <w:marLeft w:val="0"/>
      <w:marRight w:val="0"/>
      <w:marTop w:val="0"/>
      <w:marBottom w:val="0"/>
      <w:divBdr>
        <w:top w:val="none" w:sz="0" w:space="0" w:color="auto"/>
        <w:left w:val="none" w:sz="0" w:space="0" w:color="auto"/>
        <w:bottom w:val="none" w:sz="0" w:space="0" w:color="auto"/>
        <w:right w:val="none" w:sz="0" w:space="0" w:color="auto"/>
      </w:divBdr>
    </w:div>
    <w:div w:id="1667053931">
      <w:bodyDiv w:val="1"/>
      <w:marLeft w:val="0"/>
      <w:marRight w:val="0"/>
      <w:marTop w:val="0"/>
      <w:marBottom w:val="0"/>
      <w:divBdr>
        <w:top w:val="none" w:sz="0" w:space="0" w:color="auto"/>
        <w:left w:val="none" w:sz="0" w:space="0" w:color="auto"/>
        <w:bottom w:val="none" w:sz="0" w:space="0" w:color="auto"/>
        <w:right w:val="none" w:sz="0" w:space="0" w:color="auto"/>
      </w:divBdr>
    </w:div>
    <w:div w:id="1669747712">
      <w:bodyDiv w:val="1"/>
      <w:marLeft w:val="0"/>
      <w:marRight w:val="0"/>
      <w:marTop w:val="0"/>
      <w:marBottom w:val="0"/>
      <w:divBdr>
        <w:top w:val="none" w:sz="0" w:space="0" w:color="auto"/>
        <w:left w:val="none" w:sz="0" w:space="0" w:color="auto"/>
        <w:bottom w:val="none" w:sz="0" w:space="0" w:color="auto"/>
        <w:right w:val="none" w:sz="0" w:space="0" w:color="auto"/>
      </w:divBdr>
      <w:divsChild>
        <w:div w:id="21782824">
          <w:marLeft w:val="0"/>
          <w:marRight w:val="0"/>
          <w:marTop w:val="0"/>
          <w:marBottom w:val="0"/>
          <w:divBdr>
            <w:top w:val="none" w:sz="0" w:space="0" w:color="auto"/>
            <w:left w:val="none" w:sz="0" w:space="0" w:color="auto"/>
            <w:bottom w:val="none" w:sz="0" w:space="0" w:color="auto"/>
            <w:right w:val="none" w:sz="0" w:space="0" w:color="auto"/>
          </w:divBdr>
          <w:divsChild>
            <w:div w:id="2087610011">
              <w:marLeft w:val="0"/>
              <w:marRight w:val="0"/>
              <w:marTop w:val="0"/>
              <w:marBottom w:val="0"/>
              <w:divBdr>
                <w:top w:val="none" w:sz="0" w:space="0" w:color="auto"/>
                <w:left w:val="none" w:sz="0" w:space="0" w:color="auto"/>
                <w:bottom w:val="none" w:sz="0" w:space="0" w:color="auto"/>
                <w:right w:val="none" w:sz="0" w:space="0" w:color="auto"/>
              </w:divBdr>
              <w:divsChild>
                <w:div w:id="116932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139317">
      <w:bodyDiv w:val="1"/>
      <w:marLeft w:val="0"/>
      <w:marRight w:val="0"/>
      <w:marTop w:val="0"/>
      <w:marBottom w:val="0"/>
      <w:divBdr>
        <w:top w:val="none" w:sz="0" w:space="0" w:color="auto"/>
        <w:left w:val="none" w:sz="0" w:space="0" w:color="auto"/>
        <w:bottom w:val="none" w:sz="0" w:space="0" w:color="auto"/>
        <w:right w:val="none" w:sz="0" w:space="0" w:color="auto"/>
      </w:divBdr>
    </w:div>
    <w:div w:id="1687487665">
      <w:bodyDiv w:val="1"/>
      <w:marLeft w:val="0"/>
      <w:marRight w:val="0"/>
      <w:marTop w:val="0"/>
      <w:marBottom w:val="0"/>
      <w:divBdr>
        <w:top w:val="none" w:sz="0" w:space="0" w:color="auto"/>
        <w:left w:val="none" w:sz="0" w:space="0" w:color="auto"/>
        <w:bottom w:val="none" w:sz="0" w:space="0" w:color="auto"/>
        <w:right w:val="none" w:sz="0" w:space="0" w:color="auto"/>
      </w:divBdr>
      <w:divsChild>
        <w:div w:id="677970579">
          <w:marLeft w:val="0"/>
          <w:marRight w:val="0"/>
          <w:marTop w:val="0"/>
          <w:marBottom w:val="0"/>
          <w:divBdr>
            <w:top w:val="none" w:sz="0" w:space="0" w:color="auto"/>
            <w:left w:val="none" w:sz="0" w:space="0" w:color="auto"/>
            <w:bottom w:val="none" w:sz="0" w:space="0" w:color="auto"/>
            <w:right w:val="none" w:sz="0" w:space="0" w:color="auto"/>
          </w:divBdr>
          <w:divsChild>
            <w:div w:id="364408374">
              <w:marLeft w:val="0"/>
              <w:marRight w:val="0"/>
              <w:marTop w:val="0"/>
              <w:marBottom w:val="0"/>
              <w:divBdr>
                <w:top w:val="none" w:sz="0" w:space="0" w:color="auto"/>
                <w:left w:val="none" w:sz="0" w:space="0" w:color="auto"/>
                <w:bottom w:val="none" w:sz="0" w:space="0" w:color="auto"/>
                <w:right w:val="none" w:sz="0" w:space="0" w:color="auto"/>
              </w:divBdr>
              <w:divsChild>
                <w:div w:id="325549686">
                  <w:marLeft w:val="0"/>
                  <w:marRight w:val="0"/>
                  <w:marTop w:val="0"/>
                  <w:marBottom w:val="0"/>
                  <w:divBdr>
                    <w:top w:val="none" w:sz="0" w:space="0" w:color="auto"/>
                    <w:left w:val="none" w:sz="0" w:space="0" w:color="auto"/>
                    <w:bottom w:val="none" w:sz="0" w:space="0" w:color="auto"/>
                    <w:right w:val="none" w:sz="0" w:space="0" w:color="auto"/>
                  </w:divBdr>
                </w:div>
              </w:divsChild>
            </w:div>
            <w:div w:id="73166310">
              <w:marLeft w:val="0"/>
              <w:marRight w:val="0"/>
              <w:marTop w:val="0"/>
              <w:marBottom w:val="0"/>
              <w:divBdr>
                <w:top w:val="none" w:sz="0" w:space="0" w:color="auto"/>
                <w:left w:val="none" w:sz="0" w:space="0" w:color="auto"/>
                <w:bottom w:val="none" w:sz="0" w:space="0" w:color="auto"/>
                <w:right w:val="none" w:sz="0" w:space="0" w:color="auto"/>
              </w:divBdr>
              <w:divsChild>
                <w:div w:id="908265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490269">
          <w:marLeft w:val="0"/>
          <w:marRight w:val="0"/>
          <w:marTop w:val="0"/>
          <w:marBottom w:val="0"/>
          <w:divBdr>
            <w:top w:val="none" w:sz="0" w:space="0" w:color="auto"/>
            <w:left w:val="none" w:sz="0" w:space="0" w:color="auto"/>
            <w:bottom w:val="none" w:sz="0" w:space="0" w:color="auto"/>
            <w:right w:val="none" w:sz="0" w:space="0" w:color="auto"/>
          </w:divBdr>
          <w:divsChild>
            <w:div w:id="1711681104">
              <w:marLeft w:val="0"/>
              <w:marRight w:val="0"/>
              <w:marTop w:val="0"/>
              <w:marBottom w:val="0"/>
              <w:divBdr>
                <w:top w:val="none" w:sz="0" w:space="0" w:color="auto"/>
                <w:left w:val="none" w:sz="0" w:space="0" w:color="auto"/>
                <w:bottom w:val="none" w:sz="0" w:space="0" w:color="auto"/>
                <w:right w:val="none" w:sz="0" w:space="0" w:color="auto"/>
              </w:divBdr>
              <w:divsChild>
                <w:div w:id="1396850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2102163">
      <w:bodyDiv w:val="1"/>
      <w:marLeft w:val="0"/>
      <w:marRight w:val="0"/>
      <w:marTop w:val="0"/>
      <w:marBottom w:val="0"/>
      <w:divBdr>
        <w:top w:val="none" w:sz="0" w:space="0" w:color="auto"/>
        <w:left w:val="none" w:sz="0" w:space="0" w:color="auto"/>
        <w:bottom w:val="none" w:sz="0" w:space="0" w:color="auto"/>
        <w:right w:val="none" w:sz="0" w:space="0" w:color="auto"/>
      </w:divBdr>
    </w:div>
    <w:div w:id="1693191724">
      <w:bodyDiv w:val="1"/>
      <w:marLeft w:val="0"/>
      <w:marRight w:val="0"/>
      <w:marTop w:val="0"/>
      <w:marBottom w:val="0"/>
      <w:divBdr>
        <w:top w:val="none" w:sz="0" w:space="0" w:color="auto"/>
        <w:left w:val="none" w:sz="0" w:space="0" w:color="auto"/>
        <w:bottom w:val="none" w:sz="0" w:space="0" w:color="auto"/>
        <w:right w:val="none" w:sz="0" w:space="0" w:color="auto"/>
      </w:divBdr>
      <w:divsChild>
        <w:div w:id="753091474">
          <w:marLeft w:val="0"/>
          <w:marRight w:val="0"/>
          <w:marTop w:val="0"/>
          <w:marBottom w:val="0"/>
          <w:divBdr>
            <w:top w:val="none" w:sz="0" w:space="0" w:color="auto"/>
            <w:left w:val="none" w:sz="0" w:space="0" w:color="auto"/>
            <w:bottom w:val="none" w:sz="0" w:space="0" w:color="auto"/>
            <w:right w:val="none" w:sz="0" w:space="0" w:color="auto"/>
          </w:divBdr>
          <w:divsChild>
            <w:div w:id="1708293960">
              <w:marLeft w:val="0"/>
              <w:marRight w:val="0"/>
              <w:marTop w:val="0"/>
              <w:marBottom w:val="0"/>
              <w:divBdr>
                <w:top w:val="none" w:sz="0" w:space="0" w:color="auto"/>
                <w:left w:val="none" w:sz="0" w:space="0" w:color="auto"/>
                <w:bottom w:val="none" w:sz="0" w:space="0" w:color="auto"/>
                <w:right w:val="none" w:sz="0" w:space="0" w:color="auto"/>
              </w:divBdr>
              <w:divsChild>
                <w:div w:id="1922450933">
                  <w:marLeft w:val="0"/>
                  <w:marRight w:val="0"/>
                  <w:marTop w:val="0"/>
                  <w:marBottom w:val="0"/>
                  <w:divBdr>
                    <w:top w:val="none" w:sz="0" w:space="0" w:color="auto"/>
                    <w:left w:val="none" w:sz="0" w:space="0" w:color="auto"/>
                    <w:bottom w:val="none" w:sz="0" w:space="0" w:color="auto"/>
                    <w:right w:val="none" w:sz="0" w:space="0" w:color="auto"/>
                  </w:divBdr>
                  <w:divsChild>
                    <w:div w:id="715391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3917508">
      <w:bodyDiv w:val="1"/>
      <w:marLeft w:val="0"/>
      <w:marRight w:val="0"/>
      <w:marTop w:val="0"/>
      <w:marBottom w:val="0"/>
      <w:divBdr>
        <w:top w:val="none" w:sz="0" w:space="0" w:color="auto"/>
        <w:left w:val="none" w:sz="0" w:space="0" w:color="auto"/>
        <w:bottom w:val="none" w:sz="0" w:space="0" w:color="auto"/>
        <w:right w:val="none" w:sz="0" w:space="0" w:color="auto"/>
      </w:divBdr>
      <w:divsChild>
        <w:div w:id="1866021968">
          <w:marLeft w:val="0"/>
          <w:marRight w:val="0"/>
          <w:marTop w:val="0"/>
          <w:marBottom w:val="0"/>
          <w:divBdr>
            <w:top w:val="none" w:sz="0" w:space="0" w:color="auto"/>
            <w:left w:val="none" w:sz="0" w:space="0" w:color="auto"/>
            <w:bottom w:val="none" w:sz="0" w:space="0" w:color="auto"/>
            <w:right w:val="none" w:sz="0" w:space="0" w:color="auto"/>
          </w:divBdr>
          <w:divsChild>
            <w:div w:id="1936552841">
              <w:marLeft w:val="0"/>
              <w:marRight w:val="0"/>
              <w:marTop w:val="0"/>
              <w:marBottom w:val="0"/>
              <w:divBdr>
                <w:top w:val="none" w:sz="0" w:space="0" w:color="auto"/>
                <w:left w:val="none" w:sz="0" w:space="0" w:color="auto"/>
                <w:bottom w:val="none" w:sz="0" w:space="0" w:color="auto"/>
                <w:right w:val="none" w:sz="0" w:space="0" w:color="auto"/>
              </w:divBdr>
              <w:divsChild>
                <w:div w:id="796530075">
                  <w:marLeft w:val="0"/>
                  <w:marRight w:val="0"/>
                  <w:marTop w:val="0"/>
                  <w:marBottom w:val="0"/>
                  <w:divBdr>
                    <w:top w:val="none" w:sz="0" w:space="0" w:color="auto"/>
                    <w:left w:val="none" w:sz="0" w:space="0" w:color="auto"/>
                    <w:bottom w:val="none" w:sz="0" w:space="0" w:color="auto"/>
                    <w:right w:val="none" w:sz="0" w:space="0" w:color="auto"/>
                  </w:divBdr>
                  <w:divsChild>
                    <w:div w:id="590044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5713137">
      <w:bodyDiv w:val="1"/>
      <w:marLeft w:val="0"/>
      <w:marRight w:val="0"/>
      <w:marTop w:val="0"/>
      <w:marBottom w:val="0"/>
      <w:divBdr>
        <w:top w:val="none" w:sz="0" w:space="0" w:color="auto"/>
        <w:left w:val="none" w:sz="0" w:space="0" w:color="auto"/>
        <w:bottom w:val="none" w:sz="0" w:space="0" w:color="auto"/>
        <w:right w:val="none" w:sz="0" w:space="0" w:color="auto"/>
      </w:divBdr>
    </w:div>
    <w:div w:id="1705903856">
      <w:bodyDiv w:val="1"/>
      <w:marLeft w:val="0"/>
      <w:marRight w:val="0"/>
      <w:marTop w:val="0"/>
      <w:marBottom w:val="0"/>
      <w:divBdr>
        <w:top w:val="none" w:sz="0" w:space="0" w:color="auto"/>
        <w:left w:val="none" w:sz="0" w:space="0" w:color="auto"/>
        <w:bottom w:val="none" w:sz="0" w:space="0" w:color="auto"/>
        <w:right w:val="none" w:sz="0" w:space="0" w:color="auto"/>
      </w:divBdr>
    </w:div>
    <w:div w:id="1710714707">
      <w:bodyDiv w:val="1"/>
      <w:marLeft w:val="0"/>
      <w:marRight w:val="0"/>
      <w:marTop w:val="0"/>
      <w:marBottom w:val="0"/>
      <w:divBdr>
        <w:top w:val="none" w:sz="0" w:space="0" w:color="auto"/>
        <w:left w:val="none" w:sz="0" w:space="0" w:color="auto"/>
        <w:bottom w:val="none" w:sz="0" w:space="0" w:color="auto"/>
        <w:right w:val="none" w:sz="0" w:space="0" w:color="auto"/>
      </w:divBdr>
    </w:div>
    <w:div w:id="1720931663">
      <w:bodyDiv w:val="1"/>
      <w:marLeft w:val="0"/>
      <w:marRight w:val="0"/>
      <w:marTop w:val="0"/>
      <w:marBottom w:val="0"/>
      <w:divBdr>
        <w:top w:val="none" w:sz="0" w:space="0" w:color="auto"/>
        <w:left w:val="none" w:sz="0" w:space="0" w:color="auto"/>
        <w:bottom w:val="none" w:sz="0" w:space="0" w:color="auto"/>
        <w:right w:val="none" w:sz="0" w:space="0" w:color="auto"/>
      </w:divBdr>
    </w:div>
    <w:div w:id="1722166608">
      <w:bodyDiv w:val="1"/>
      <w:marLeft w:val="0"/>
      <w:marRight w:val="0"/>
      <w:marTop w:val="0"/>
      <w:marBottom w:val="0"/>
      <w:divBdr>
        <w:top w:val="none" w:sz="0" w:space="0" w:color="auto"/>
        <w:left w:val="none" w:sz="0" w:space="0" w:color="auto"/>
        <w:bottom w:val="none" w:sz="0" w:space="0" w:color="auto"/>
        <w:right w:val="none" w:sz="0" w:space="0" w:color="auto"/>
      </w:divBdr>
    </w:div>
    <w:div w:id="1726685688">
      <w:bodyDiv w:val="1"/>
      <w:marLeft w:val="0"/>
      <w:marRight w:val="0"/>
      <w:marTop w:val="0"/>
      <w:marBottom w:val="0"/>
      <w:divBdr>
        <w:top w:val="none" w:sz="0" w:space="0" w:color="auto"/>
        <w:left w:val="none" w:sz="0" w:space="0" w:color="auto"/>
        <w:bottom w:val="none" w:sz="0" w:space="0" w:color="auto"/>
        <w:right w:val="none" w:sz="0" w:space="0" w:color="auto"/>
      </w:divBdr>
      <w:divsChild>
        <w:div w:id="1004473471">
          <w:marLeft w:val="0"/>
          <w:marRight w:val="0"/>
          <w:marTop w:val="0"/>
          <w:marBottom w:val="0"/>
          <w:divBdr>
            <w:top w:val="none" w:sz="0" w:space="0" w:color="auto"/>
            <w:left w:val="none" w:sz="0" w:space="0" w:color="auto"/>
            <w:bottom w:val="none" w:sz="0" w:space="0" w:color="auto"/>
            <w:right w:val="none" w:sz="0" w:space="0" w:color="auto"/>
          </w:divBdr>
          <w:divsChild>
            <w:div w:id="90053842">
              <w:marLeft w:val="0"/>
              <w:marRight w:val="0"/>
              <w:marTop w:val="0"/>
              <w:marBottom w:val="0"/>
              <w:divBdr>
                <w:top w:val="none" w:sz="0" w:space="0" w:color="auto"/>
                <w:left w:val="none" w:sz="0" w:space="0" w:color="auto"/>
                <w:bottom w:val="none" w:sz="0" w:space="0" w:color="auto"/>
                <w:right w:val="none" w:sz="0" w:space="0" w:color="auto"/>
              </w:divBdr>
              <w:divsChild>
                <w:div w:id="1064840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560166">
      <w:bodyDiv w:val="1"/>
      <w:marLeft w:val="0"/>
      <w:marRight w:val="0"/>
      <w:marTop w:val="0"/>
      <w:marBottom w:val="0"/>
      <w:divBdr>
        <w:top w:val="none" w:sz="0" w:space="0" w:color="auto"/>
        <w:left w:val="none" w:sz="0" w:space="0" w:color="auto"/>
        <w:bottom w:val="none" w:sz="0" w:space="0" w:color="auto"/>
        <w:right w:val="none" w:sz="0" w:space="0" w:color="auto"/>
      </w:divBdr>
    </w:div>
    <w:div w:id="1729913355">
      <w:bodyDiv w:val="1"/>
      <w:marLeft w:val="0"/>
      <w:marRight w:val="0"/>
      <w:marTop w:val="0"/>
      <w:marBottom w:val="0"/>
      <w:divBdr>
        <w:top w:val="none" w:sz="0" w:space="0" w:color="auto"/>
        <w:left w:val="none" w:sz="0" w:space="0" w:color="auto"/>
        <w:bottom w:val="none" w:sz="0" w:space="0" w:color="auto"/>
        <w:right w:val="none" w:sz="0" w:space="0" w:color="auto"/>
      </w:divBdr>
      <w:divsChild>
        <w:div w:id="1516768766">
          <w:marLeft w:val="0"/>
          <w:marRight w:val="0"/>
          <w:marTop w:val="0"/>
          <w:marBottom w:val="0"/>
          <w:divBdr>
            <w:top w:val="none" w:sz="0" w:space="0" w:color="auto"/>
            <w:left w:val="none" w:sz="0" w:space="0" w:color="auto"/>
            <w:bottom w:val="none" w:sz="0" w:space="0" w:color="auto"/>
            <w:right w:val="none" w:sz="0" w:space="0" w:color="auto"/>
          </w:divBdr>
          <w:divsChild>
            <w:div w:id="2018266323">
              <w:marLeft w:val="0"/>
              <w:marRight w:val="0"/>
              <w:marTop w:val="0"/>
              <w:marBottom w:val="0"/>
              <w:divBdr>
                <w:top w:val="none" w:sz="0" w:space="0" w:color="auto"/>
                <w:left w:val="none" w:sz="0" w:space="0" w:color="auto"/>
                <w:bottom w:val="none" w:sz="0" w:space="0" w:color="auto"/>
                <w:right w:val="none" w:sz="0" w:space="0" w:color="auto"/>
              </w:divBdr>
              <w:divsChild>
                <w:div w:id="1851286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581710">
      <w:bodyDiv w:val="1"/>
      <w:marLeft w:val="0"/>
      <w:marRight w:val="0"/>
      <w:marTop w:val="0"/>
      <w:marBottom w:val="0"/>
      <w:divBdr>
        <w:top w:val="none" w:sz="0" w:space="0" w:color="auto"/>
        <w:left w:val="none" w:sz="0" w:space="0" w:color="auto"/>
        <w:bottom w:val="none" w:sz="0" w:space="0" w:color="auto"/>
        <w:right w:val="none" w:sz="0" w:space="0" w:color="auto"/>
      </w:divBdr>
    </w:div>
    <w:div w:id="1733230700">
      <w:bodyDiv w:val="1"/>
      <w:marLeft w:val="0"/>
      <w:marRight w:val="0"/>
      <w:marTop w:val="0"/>
      <w:marBottom w:val="0"/>
      <w:divBdr>
        <w:top w:val="none" w:sz="0" w:space="0" w:color="auto"/>
        <w:left w:val="none" w:sz="0" w:space="0" w:color="auto"/>
        <w:bottom w:val="none" w:sz="0" w:space="0" w:color="auto"/>
        <w:right w:val="none" w:sz="0" w:space="0" w:color="auto"/>
      </w:divBdr>
      <w:divsChild>
        <w:div w:id="1992753848">
          <w:marLeft w:val="0"/>
          <w:marRight w:val="0"/>
          <w:marTop w:val="0"/>
          <w:marBottom w:val="0"/>
          <w:divBdr>
            <w:top w:val="none" w:sz="0" w:space="0" w:color="auto"/>
            <w:left w:val="none" w:sz="0" w:space="0" w:color="auto"/>
            <w:bottom w:val="none" w:sz="0" w:space="0" w:color="auto"/>
            <w:right w:val="none" w:sz="0" w:space="0" w:color="auto"/>
          </w:divBdr>
          <w:divsChild>
            <w:div w:id="877550708">
              <w:marLeft w:val="0"/>
              <w:marRight w:val="0"/>
              <w:marTop w:val="0"/>
              <w:marBottom w:val="0"/>
              <w:divBdr>
                <w:top w:val="none" w:sz="0" w:space="0" w:color="auto"/>
                <w:left w:val="none" w:sz="0" w:space="0" w:color="auto"/>
                <w:bottom w:val="none" w:sz="0" w:space="0" w:color="auto"/>
                <w:right w:val="none" w:sz="0" w:space="0" w:color="auto"/>
              </w:divBdr>
              <w:divsChild>
                <w:div w:id="1402559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563362">
      <w:bodyDiv w:val="1"/>
      <w:marLeft w:val="0"/>
      <w:marRight w:val="0"/>
      <w:marTop w:val="0"/>
      <w:marBottom w:val="0"/>
      <w:divBdr>
        <w:top w:val="none" w:sz="0" w:space="0" w:color="auto"/>
        <w:left w:val="none" w:sz="0" w:space="0" w:color="auto"/>
        <w:bottom w:val="none" w:sz="0" w:space="0" w:color="auto"/>
        <w:right w:val="none" w:sz="0" w:space="0" w:color="auto"/>
      </w:divBdr>
      <w:divsChild>
        <w:div w:id="84033056">
          <w:marLeft w:val="0"/>
          <w:marRight w:val="0"/>
          <w:marTop w:val="0"/>
          <w:marBottom w:val="0"/>
          <w:divBdr>
            <w:top w:val="none" w:sz="0" w:space="0" w:color="auto"/>
            <w:left w:val="none" w:sz="0" w:space="0" w:color="auto"/>
            <w:bottom w:val="none" w:sz="0" w:space="0" w:color="auto"/>
            <w:right w:val="none" w:sz="0" w:space="0" w:color="auto"/>
          </w:divBdr>
          <w:divsChild>
            <w:div w:id="797527142">
              <w:marLeft w:val="0"/>
              <w:marRight w:val="0"/>
              <w:marTop w:val="0"/>
              <w:marBottom w:val="0"/>
              <w:divBdr>
                <w:top w:val="none" w:sz="0" w:space="0" w:color="auto"/>
                <w:left w:val="none" w:sz="0" w:space="0" w:color="auto"/>
                <w:bottom w:val="none" w:sz="0" w:space="0" w:color="auto"/>
                <w:right w:val="none" w:sz="0" w:space="0" w:color="auto"/>
              </w:divBdr>
              <w:divsChild>
                <w:div w:id="78913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062222">
      <w:bodyDiv w:val="1"/>
      <w:marLeft w:val="0"/>
      <w:marRight w:val="0"/>
      <w:marTop w:val="0"/>
      <w:marBottom w:val="0"/>
      <w:divBdr>
        <w:top w:val="none" w:sz="0" w:space="0" w:color="auto"/>
        <w:left w:val="none" w:sz="0" w:space="0" w:color="auto"/>
        <w:bottom w:val="none" w:sz="0" w:space="0" w:color="auto"/>
        <w:right w:val="none" w:sz="0" w:space="0" w:color="auto"/>
      </w:divBdr>
    </w:div>
    <w:div w:id="1759398880">
      <w:bodyDiv w:val="1"/>
      <w:marLeft w:val="0"/>
      <w:marRight w:val="0"/>
      <w:marTop w:val="0"/>
      <w:marBottom w:val="0"/>
      <w:divBdr>
        <w:top w:val="none" w:sz="0" w:space="0" w:color="auto"/>
        <w:left w:val="none" w:sz="0" w:space="0" w:color="auto"/>
        <w:bottom w:val="none" w:sz="0" w:space="0" w:color="auto"/>
        <w:right w:val="none" w:sz="0" w:space="0" w:color="auto"/>
      </w:divBdr>
    </w:div>
    <w:div w:id="1761373024">
      <w:bodyDiv w:val="1"/>
      <w:marLeft w:val="0"/>
      <w:marRight w:val="0"/>
      <w:marTop w:val="0"/>
      <w:marBottom w:val="0"/>
      <w:divBdr>
        <w:top w:val="none" w:sz="0" w:space="0" w:color="auto"/>
        <w:left w:val="none" w:sz="0" w:space="0" w:color="auto"/>
        <w:bottom w:val="none" w:sz="0" w:space="0" w:color="auto"/>
        <w:right w:val="none" w:sz="0" w:space="0" w:color="auto"/>
      </w:divBdr>
      <w:divsChild>
        <w:div w:id="1427772220">
          <w:marLeft w:val="0"/>
          <w:marRight w:val="0"/>
          <w:marTop w:val="0"/>
          <w:marBottom w:val="0"/>
          <w:divBdr>
            <w:top w:val="none" w:sz="0" w:space="0" w:color="auto"/>
            <w:left w:val="none" w:sz="0" w:space="0" w:color="auto"/>
            <w:bottom w:val="none" w:sz="0" w:space="0" w:color="auto"/>
            <w:right w:val="none" w:sz="0" w:space="0" w:color="auto"/>
          </w:divBdr>
          <w:divsChild>
            <w:div w:id="414546614">
              <w:marLeft w:val="0"/>
              <w:marRight w:val="0"/>
              <w:marTop w:val="0"/>
              <w:marBottom w:val="0"/>
              <w:divBdr>
                <w:top w:val="none" w:sz="0" w:space="0" w:color="auto"/>
                <w:left w:val="none" w:sz="0" w:space="0" w:color="auto"/>
                <w:bottom w:val="none" w:sz="0" w:space="0" w:color="auto"/>
                <w:right w:val="none" w:sz="0" w:space="0" w:color="auto"/>
              </w:divBdr>
              <w:divsChild>
                <w:div w:id="1293173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720099">
      <w:bodyDiv w:val="1"/>
      <w:marLeft w:val="0"/>
      <w:marRight w:val="0"/>
      <w:marTop w:val="0"/>
      <w:marBottom w:val="0"/>
      <w:divBdr>
        <w:top w:val="none" w:sz="0" w:space="0" w:color="auto"/>
        <w:left w:val="none" w:sz="0" w:space="0" w:color="auto"/>
        <w:bottom w:val="none" w:sz="0" w:space="0" w:color="auto"/>
        <w:right w:val="none" w:sz="0" w:space="0" w:color="auto"/>
      </w:divBdr>
    </w:div>
    <w:div w:id="1791624425">
      <w:bodyDiv w:val="1"/>
      <w:marLeft w:val="0"/>
      <w:marRight w:val="0"/>
      <w:marTop w:val="0"/>
      <w:marBottom w:val="0"/>
      <w:divBdr>
        <w:top w:val="none" w:sz="0" w:space="0" w:color="auto"/>
        <w:left w:val="none" w:sz="0" w:space="0" w:color="auto"/>
        <w:bottom w:val="none" w:sz="0" w:space="0" w:color="auto"/>
        <w:right w:val="none" w:sz="0" w:space="0" w:color="auto"/>
      </w:divBdr>
    </w:div>
    <w:div w:id="1802921468">
      <w:bodyDiv w:val="1"/>
      <w:marLeft w:val="0"/>
      <w:marRight w:val="0"/>
      <w:marTop w:val="0"/>
      <w:marBottom w:val="0"/>
      <w:divBdr>
        <w:top w:val="none" w:sz="0" w:space="0" w:color="auto"/>
        <w:left w:val="none" w:sz="0" w:space="0" w:color="auto"/>
        <w:bottom w:val="none" w:sz="0" w:space="0" w:color="auto"/>
        <w:right w:val="none" w:sz="0" w:space="0" w:color="auto"/>
      </w:divBdr>
      <w:divsChild>
        <w:div w:id="827943059">
          <w:marLeft w:val="0"/>
          <w:marRight w:val="0"/>
          <w:marTop w:val="0"/>
          <w:marBottom w:val="0"/>
          <w:divBdr>
            <w:top w:val="none" w:sz="0" w:space="0" w:color="auto"/>
            <w:left w:val="none" w:sz="0" w:space="0" w:color="auto"/>
            <w:bottom w:val="none" w:sz="0" w:space="0" w:color="auto"/>
            <w:right w:val="none" w:sz="0" w:space="0" w:color="auto"/>
          </w:divBdr>
          <w:divsChild>
            <w:div w:id="409893231">
              <w:marLeft w:val="0"/>
              <w:marRight w:val="0"/>
              <w:marTop w:val="0"/>
              <w:marBottom w:val="0"/>
              <w:divBdr>
                <w:top w:val="none" w:sz="0" w:space="0" w:color="auto"/>
                <w:left w:val="none" w:sz="0" w:space="0" w:color="auto"/>
                <w:bottom w:val="none" w:sz="0" w:space="0" w:color="auto"/>
                <w:right w:val="none" w:sz="0" w:space="0" w:color="auto"/>
              </w:divBdr>
              <w:divsChild>
                <w:div w:id="745998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075501">
      <w:bodyDiv w:val="1"/>
      <w:marLeft w:val="0"/>
      <w:marRight w:val="0"/>
      <w:marTop w:val="0"/>
      <w:marBottom w:val="0"/>
      <w:divBdr>
        <w:top w:val="none" w:sz="0" w:space="0" w:color="auto"/>
        <w:left w:val="none" w:sz="0" w:space="0" w:color="auto"/>
        <w:bottom w:val="none" w:sz="0" w:space="0" w:color="auto"/>
        <w:right w:val="none" w:sz="0" w:space="0" w:color="auto"/>
      </w:divBdr>
      <w:divsChild>
        <w:div w:id="1316567267">
          <w:marLeft w:val="0"/>
          <w:marRight w:val="0"/>
          <w:marTop w:val="0"/>
          <w:marBottom w:val="0"/>
          <w:divBdr>
            <w:top w:val="none" w:sz="0" w:space="0" w:color="auto"/>
            <w:left w:val="none" w:sz="0" w:space="0" w:color="auto"/>
            <w:bottom w:val="none" w:sz="0" w:space="0" w:color="auto"/>
            <w:right w:val="none" w:sz="0" w:space="0" w:color="auto"/>
          </w:divBdr>
          <w:divsChild>
            <w:div w:id="1391536079">
              <w:marLeft w:val="0"/>
              <w:marRight w:val="0"/>
              <w:marTop w:val="0"/>
              <w:marBottom w:val="0"/>
              <w:divBdr>
                <w:top w:val="none" w:sz="0" w:space="0" w:color="auto"/>
                <w:left w:val="none" w:sz="0" w:space="0" w:color="auto"/>
                <w:bottom w:val="none" w:sz="0" w:space="0" w:color="auto"/>
                <w:right w:val="none" w:sz="0" w:space="0" w:color="auto"/>
              </w:divBdr>
              <w:divsChild>
                <w:div w:id="2085374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307030">
      <w:bodyDiv w:val="1"/>
      <w:marLeft w:val="0"/>
      <w:marRight w:val="0"/>
      <w:marTop w:val="0"/>
      <w:marBottom w:val="0"/>
      <w:divBdr>
        <w:top w:val="none" w:sz="0" w:space="0" w:color="auto"/>
        <w:left w:val="none" w:sz="0" w:space="0" w:color="auto"/>
        <w:bottom w:val="none" w:sz="0" w:space="0" w:color="auto"/>
        <w:right w:val="none" w:sz="0" w:space="0" w:color="auto"/>
      </w:divBdr>
    </w:div>
    <w:div w:id="1824076497">
      <w:bodyDiv w:val="1"/>
      <w:marLeft w:val="0"/>
      <w:marRight w:val="0"/>
      <w:marTop w:val="0"/>
      <w:marBottom w:val="0"/>
      <w:divBdr>
        <w:top w:val="none" w:sz="0" w:space="0" w:color="auto"/>
        <w:left w:val="none" w:sz="0" w:space="0" w:color="auto"/>
        <w:bottom w:val="none" w:sz="0" w:space="0" w:color="auto"/>
        <w:right w:val="none" w:sz="0" w:space="0" w:color="auto"/>
      </w:divBdr>
      <w:divsChild>
        <w:div w:id="841165016">
          <w:marLeft w:val="0"/>
          <w:marRight w:val="0"/>
          <w:marTop w:val="0"/>
          <w:marBottom w:val="0"/>
          <w:divBdr>
            <w:top w:val="none" w:sz="0" w:space="0" w:color="auto"/>
            <w:left w:val="none" w:sz="0" w:space="0" w:color="auto"/>
            <w:bottom w:val="none" w:sz="0" w:space="0" w:color="auto"/>
            <w:right w:val="none" w:sz="0" w:space="0" w:color="auto"/>
          </w:divBdr>
          <w:divsChild>
            <w:div w:id="153572639">
              <w:marLeft w:val="0"/>
              <w:marRight w:val="0"/>
              <w:marTop w:val="0"/>
              <w:marBottom w:val="0"/>
              <w:divBdr>
                <w:top w:val="none" w:sz="0" w:space="0" w:color="auto"/>
                <w:left w:val="none" w:sz="0" w:space="0" w:color="auto"/>
                <w:bottom w:val="none" w:sz="0" w:space="0" w:color="auto"/>
                <w:right w:val="none" w:sz="0" w:space="0" w:color="auto"/>
              </w:divBdr>
              <w:divsChild>
                <w:div w:id="1494561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81271">
      <w:bodyDiv w:val="1"/>
      <w:marLeft w:val="0"/>
      <w:marRight w:val="0"/>
      <w:marTop w:val="0"/>
      <w:marBottom w:val="0"/>
      <w:divBdr>
        <w:top w:val="none" w:sz="0" w:space="0" w:color="auto"/>
        <w:left w:val="none" w:sz="0" w:space="0" w:color="auto"/>
        <w:bottom w:val="none" w:sz="0" w:space="0" w:color="auto"/>
        <w:right w:val="none" w:sz="0" w:space="0" w:color="auto"/>
      </w:divBdr>
      <w:divsChild>
        <w:div w:id="287902590">
          <w:marLeft w:val="0"/>
          <w:marRight w:val="0"/>
          <w:marTop w:val="0"/>
          <w:marBottom w:val="0"/>
          <w:divBdr>
            <w:top w:val="none" w:sz="0" w:space="0" w:color="auto"/>
            <w:left w:val="none" w:sz="0" w:space="0" w:color="auto"/>
            <w:bottom w:val="none" w:sz="0" w:space="0" w:color="auto"/>
            <w:right w:val="none" w:sz="0" w:space="0" w:color="auto"/>
          </w:divBdr>
        </w:div>
      </w:divsChild>
    </w:div>
    <w:div w:id="1828979237">
      <w:bodyDiv w:val="1"/>
      <w:marLeft w:val="0"/>
      <w:marRight w:val="0"/>
      <w:marTop w:val="0"/>
      <w:marBottom w:val="0"/>
      <w:divBdr>
        <w:top w:val="none" w:sz="0" w:space="0" w:color="auto"/>
        <w:left w:val="none" w:sz="0" w:space="0" w:color="auto"/>
        <w:bottom w:val="none" w:sz="0" w:space="0" w:color="auto"/>
        <w:right w:val="none" w:sz="0" w:space="0" w:color="auto"/>
      </w:divBdr>
      <w:divsChild>
        <w:div w:id="1650286288">
          <w:marLeft w:val="0"/>
          <w:marRight w:val="0"/>
          <w:marTop w:val="0"/>
          <w:marBottom w:val="0"/>
          <w:divBdr>
            <w:top w:val="none" w:sz="0" w:space="0" w:color="auto"/>
            <w:left w:val="none" w:sz="0" w:space="0" w:color="auto"/>
            <w:bottom w:val="none" w:sz="0" w:space="0" w:color="auto"/>
            <w:right w:val="none" w:sz="0" w:space="0" w:color="auto"/>
          </w:divBdr>
          <w:divsChild>
            <w:div w:id="691109412">
              <w:marLeft w:val="0"/>
              <w:marRight w:val="0"/>
              <w:marTop w:val="0"/>
              <w:marBottom w:val="0"/>
              <w:divBdr>
                <w:top w:val="none" w:sz="0" w:space="0" w:color="auto"/>
                <w:left w:val="none" w:sz="0" w:space="0" w:color="auto"/>
                <w:bottom w:val="none" w:sz="0" w:space="0" w:color="auto"/>
                <w:right w:val="none" w:sz="0" w:space="0" w:color="auto"/>
              </w:divBdr>
              <w:divsChild>
                <w:div w:id="1940333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701267">
      <w:bodyDiv w:val="1"/>
      <w:marLeft w:val="0"/>
      <w:marRight w:val="0"/>
      <w:marTop w:val="0"/>
      <w:marBottom w:val="0"/>
      <w:divBdr>
        <w:top w:val="none" w:sz="0" w:space="0" w:color="auto"/>
        <w:left w:val="none" w:sz="0" w:space="0" w:color="auto"/>
        <w:bottom w:val="none" w:sz="0" w:space="0" w:color="auto"/>
        <w:right w:val="none" w:sz="0" w:space="0" w:color="auto"/>
      </w:divBdr>
      <w:divsChild>
        <w:div w:id="1899852437">
          <w:marLeft w:val="0"/>
          <w:marRight w:val="0"/>
          <w:marTop w:val="0"/>
          <w:marBottom w:val="0"/>
          <w:divBdr>
            <w:top w:val="none" w:sz="0" w:space="0" w:color="auto"/>
            <w:left w:val="none" w:sz="0" w:space="0" w:color="auto"/>
            <w:bottom w:val="none" w:sz="0" w:space="0" w:color="auto"/>
            <w:right w:val="none" w:sz="0" w:space="0" w:color="auto"/>
          </w:divBdr>
          <w:divsChild>
            <w:div w:id="1753162474">
              <w:marLeft w:val="0"/>
              <w:marRight w:val="0"/>
              <w:marTop w:val="0"/>
              <w:marBottom w:val="0"/>
              <w:divBdr>
                <w:top w:val="none" w:sz="0" w:space="0" w:color="auto"/>
                <w:left w:val="none" w:sz="0" w:space="0" w:color="auto"/>
                <w:bottom w:val="none" w:sz="0" w:space="0" w:color="auto"/>
                <w:right w:val="none" w:sz="0" w:space="0" w:color="auto"/>
              </w:divBdr>
              <w:divsChild>
                <w:div w:id="284393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756497">
      <w:bodyDiv w:val="1"/>
      <w:marLeft w:val="0"/>
      <w:marRight w:val="0"/>
      <w:marTop w:val="0"/>
      <w:marBottom w:val="0"/>
      <w:divBdr>
        <w:top w:val="none" w:sz="0" w:space="0" w:color="auto"/>
        <w:left w:val="none" w:sz="0" w:space="0" w:color="auto"/>
        <w:bottom w:val="none" w:sz="0" w:space="0" w:color="auto"/>
        <w:right w:val="none" w:sz="0" w:space="0" w:color="auto"/>
      </w:divBdr>
      <w:divsChild>
        <w:div w:id="1580938477">
          <w:marLeft w:val="0"/>
          <w:marRight w:val="0"/>
          <w:marTop w:val="0"/>
          <w:marBottom w:val="0"/>
          <w:divBdr>
            <w:top w:val="none" w:sz="0" w:space="0" w:color="auto"/>
            <w:left w:val="none" w:sz="0" w:space="0" w:color="auto"/>
            <w:bottom w:val="none" w:sz="0" w:space="0" w:color="auto"/>
            <w:right w:val="none" w:sz="0" w:space="0" w:color="auto"/>
          </w:divBdr>
          <w:divsChild>
            <w:div w:id="2134902059">
              <w:marLeft w:val="0"/>
              <w:marRight w:val="0"/>
              <w:marTop w:val="0"/>
              <w:marBottom w:val="0"/>
              <w:divBdr>
                <w:top w:val="none" w:sz="0" w:space="0" w:color="auto"/>
                <w:left w:val="none" w:sz="0" w:space="0" w:color="auto"/>
                <w:bottom w:val="none" w:sz="0" w:space="0" w:color="auto"/>
                <w:right w:val="none" w:sz="0" w:space="0" w:color="auto"/>
              </w:divBdr>
              <w:divsChild>
                <w:div w:id="10010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767860">
      <w:bodyDiv w:val="1"/>
      <w:marLeft w:val="0"/>
      <w:marRight w:val="0"/>
      <w:marTop w:val="0"/>
      <w:marBottom w:val="0"/>
      <w:divBdr>
        <w:top w:val="none" w:sz="0" w:space="0" w:color="auto"/>
        <w:left w:val="none" w:sz="0" w:space="0" w:color="auto"/>
        <w:bottom w:val="none" w:sz="0" w:space="0" w:color="auto"/>
        <w:right w:val="none" w:sz="0" w:space="0" w:color="auto"/>
      </w:divBdr>
      <w:divsChild>
        <w:div w:id="900868388">
          <w:marLeft w:val="0"/>
          <w:marRight w:val="0"/>
          <w:marTop w:val="0"/>
          <w:marBottom w:val="0"/>
          <w:divBdr>
            <w:top w:val="none" w:sz="0" w:space="0" w:color="auto"/>
            <w:left w:val="none" w:sz="0" w:space="0" w:color="auto"/>
            <w:bottom w:val="none" w:sz="0" w:space="0" w:color="auto"/>
            <w:right w:val="none" w:sz="0" w:space="0" w:color="auto"/>
          </w:divBdr>
          <w:divsChild>
            <w:div w:id="2071609663">
              <w:marLeft w:val="0"/>
              <w:marRight w:val="0"/>
              <w:marTop w:val="0"/>
              <w:marBottom w:val="0"/>
              <w:divBdr>
                <w:top w:val="none" w:sz="0" w:space="0" w:color="auto"/>
                <w:left w:val="none" w:sz="0" w:space="0" w:color="auto"/>
                <w:bottom w:val="none" w:sz="0" w:space="0" w:color="auto"/>
                <w:right w:val="none" w:sz="0" w:space="0" w:color="auto"/>
              </w:divBdr>
              <w:divsChild>
                <w:div w:id="46495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386838">
      <w:bodyDiv w:val="1"/>
      <w:marLeft w:val="0"/>
      <w:marRight w:val="0"/>
      <w:marTop w:val="0"/>
      <w:marBottom w:val="0"/>
      <w:divBdr>
        <w:top w:val="none" w:sz="0" w:space="0" w:color="auto"/>
        <w:left w:val="none" w:sz="0" w:space="0" w:color="auto"/>
        <w:bottom w:val="none" w:sz="0" w:space="0" w:color="auto"/>
        <w:right w:val="none" w:sz="0" w:space="0" w:color="auto"/>
      </w:divBdr>
      <w:divsChild>
        <w:div w:id="1314721959">
          <w:marLeft w:val="0"/>
          <w:marRight w:val="0"/>
          <w:marTop w:val="0"/>
          <w:marBottom w:val="0"/>
          <w:divBdr>
            <w:top w:val="none" w:sz="0" w:space="0" w:color="auto"/>
            <w:left w:val="none" w:sz="0" w:space="0" w:color="auto"/>
            <w:bottom w:val="none" w:sz="0" w:space="0" w:color="auto"/>
            <w:right w:val="none" w:sz="0" w:space="0" w:color="auto"/>
          </w:divBdr>
          <w:divsChild>
            <w:div w:id="1490705647">
              <w:marLeft w:val="0"/>
              <w:marRight w:val="0"/>
              <w:marTop w:val="0"/>
              <w:marBottom w:val="0"/>
              <w:divBdr>
                <w:top w:val="none" w:sz="0" w:space="0" w:color="auto"/>
                <w:left w:val="none" w:sz="0" w:space="0" w:color="auto"/>
                <w:bottom w:val="none" w:sz="0" w:space="0" w:color="auto"/>
                <w:right w:val="none" w:sz="0" w:space="0" w:color="auto"/>
              </w:divBdr>
              <w:divsChild>
                <w:div w:id="1683119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022550">
      <w:bodyDiv w:val="1"/>
      <w:marLeft w:val="0"/>
      <w:marRight w:val="0"/>
      <w:marTop w:val="0"/>
      <w:marBottom w:val="0"/>
      <w:divBdr>
        <w:top w:val="none" w:sz="0" w:space="0" w:color="auto"/>
        <w:left w:val="none" w:sz="0" w:space="0" w:color="auto"/>
        <w:bottom w:val="none" w:sz="0" w:space="0" w:color="auto"/>
        <w:right w:val="none" w:sz="0" w:space="0" w:color="auto"/>
      </w:divBdr>
      <w:divsChild>
        <w:div w:id="1381049089">
          <w:marLeft w:val="0"/>
          <w:marRight w:val="0"/>
          <w:marTop w:val="0"/>
          <w:marBottom w:val="0"/>
          <w:divBdr>
            <w:top w:val="none" w:sz="0" w:space="0" w:color="auto"/>
            <w:left w:val="none" w:sz="0" w:space="0" w:color="auto"/>
            <w:bottom w:val="none" w:sz="0" w:space="0" w:color="auto"/>
            <w:right w:val="none" w:sz="0" w:space="0" w:color="auto"/>
          </w:divBdr>
          <w:divsChild>
            <w:div w:id="74666575">
              <w:marLeft w:val="0"/>
              <w:marRight w:val="0"/>
              <w:marTop w:val="0"/>
              <w:marBottom w:val="0"/>
              <w:divBdr>
                <w:top w:val="none" w:sz="0" w:space="0" w:color="auto"/>
                <w:left w:val="none" w:sz="0" w:space="0" w:color="auto"/>
                <w:bottom w:val="none" w:sz="0" w:space="0" w:color="auto"/>
                <w:right w:val="none" w:sz="0" w:space="0" w:color="auto"/>
              </w:divBdr>
              <w:divsChild>
                <w:div w:id="138498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412998">
      <w:bodyDiv w:val="1"/>
      <w:marLeft w:val="0"/>
      <w:marRight w:val="0"/>
      <w:marTop w:val="0"/>
      <w:marBottom w:val="0"/>
      <w:divBdr>
        <w:top w:val="none" w:sz="0" w:space="0" w:color="auto"/>
        <w:left w:val="none" w:sz="0" w:space="0" w:color="auto"/>
        <w:bottom w:val="none" w:sz="0" w:space="0" w:color="auto"/>
        <w:right w:val="none" w:sz="0" w:space="0" w:color="auto"/>
      </w:divBdr>
      <w:divsChild>
        <w:div w:id="2091459359">
          <w:marLeft w:val="0"/>
          <w:marRight w:val="0"/>
          <w:marTop w:val="0"/>
          <w:marBottom w:val="0"/>
          <w:divBdr>
            <w:top w:val="none" w:sz="0" w:space="0" w:color="auto"/>
            <w:left w:val="none" w:sz="0" w:space="0" w:color="auto"/>
            <w:bottom w:val="none" w:sz="0" w:space="0" w:color="auto"/>
            <w:right w:val="none" w:sz="0" w:space="0" w:color="auto"/>
          </w:divBdr>
          <w:divsChild>
            <w:div w:id="139230810">
              <w:marLeft w:val="0"/>
              <w:marRight w:val="0"/>
              <w:marTop w:val="0"/>
              <w:marBottom w:val="0"/>
              <w:divBdr>
                <w:top w:val="none" w:sz="0" w:space="0" w:color="auto"/>
                <w:left w:val="none" w:sz="0" w:space="0" w:color="auto"/>
                <w:bottom w:val="none" w:sz="0" w:space="0" w:color="auto"/>
                <w:right w:val="none" w:sz="0" w:space="0" w:color="auto"/>
              </w:divBdr>
              <w:divsChild>
                <w:div w:id="30370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604941">
      <w:bodyDiv w:val="1"/>
      <w:marLeft w:val="0"/>
      <w:marRight w:val="0"/>
      <w:marTop w:val="0"/>
      <w:marBottom w:val="0"/>
      <w:divBdr>
        <w:top w:val="none" w:sz="0" w:space="0" w:color="auto"/>
        <w:left w:val="none" w:sz="0" w:space="0" w:color="auto"/>
        <w:bottom w:val="none" w:sz="0" w:space="0" w:color="auto"/>
        <w:right w:val="none" w:sz="0" w:space="0" w:color="auto"/>
      </w:divBdr>
    </w:div>
    <w:div w:id="1943031669">
      <w:bodyDiv w:val="1"/>
      <w:marLeft w:val="0"/>
      <w:marRight w:val="0"/>
      <w:marTop w:val="0"/>
      <w:marBottom w:val="0"/>
      <w:divBdr>
        <w:top w:val="none" w:sz="0" w:space="0" w:color="auto"/>
        <w:left w:val="none" w:sz="0" w:space="0" w:color="auto"/>
        <w:bottom w:val="none" w:sz="0" w:space="0" w:color="auto"/>
        <w:right w:val="none" w:sz="0" w:space="0" w:color="auto"/>
      </w:divBdr>
    </w:div>
    <w:div w:id="1956910288">
      <w:bodyDiv w:val="1"/>
      <w:marLeft w:val="0"/>
      <w:marRight w:val="0"/>
      <w:marTop w:val="0"/>
      <w:marBottom w:val="0"/>
      <w:divBdr>
        <w:top w:val="none" w:sz="0" w:space="0" w:color="auto"/>
        <w:left w:val="none" w:sz="0" w:space="0" w:color="auto"/>
        <w:bottom w:val="none" w:sz="0" w:space="0" w:color="auto"/>
        <w:right w:val="none" w:sz="0" w:space="0" w:color="auto"/>
      </w:divBdr>
    </w:div>
    <w:div w:id="1958415757">
      <w:bodyDiv w:val="1"/>
      <w:marLeft w:val="0"/>
      <w:marRight w:val="0"/>
      <w:marTop w:val="0"/>
      <w:marBottom w:val="0"/>
      <w:divBdr>
        <w:top w:val="none" w:sz="0" w:space="0" w:color="auto"/>
        <w:left w:val="none" w:sz="0" w:space="0" w:color="auto"/>
        <w:bottom w:val="none" w:sz="0" w:space="0" w:color="auto"/>
        <w:right w:val="none" w:sz="0" w:space="0" w:color="auto"/>
      </w:divBdr>
      <w:divsChild>
        <w:div w:id="1680228997">
          <w:marLeft w:val="0"/>
          <w:marRight w:val="0"/>
          <w:marTop w:val="0"/>
          <w:marBottom w:val="0"/>
          <w:divBdr>
            <w:top w:val="none" w:sz="0" w:space="0" w:color="auto"/>
            <w:left w:val="none" w:sz="0" w:space="0" w:color="auto"/>
            <w:bottom w:val="none" w:sz="0" w:space="0" w:color="auto"/>
            <w:right w:val="none" w:sz="0" w:space="0" w:color="auto"/>
          </w:divBdr>
          <w:divsChild>
            <w:div w:id="1073625419">
              <w:marLeft w:val="0"/>
              <w:marRight w:val="0"/>
              <w:marTop w:val="0"/>
              <w:marBottom w:val="0"/>
              <w:divBdr>
                <w:top w:val="none" w:sz="0" w:space="0" w:color="auto"/>
                <w:left w:val="none" w:sz="0" w:space="0" w:color="auto"/>
                <w:bottom w:val="none" w:sz="0" w:space="0" w:color="auto"/>
                <w:right w:val="none" w:sz="0" w:space="0" w:color="auto"/>
              </w:divBdr>
              <w:divsChild>
                <w:div w:id="1450512183">
                  <w:marLeft w:val="0"/>
                  <w:marRight w:val="0"/>
                  <w:marTop w:val="0"/>
                  <w:marBottom w:val="0"/>
                  <w:divBdr>
                    <w:top w:val="none" w:sz="0" w:space="0" w:color="auto"/>
                    <w:left w:val="none" w:sz="0" w:space="0" w:color="auto"/>
                    <w:bottom w:val="none" w:sz="0" w:space="0" w:color="auto"/>
                    <w:right w:val="none" w:sz="0" w:space="0" w:color="auto"/>
                  </w:divBdr>
                </w:div>
              </w:divsChild>
            </w:div>
            <w:div w:id="1534416357">
              <w:marLeft w:val="0"/>
              <w:marRight w:val="0"/>
              <w:marTop w:val="0"/>
              <w:marBottom w:val="0"/>
              <w:divBdr>
                <w:top w:val="none" w:sz="0" w:space="0" w:color="auto"/>
                <w:left w:val="none" w:sz="0" w:space="0" w:color="auto"/>
                <w:bottom w:val="none" w:sz="0" w:space="0" w:color="auto"/>
                <w:right w:val="none" w:sz="0" w:space="0" w:color="auto"/>
              </w:divBdr>
              <w:divsChild>
                <w:div w:id="510876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120495">
          <w:marLeft w:val="0"/>
          <w:marRight w:val="0"/>
          <w:marTop w:val="0"/>
          <w:marBottom w:val="0"/>
          <w:divBdr>
            <w:top w:val="none" w:sz="0" w:space="0" w:color="auto"/>
            <w:left w:val="none" w:sz="0" w:space="0" w:color="auto"/>
            <w:bottom w:val="none" w:sz="0" w:space="0" w:color="auto"/>
            <w:right w:val="none" w:sz="0" w:space="0" w:color="auto"/>
          </w:divBdr>
          <w:divsChild>
            <w:div w:id="1427849966">
              <w:marLeft w:val="0"/>
              <w:marRight w:val="0"/>
              <w:marTop w:val="0"/>
              <w:marBottom w:val="0"/>
              <w:divBdr>
                <w:top w:val="none" w:sz="0" w:space="0" w:color="auto"/>
                <w:left w:val="none" w:sz="0" w:space="0" w:color="auto"/>
                <w:bottom w:val="none" w:sz="0" w:space="0" w:color="auto"/>
                <w:right w:val="none" w:sz="0" w:space="0" w:color="auto"/>
              </w:divBdr>
              <w:divsChild>
                <w:div w:id="289285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409849">
      <w:bodyDiv w:val="1"/>
      <w:marLeft w:val="0"/>
      <w:marRight w:val="0"/>
      <w:marTop w:val="0"/>
      <w:marBottom w:val="0"/>
      <w:divBdr>
        <w:top w:val="none" w:sz="0" w:space="0" w:color="auto"/>
        <w:left w:val="none" w:sz="0" w:space="0" w:color="auto"/>
        <w:bottom w:val="none" w:sz="0" w:space="0" w:color="auto"/>
        <w:right w:val="none" w:sz="0" w:space="0" w:color="auto"/>
      </w:divBdr>
      <w:divsChild>
        <w:div w:id="1832482673">
          <w:marLeft w:val="0"/>
          <w:marRight w:val="0"/>
          <w:marTop w:val="0"/>
          <w:marBottom w:val="0"/>
          <w:divBdr>
            <w:top w:val="none" w:sz="0" w:space="0" w:color="auto"/>
            <w:left w:val="none" w:sz="0" w:space="0" w:color="auto"/>
            <w:bottom w:val="none" w:sz="0" w:space="0" w:color="auto"/>
            <w:right w:val="none" w:sz="0" w:space="0" w:color="auto"/>
          </w:divBdr>
          <w:divsChild>
            <w:div w:id="1643146811">
              <w:marLeft w:val="0"/>
              <w:marRight w:val="0"/>
              <w:marTop w:val="0"/>
              <w:marBottom w:val="0"/>
              <w:divBdr>
                <w:top w:val="none" w:sz="0" w:space="0" w:color="auto"/>
                <w:left w:val="none" w:sz="0" w:space="0" w:color="auto"/>
                <w:bottom w:val="none" w:sz="0" w:space="0" w:color="auto"/>
                <w:right w:val="none" w:sz="0" w:space="0" w:color="auto"/>
              </w:divBdr>
              <w:divsChild>
                <w:div w:id="38687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6626993">
          <w:marLeft w:val="0"/>
          <w:marRight w:val="0"/>
          <w:marTop w:val="0"/>
          <w:marBottom w:val="0"/>
          <w:divBdr>
            <w:top w:val="none" w:sz="0" w:space="0" w:color="auto"/>
            <w:left w:val="none" w:sz="0" w:space="0" w:color="auto"/>
            <w:bottom w:val="none" w:sz="0" w:space="0" w:color="auto"/>
            <w:right w:val="none" w:sz="0" w:space="0" w:color="auto"/>
          </w:divBdr>
          <w:divsChild>
            <w:div w:id="2138524004">
              <w:marLeft w:val="0"/>
              <w:marRight w:val="0"/>
              <w:marTop w:val="0"/>
              <w:marBottom w:val="0"/>
              <w:divBdr>
                <w:top w:val="none" w:sz="0" w:space="0" w:color="auto"/>
                <w:left w:val="none" w:sz="0" w:space="0" w:color="auto"/>
                <w:bottom w:val="none" w:sz="0" w:space="0" w:color="auto"/>
                <w:right w:val="none" w:sz="0" w:space="0" w:color="auto"/>
              </w:divBdr>
              <w:divsChild>
                <w:div w:id="159724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161712">
      <w:bodyDiv w:val="1"/>
      <w:marLeft w:val="0"/>
      <w:marRight w:val="0"/>
      <w:marTop w:val="0"/>
      <w:marBottom w:val="0"/>
      <w:divBdr>
        <w:top w:val="none" w:sz="0" w:space="0" w:color="auto"/>
        <w:left w:val="none" w:sz="0" w:space="0" w:color="auto"/>
        <w:bottom w:val="none" w:sz="0" w:space="0" w:color="auto"/>
        <w:right w:val="none" w:sz="0" w:space="0" w:color="auto"/>
      </w:divBdr>
      <w:divsChild>
        <w:div w:id="930166654">
          <w:marLeft w:val="0"/>
          <w:marRight w:val="0"/>
          <w:marTop w:val="0"/>
          <w:marBottom w:val="0"/>
          <w:divBdr>
            <w:top w:val="none" w:sz="0" w:space="0" w:color="auto"/>
            <w:left w:val="none" w:sz="0" w:space="0" w:color="auto"/>
            <w:bottom w:val="none" w:sz="0" w:space="0" w:color="auto"/>
            <w:right w:val="none" w:sz="0" w:space="0" w:color="auto"/>
          </w:divBdr>
          <w:divsChild>
            <w:div w:id="841551772">
              <w:marLeft w:val="0"/>
              <w:marRight w:val="0"/>
              <w:marTop w:val="0"/>
              <w:marBottom w:val="0"/>
              <w:divBdr>
                <w:top w:val="none" w:sz="0" w:space="0" w:color="auto"/>
                <w:left w:val="none" w:sz="0" w:space="0" w:color="auto"/>
                <w:bottom w:val="none" w:sz="0" w:space="0" w:color="auto"/>
                <w:right w:val="none" w:sz="0" w:space="0" w:color="auto"/>
              </w:divBdr>
              <w:divsChild>
                <w:div w:id="834221721">
                  <w:marLeft w:val="0"/>
                  <w:marRight w:val="0"/>
                  <w:marTop w:val="0"/>
                  <w:marBottom w:val="0"/>
                  <w:divBdr>
                    <w:top w:val="none" w:sz="0" w:space="0" w:color="auto"/>
                    <w:left w:val="none" w:sz="0" w:space="0" w:color="auto"/>
                    <w:bottom w:val="none" w:sz="0" w:space="0" w:color="auto"/>
                    <w:right w:val="none" w:sz="0" w:space="0" w:color="auto"/>
                  </w:divBdr>
                </w:div>
              </w:divsChild>
            </w:div>
            <w:div w:id="1738623002">
              <w:marLeft w:val="0"/>
              <w:marRight w:val="0"/>
              <w:marTop w:val="0"/>
              <w:marBottom w:val="0"/>
              <w:divBdr>
                <w:top w:val="none" w:sz="0" w:space="0" w:color="auto"/>
                <w:left w:val="none" w:sz="0" w:space="0" w:color="auto"/>
                <w:bottom w:val="none" w:sz="0" w:space="0" w:color="auto"/>
                <w:right w:val="none" w:sz="0" w:space="0" w:color="auto"/>
              </w:divBdr>
              <w:divsChild>
                <w:div w:id="1979920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714493">
      <w:bodyDiv w:val="1"/>
      <w:marLeft w:val="0"/>
      <w:marRight w:val="0"/>
      <w:marTop w:val="0"/>
      <w:marBottom w:val="0"/>
      <w:divBdr>
        <w:top w:val="none" w:sz="0" w:space="0" w:color="auto"/>
        <w:left w:val="none" w:sz="0" w:space="0" w:color="auto"/>
        <w:bottom w:val="none" w:sz="0" w:space="0" w:color="auto"/>
        <w:right w:val="none" w:sz="0" w:space="0" w:color="auto"/>
      </w:divBdr>
      <w:divsChild>
        <w:div w:id="2065987405">
          <w:marLeft w:val="0"/>
          <w:marRight w:val="0"/>
          <w:marTop w:val="0"/>
          <w:marBottom w:val="0"/>
          <w:divBdr>
            <w:top w:val="none" w:sz="0" w:space="0" w:color="auto"/>
            <w:left w:val="none" w:sz="0" w:space="0" w:color="auto"/>
            <w:bottom w:val="none" w:sz="0" w:space="0" w:color="auto"/>
            <w:right w:val="none" w:sz="0" w:space="0" w:color="auto"/>
          </w:divBdr>
          <w:divsChild>
            <w:div w:id="1745880408">
              <w:marLeft w:val="0"/>
              <w:marRight w:val="0"/>
              <w:marTop w:val="0"/>
              <w:marBottom w:val="0"/>
              <w:divBdr>
                <w:top w:val="none" w:sz="0" w:space="0" w:color="auto"/>
                <w:left w:val="none" w:sz="0" w:space="0" w:color="auto"/>
                <w:bottom w:val="none" w:sz="0" w:space="0" w:color="auto"/>
                <w:right w:val="none" w:sz="0" w:space="0" w:color="auto"/>
              </w:divBdr>
              <w:divsChild>
                <w:div w:id="935409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908567">
      <w:bodyDiv w:val="1"/>
      <w:marLeft w:val="0"/>
      <w:marRight w:val="0"/>
      <w:marTop w:val="0"/>
      <w:marBottom w:val="0"/>
      <w:divBdr>
        <w:top w:val="none" w:sz="0" w:space="0" w:color="auto"/>
        <w:left w:val="none" w:sz="0" w:space="0" w:color="auto"/>
        <w:bottom w:val="none" w:sz="0" w:space="0" w:color="auto"/>
        <w:right w:val="none" w:sz="0" w:space="0" w:color="auto"/>
      </w:divBdr>
      <w:divsChild>
        <w:div w:id="669257573">
          <w:marLeft w:val="0"/>
          <w:marRight w:val="0"/>
          <w:marTop w:val="0"/>
          <w:marBottom w:val="0"/>
          <w:divBdr>
            <w:top w:val="none" w:sz="0" w:space="0" w:color="auto"/>
            <w:left w:val="none" w:sz="0" w:space="0" w:color="auto"/>
            <w:bottom w:val="none" w:sz="0" w:space="0" w:color="auto"/>
            <w:right w:val="none" w:sz="0" w:space="0" w:color="auto"/>
          </w:divBdr>
          <w:divsChild>
            <w:div w:id="628629777">
              <w:marLeft w:val="0"/>
              <w:marRight w:val="0"/>
              <w:marTop w:val="0"/>
              <w:marBottom w:val="0"/>
              <w:divBdr>
                <w:top w:val="none" w:sz="0" w:space="0" w:color="auto"/>
                <w:left w:val="none" w:sz="0" w:space="0" w:color="auto"/>
                <w:bottom w:val="none" w:sz="0" w:space="0" w:color="auto"/>
                <w:right w:val="none" w:sz="0" w:space="0" w:color="auto"/>
              </w:divBdr>
              <w:divsChild>
                <w:div w:id="249433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742504">
          <w:marLeft w:val="0"/>
          <w:marRight w:val="0"/>
          <w:marTop w:val="0"/>
          <w:marBottom w:val="0"/>
          <w:divBdr>
            <w:top w:val="none" w:sz="0" w:space="0" w:color="auto"/>
            <w:left w:val="none" w:sz="0" w:space="0" w:color="auto"/>
            <w:bottom w:val="none" w:sz="0" w:space="0" w:color="auto"/>
            <w:right w:val="none" w:sz="0" w:space="0" w:color="auto"/>
          </w:divBdr>
          <w:divsChild>
            <w:div w:id="1907109839">
              <w:marLeft w:val="0"/>
              <w:marRight w:val="0"/>
              <w:marTop w:val="0"/>
              <w:marBottom w:val="0"/>
              <w:divBdr>
                <w:top w:val="none" w:sz="0" w:space="0" w:color="auto"/>
                <w:left w:val="none" w:sz="0" w:space="0" w:color="auto"/>
                <w:bottom w:val="none" w:sz="0" w:space="0" w:color="auto"/>
                <w:right w:val="none" w:sz="0" w:space="0" w:color="auto"/>
              </w:divBdr>
              <w:divsChild>
                <w:div w:id="500048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954680">
      <w:bodyDiv w:val="1"/>
      <w:marLeft w:val="0"/>
      <w:marRight w:val="0"/>
      <w:marTop w:val="0"/>
      <w:marBottom w:val="0"/>
      <w:divBdr>
        <w:top w:val="none" w:sz="0" w:space="0" w:color="auto"/>
        <w:left w:val="none" w:sz="0" w:space="0" w:color="auto"/>
        <w:bottom w:val="none" w:sz="0" w:space="0" w:color="auto"/>
        <w:right w:val="none" w:sz="0" w:space="0" w:color="auto"/>
      </w:divBdr>
      <w:divsChild>
        <w:div w:id="1686709527">
          <w:marLeft w:val="0"/>
          <w:marRight w:val="0"/>
          <w:marTop w:val="0"/>
          <w:marBottom w:val="0"/>
          <w:divBdr>
            <w:top w:val="none" w:sz="0" w:space="0" w:color="auto"/>
            <w:left w:val="none" w:sz="0" w:space="0" w:color="auto"/>
            <w:bottom w:val="none" w:sz="0" w:space="0" w:color="auto"/>
            <w:right w:val="none" w:sz="0" w:space="0" w:color="auto"/>
          </w:divBdr>
          <w:divsChild>
            <w:div w:id="1660379769">
              <w:marLeft w:val="0"/>
              <w:marRight w:val="0"/>
              <w:marTop w:val="0"/>
              <w:marBottom w:val="0"/>
              <w:divBdr>
                <w:top w:val="none" w:sz="0" w:space="0" w:color="auto"/>
                <w:left w:val="none" w:sz="0" w:space="0" w:color="auto"/>
                <w:bottom w:val="none" w:sz="0" w:space="0" w:color="auto"/>
                <w:right w:val="none" w:sz="0" w:space="0" w:color="auto"/>
              </w:divBdr>
              <w:divsChild>
                <w:div w:id="119947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277301">
      <w:bodyDiv w:val="1"/>
      <w:marLeft w:val="0"/>
      <w:marRight w:val="0"/>
      <w:marTop w:val="0"/>
      <w:marBottom w:val="0"/>
      <w:divBdr>
        <w:top w:val="none" w:sz="0" w:space="0" w:color="auto"/>
        <w:left w:val="none" w:sz="0" w:space="0" w:color="auto"/>
        <w:bottom w:val="none" w:sz="0" w:space="0" w:color="auto"/>
        <w:right w:val="none" w:sz="0" w:space="0" w:color="auto"/>
      </w:divBdr>
      <w:divsChild>
        <w:div w:id="1110471402">
          <w:marLeft w:val="0"/>
          <w:marRight w:val="0"/>
          <w:marTop w:val="0"/>
          <w:marBottom w:val="0"/>
          <w:divBdr>
            <w:top w:val="none" w:sz="0" w:space="0" w:color="auto"/>
            <w:left w:val="none" w:sz="0" w:space="0" w:color="auto"/>
            <w:bottom w:val="none" w:sz="0" w:space="0" w:color="auto"/>
            <w:right w:val="none" w:sz="0" w:space="0" w:color="auto"/>
          </w:divBdr>
          <w:divsChild>
            <w:div w:id="21825879">
              <w:marLeft w:val="0"/>
              <w:marRight w:val="0"/>
              <w:marTop w:val="0"/>
              <w:marBottom w:val="0"/>
              <w:divBdr>
                <w:top w:val="none" w:sz="0" w:space="0" w:color="auto"/>
                <w:left w:val="none" w:sz="0" w:space="0" w:color="auto"/>
                <w:bottom w:val="none" w:sz="0" w:space="0" w:color="auto"/>
                <w:right w:val="none" w:sz="0" w:space="0" w:color="auto"/>
              </w:divBdr>
              <w:divsChild>
                <w:div w:id="1716812608">
                  <w:marLeft w:val="0"/>
                  <w:marRight w:val="0"/>
                  <w:marTop w:val="0"/>
                  <w:marBottom w:val="0"/>
                  <w:divBdr>
                    <w:top w:val="none" w:sz="0" w:space="0" w:color="auto"/>
                    <w:left w:val="none" w:sz="0" w:space="0" w:color="auto"/>
                    <w:bottom w:val="none" w:sz="0" w:space="0" w:color="auto"/>
                    <w:right w:val="none" w:sz="0" w:space="0" w:color="auto"/>
                  </w:divBdr>
                </w:div>
              </w:divsChild>
            </w:div>
            <w:div w:id="1917977208">
              <w:marLeft w:val="0"/>
              <w:marRight w:val="0"/>
              <w:marTop w:val="0"/>
              <w:marBottom w:val="0"/>
              <w:divBdr>
                <w:top w:val="none" w:sz="0" w:space="0" w:color="auto"/>
                <w:left w:val="none" w:sz="0" w:space="0" w:color="auto"/>
                <w:bottom w:val="none" w:sz="0" w:space="0" w:color="auto"/>
                <w:right w:val="none" w:sz="0" w:space="0" w:color="auto"/>
              </w:divBdr>
              <w:divsChild>
                <w:div w:id="180835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968185">
          <w:marLeft w:val="0"/>
          <w:marRight w:val="0"/>
          <w:marTop w:val="0"/>
          <w:marBottom w:val="0"/>
          <w:divBdr>
            <w:top w:val="none" w:sz="0" w:space="0" w:color="auto"/>
            <w:left w:val="none" w:sz="0" w:space="0" w:color="auto"/>
            <w:bottom w:val="none" w:sz="0" w:space="0" w:color="auto"/>
            <w:right w:val="none" w:sz="0" w:space="0" w:color="auto"/>
          </w:divBdr>
          <w:divsChild>
            <w:div w:id="322124463">
              <w:marLeft w:val="0"/>
              <w:marRight w:val="0"/>
              <w:marTop w:val="0"/>
              <w:marBottom w:val="0"/>
              <w:divBdr>
                <w:top w:val="none" w:sz="0" w:space="0" w:color="auto"/>
                <w:left w:val="none" w:sz="0" w:space="0" w:color="auto"/>
                <w:bottom w:val="none" w:sz="0" w:space="0" w:color="auto"/>
                <w:right w:val="none" w:sz="0" w:space="0" w:color="auto"/>
              </w:divBdr>
              <w:divsChild>
                <w:div w:id="384723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599424">
      <w:bodyDiv w:val="1"/>
      <w:marLeft w:val="0"/>
      <w:marRight w:val="0"/>
      <w:marTop w:val="0"/>
      <w:marBottom w:val="0"/>
      <w:divBdr>
        <w:top w:val="none" w:sz="0" w:space="0" w:color="auto"/>
        <w:left w:val="none" w:sz="0" w:space="0" w:color="auto"/>
        <w:bottom w:val="none" w:sz="0" w:space="0" w:color="auto"/>
        <w:right w:val="none" w:sz="0" w:space="0" w:color="auto"/>
      </w:divBdr>
    </w:div>
    <w:div w:id="2039889044">
      <w:bodyDiv w:val="1"/>
      <w:marLeft w:val="0"/>
      <w:marRight w:val="0"/>
      <w:marTop w:val="0"/>
      <w:marBottom w:val="0"/>
      <w:divBdr>
        <w:top w:val="none" w:sz="0" w:space="0" w:color="auto"/>
        <w:left w:val="none" w:sz="0" w:space="0" w:color="auto"/>
        <w:bottom w:val="none" w:sz="0" w:space="0" w:color="auto"/>
        <w:right w:val="none" w:sz="0" w:space="0" w:color="auto"/>
      </w:divBdr>
      <w:divsChild>
        <w:div w:id="1260336442">
          <w:marLeft w:val="0"/>
          <w:marRight w:val="0"/>
          <w:marTop w:val="0"/>
          <w:marBottom w:val="0"/>
          <w:divBdr>
            <w:top w:val="none" w:sz="0" w:space="0" w:color="auto"/>
            <w:left w:val="none" w:sz="0" w:space="0" w:color="auto"/>
            <w:bottom w:val="none" w:sz="0" w:space="0" w:color="auto"/>
            <w:right w:val="none" w:sz="0" w:space="0" w:color="auto"/>
          </w:divBdr>
          <w:divsChild>
            <w:div w:id="982809177">
              <w:marLeft w:val="0"/>
              <w:marRight w:val="0"/>
              <w:marTop w:val="0"/>
              <w:marBottom w:val="0"/>
              <w:divBdr>
                <w:top w:val="none" w:sz="0" w:space="0" w:color="auto"/>
                <w:left w:val="none" w:sz="0" w:space="0" w:color="auto"/>
                <w:bottom w:val="none" w:sz="0" w:space="0" w:color="auto"/>
                <w:right w:val="none" w:sz="0" w:space="0" w:color="auto"/>
              </w:divBdr>
              <w:divsChild>
                <w:div w:id="47888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493936">
      <w:bodyDiv w:val="1"/>
      <w:marLeft w:val="0"/>
      <w:marRight w:val="0"/>
      <w:marTop w:val="0"/>
      <w:marBottom w:val="0"/>
      <w:divBdr>
        <w:top w:val="none" w:sz="0" w:space="0" w:color="auto"/>
        <w:left w:val="none" w:sz="0" w:space="0" w:color="auto"/>
        <w:bottom w:val="none" w:sz="0" w:space="0" w:color="auto"/>
        <w:right w:val="none" w:sz="0" w:space="0" w:color="auto"/>
      </w:divBdr>
      <w:divsChild>
        <w:div w:id="2120756461">
          <w:marLeft w:val="0"/>
          <w:marRight w:val="0"/>
          <w:marTop w:val="0"/>
          <w:marBottom w:val="0"/>
          <w:divBdr>
            <w:top w:val="none" w:sz="0" w:space="0" w:color="auto"/>
            <w:left w:val="none" w:sz="0" w:space="0" w:color="auto"/>
            <w:bottom w:val="none" w:sz="0" w:space="0" w:color="auto"/>
            <w:right w:val="none" w:sz="0" w:space="0" w:color="auto"/>
          </w:divBdr>
          <w:divsChild>
            <w:div w:id="798914659">
              <w:marLeft w:val="0"/>
              <w:marRight w:val="0"/>
              <w:marTop w:val="0"/>
              <w:marBottom w:val="0"/>
              <w:divBdr>
                <w:top w:val="none" w:sz="0" w:space="0" w:color="auto"/>
                <w:left w:val="none" w:sz="0" w:space="0" w:color="auto"/>
                <w:bottom w:val="none" w:sz="0" w:space="0" w:color="auto"/>
                <w:right w:val="none" w:sz="0" w:space="0" w:color="auto"/>
              </w:divBdr>
              <w:divsChild>
                <w:div w:id="426317593">
                  <w:marLeft w:val="0"/>
                  <w:marRight w:val="0"/>
                  <w:marTop w:val="0"/>
                  <w:marBottom w:val="0"/>
                  <w:divBdr>
                    <w:top w:val="none" w:sz="0" w:space="0" w:color="auto"/>
                    <w:left w:val="none" w:sz="0" w:space="0" w:color="auto"/>
                    <w:bottom w:val="none" w:sz="0" w:space="0" w:color="auto"/>
                    <w:right w:val="none" w:sz="0" w:space="0" w:color="auto"/>
                  </w:divBdr>
                </w:div>
              </w:divsChild>
            </w:div>
            <w:div w:id="1606381232">
              <w:marLeft w:val="0"/>
              <w:marRight w:val="0"/>
              <w:marTop w:val="0"/>
              <w:marBottom w:val="0"/>
              <w:divBdr>
                <w:top w:val="none" w:sz="0" w:space="0" w:color="auto"/>
                <w:left w:val="none" w:sz="0" w:space="0" w:color="auto"/>
                <w:bottom w:val="none" w:sz="0" w:space="0" w:color="auto"/>
                <w:right w:val="none" w:sz="0" w:space="0" w:color="auto"/>
              </w:divBdr>
              <w:divsChild>
                <w:div w:id="499585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020330">
          <w:marLeft w:val="0"/>
          <w:marRight w:val="0"/>
          <w:marTop w:val="0"/>
          <w:marBottom w:val="0"/>
          <w:divBdr>
            <w:top w:val="none" w:sz="0" w:space="0" w:color="auto"/>
            <w:left w:val="none" w:sz="0" w:space="0" w:color="auto"/>
            <w:bottom w:val="none" w:sz="0" w:space="0" w:color="auto"/>
            <w:right w:val="none" w:sz="0" w:space="0" w:color="auto"/>
          </w:divBdr>
          <w:divsChild>
            <w:div w:id="1433091704">
              <w:marLeft w:val="0"/>
              <w:marRight w:val="0"/>
              <w:marTop w:val="0"/>
              <w:marBottom w:val="0"/>
              <w:divBdr>
                <w:top w:val="none" w:sz="0" w:space="0" w:color="auto"/>
                <w:left w:val="none" w:sz="0" w:space="0" w:color="auto"/>
                <w:bottom w:val="none" w:sz="0" w:space="0" w:color="auto"/>
                <w:right w:val="none" w:sz="0" w:space="0" w:color="auto"/>
              </w:divBdr>
              <w:divsChild>
                <w:div w:id="301160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213834">
      <w:bodyDiv w:val="1"/>
      <w:marLeft w:val="0"/>
      <w:marRight w:val="0"/>
      <w:marTop w:val="0"/>
      <w:marBottom w:val="0"/>
      <w:divBdr>
        <w:top w:val="none" w:sz="0" w:space="0" w:color="auto"/>
        <w:left w:val="none" w:sz="0" w:space="0" w:color="auto"/>
        <w:bottom w:val="none" w:sz="0" w:space="0" w:color="auto"/>
        <w:right w:val="none" w:sz="0" w:space="0" w:color="auto"/>
      </w:divBdr>
      <w:divsChild>
        <w:div w:id="513571508">
          <w:marLeft w:val="0"/>
          <w:marRight w:val="0"/>
          <w:marTop w:val="0"/>
          <w:marBottom w:val="0"/>
          <w:divBdr>
            <w:top w:val="none" w:sz="0" w:space="0" w:color="auto"/>
            <w:left w:val="none" w:sz="0" w:space="0" w:color="auto"/>
            <w:bottom w:val="none" w:sz="0" w:space="0" w:color="auto"/>
            <w:right w:val="none" w:sz="0" w:space="0" w:color="auto"/>
          </w:divBdr>
          <w:divsChild>
            <w:div w:id="422386597">
              <w:marLeft w:val="0"/>
              <w:marRight w:val="0"/>
              <w:marTop w:val="0"/>
              <w:marBottom w:val="0"/>
              <w:divBdr>
                <w:top w:val="none" w:sz="0" w:space="0" w:color="auto"/>
                <w:left w:val="none" w:sz="0" w:space="0" w:color="auto"/>
                <w:bottom w:val="none" w:sz="0" w:space="0" w:color="auto"/>
                <w:right w:val="none" w:sz="0" w:space="0" w:color="auto"/>
              </w:divBdr>
              <w:divsChild>
                <w:div w:id="1491827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830024">
      <w:bodyDiv w:val="1"/>
      <w:marLeft w:val="0"/>
      <w:marRight w:val="0"/>
      <w:marTop w:val="0"/>
      <w:marBottom w:val="0"/>
      <w:divBdr>
        <w:top w:val="none" w:sz="0" w:space="0" w:color="auto"/>
        <w:left w:val="none" w:sz="0" w:space="0" w:color="auto"/>
        <w:bottom w:val="none" w:sz="0" w:space="0" w:color="auto"/>
        <w:right w:val="none" w:sz="0" w:space="0" w:color="auto"/>
      </w:divBdr>
      <w:divsChild>
        <w:div w:id="624431118">
          <w:marLeft w:val="0"/>
          <w:marRight w:val="0"/>
          <w:marTop w:val="0"/>
          <w:marBottom w:val="0"/>
          <w:divBdr>
            <w:top w:val="none" w:sz="0" w:space="0" w:color="auto"/>
            <w:left w:val="none" w:sz="0" w:space="0" w:color="auto"/>
            <w:bottom w:val="none" w:sz="0" w:space="0" w:color="auto"/>
            <w:right w:val="none" w:sz="0" w:space="0" w:color="auto"/>
          </w:divBdr>
          <w:divsChild>
            <w:div w:id="543253021">
              <w:marLeft w:val="0"/>
              <w:marRight w:val="0"/>
              <w:marTop w:val="0"/>
              <w:marBottom w:val="0"/>
              <w:divBdr>
                <w:top w:val="none" w:sz="0" w:space="0" w:color="auto"/>
                <w:left w:val="none" w:sz="0" w:space="0" w:color="auto"/>
                <w:bottom w:val="none" w:sz="0" w:space="0" w:color="auto"/>
                <w:right w:val="none" w:sz="0" w:space="0" w:color="auto"/>
              </w:divBdr>
              <w:divsChild>
                <w:div w:id="770247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852922">
      <w:bodyDiv w:val="1"/>
      <w:marLeft w:val="0"/>
      <w:marRight w:val="0"/>
      <w:marTop w:val="0"/>
      <w:marBottom w:val="0"/>
      <w:divBdr>
        <w:top w:val="none" w:sz="0" w:space="0" w:color="auto"/>
        <w:left w:val="none" w:sz="0" w:space="0" w:color="auto"/>
        <w:bottom w:val="none" w:sz="0" w:space="0" w:color="auto"/>
        <w:right w:val="none" w:sz="0" w:space="0" w:color="auto"/>
      </w:divBdr>
    </w:div>
    <w:div w:id="2098165602">
      <w:bodyDiv w:val="1"/>
      <w:marLeft w:val="0"/>
      <w:marRight w:val="0"/>
      <w:marTop w:val="0"/>
      <w:marBottom w:val="0"/>
      <w:divBdr>
        <w:top w:val="none" w:sz="0" w:space="0" w:color="auto"/>
        <w:left w:val="none" w:sz="0" w:space="0" w:color="auto"/>
        <w:bottom w:val="none" w:sz="0" w:space="0" w:color="auto"/>
        <w:right w:val="none" w:sz="0" w:space="0" w:color="auto"/>
      </w:divBdr>
      <w:divsChild>
        <w:div w:id="1279138571">
          <w:marLeft w:val="0"/>
          <w:marRight w:val="0"/>
          <w:marTop w:val="0"/>
          <w:marBottom w:val="0"/>
          <w:divBdr>
            <w:top w:val="none" w:sz="0" w:space="0" w:color="auto"/>
            <w:left w:val="none" w:sz="0" w:space="0" w:color="auto"/>
            <w:bottom w:val="none" w:sz="0" w:space="0" w:color="auto"/>
            <w:right w:val="none" w:sz="0" w:space="0" w:color="auto"/>
          </w:divBdr>
          <w:divsChild>
            <w:div w:id="833297101">
              <w:marLeft w:val="0"/>
              <w:marRight w:val="0"/>
              <w:marTop w:val="0"/>
              <w:marBottom w:val="0"/>
              <w:divBdr>
                <w:top w:val="none" w:sz="0" w:space="0" w:color="auto"/>
                <w:left w:val="none" w:sz="0" w:space="0" w:color="auto"/>
                <w:bottom w:val="none" w:sz="0" w:space="0" w:color="auto"/>
                <w:right w:val="none" w:sz="0" w:space="0" w:color="auto"/>
              </w:divBdr>
              <w:divsChild>
                <w:div w:id="98639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784766">
      <w:bodyDiv w:val="1"/>
      <w:marLeft w:val="0"/>
      <w:marRight w:val="0"/>
      <w:marTop w:val="0"/>
      <w:marBottom w:val="0"/>
      <w:divBdr>
        <w:top w:val="none" w:sz="0" w:space="0" w:color="auto"/>
        <w:left w:val="none" w:sz="0" w:space="0" w:color="auto"/>
        <w:bottom w:val="none" w:sz="0" w:space="0" w:color="auto"/>
        <w:right w:val="none" w:sz="0" w:space="0" w:color="auto"/>
      </w:divBdr>
    </w:div>
    <w:div w:id="2104379051">
      <w:bodyDiv w:val="1"/>
      <w:marLeft w:val="0"/>
      <w:marRight w:val="0"/>
      <w:marTop w:val="0"/>
      <w:marBottom w:val="0"/>
      <w:divBdr>
        <w:top w:val="none" w:sz="0" w:space="0" w:color="auto"/>
        <w:left w:val="none" w:sz="0" w:space="0" w:color="auto"/>
        <w:bottom w:val="none" w:sz="0" w:space="0" w:color="auto"/>
        <w:right w:val="none" w:sz="0" w:space="0" w:color="auto"/>
      </w:divBdr>
    </w:div>
    <w:div w:id="2115981821">
      <w:bodyDiv w:val="1"/>
      <w:marLeft w:val="0"/>
      <w:marRight w:val="0"/>
      <w:marTop w:val="0"/>
      <w:marBottom w:val="0"/>
      <w:divBdr>
        <w:top w:val="none" w:sz="0" w:space="0" w:color="auto"/>
        <w:left w:val="none" w:sz="0" w:space="0" w:color="auto"/>
        <w:bottom w:val="none" w:sz="0" w:space="0" w:color="auto"/>
        <w:right w:val="none" w:sz="0" w:space="0" w:color="auto"/>
      </w:divBdr>
      <w:divsChild>
        <w:div w:id="950358408">
          <w:marLeft w:val="0"/>
          <w:marRight w:val="0"/>
          <w:marTop w:val="0"/>
          <w:marBottom w:val="0"/>
          <w:divBdr>
            <w:top w:val="none" w:sz="0" w:space="0" w:color="auto"/>
            <w:left w:val="none" w:sz="0" w:space="0" w:color="auto"/>
            <w:bottom w:val="none" w:sz="0" w:space="0" w:color="auto"/>
            <w:right w:val="none" w:sz="0" w:space="0" w:color="auto"/>
          </w:divBdr>
          <w:divsChild>
            <w:div w:id="1217668857">
              <w:marLeft w:val="0"/>
              <w:marRight w:val="0"/>
              <w:marTop w:val="0"/>
              <w:marBottom w:val="0"/>
              <w:divBdr>
                <w:top w:val="none" w:sz="0" w:space="0" w:color="auto"/>
                <w:left w:val="none" w:sz="0" w:space="0" w:color="auto"/>
                <w:bottom w:val="none" w:sz="0" w:space="0" w:color="auto"/>
                <w:right w:val="none" w:sz="0" w:space="0" w:color="auto"/>
              </w:divBdr>
              <w:divsChild>
                <w:div w:id="69554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961771">
      <w:bodyDiv w:val="1"/>
      <w:marLeft w:val="0"/>
      <w:marRight w:val="0"/>
      <w:marTop w:val="0"/>
      <w:marBottom w:val="0"/>
      <w:divBdr>
        <w:top w:val="none" w:sz="0" w:space="0" w:color="auto"/>
        <w:left w:val="none" w:sz="0" w:space="0" w:color="auto"/>
        <w:bottom w:val="none" w:sz="0" w:space="0" w:color="auto"/>
        <w:right w:val="none" w:sz="0" w:space="0" w:color="auto"/>
      </w:divBdr>
      <w:divsChild>
        <w:div w:id="588733867">
          <w:marLeft w:val="0"/>
          <w:marRight w:val="0"/>
          <w:marTop w:val="0"/>
          <w:marBottom w:val="0"/>
          <w:divBdr>
            <w:top w:val="none" w:sz="0" w:space="0" w:color="auto"/>
            <w:left w:val="none" w:sz="0" w:space="0" w:color="auto"/>
            <w:bottom w:val="none" w:sz="0" w:space="0" w:color="auto"/>
            <w:right w:val="none" w:sz="0" w:space="0" w:color="auto"/>
          </w:divBdr>
          <w:divsChild>
            <w:div w:id="633292659">
              <w:marLeft w:val="0"/>
              <w:marRight w:val="0"/>
              <w:marTop w:val="0"/>
              <w:marBottom w:val="0"/>
              <w:divBdr>
                <w:top w:val="none" w:sz="0" w:space="0" w:color="auto"/>
                <w:left w:val="none" w:sz="0" w:space="0" w:color="auto"/>
                <w:bottom w:val="none" w:sz="0" w:space="0" w:color="auto"/>
                <w:right w:val="none" w:sz="0" w:space="0" w:color="auto"/>
              </w:divBdr>
              <w:divsChild>
                <w:div w:id="121412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716576">
      <w:bodyDiv w:val="1"/>
      <w:marLeft w:val="0"/>
      <w:marRight w:val="0"/>
      <w:marTop w:val="0"/>
      <w:marBottom w:val="0"/>
      <w:divBdr>
        <w:top w:val="none" w:sz="0" w:space="0" w:color="auto"/>
        <w:left w:val="none" w:sz="0" w:space="0" w:color="auto"/>
        <w:bottom w:val="none" w:sz="0" w:space="0" w:color="auto"/>
        <w:right w:val="none" w:sz="0" w:space="0" w:color="auto"/>
      </w:divBdr>
      <w:divsChild>
        <w:div w:id="467861649">
          <w:marLeft w:val="0"/>
          <w:marRight w:val="0"/>
          <w:marTop w:val="0"/>
          <w:marBottom w:val="0"/>
          <w:divBdr>
            <w:top w:val="none" w:sz="0" w:space="0" w:color="auto"/>
            <w:left w:val="none" w:sz="0" w:space="0" w:color="auto"/>
            <w:bottom w:val="none" w:sz="0" w:space="0" w:color="auto"/>
            <w:right w:val="none" w:sz="0" w:space="0" w:color="auto"/>
          </w:divBdr>
          <w:divsChild>
            <w:div w:id="20329659">
              <w:marLeft w:val="0"/>
              <w:marRight w:val="0"/>
              <w:marTop w:val="0"/>
              <w:marBottom w:val="0"/>
              <w:divBdr>
                <w:top w:val="none" w:sz="0" w:space="0" w:color="auto"/>
                <w:left w:val="none" w:sz="0" w:space="0" w:color="auto"/>
                <w:bottom w:val="none" w:sz="0" w:space="0" w:color="auto"/>
                <w:right w:val="none" w:sz="0" w:space="0" w:color="auto"/>
              </w:divBdr>
              <w:divsChild>
                <w:div w:id="1922566158">
                  <w:marLeft w:val="0"/>
                  <w:marRight w:val="0"/>
                  <w:marTop w:val="0"/>
                  <w:marBottom w:val="0"/>
                  <w:divBdr>
                    <w:top w:val="none" w:sz="0" w:space="0" w:color="auto"/>
                    <w:left w:val="none" w:sz="0" w:space="0" w:color="auto"/>
                    <w:bottom w:val="none" w:sz="0" w:space="0" w:color="auto"/>
                    <w:right w:val="none" w:sz="0" w:space="0" w:color="auto"/>
                  </w:divBdr>
                </w:div>
              </w:divsChild>
            </w:div>
            <w:div w:id="1364406846">
              <w:marLeft w:val="0"/>
              <w:marRight w:val="0"/>
              <w:marTop w:val="0"/>
              <w:marBottom w:val="0"/>
              <w:divBdr>
                <w:top w:val="none" w:sz="0" w:space="0" w:color="auto"/>
                <w:left w:val="none" w:sz="0" w:space="0" w:color="auto"/>
                <w:bottom w:val="none" w:sz="0" w:space="0" w:color="auto"/>
                <w:right w:val="none" w:sz="0" w:space="0" w:color="auto"/>
              </w:divBdr>
              <w:divsChild>
                <w:div w:id="232353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290288">
          <w:marLeft w:val="0"/>
          <w:marRight w:val="0"/>
          <w:marTop w:val="0"/>
          <w:marBottom w:val="0"/>
          <w:divBdr>
            <w:top w:val="none" w:sz="0" w:space="0" w:color="auto"/>
            <w:left w:val="none" w:sz="0" w:space="0" w:color="auto"/>
            <w:bottom w:val="none" w:sz="0" w:space="0" w:color="auto"/>
            <w:right w:val="none" w:sz="0" w:space="0" w:color="auto"/>
          </w:divBdr>
          <w:divsChild>
            <w:div w:id="1880168437">
              <w:marLeft w:val="0"/>
              <w:marRight w:val="0"/>
              <w:marTop w:val="0"/>
              <w:marBottom w:val="0"/>
              <w:divBdr>
                <w:top w:val="none" w:sz="0" w:space="0" w:color="auto"/>
                <w:left w:val="none" w:sz="0" w:space="0" w:color="auto"/>
                <w:bottom w:val="none" w:sz="0" w:space="0" w:color="auto"/>
                <w:right w:val="none" w:sz="0" w:space="0" w:color="auto"/>
              </w:divBdr>
              <w:divsChild>
                <w:div w:id="1012533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9029509">
      <w:bodyDiv w:val="1"/>
      <w:marLeft w:val="0"/>
      <w:marRight w:val="0"/>
      <w:marTop w:val="0"/>
      <w:marBottom w:val="0"/>
      <w:divBdr>
        <w:top w:val="none" w:sz="0" w:space="0" w:color="auto"/>
        <w:left w:val="none" w:sz="0" w:space="0" w:color="auto"/>
        <w:bottom w:val="none" w:sz="0" w:space="0" w:color="auto"/>
        <w:right w:val="none" w:sz="0" w:space="0" w:color="auto"/>
      </w:divBdr>
    </w:div>
    <w:div w:id="2139715233">
      <w:bodyDiv w:val="1"/>
      <w:marLeft w:val="0"/>
      <w:marRight w:val="0"/>
      <w:marTop w:val="0"/>
      <w:marBottom w:val="0"/>
      <w:divBdr>
        <w:top w:val="none" w:sz="0" w:space="0" w:color="auto"/>
        <w:left w:val="none" w:sz="0" w:space="0" w:color="auto"/>
        <w:bottom w:val="none" w:sz="0" w:space="0" w:color="auto"/>
        <w:right w:val="none" w:sz="0" w:space="0" w:color="auto"/>
      </w:divBdr>
      <w:divsChild>
        <w:div w:id="342125629">
          <w:marLeft w:val="0"/>
          <w:marRight w:val="0"/>
          <w:marTop w:val="0"/>
          <w:marBottom w:val="0"/>
          <w:divBdr>
            <w:top w:val="none" w:sz="0" w:space="0" w:color="auto"/>
            <w:left w:val="none" w:sz="0" w:space="0" w:color="auto"/>
            <w:bottom w:val="none" w:sz="0" w:space="0" w:color="auto"/>
            <w:right w:val="none" w:sz="0" w:space="0" w:color="auto"/>
          </w:divBdr>
          <w:divsChild>
            <w:div w:id="1413431845">
              <w:marLeft w:val="0"/>
              <w:marRight w:val="0"/>
              <w:marTop w:val="0"/>
              <w:marBottom w:val="0"/>
              <w:divBdr>
                <w:top w:val="none" w:sz="0" w:space="0" w:color="auto"/>
                <w:left w:val="none" w:sz="0" w:space="0" w:color="auto"/>
                <w:bottom w:val="none" w:sz="0" w:space="0" w:color="auto"/>
                <w:right w:val="none" w:sz="0" w:space="0" w:color="auto"/>
              </w:divBdr>
              <w:divsChild>
                <w:div w:id="91778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386300">
      <w:bodyDiv w:val="1"/>
      <w:marLeft w:val="0"/>
      <w:marRight w:val="0"/>
      <w:marTop w:val="0"/>
      <w:marBottom w:val="0"/>
      <w:divBdr>
        <w:top w:val="none" w:sz="0" w:space="0" w:color="auto"/>
        <w:left w:val="none" w:sz="0" w:space="0" w:color="auto"/>
        <w:bottom w:val="none" w:sz="0" w:space="0" w:color="auto"/>
        <w:right w:val="none" w:sz="0" w:space="0" w:color="auto"/>
      </w:divBdr>
      <w:divsChild>
        <w:div w:id="684595075">
          <w:marLeft w:val="0"/>
          <w:marRight w:val="0"/>
          <w:marTop w:val="0"/>
          <w:marBottom w:val="0"/>
          <w:divBdr>
            <w:top w:val="none" w:sz="0" w:space="0" w:color="auto"/>
            <w:left w:val="none" w:sz="0" w:space="0" w:color="auto"/>
            <w:bottom w:val="none" w:sz="0" w:space="0" w:color="auto"/>
            <w:right w:val="none" w:sz="0" w:space="0" w:color="auto"/>
          </w:divBdr>
          <w:divsChild>
            <w:div w:id="1379743806">
              <w:marLeft w:val="0"/>
              <w:marRight w:val="0"/>
              <w:marTop w:val="0"/>
              <w:marBottom w:val="0"/>
              <w:divBdr>
                <w:top w:val="none" w:sz="0" w:space="0" w:color="auto"/>
                <w:left w:val="none" w:sz="0" w:space="0" w:color="auto"/>
                <w:bottom w:val="none" w:sz="0" w:space="0" w:color="auto"/>
                <w:right w:val="none" w:sz="0" w:space="0" w:color="auto"/>
              </w:divBdr>
              <w:divsChild>
                <w:div w:id="175592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10.jpeg"/><Relationship Id="rId42" Type="http://schemas.openxmlformats.org/officeDocument/2006/relationships/image" Target="media/image31.png"/><Relationship Id="rId63" Type="http://schemas.openxmlformats.org/officeDocument/2006/relationships/image" Target="media/image50.jpeg"/><Relationship Id="rId84" Type="http://schemas.openxmlformats.org/officeDocument/2006/relationships/image" Target="media/image68.jpeg"/><Relationship Id="rId138" Type="http://schemas.openxmlformats.org/officeDocument/2006/relationships/image" Target="media/image117.jpeg"/><Relationship Id="rId107" Type="http://schemas.openxmlformats.org/officeDocument/2006/relationships/image" Target="media/image87.jpeg"/><Relationship Id="rId11" Type="http://schemas.openxmlformats.org/officeDocument/2006/relationships/footer" Target="footer3.xml"/><Relationship Id="rId32" Type="http://schemas.openxmlformats.org/officeDocument/2006/relationships/image" Target="media/image21.jpeg"/><Relationship Id="rId53" Type="http://schemas.openxmlformats.org/officeDocument/2006/relationships/image" Target="media/image40.jpeg"/><Relationship Id="rId74" Type="http://schemas.openxmlformats.org/officeDocument/2006/relationships/image" Target="media/image58.jpeg"/><Relationship Id="rId128" Type="http://schemas.openxmlformats.org/officeDocument/2006/relationships/image" Target="media/image107.jpeg"/><Relationship Id="rId149" Type="http://schemas.openxmlformats.org/officeDocument/2006/relationships/image" Target="media/image127.jpeg"/><Relationship Id="rId5" Type="http://schemas.openxmlformats.org/officeDocument/2006/relationships/webSettings" Target="webSettings.xml"/><Relationship Id="rId95" Type="http://schemas.openxmlformats.org/officeDocument/2006/relationships/image" Target="media/image76.png"/><Relationship Id="rId22" Type="http://schemas.openxmlformats.org/officeDocument/2006/relationships/image" Target="media/image11.jpeg"/><Relationship Id="rId27" Type="http://schemas.openxmlformats.org/officeDocument/2006/relationships/image" Target="media/image16.jpeg"/><Relationship Id="rId43" Type="http://schemas.microsoft.com/office/2007/relationships/hdphoto" Target="media/hdphoto1.wdp"/><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5.jpeg"/><Relationship Id="rId113" Type="http://schemas.openxmlformats.org/officeDocument/2006/relationships/image" Target="media/image92.jpeg"/><Relationship Id="rId118" Type="http://schemas.openxmlformats.org/officeDocument/2006/relationships/image" Target="media/image97.jpeg"/><Relationship Id="rId134" Type="http://schemas.openxmlformats.org/officeDocument/2006/relationships/image" Target="media/image113.jpeg"/><Relationship Id="rId139" Type="http://schemas.openxmlformats.org/officeDocument/2006/relationships/image" Target="media/image118.jpeg"/><Relationship Id="rId80" Type="http://schemas.openxmlformats.org/officeDocument/2006/relationships/image" Target="media/image64.jpeg"/><Relationship Id="rId85" Type="http://schemas.openxmlformats.org/officeDocument/2006/relationships/image" Target="media/image69.png"/><Relationship Id="rId150" Type="http://schemas.openxmlformats.org/officeDocument/2006/relationships/image" Target="media/image128.jpeg"/><Relationship Id="rId155" Type="http://schemas.openxmlformats.org/officeDocument/2006/relationships/theme" Target="theme/theme1.xml"/><Relationship Id="rId12" Type="http://schemas.openxmlformats.org/officeDocument/2006/relationships/footer" Target="footer4.xml"/><Relationship Id="rId17" Type="http://schemas.openxmlformats.org/officeDocument/2006/relationships/image" Target="media/image6.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6.jpeg"/><Relationship Id="rId103" Type="http://schemas.openxmlformats.org/officeDocument/2006/relationships/image" Target="media/image83.jpeg"/><Relationship Id="rId108" Type="http://schemas.openxmlformats.org/officeDocument/2006/relationships/image" Target="media/image88.png"/><Relationship Id="rId124" Type="http://schemas.openxmlformats.org/officeDocument/2006/relationships/image" Target="media/image103.jpeg"/><Relationship Id="rId129" Type="http://schemas.openxmlformats.org/officeDocument/2006/relationships/image" Target="media/image108.jpeg"/><Relationship Id="rId54" Type="http://schemas.openxmlformats.org/officeDocument/2006/relationships/image" Target="media/image41.jpeg"/><Relationship Id="rId70" Type="http://schemas.openxmlformats.org/officeDocument/2006/relationships/image" Target="media/image56.png"/><Relationship Id="rId75" Type="http://schemas.openxmlformats.org/officeDocument/2006/relationships/image" Target="media/image59.jpeg"/><Relationship Id="rId91" Type="http://schemas.microsoft.com/office/2007/relationships/hdphoto" Target="media/hdphoto7.wdp"/><Relationship Id="rId96" Type="http://schemas.microsoft.com/office/2007/relationships/hdphoto" Target="media/hdphoto9.wdp"/><Relationship Id="rId140" Type="http://schemas.openxmlformats.org/officeDocument/2006/relationships/image" Target="media/image119.jpeg"/><Relationship Id="rId145" Type="http://schemas.microsoft.com/office/2007/relationships/hdphoto" Target="media/hdphoto11.wdp"/><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g"/><Relationship Id="rId28" Type="http://schemas.openxmlformats.org/officeDocument/2006/relationships/image" Target="media/image17.jpeg"/><Relationship Id="rId49" Type="http://schemas.openxmlformats.org/officeDocument/2006/relationships/image" Target="media/image36.jpeg"/><Relationship Id="rId114" Type="http://schemas.openxmlformats.org/officeDocument/2006/relationships/image" Target="media/image93.jpeg"/><Relationship Id="rId119" Type="http://schemas.openxmlformats.org/officeDocument/2006/relationships/image" Target="media/image98.jpeg"/><Relationship Id="rId44" Type="http://schemas.openxmlformats.org/officeDocument/2006/relationships/image" Target="media/image32.pn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5.jpeg"/><Relationship Id="rId86" Type="http://schemas.microsoft.com/office/2007/relationships/hdphoto" Target="media/hdphoto6.wdp"/><Relationship Id="rId130" Type="http://schemas.openxmlformats.org/officeDocument/2006/relationships/image" Target="media/image109.jpeg"/><Relationship Id="rId135" Type="http://schemas.openxmlformats.org/officeDocument/2006/relationships/image" Target="media/image114.jpeg"/><Relationship Id="rId151" Type="http://schemas.openxmlformats.org/officeDocument/2006/relationships/image" Target="media/image129.jpeg"/><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8.jpeg"/><Relationship Id="rId109" Type="http://schemas.microsoft.com/office/2007/relationships/hdphoto" Target="media/hdphoto10.wdp"/><Relationship Id="rId34" Type="http://schemas.openxmlformats.org/officeDocument/2006/relationships/image" Target="media/image23.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0.jpeg"/><Relationship Id="rId97" Type="http://schemas.openxmlformats.org/officeDocument/2006/relationships/image" Target="media/image77.jpeg"/><Relationship Id="rId104" Type="http://schemas.openxmlformats.org/officeDocument/2006/relationships/image" Target="media/image84.jpeg"/><Relationship Id="rId120" Type="http://schemas.openxmlformats.org/officeDocument/2006/relationships/image" Target="media/image99.jpeg"/><Relationship Id="rId125" Type="http://schemas.openxmlformats.org/officeDocument/2006/relationships/image" Target="media/image104.jpeg"/><Relationship Id="rId141" Type="http://schemas.openxmlformats.org/officeDocument/2006/relationships/image" Target="media/image120.jpeg"/><Relationship Id="rId146" Type="http://schemas.openxmlformats.org/officeDocument/2006/relationships/image" Target="media/image124.jpeg"/><Relationship Id="rId7" Type="http://schemas.openxmlformats.org/officeDocument/2006/relationships/endnotes" Target="endnotes.xml"/><Relationship Id="rId71" Type="http://schemas.microsoft.com/office/2007/relationships/hdphoto" Target="media/hdphoto4.wdp"/><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microsoft.com/office/2007/relationships/hdphoto" Target="media/hdphoto2.wdp"/><Relationship Id="rId66" Type="http://schemas.openxmlformats.org/officeDocument/2006/relationships/image" Target="media/image53.png"/><Relationship Id="rId87" Type="http://schemas.openxmlformats.org/officeDocument/2006/relationships/image" Target="media/image70.jpeg"/><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image" Target="media/image110.jpeg"/><Relationship Id="rId136" Type="http://schemas.openxmlformats.org/officeDocument/2006/relationships/image" Target="media/image115.jpeg"/><Relationship Id="rId61" Type="http://schemas.openxmlformats.org/officeDocument/2006/relationships/image" Target="media/image48.jpeg"/><Relationship Id="rId82" Type="http://schemas.openxmlformats.org/officeDocument/2006/relationships/image" Target="media/image66.jpeg"/><Relationship Id="rId152" Type="http://schemas.openxmlformats.org/officeDocument/2006/relationships/image" Target="media/image130.jpe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3.jpeg"/><Relationship Id="rId77" Type="http://schemas.openxmlformats.org/officeDocument/2006/relationships/image" Target="media/image61.jpeg"/><Relationship Id="rId100" Type="http://schemas.openxmlformats.org/officeDocument/2006/relationships/image" Target="media/image80.jpeg"/><Relationship Id="rId105" Type="http://schemas.openxmlformats.org/officeDocument/2006/relationships/image" Target="media/image85.jpeg"/><Relationship Id="rId126" Type="http://schemas.openxmlformats.org/officeDocument/2006/relationships/image" Target="media/image105.jpeg"/><Relationship Id="rId147" Type="http://schemas.openxmlformats.org/officeDocument/2006/relationships/image" Target="media/image125.jpeg"/><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7.png"/><Relationship Id="rId93" Type="http://schemas.microsoft.com/office/2007/relationships/hdphoto" Target="media/hdphoto8.wdp"/><Relationship Id="rId98" Type="http://schemas.openxmlformats.org/officeDocument/2006/relationships/image" Target="media/image78.jpeg"/><Relationship Id="rId121" Type="http://schemas.openxmlformats.org/officeDocument/2006/relationships/image" Target="media/image100.jpeg"/><Relationship Id="rId142" Type="http://schemas.openxmlformats.org/officeDocument/2006/relationships/image" Target="media/image121.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3.jpeg"/><Relationship Id="rId67" Type="http://schemas.microsoft.com/office/2007/relationships/hdphoto" Target="media/hdphoto3.wdp"/><Relationship Id="rId116" Type="http://schemas.openxmlformats.org/officeDocument/2006/relationships/image" Target="media/image95.jpeg"/><Relationship Id="rId137" Type="http://schemas.openxmlformats.org/officeDocument/2006/relationships/image" Target="media/image116.jpeg"/><Relationship Id="rId20" Type="http://schemas.openxmlformats.org/officeDocument/2006/relationships/image" Target="media/image9.emf"/><Relationship Id="rId41" Type="http://schemas.openxmlformats.org/officeDocument/2006/relationships/image" Target="media/image30.jpeg"/><Relationship Id="rId62" Type="http://schemas.openxmlformats.org/officeDocument/2006/relationships/image" Target="media/image49.jpeg"/><Relationship Id="rId83" Type="http://schemas.openxmlformats.org/officeDocument/2006/relationships/image" Target="media/image67.jpeg"/><Relationship Id="rId88" Type="http://schemas.openxmlformats.org/officeDocument/2006/relationships/image" Target="media/image71.jpeg"/><Relationship Id="rId111" Type="http://schemas.openxmlformats.org/officeDocument/2006/relationships/image" Target="media/image90.jpeg"/><Relationship Id="rId132" Type="http://schemas.openxmlformats.org/officeDocument/2006/relationships/image" Target="media/image111.jpeg"/><Relationship Id="rId153" Type="http://schemas.openxmlformats.org/officeDocument/2006/relationships/image" Target="media/image131.jpeg"/><Relationship Id="rId15" Type="http://schemas.openxmlformats.org/officeDocument/2006/relationships/image" Target="media/image4.jpeg"/><Relationship Id="rId36" Type="http://schemas.openxmlformats.org/officeDocument/2006/relationships/image" Target="media/image25.jpeg"/><Relationship Id="rId57" Type="http://schemas.openxmlformats.org/officeDocument/2006/relationships/image" Target="media/image44.jpeg"/><Relationship Id="rId106" Type="http://schemas.openxmlformats.org/officeDocument/2006/relationships/image" Target="media/image86.jpeg"/><Relationship Id="rId127" Type="http://schemas.openxmlformats.org/officeDocument/2006/relationships/image" Target="media/image106.jpeg"/><Relationship Id="rId10" Type="http://schemas.openxmlformats.org/officeDocument/2006/relationships/footer" Target="footer2.xml"/><Relationship Id="rId31" Type="http://schemas.openxmlformats.org/officeDocument/2006/relationships/image" Target="media/image20.jpeg"/><Relationship Id="rId52" Type="http://schemas.openxmlformats.org/officeDocument/2006/relationships/image" Target="media/image39.jpeg"/><Relationship Id="rId73" Type="http://schemas.microsoft.com/office/2007/relationships/hdphoto" Target="media/hdphoto5.wdp"/><Relationship Id="rId78" Type="http://schemas.openxmlformats.org/officeDocument/2006/relationships/image" Target="media/image62.jpeg"/><Relationship Id="rId94" Type="http://schemas.openxmlformats.org/officeDocument/2006/relationships/image" Target="media/image75.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101.jpeg"/><Relationship Id="rId143" Type="http://schemas.openxmlformats.org/officeDocument/2006/relationships/image" Target="media/image122.jpeg"/><Relationship Id="rId148" Type="http://schemas.openxmlformats.org/officeDocument/2006/relationships/image" Target="media/image126.jpe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5.jpeg"/><Relationship Id="rId47" Type="http://schemas.openxmlformats.org/officeDocument/2006/relationships/image" Target="media/image34.jpeg"/><Relationship Id="rId68" Type="http://schemas.openxmlformats.org/officeDocument/2006/relationships/image" Target="media/image54.jpeg"/><Relationship Id="rId89" Type="http://schemas.openxmlformats.org/officeDocument/2006/relationships/image" Target="media/image72.jpeg"/><Relationship Id="rId112" Type="http://schemas.openxmlformats.org/officeDocument/2006/relationships/image" Target="media/image91.jpeg"/><Relationship Id="rId133" Type="http://schemas.openxmlformats.org/officeDocument/2006/relationships/image" Target="media/image112.jpeg"/><Relationship Id="rId154" Type="http://schemas.openxmlformats.org/officeDocument/2006/relationships/fontTable" Target="fontTable.xml"/><Relationship Id="rId16" Type="http://schemas.openxmlformats.org/officeDocument/2006/relationships/image" Target="media/image5.jpeg"/><Relationship Id="rId37" Type="http://schemas.openxmlformats.org/officeDocument/2006/relationships/image" Target="media/image26.jpeg"/><Relationship Id="rId58" Type="http://schemas.openxmlformats.org/officeDocument/2006/relationships/image" Target="media/image45.jpeg"/><Relationship Id="rId79" Type="http://schemas.openxmlformats.org/officeDocument/2006/relationships/image" Target="media/image63.jpeg"/><Relationship Id="rId102" Type="http://schemas.openxmlformats.org/officeDocument/2006/relationships/image" Target="media/image82.jpeg"/><Relationship Id="rId123" Type="http://schemas.openxmlformats.org/officeDocument/2006/relationships/image" Target="media/image102.jpeg"/><Relationship Id="rId144" Type="http://schemas.openxmlformats.org/officeDocument/2006/relationships/image" Target="media/image123.png"/><Relationship Id="rId90" Type="http://schemas.openxmlformats.org/officeDocument/2006/relationships/image" Target="media/image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46FADD-5B5C-4562-BF56-2C523C42C6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Pages>
  <Words>388685</Words>
  <Characters>2215508</Characters>
  <Application>Microsoft Office Word</Application>
  <DocSecurity>0</DocSecurity>
  <Lines>18462</Lines>
  <Paragraphs>5197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2598996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Viral Panchal</dc:creator>
  <cp:keywords/>
  <dc:description/>
  <cp:lastModifiedBy>Lucia Lafage</cp:lastModifiedBy>
  <cp:revision>13</cp:revision>
  <cp:lastPrinted>2021-12-05T16:49:00Z</cp:lastPrinted>
  <dcterms:created xsi:type="dcterms:W3CDTF">2021-12-12T15:46:00Z</dcterms:created>
  <dcterms:modified xsi:type="dcterms:W3CDTF">2021-12-12T20:47:00Z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http://csl.mendeley.com/styles/23860211/apa</vt:lpwstr>
  </property>
  <property fmtid="{D5CDD505-2E9C-101B-9397-08002B2CF9AE}" pid="3" name="Mendeley Recent Style Name 0_1">
    <vt:lpwstr>American Psychological Association - James Green</vt:lpwstr>
  </property>
  <property fmtid="{D5CDD505-2E9C-101B-9397-08002B2CF9AE}" pid="4" name="Mendeley Recent Style Id 1_1">
    <vt:lpwstr>http://csl.mendeley.com/styles/24541611/apa</vt:lpwstr>
  </property>
  <property fmtid="{D5CDD505-2E9C-101B-9397-08002B2CF9AE}" pid="5" name="Mendeley Recent Style Name 1_1">
    <vt:lpwstr>American Psychological Association 6th edition - Lucia Lafage</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http://www.zotero.org/styles/cell</vt:lpwstr>
  </property>
  <property fmtid="{D5CDD505-2E9C-101B-9397-08002B2CF9AE}" pid="9" name="Mendeley Recent Style Name 3_1">
    <vt:lpwstr>Cell</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http://csl.mendeley.com/styles/24541611/vancouver</vt:lpwstr>
  </property>
  <property fmtid="{D5CDD505-2E9C-101B-9397-08002B2CF9AE}" pid="21" name="Mendeley Recent Style Name 9_1">
    <vt:lpwstr>Vancouver - Lucia Lafage</vt:lpwstr>
  </property>
  <property fmtid="{D5CDD505-2E9C-101B-9397-08002B2CF9AE}" pid="22" name="Mendeley Document_1">
    <vt:lpwstr>True</vt:lpwstr>
  </property>
  <property fmtid="{D5CDD505-2E9C-101B-9397-08002B2CF9AE}" pid="23" name="Mendeley Unique User Id_1">
    <vt:lpwstr>f84492c2-a573-3af2-933c-e9e78c87ab6f</vt:lpwstr>
  </property>
  <property fmtid="{D5CDD505-2E9C-101B-9397-08002B2CF9AE}" pid="24" name="Mendeley Citation Style_1">
    <vt:lpwstr>http://csl.mendeley.com/styles/24541611/vancouver</vt:lpwstr>
  </property>
</Properties>
</file>